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3C89" w:rsidRPr="00730468" w:rsidRDefault="00833C89" w:rsidP="00705E75">
      <w:pPr>
        <w:pStyle w:val="NoSpacing"/>
        <w:jc w:val="center"/>
      </w:pPr>
      <w:r w:rsidRPr="00730468">
        <w:t xml:space="preserve">MSc THESIS </w:t>
      </w:r>
      <w:r w:rsidR="006130DE">
        <w:t>ECONOMICS</w:t>
      </w:r>
    </w:p>
    <w:p w:rsidR="00833C89" w:rsidRPr="00730468" w:rsidRDefault="00833C89" w:rsidP="00DF3F76">
      <w:pPr>
        <w:spacing w:line="360" w:lineRule="auto"/>
        <w:jc w:val="both"/>
        <w:rPr>
          <w:bCs/>
          <w:color w:val="000000" w:themeColor="text1"/>
          <w:sz w:val="50"/>
          <w:szCs w:val="50"/>
        </w:rPr>
      </w:pPr>
    </w:p>
    <w:p w:rsidR="00833C89" w:rsidRPr="00730468" w:rsidRDefault="00833C89" w:rsidP="00DF3F76">
      <w:pPr>
        <w:spacing w:line="360" w:lineRule="auto"/>
        <w:jc w:val="both"/>
        <w:rPr>
          <w:bCs/>
          <w:color w:val="000000" w:themeColor="text1"/>
          <w:sz w:val="50"/>
          <w:szCs w:val="50"/>
        </w:rPr>
      </w:pPr>
      <w:r w:rsidRPr="00730468">
        <w:rPr>
          <w:noProof/>
          <w:color w:val="000000" w:themeColor="text1"/>
        </w:rPr>
        <w:drawing>
          <wp:inline distT="0" distB="0" distL="0" distR="0" wp14:anchorId="21C5DD72" wp14:editId="3ECD2273">
            <wp:extent cx="5731510" cy="3844925"/>
            <wp:effectExtent l="0" t="0" r="2540" b="3175"/>
            <wp:docPr id="1" name="Afbeelding 1" descr="Afbeeldingsresultaat voor radboud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beeldingsresultaat voor radboud university"/>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3844925"/>
                    </a:xfrm>
                    <a:prstGeom prst="rect">
                      <a:avLst/>
                    </a:prstGeom>
                    <a:noFill/>
                    <a:ln>
                      <a:noFill/>
                    </a:ln>
                  </pic:spPr>
                </pic:pic>
              </a:graphicData>
            </a:graphic>
          </wp:inline>
        </w:drawing>
      </w:r>
    </w:p>
    <w:p w:rsidR="00833C89" w:rsidRPr="00730468" w:rsidRDefault="00833C89" w:rsidP="00DF3F76">
      <w:pPr>
        <w:spacing w:line="360" w:lineRule="auto"/>
        <w:jc w:val="center"/>
        <w:rPr>
          <w:b/>
          <w:bCs/>
          <w:color w:val="000000" w:themeColor="text1"/>
          <w:sz w:val="50"/>
          <w:szCs w:val="50"/>
        </w:rPr>
      </w:pPr>
      <w:r w:rsidRPr="00730468">
        <w:rPr>
          <w:b/>
          <w:color w:val="000000" w:themeColor="text1"/>
          <w:sz w:val="36"/>
          <w:szCs w:val="36"/>
        </w:rPr>
        <w:t xml:space="preserve">TOPIC: </w:t>
      </w:r>
      <w:r w:rsidR="000408EA" w:rsidRPr="00730468">
        <w:rPr>
          <w:b/>
          <w:color w:val="000000" w:themeColor="text1"/>
          <w:sz w:val="36"/>
          <w:szCs w:val="36"/>
        </w:rPr>
        <w:t>DETERMINANTS OF EQUITY</w:t>
      </w:r>
      <w:r w:rsidRPr="00730468">
        <w:rPr>
          <w:b/>
          <w:color w:val="000000" w:themeColor="text1"/>
          <w:sz w:val="36"/>
          <w:szCs w:val="36"/>
        </w:rPr>
        <w:t xml:space="preserve"> ENTRY MODE CHOICES IN </w:t>
      </w:r>
      <w:r w:rsidR="00400B56" w:rsidRPr="00730468">
        <w:rPr>
          <w:b/>
          <w:color w:val="000000" w:themeColor="text1"/>
          <w:sz w:val="36"/>
          <w:szCs w:val="36"/>
        </w:rPr>
        <w:t>INDIA</w:t>
      </w:r>
    </w:p>
    <w:p w:rsidR="00DF3F76" w:rsidRDefault="00DF3F76" w:rsidP="00DF3F76">
      <w:pPr>
        <w:spacing w:line="360" w:lineRule="auto"/>
        <w:jc w:val="both"/>
        <w:rPr>
          <w:bCs/>
          <w:color w:val="000000" w:themeColor="text1"/>
          <w:sz w:val="28"/>
          <w:szCs w:val="28"/>
        </w:rPr>
      </w:pPr>
    </w:p>
    <w:p w:rsidR="006130DE" w:rsidRDefault="006130DE" w:rsidP="00DF3F76">
      <w:pPr>
        <w:spacing w:line="360" w:lineRule="auto"/>
        <w:jc w:val="both"/>
        <w:rPr>
          <w:bCs/>
          <w:color w:val="000000" w:themeColor="text1"/>
          <w:sz w:val="28"/>
          <w:szCs w:val="28"/>
        </w:rPr>
      </w:pPr>
    </w:p>
    <w:p w:rsidR="00E24645" w:rsidRPr="00730468" w:rsidRDefault="00E24645" w:rsidP="006130DE">
      <w:pPr>
        <w:spacing w:line="260" w:lineRule="exact"/>
        <w:jc w:val="both"/>
        <w:rPr>
          <w:bCs/>
          <w:color w:val="000000" w:themeColor="text1"/>
          <w:sz w:val="28"/>
          <w:szCs w:val="28"/>
        </w:rPr>
      </w:pPr>
      <w:r w:rsidRPr="00730468">
        <w:rPr>
          <w:bCs/>
          <w:color w:val="000000" w:themeColor="text1"/>
          <w:sz w:val="28"/>
          <w:szCs w:val="28"/>
        </w:rPr>
        <w:t>Author: Vo Thi Nhu Quynh</w:t>
      </w:r>
    </w:p>
    <w:p w:rsidR="00E24645" w:rsidRPr="00730468" w:rsidRDefault="00E24645" w:rsidP="006130DE">
      <w:pPr>
        <w:spacing w:line="260" w:lineRule="exact"/>
        <w:jc w:val="both"/>
        <w:rPr>
          <w:bCs/>
          <w:color w:val="000000" w:themeColor="text1"/>
          <w:sz w:val="28"/>
          <w:szCs w:val="28"/>
        </w:rPr>
      </w:pPr>
    </w:p>
    <w:p w:rsidR="00E24645" w:rsidRPr="00730468" w:rsidRDefault="00E24645" w:rsidP="006130DE">
      <w:pPr>
        <w:spacing w:line="260" w:lineRule="exact"/>
        <w:jc w:val="both"/>
        <w:rPr>
          <w:bCs/>
          <w:color w:val="000000" w:themeColor="text1"/>
          <w:sz w:val="28"/>
          <w:szCs w:val="28"/>
        </w:rPr>
      </w:pPr>
      <w:r w:rsidRPr="00730468">
        <w:rPr>
          <w:bCs/>
          <w:color w:val="000000" w:themeColor="text1"/>
          <w:sz w:val="28"/>
          <w:szCs w:val="28"/>
        </w:rPr>
        <w:t>Student number: s4778987</w:t>
      </w:r>
    </w:p>
    <w:p w:rsidR="00E24645" w:rsidRPr="00730468" w:rsidRDefault="00E24645" w:rsidP="006130DE">
      <w:pPr>
        <w:spacing w:line="260" w:lineRule="exact"/>
        <w:jc w:val="both"/>
        <w:rPr>
          <w:bCs/>
          <w:color w:val="000000" w:themeColor="text1"/>
          <w:sz w:val="28"/>
          <w:szCs w:val="28"/>
        </w:rPr>
      </w:pPr>
    </w:p>
    <w:p w:rsidR="00E24645" w:rsidRPr="00730468" w:rsidRDefault="00E24645" w:rsidP="006130DE">
      <w:pPr>
        <w:spacing w:line="260" w:lineRule="exact"/>
        <w:jc w:val="both"/>
        <w:rPr>
          <w:bCs/>
          <w:color w:val="000000" w:themeColor="text1"/>
          <w:sz w:val="28"/>
          <w:szCs w:val="28"/>
        </w:rPr>
      </w:pPr>
      <w:r w:rsidRPr="00730468">
        <w:rPr>
          <w:bCs/>
          <w:color w:val="000000" w:themeColor="text1"/>
          <w:sz w:val="28"/>
          <w:szCs w:val="28"/>
        </w:rPr>
        <w:t>Master Track: International Economics and Business</w:t>
      </w:r>
    </w:p>
    <w:p w:rsidR="00E24645" w:rsidRPr="00730468" w:rsidRDefault="00E24645" w:rsidP="006130DE">
      <w:pPr>
        <w:spacing w:line="260" w:lineRule="exact"/>
        <w:jc w:val="both"/>
        <w:rPr>
          <w:bCs/>
          <w:color w:val="000000" w:themeColor="text1"/>
          <w:sz w:val="28"/>
          <w:szCs w:val="28"/>
        </w:rPr>
      </w:pPr>
    </w:p>
    <w:p w:rsidR="00C8554A" w:rsidRDefault="00E24645" w:rsidP="006130DE">
      <w:pPr>
        <w:spacing w:line="260" w:lineRule="exact"/>
        <w:jc w:val="both"/>
        <w:rPr>
          <w:bCs/>
          <w:color w:val="000000" w:themeColor="text1"/>
          <w:sz w:val="28"/>
          <w:szCs w:val="28"/>
        </w:rPr>
      </w:pPr>
      <w:r w:rsidRPr="00730468">
        <w:rPr>
          <w:bCs/>
          <w:color w:val="000000" w:themeColor="text1"/>
          <w:sz w:val="28"/>
          <w:szCs w:val="28"/>
        </w:rPr>
        <w:t>Supervisor: Dr. F. Bohn</w:t>
      </w:r>
    </w:p>
    <w:p w:rsidR="006130DE" w:rsidRDefault="006130DE" w:rsidP="006130DE">
      <w:pPr>
        <w:spacing w:line="260" w:lineRule="exact"/>
        <w:jc w:val="both"/>
        <w:rPr>
          <w:bCs/>
          <w:color w:val="000000" w:themeColor="text1"/>
          <w:sz w:val="28"/>
          <w:szCs w:val="28"/>
        </w:rPr>
      </w:pPr>
    </w:p>
    <w:p w:rsidR="006130DE" w:rsidRDefault="006130DE" w:rsidP="006130DE">
      <w:pPr>
        <w:spacing w:line="260" w:lineRule="exact"/>
        <w:jc w:val="both"/>
        <w:rPr>
          <w:bCs/>
          <w:color w:val="000000" w:themeColor="text1"/>
          <w:sz w:val="28"/>
          <w:szCs w:val="28"/>
        </w:rPr>
      </w:pPr>
      <w:r>
        <w:rPr>
          <w:bCs/>
          <w:color w:val="000000" w:themeColor="text1"/>
          <w:sz w:val="28"/>
          <w:szCs w:val="28"/>
        </w:rPr>
        <w:t xml:space="preserve">Second reader: Dr. </w:t>
      </w:r>
      <w:r w:rsidRPr="00824E11">
        <w:rPr>
          <w:bCs/>
          <w:color w:val="000000" w:themeColor="text1"/>
          <w:sz w:val="28"/>
          <w:szCs w:val="28"/>
        </w:rPr>
        <w:t>K</w:t>
      </w:r>
      <w:r>
        <w:rPr>
          <w:bCs/>
          <w:color w:val="000000" w:themeColor="text1"/>
          <w:sz w:val="28"/>
          <w:szCs w:val="28"/>
        </w:rPr>
        <w:t>.</w:t>
      </w:r>
      <w:r w:rsidRPr="00824E11">
        <w:rPr>
          <w:bCs/>
          <w:color w:val="000000" w:themeColor="text1"/>
          <w:sz w:val="28"/>
          <w:szCs w:val="28"/>
        </w:rPr>
        <w:t xml:space="preserve"> Burzynska</w:t>
      </w:r>
    </w:p>
    <w:p w:rsidR="006130DE" w:rsidRDefault="006130DE" w:rsidP="006130DE">
      <w:pPr>
        <w:spacing w:line="260" w:lineRule="exact"/>
        <w:jc w:val="both"/>
        <w:rPr>
          <w:bCs/>
          <w:color w:val="000000" w:themeColor="text1"/>
          <w:sz w:val="28"/>
          <w:szCs w:val="28"/>
        </w:rPr>
      </w:pPr>
    </w:p>
    <w:p w:rsidR="006130DE" w:rsidRDefault="006130DE" w:rsidP="006130DE">
      <w:pPr>
        <w:spacing w:line="260" w:lineRule="exact"/>
        <w:rPr>
          <w:bCs/>
          <w:color w:val="000000" w:themeColor="text1"/>
          <w:sz w:val="28"/>
          <w:szCs w:val="28"/>
        </w:rPr>
      </w:pPr>
      <w:r>
        <w:rPr>
          <w:bCs/>
          <w:color w:val="000000" w:themeColor="text1"/>
          <w:sz w:val="28"/>
          <w:szCs w:val="28"/>
        </w:rPr>
        <w:t xml:space="preserve">Time and Date: Nijmegen, August </w:t>
      </w:r>
      <w:r w:rsidR="005D0937">
        <w:rPr>
          <w:bCs/>
          <w:color w:val="000000" w:themeColor="text1"/>
          <w:sz w:val="28"/>
          <w:szCs w:val="28"/>
        </w:rPr>
        <w:t>7</w:t>
      </w:r>
      <w:r>
        <w:rPr>
          <w:bCs/>
          <w:color w:val="000000" w:themeColor="text1"/>
          <w:sz w:val="28"/>
          <w:szCs w:val="28"/>
        </w:rPr>
        <w:t>, 2017</w:t>
      </w:r>
    </w:p>
    <w:p w:rsidR="008D2F7D" w:rsidRPr="00C8554A" w:rsidRDefault="00D6021B" w:rsidP="006130DE">
      <w:pPr>
        <w:spacing w:line="360" w:lineRule="auto"/>
        <w:rPr>
          <w:bCs/>
          <w:color w:val="000000" w:themeColor="text1"/>
          <w:sz w:val="28"/>
          <w:szCs w:val="28"/>
        </w:rPr>
      </w:pPr>
      <w:r w:rsidRPr="00730468">
        <w:rPr>
          <w:bCs/>
          <w:color w:val="000000" w:themeColor="text1"/>
          <w:sz w:val="28"/>
          <w:szCs w:val="28"/>
        </w:rPr>
        <w:br w:type="page"/>
      </w:r>
      <w:r w:rsidR="008D2F7D" w:rsidRPr="00730468">
        <w:rPr>
          <w:b/>
          <w:bCs/>
          <w:color w:val="000000" w:themeColor="text1"/>
        </w:rPr>
        <w:lastRenderedPageBreak/>
        <w:t>Abstract</w:t>
      </w:r>
    </w:p>
    <w:p w:rsidR="006444AC" w:rsidRPr="00730468" w:rsidRDefault="00433B5A" w:rsidP="006130DE">
      <w:pPr>
        <w:spacing w:after="200" w:line="360" w:lineRule="auto"/>
        <w:jc w:val="both"/>
        <w:rPr>
          <w:bCs/>
          <w:color w:val="000000" w:themeColor="text1"/>
        </w:rPr>
      </w:pPr>
      <w:r w:rsidRPr="00730468">
        <w:rPr>
          <w:bCs/>
          <w:color w:val="000000" w:themeColor="text1"/>
        </w:rPr>
        <w:t>This paper offers the large sample empirical study of the factors which impact the selection of multinational enterprises between full or partial ownership of their India subsidiaries. In this study, I tackle the following research question: what factors affect multinational enterprises’ decision to enter via wholly owned subsidiary as opposed to joint venture in the context of India. The sample consists of 769 transactions in India undertaken by m</w:t>
      </w:r>
      <w:bookmarkStart w:id="0" w:name="_GoBack"/>
      <w:bookmarkEnd w:id="0"/>
      <w:r w:rsidRPr="00730468">
        <w:rPr>
          <w:bCs/>
          <w:color w:val="000000" w:themeColor="text1"/>
        </w:rPr>
        <w:t xml:space="preserve">ultinational enterprises from 45 different countries during the period 1997 - 2015. The binary logistic regression estimation is used to test the hypothesis. As a result, I found that the geographic distance and the governance distance between MNE’s home countries and India increase the likelihood of wholly owned subsidiary while the economic distance, cultural distance, firm’s size and host country experience decrease it. </w:t>
      </w:r>
      <w:r w:rsidR="00AD03AA">
        <w:rPr>
          <w:bCs/>
          <w:color w:val="000000" w:themeColor="text1"/>
        </w:rPr>
        <w:t xml:space="preserve">It is also found that </w:t>
      </w:r>
      <w:r w:rsidR="00E60EF7">
        <w:rPr>
          <w:bCs/>
          <w:color w:val="000000" w:themeColor="text1"/>
        </w:rPr>
        <w:t xml:space="preserve">determinants of equity entry mode choices in services industry and manufacturing industry are different. </w:t>
      </w:r>
      <w:r w:rsidR="00637F81">
        <w:rPr>
          <w:bCs/>
          <w:color w:val="000000" w:themeColor="text1"/>
        </w:rPr>
        <w:t>Additionally</w:t>
      </w:r>
      <w:r w:rsidR="00E60EF7">
        <w:rPr>
          <w:bCs/>
          <w:color w:val="000000" w:themeColor="text1"/>
        </w:rPr>
        <w:t xml:space="preserve">, not all dimensions of governance distance have effect on entry mode selection, and government effectiveness has the strongest effect among six dimensions. </w:t>
      </w:r>
      <w:r w:rsidR="00637F81">
        <w:rPr>
          <w:bCs/>
          <w:color w:val="000000" w:themeColor="text1"/>
        </w:rPr>
        <w:t xml:space="preserve">The interesting point is that </w:t>
      </w:r>
      <w:r w:rsidR="00A1006C">
        <w:rPr>
          <w:bCs/>
          <w:color w:val="000000" w:themeColor="text1"/>
        </w:rPr>
        <w:t xml:space="preserve">in the context of India, </w:t>
      </w:r>
      <w:r w:rsidR="00637F81">
        <w:rPr>
          <w:bCs/>
          <w:color w:val="000000" w:themeColor="text1"/>
        </w:rPr>
        <w:t>geographic distance and governance distance witnessed the opposite trend with the literature</w:t>
      </w:r>
      <w:r w:rsidR="00A1006C">
        <w:rPr>
          <w:bCs/>
          <w:color w:val="000000" w:themeColor="text1"/>
        </w:rPr>
        <w:t>,</w:t>
      </w:r>
      <w:r w:rsidR="00637F81">
        <w:rPr>
          <w:bCs/>
          <w:color w:val="000000" w:themeColor="text1"/>
        </w:rPr>
        <w:t xml:space="preserve"> </w:t>
      </w:r>
      <w:r w:rsidR="00A1006C">
        <w:rPr>
          <w:bCs/>
          <w:color w:val="000000" w:themeColor="text1"/>
        </w:rPr>
        <w:t>and the underlying explanations for them are what I am trying to figure out in this study.</w:t>
      </w:r>
      <w:r w:rsidR="006444AC" w:rsidRPr="00730468">
        <w:rPr>
          <w:bCs/>
          <w:color w:val="000000" w:themeColor="text1"/>
        </w:rPr>
        <w:br w:type="page"/>
      </w:r>
    </w:p>
    <w:sdt>
      <w:sdtPr>
        <w:rPr>
          <w:rFonts w:ascii="Times New Roman" w:eastAsia="Times New Roman" w:hAnsi="Times New Roman" w:cs="Times New Roman"/>
          <w:b w:val="0"/>
          <w:bCs w:val="0"/>
          <w:color w:val="auto"/>
          <w:sz w:val="24"/>
          <w:szCs w:val="24"/>
          <w:lang w:eastAsia="en-US"/>
        </w:rPr>
        <w:id w:val="2034069780"/>
        <w:docPartObj>
          <w:docPartGallery w:val="Table of Contents"/>
          <w:docPartUnique/>
        </w:docPartObj>
      </w:sdtPr>
      <w:sdtEndPr>
        <w:rPr>
          <w:noProof/>
        </w:rPr>
      </w:sdtEndPr>
      <w:sdtContent>
        <w:p w:rsidR="00F7094D" w:rsidRPr="006130DE" w:rsidRDefault="00F7094D" w:rsidP="00DF3F76">
          <w:pPr>
            <w:pStyle w:val="TOCHeading"/>
            <w:spacing w:line="360" w:lineRule="auto"/>
            <w:rPr>
              <w:rFonts w:ascii="Times New Roman" w:hAnsi="Times New Roman" w:cs="Times New Roman"/>
              <w:sz w:val="24"/>
              <w:szCs w:val="24"/>
            </w:rPr>
          </w:pPr>
          <w:r w:rsidRPr="006130DE">
            <w:rPr>
              <w:rFonts w:ascii="Times New Roman" w:hAnsi="Times New Roman" w:cs="Times New Roman"/>
              <w:sz w:val="24"/>
              <w:szCs w:val="24"/>
            </w:rPr>
            <w:t>Contents</w:t>
          </w:r>
        </w:p>
        <w:p w:rsidR="006130DE" w:rsidRPr="006130DE" w:rsidRDefault="00F7094D">
          <w:pPr>
            <w:pStyle w:val="TOC1"/>
            <w:tabs>
              <w:tab w:val="left" w:pos="440"/>
              <w:tab w:val="right" w:leader="dot" w:pos="9350"/>
            </w:tabs>
            <w:rPr>
              <w:rFonts w:ascii="Times New Roman" w:hAnsi="Times New Roman" w:cs="Times New Roman"/>
              <w:noProof/>
              <w:sz w:val="24"/>
              <w:szCs w:val="24"/>
              <w:lang w:eastAsia="en-US"/>
            </w:rPr>
          </w:pPr>
          <w:r w:rsidRPr="006130DE">
            <w:rPr>
              <w:rFonts w:ascii="Times New Roman" w:hAnsi="Times New Roman" w:cs="Times New Roman"/>
              <w:sz w:val="24"/>
              <w:szCs w:val="24"/>
            </w:rPr>
            <w:fldChar w:fldCharType="begin"/>
          </w:r>
          <w:r w:rsidRPr="006130DE">
            <w:rPr>
              <w:rFonts w:ascii="Times New Roman" w:hAnsi="Times New Roman" w:cs="Times New Roman"/>
              <w:sz w:val="24"/>
              <w:szCs w:val="24"/>
            </w:rPr>
            <w:instrText xml:space="preserve"> TOC \o "1-3" \h \z \u </w:instrText>
          </w:r>
          <w:r w:rsidRPr="006130DE">
            <w:rPr>
              <w:rFonts w:ascii="Times New Roman" w:hAnsi="Times New Roman" w:cs="Times New Roman"/>
              <w:sz w:val="24"/>
              <w:szCs w:val="24"/>
            </w:rPr>
            <w:fldChar w:fldCharType="separate"/>
          </w:r>
          <w:hyperlink w:anchor="_Toc489287928" w:history="1">
            <w:r w:rsidR="006130DE" w:rsidRPr="006130DE">
              <w:rPr>
                <w:rStyle w:val="Hyperlink"/>
                <w:rFonts w:ascii="Times New Roman" w:hAnsi="Times New Roman" w:cs="Times New Roman"/>
                <w:noProof/>
                <w:sz w:val="24"/>
                <w:szCs w:val="24"/>
              </w:rPr>
              <w:t>1.</w:t>
            </w:r>
            <w:r w:rsidR="006130DE" w:rsidRPr="006130DE">
              <w:rPr>
                <w:rFonts w:ascii="Times New Roman" w:hAnsi="Times New Roman" w:cs="Times New Roman"/>
                <w:noProof/>
                <w:sz w:val="24"/>
                <w:szCs w:val="24"/>
                <w:lang w:eastAsia="en-US"/>
              </w:rPr>
              <w:tab/>
            </w:r>
            <w:r w:rsidR="006130DE" w:rsidRPr="006130DE">
              <w:rPr>
                <w:rStyle w:val="Hyperlink"/>
                <w:rFonts w:ascii="Times New Roman" w:hAnsi="Times New Roman" w:cs="Times New Roman"/>
                <w:noProof/>
                <w:sz w:val="24"/>
                <w:szCs w:val="24"/>
              </w:rPr>
              <w:t>Introduction:</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_Toc489287928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5</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1"/>
            <w:tabs>
              <w:tab w:val="left" w:pos="440"/>
              <w:tab w:val="right" w:leader="dot" w:pos="9350"/>
            </w:tabs>
            <w:rPr>
              <w:rFonts w:ascii="Times New Roman" w:hAnsi="Times New Roman" w:cs="Times New Roman"/>
              <w:noProof/>
              <w:sz w:val="24"/>
              <w:szCs w:val="24"/>
              <w:lang w:eastAsia="en-US"/>
            </w:rPr>
          </w:pPr>
          <w:hyperlink w:anchor="_Toc489287929" w:history="1">
            <w:r w:rsidR="006130DE" w:rsidRPr="006130DE">
              <w:rPr>
                <w:rStyle w:val="Hyperlink"/>
                <w:rFonts w:ascii="Times New Roman" w:hAnsi="Times New Roman" w:cs="Times New Roman"/>
                <w:noProof/>
                <w:sz w:val="24"/>
                <w:szCs w:val="24"/>
              </w:rPr>
              <w:t>2.</w:t>
            </w:r>
            <w:r w:rsidR="006130DE" w:rsidRPr="006130DE">
              <w:rPr>
                <w:rFonts w:ascii="Times New Roman" w:hAnsi="Times New Roman" w:cs="Times New Roman"/>
                <w:noProof/>
                <w:sz w:val="24"/>
                <w:szCs w:val="24"/>
                <w:lang w:eastAsia="en-US"/>
              </w:rPr>
              <w:tab/>
            </w:r>
            <w:r w:rsidR="006130DE" w:rsidRPr="006130DE">
              <w:rPr>
                <w:rStyle w:val="Hyperlink"/>
                <w:rFonts w:ascii="Times New Roman" w:hAnsi="Times New Roman" w:cs="Times New Roman"/>
                <w:noProof/>
                <w:sz w:val="24"/>
                <w:szCs w:val="24"/>
              </w:rPr>
              <w:t>Literature Review:</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_Toc489287929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9</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2"/>
            <w:tabs>
              <w:tab w:val="left" w:pos="880"/>
              <w:tab w:val="right" w:leader="dot" w:pos="9350"/>
            </w:tabs>
            <w:rPr>
              <w:rFonts w:ascii="Times New Roman" w:hAnsi="Times New Roman" w:cs="Times New Roman"/>
              <w:noProof/>
              <w:sz w:val="24"/>
              <w:szCs w:val="24"/>
              <w:lang w:eastAsia="en-US"/>
            </w:rPr>
          </w:pPr>
          <w:hyperlink w:anchor="_Toc489287930" w:history="1">
            <w:r w:rsidR="006130DE" w:rsidRPr="006130DE">
              <w:rPr>
                <w:rStyle w:val="Hyperlink"/>
                <w:rFonts w:ascii="Times New Roman" w:hAnsi="Times New Roman" w:cs="Times New Roman"/>
                <w:noProof/>
                <w:sz w:val="24"/>
                <w:szCs w:val="24"/>
              </w:rPr>
              <w:t>2.1.</w:t>
            </w:r>
            <w:r w:rsidR="006130DE" w:rsidRPr="006130DE">
              <w:rPr>
                <w:rFonts w:ascii="Times New Roman" w:hAnsi="Times New Roman" w:cs="Times New Roman"/>
                <w:noProof/>
                <w:sz w:val="24"/>
                <w:szCs w:val="24"/>
                <w:lang w:eastAsia="en-US"/>
              </w:rPr>
              <w:tab/>
            </w:r>
            <w:r w:rsidR="006130DE" w:rsidRPr="006130DE">
              <w:rPr>
                <w:rStyle w:val="Hyperlink"/>
                <w:rFonts w:ascii="Times New Roman" w:hAnsi="Times New Roman" w:cs="Times New Roman"/>
                <w:noProof/>
                <w:sz w:val="24"/>
                <w:szCs w:val="24"/>
              </w:rPr>
              <w:t>Entry modes:</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_Toc489287930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9</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2"/>
            <w:tabs>
              <w:tab w:val="left" w:pos="880"/>
              <w:tab w:val="right" w:leader="dot" w:pos="9350"/>
            </w:tabs>
            <w:rPr>
              <w:rFonts w:ascii="Times New Roman" w:hAnsi="Times New Roman" w:cs="Times New Roman"/>
              <w:noProof/>
              <w:sz w:val="24"/>
              <w:szCs w:val="24"/>
              <w:lang w:eastAsia="en-US"/>
            </w:rPr>
          </w:pPr>
          <w:hyperlink w:anchor="_Toc489287931" w:history="1">
            <w:r w:rsidR="006130DE" w:rsidRPr="006130DE">
              <w:rPr>
                <w:rStyle w:val="Hyperlink"/>
                <w:rFonts w:ascii="Times New Roman" w:hAnsi="Times New Roman" w:cs="Times New Roman"/>
                <w:noProof/>
                <w:sz w:val="24"/>
                <w:szCs w:val="24"/>
              </w:rPr>
              <w:t>2.2.</w:t>
            </w:r>
            <w:r w:rsidR="006130DE" w:rsidRPr="006130DE">
              <w:rPr>
                <w:rFonts w:ascii="Times New Roman" w:hAnsi="Times New Roman" w:cs="Times New Roman"/>
                <w:noProof/>
                <w:sz w:val="24"/>
                <w:szCs w:val="24"/>
                <w:lang w:eastAsia="en-US"/>
              </w:rPr>
              <w:tab/>
            </w:r>
            <w:r w:rsidR="006130DE" w:rsidRPr="006130DE">
              <w:rPr>
                <w:rStyle w:val="Hyperlink"/>
                <w:rFonts w:ascii="Times New Roman" w:hAnsi="Times New Roman" w:cs="Times New Roman"/>
                <w:noProof/>
                <w:sz w:val="24"/>
                <w:szCs w:val="24"/>
              </w:rPr>
              <w:t>Transaction cost economics (TCE) theory</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_Toc489287931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10</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2"/>
            <w:tabs>
              <w:tab w:val="left" w:pos="880"/>
              <w:tab w:val="right" w:leader="dot" w:pos="9350"/>
            </w:tabs>
            <w:rPr>
              <w:rFonts w:ascii="Times New Roman" w:hAnsi="Times New Roman" w:cs="Times New Roman"/>
              <w:noProof/>
              <w:sz w:val="24"/>
              <w:szCs w:val="24"/>
              <w:lang w:eastAsia="en-US"/>
            </w:rPr>
          </w:pPr>
          <w:hyperlink w:anchor="_Toc489287932" w:history="1">
            <w:r w:rsidR="006130DE" w:rsidRPr="006130DE">
              <w:rPr>
                <w:rStyle w:val="Hyperlink"/>
                <w:rFonts w:ascii="Times New Roman" w:hAnsi="Times New Roman" w:cs="Times New Roman"/>
                <w:noProof/>
                <w:sz w:val="24"/>
                <w:szCs w:val="24"/>
              </w:rPr>
              <w:t>2.3.</w:t>
            </w:r>
            <w:r w:rsidR="006130DE" w:rsidRPr="006130DE">
              <w:rPr>
                <w:rFonts w:ascii="Times New Roman" w:hAnsi="Times New Roman" w:cs="Times New Roman"/>
                <w:noProof/>
                <w:sz w:val="24"/>
                <w:szCs w:val="24"/>
                <w:lang w:eastAsia="en-US"/>
              </w:rPr>
              <w:tab/>
            </w:r>
            <w:r w:rsidR="006130DE" w:rsidRPr="006130DE">
              <w:rPr>
                <w:rStyle w:val="Hyperlink"/>
                <w:rFonts w:ascii="Times New Roman" w:hAnsi="Times New Roman" w:cs="Times New Roman"/>
                <w:noProof/>
                <w:sz w:val="24"/>
                <w:szCs w:val="24"/>
              </w:rPr>
              <w:t>Theoretical framework and hypotheses development</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_Toc489287932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12</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3"/>
            <w:tabs>
              <w:tab w:val="right" w:leader="dot" w:pos="9350"/>
            </w:tabs>
            <w:rPr>
              <w:rFonts w:ascii="Times New Roman" w:hAnsi="Times New Roman" w:cs="Times New Roman"/>
              <w:noProof/>
              <w:sz w:val="24"/>
              <w:szCs w:val="24"/>
              <w:lang w:eastAsia="en-US"/>
            </w:rPr>
          </w:pPr>
          <w:hyperlink w:anchor="_Toc489287933" w:history="1">
            <w:r w:rsidR="006130DE" w:rsidRPr="006130DE">
              <w:rPr>
                <w:rStyle w:val="Hyperlink"/>
                <w:rFonts w:ascii="Times New Roman" w:hAnsi="Times New Roman" w:cs="Times New Roman"/>
                <w:noProof/>
                <w:sz w:val="24"/>
                <w:szCs w:val="24"/>
              </w:rPr>
              <w:t>2.3.1. Economic distance: (ED)</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_Toc489287933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13</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3"/>
            <w:tabs>
              <w:tab w:val="right" w:leader="dot" w:pos="9350"/>
            </w:tabs>
            <w:rPr>
              <w:rFonts w:ascii="Times New Roman" w:hAnsi="Times New Roman" w:cs="Times New Roman"/>
              <w:noProof/>
              <w:sz w:val="24"/>
              <w:szCs w:val="24"/>
              <w:lang w:eastAsia="en-US"/>
            </w:rPr>
          </w:pPr>
          <w:hyperlink w:anchor="_Toc489287934" w:history="1">
            <w:r w:rsidR="006130DE" w:rsidRPr="006130DE">
              <w:rPr>
                <w:rStyle w:val="Hyperlink"/>
                <w:rFonts w:ascii="Times New Roman" w:hAnsi="Times New Roman" w:cs="Times New Roman"/>
                <w:noProof/>
                <w:sz w:val="24"/>
                <w:szCs w:val="24"/>
              </w:rPr>
              <w:t>2.3.2. Geographic distance: (GD)</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_Toc489287934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15</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3"/>
            <w:tabs>
              <w:tab w:val="right" w:leader="dot" w:pos="9350"/>
            </w:tabs>
            <w:rPr>
              <w:rFonts w:ascii="Times New Roman" w:hAnsi="Times New Roman" w:cs="Times New Roman"/>
              <w:noProof/>
              <w:sz w:val="24"/>
              <w:szCs w:val="24"/>
              <w:lang w:eastAsia="en-US"/>
            </w:rPr>
          </w:pPr>
          <w:hyperlink w:anchor="_Toc489287935" w:history="1">
            <w:r w:rsidR="006130DE" w:rsidRPr="006130DE">
              <w:rPr>
                <w:rStyle w:val="Hyperlink"/>
                <w:rFonts w:ascii="Times New Roman" w:hAnsi="Times New Roman" w:cs="Times New Roman"/>
                <w:noProof/>
                <w:sz w:val="24"/>
                <w:szCs w:val="24"/>
              </w:rPr>
              <w:t>2.3.3. Cultural distance (CD)</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_Toc489287935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16</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3"/>
            <w:tabs>
              <w:tab w:val="right" w:leader="dot" w:pos="9350"/>
            </w:tabs>
            <w:rPr>
              <w:rFonts w:ascii="Times New Roman" w:hAnsi="Times New Roman" w:cs="Times New Roman"/>
              <w:noProof/>
              <w:sz w:val="24"/>
              <w:szCs w:val="24"/>
              <w:lang w:eastAsia="en-US"/>
            </w:rPr>
          </w:pPr>
          <w:hyperlink w:anchor="_Toc489287936" w:history="1">
            <w:r w:rsidR="006130DE" w:rsidRPr="006130DE">
              <w:rPr>
                <w:rStyle w:val="Hyperlink"/>
                <w:rFonts w:ascii="Times New Roman" w:hAnsi="Times New Roman" w:cs="Times New Roman"/>
                <w:noProof/>
                <w:sz w:val="24"/>
                <w:szCs w:val="24"/>
              </w:rPr>
              <w:t>2.3.4. Governance distance (GoD)</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_Toc489287936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18</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3"/>
            <w:tabs>
              <w:tab w:val="right" w:leader="dot" w:pos="9350"/>
            </w:tabs>
            <w:rPr>
              <w:rFonts w:ascii="Times New Roman" w:hAnsi="Times New Roman" w:cs="Times New Roman"/>
              <w:noProof/>
              <w:sz w:val="24"/>
              <w:szCs w:val="24"/>
              <w:lang w:eastAsia="en-US"/>
            </w:rPr>
          </w:pPr>
          <w:hyperlink w:anchor="_Toc489287937" w:history="1">
            <w:r w:rsidR="006130DE" w:rsidRPr="006130DE">
              <w:rPr>
                <w:rStyle w:val="Hyperlink"/>
                <w:rFonts w:ascii="Times New Roman" w:hAnsi="Times New Roman" w:cs="Times New Roman"/>
                <w:noProof/>
                <w:sz w:val="24"/>
                <w:szCs w:val="24"/>
              </w:rPr>
              <w:t>2.3.5. Host country experience/ India experience (IE)</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_Toc489287937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20</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3"/>
            <w:tabs>
              <w:tab w:val="right" w:leader="dot" w:pos="9350"/>
            </w:tabs>
            <w:rPr>
              <w:rFonts w:ascii="Times New Roman" w:hAnsi="Times New Roman" w:cs="Times New Roman"/>
              <w:noProof/>
              <w:sz w:val="24"/>
              <w:szCs w:val="24"/>
              <w:lang w:eastAsia="en-US"/>
            </w:rPr>
          </w:pPr>
          <w:hyperlink w:anchor="_Toc489287938" w:history="1">
            <w:r w:rsidR="006130DE" w:rsidRPr="006130DE">
              <w:rPr>
                <w:rStyle w:val="Hyperlink"/>
                <w:rFonts w:ascii="Times New Roman" w:hAnsi="Times New Roman" w:cs="Times New Roman"/>
                <w:noProof/>
                <w:sz w:val="24"/>
                <w:szCs w:val="24"/>
              </w:rPr>
              <w:t>2.3.6. Firm size (SIZE)</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_Toc489287938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21</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1"/>
            <w:tabs>
              <w:tab w:val="left" w:pos="440"/>
              <w:tab w:val="right" w:leader="dot" w:pos="9350"/>
            </w:tabs>
            <w:rPr>
              <w:rFonts w:ascii="Times New Roman" w:hAnsi="Times New Roman" w:cs="Times New Roman"/>
              <w:noProof/>
              <w:sz w:val="24"/>
              <w:szCs w:val="24"/>
              <w:lang w:eastAsia="en-US"/>
            </w:rPr>
          </w:pPr>
          <w:hyperlink w:anchor="_Toc489287939" w:history="1">
            <w:r w:rsidR="006130DE" w:rsidRPr="006130DE">
              <w:rPr>
                <w:rStyle w:val="Hyperlink"/>
                <w:rFonts w:ascii="Times New Roman" w:hAnsi="Times New Roman" w:cs="Times New Roman"/>
                <w:noProof/>
                <w:sz w:val="24"/>
                <w:szCs w:val="24"/>
              </w:rPr>
              <w:t>3.</w:t>
            </w:r>
            <w:r w:rsidR="006130DE" w:rsidRPr="006130DE">
              <w:rPr>
                <w:rFonts w:ascii="Times New Roman" w:hAnsi="Times New Roman" w:cs="Times New Roman"/>
                <w:noProof/>
                <w:sz w:val="24"/>
                <w:szCs w:val="24"/>
                <w:lang w:eastAsia="en-US"/>
              </w:rPr>
              <w:tab/>
            </w:r>
            <w:r w:rsidR="006130DE" w:rsidRPr="006130DE">
              <w:rPr>
                <w:rStyle w:val="Hyperlink"/>
                <w:rFonts w:ascii="Times New Roman" w:hAnsi="Times New Roman" w:cs="Times New Roman"/>
                <w:noProof/>
                <w:sz w:val="24"/>
                <w:szCs w:val="24"/>
              </w:rPr>
              <w:t>Methodology:</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_Toc489287939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23</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2"/>
            <w:tabs>
              <w:tab w:val="left" w:pos="880"/>
              <w:tab w:val="right" w:leader="dot" w:pos="9350"/>
            </w:tabs>
            <w:rPr>
              <w:rFonts w:ascii="Times New Roman" w:hAnsi="Times New Roman" w:cs="Times New Roman"/>
              <w:noProof/>
              <w:sz w:val="24"/>
              <w:szCs w:val="24"/>
              <w:lang w:eastAsia="en-US"/>
            </w:rPr>
          </w:pPr>
          <w:hyperlink w:anchor="_Toc489287940" w:history="1">
            <w:r w:rsidR="006130DE" w:rsidRPr="006130DE">
              <w:rPr>
                <w:rStyle w:val="Hyperlink"/>
                <w:rFonts w:ascii="Times New Roman" w:hAnsi="Times New Roman" w:cs="Times New Roman"/>
                <w:noProof/>
                <w:sz w:val="24"/>
                <w:szCs w:val="24"/>
              </w:rPr>
              <w:t>3.1.</w:t>
            </w:r>
            <w:r w:rsidR="006130DE" w:rsidRPr="006130DE">
              <w:rPr>
                <w:rFonts w:ascii="Times New Roman" w:hAnsi="Times New Roman" w:cs="Times New Roman"/>
                <w:noProof/>
                <w:sz w:val="24"/>
                <w:szCs w:val="24"/>
                <w:lang w:eastAsia="en-US"/>
              </w:rPr>
              <w:tab/>
            </w:r>
            <w:r w:rsidR="006130DE" w:rsidRPr="006130DE">
              <w:rPr>
                <w:rStyle w:val="Hyperlink"/>
                <w:rFonts w:ascii="Times New Roman" w:hAnsi="Times New Roman" w:cs="Times New Roman"/>
                <w:noProof/>
                <w:sz w:val="24"/>
                <w:szCs w:val="24"/>
              </w:rPr>
              <w:t>Data:</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_Toc489287940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23</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2"/>
            <w:tabs>
              <w:tab w:val="left" w:pos="880"/>
              <w:tab w:val="right" w:leader="dot" w:pos="9350"/>
            </w:tabs>
            <w:rPr>
              <w:rFonts w:ascii="Times New Roman" w:hAnsi="Times New Roman" w:cs="Times New Roman"/>
              <w:noProof/>
              <w:sz w:val="24"/>
              <w:szCs w:val="24"/>
              <w:lang w:eastAsia="en-US"/>
            </w:rPr>
          </w:pPr>
          <w:hyperlink w:anchor="_Toc489287941" w:history="1">
            <w:r w:rsidR="006130DE" w:rsidRPr="006130DE">
              <w:rPr>
                <w:rStyle w:val="Hyperlink"/>
                <w:rFonts w:ascii="Times New Roman" w:hAnsi="Times New Roman" w:cs="Times New Roman"/>
                <w:noProof/>
                <w:sz w:val="24"/>
                <w:szCs w:val="24"/>
              </w:rPr>
              <w:t>3.2.</w:t>
            </w:r>
            <w:r w:rsidR="006130DE" w:rsidRPr="006130DE">
              <w:rPr>
                <w:rFonts w:ascii="Times New Roman" w:hAnsi="Times New Roman" w:cs="Times New Roman"/>
                <w:noProof/>
                <w:sz w:val="24"/>
                <w:szCs w:val="24"/>
                <w:lang w:eastAsia="en-US"/>
              </w:rPr>
              <w:tab/>
            </w:r>
            <w:r w:rsidR="006130DE" w:rsidRPr="006130DE">
              <w:rPr>
                <w:rStyle w:val="Hyperlink"/>
                <w:rFonts w:ascii="Times New Roman" w:hAnsi="Times New Roman" w:cs="Times New Roman"/>
                <w:noProof/>
                <w:sz w:val="24"/>
                <w:szCs w:val="24"/>
              </w:rPr>
              <w:t>Dependent variable – Entry Mode (MODE)</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_Toc489287941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24</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2"/>
            <w:tabs>
              <w:tab w:val="left" w:pos="880"/>
              <w:tab w:val="right" w:leader="dot" w:pos="9350"/>
            </w:tabs>
            <w:rPr>
              <w:rFonts w:ascii="Times New Roman" w:hAnsi="Times New Roman" w:cs="Times New Roman"/>
              <w:noProof/>
              <w:sz w:val="24"/>
              <w:szCs w:val="24"/>
              <w:lang w:eastAsia="en-US"/>
            </w:rPr>
          </w:pPr>
          <w:hyperlink w:anchor="_Toc489287942" w:history="1">
            <w:r w:rsidR="006130DE" w:rsidRPr="006130DE">
              <w:rPr>
                <w:rStyle w:val="Hyperlink"/>
                <w:rFonts w:ascii="Times New Roman" w:hAnsi="Times New Roman" w:cs="Times New Roman"/>
                <w:noProof/>
                <w:sz w:val="24"/>
                <w:szCs w:val="24"/>
              </w:rPr>
              <w:t>3.3.</w:t>
            </w:r>
            <w:r w:rsidR="006130DE" w:rsidRPr="006130DE">
              <w:rPr>
                <w:rFonts w:ascii="Times New Roman" w:hAnsi="Times New Roman" w:cs="Times New Roman"/>
                <w:noProof/>
                <w:sz w:val="24"/>
                <w:szCs w:val="24"/>
                <w:lang w:eastAsia="en-US"/>
              </w:rPr>
              <w:tab/>
            </w:r>
            <w:r w:rsidR="006130DE" w:rsidRPr="006130DE">
              <w:rPr>
                <w:rStyle w:val="Hyperlink"/>
                <w:rFonts w:ascii="Times New Roman" w:hAnsi="Times New Roman" w:cs="Times New Roman"/>
                <w:noProof/>
                <w:sz w:val="24"/>
                <w:szCs w:val="24"/>
              </w:rPr>
              <w:t>Independent variables:</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_Toc489287942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24</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3"/>
            <w:tabs>
              <w:tab w:val="right" w:leader="dot" w:pos="9350"/>
            </w:tabs>
            <w:rPr>
              <w:rFonts w:ascii="Times New Roman" w:hAnsi="Times New Roman" w:cs="Times New Roman"/>
              <w:noProof/>
              <w:sz w:val="24"/>
              <w:szCs w:val="24"/>
              <w:lang w:eastAsia="en-US"/>
            </w:rPr>
          </w:pPr>
          <w:hyperlink w:anchor="_Toc489287943" w:history="1">
            <w:r w:rsidR="006130DE" w:rsidRPr="006130DE">
              <w:rPr>
                <w:rStyle w:val="Hyperlink"/>
                <w:rFonts w:ascii="Times New Roman" w:hAnsi="Times New Roman" w:cs="Times New Roman"/>
                <w:noProof/>
                <w:sz w:val="24"/>
                <w:szCs w:val="24"/>
              </w:rPr>
              <w:t>3.3.1. Economic distance (ED)</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_Toc489287943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24</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3"/>
            <w:tabs>
              <w:tab w:val="right" w:leader="dot" w:pos="9350"/>
            </w:tabs>
            <w:rPr>
              <w:rFonts w:ascii="Times New Roman" w:hAnsi="Times New Roman" w:cs="Times New Roman"/>
              <w:noProof/>
              <w:sz w:val="24"/>
              <w:szCs w:val="24"/>
              <w:lang w:eastAsia="en-US"/>
            </w:rPr>
          </w:pPr>
          <w:hyperlink w:anchor="_Toc489287944" w:history="1">
            <w:r w:rsidR="006130DE" w:rsidRPr="006130DE">
              <w:rPr>
                <w:rStyle w:val="Hyperlink"/>
                <w:rFonts w:ascii="Times New Roman" w:hAnsi="Times New Roman" w:cs="Times New Roman"/>
                <w:noProof/>
                <w:sz w:val="24"/>
                <w:szCs w:val="24"/>
              </w:rPr>
              <w:t>3.3.2. Geographic distance (GD)</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_Toc489287944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24</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3"/>
            <w:tabs>
              <w:tab w:val="right" w:leader="dot" w:pos="9350"/>
            </w:tabs>
            <w:rPr>
              <w:rFonts w:ascii="Times New Roman" w:hAnsi="Times New Roman" w:cs="Times New Roman"/>
              <w:noProof/>
              <w:sz w:val="24"/>
              <w:szCs w:val="24"/>
              <w:lang w:eastAsia="en-US"/>
            </w:rPr>
          </w:pPr>
          <w:hyperlink w:anchor="_Toc489287945" w:history="1">
            <w:r w:rsidR="006130DE" w:rsidRPr="006130DE">
              <w:rPr>
                <w:rStyle w:val="Hyperlink"/>
                <w:rFonts w:ascii="Times New Roman" w:hAnsi="Times New Roman" w:cs="Times New Roman"/>
                <w:noProof/>
                <w:sz w:val="24"/>
                <w:szCs w:val="24"/>
              </w:rPr>
              <w:t>3.3.3. Cultural distance (CD)</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_Toc489287945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25</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3"/>
            <w:tabs>
              <w:tab w:val="right" w:leader="dot" w:pos="9350"/>
            </w:tabs>
            <w:rPr>
              <w:rFonts w:ascii="Times New Roman" w:hAnsi="Times New Roman" w:cs="Times New Roman"/>
              <w:noProof/>
              <w:sz w:val="24"/>
              <w:szCs w:val="24"/>
              <w:lang w:eastAsia="en-US"/>
            </w:rPr>
          </w:pPr>
          <w:hyperlink w:anchor="_Toc489287946" w:history="1">
            <w:r w:rsidR="006130DE" w:rsidRPr="006130DE">
              <w:rPr>
                <w:rStyle w:val="Hyperlink"/>
                <w:rFonts w:ascii="Times New Roman" w:hAnsi="Times New Roman" w:cs="Times New Roman"/>
                <w:noProof/>
                <w:sz w:val="24"/>
                <w:szCs w:val="24"/>
              </w:rPr>
              <w:t>3.3.4. Governance distance (GoD)</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_Toc489287946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26</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3"/>
            <w:tabs>
              <w:tab w:val="right" w:leader="dot" w:pos="9350"/>
            </w:tabs>
            <w:rPr>
              <w:rFonts w:ascii="Times New Roman" w:hAnsi="Times New Roman" w:cs="Times New Roman"/>
              <w:noProof/>
              <w:sz w:val="24"/>
              <w:szCs w:val="24"/>
              <w:lang w:eastAsia="en-US"/>
            </w:rPr>
          </w:pPr>
          <w:hyperlink w:anchor="_Toc489287947" w:history="1">
            <w:r w:rsidR="006130DE" w:rsidRPr="006130DE">
              <w:rPr>
                <w:rStyle w:val="Hyperlink"/>
                <w:rFonts w:ascii="Times New Roman" w:hAnsi="Times New Roman" w:cs="Times New Roman"/>
                <w:noProof/>
                <w:sz w:val="24"/>
                <w:szCs w:val="24"/>
              </w:rPr>
              <w:t>3.3.5. Host country experience/ India experience (IE)</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_Toc489287947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27</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3"/>
            <w:tabs>
              <w:tab w:val="right" w:leader="dot" w:pos="9350"/>
            </w:tabs>
            <w:rPr>
              <w:rFonts w:ascii="Times New Roman" w:hAnsi="Times New Roman" w:cs="Times New Roman"/>
              <w:noProof/>
              <w:sz w:val="24"/>
              <w:szCs w:val="24"/>
              <w:lang w:eastAsia="en-US"/>
            </w:rPr>
          </w:pPr>
          <w:hyperlink w:anchor="_Toc489287948" w:history="1">
            <w:r w:rsidR="006130DE" w:rsidRPr="006130DE">
              <w:rPr>
                <w:rStyle w:val="Hyperlink"/>
                <w:rFonts w:ascii="Times New Roman" w:hAnsi="Times New Roman" w:cs="Times New Roman"/>
                <w:noProof/>
                <w:sz w:val="24"/>
                <w:szCs w:val="24"/>
              </w:rPr>
              <w:t>3.3.6. Firm size (SIZE)</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_Toc489287948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27</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2"/>
            <w:tabs>
              <w:tab w:val="left" w:pos="880"/>
              <w:tab w:val="right" w:leader="dot" w:pos="9350"/>
            </w:tabs>
            <w:rPr>
              <w:rFonts w:ascii="Times New Roman" w:hAnsi="Times New Roman" w:cs="Times New Roman"/>
              <w:noProof/>
              <w:sz w:val="24"/>
              <w:szCs w:val="24"/>
              <w:lang w:eastAsia="en-US"/>
            </w:rPr>
          </w:pPr>
          <w:hyperlink w:anchor="_Toc489287949" w:history="1">
            <w:r w:rsidR="006130DE" w:rsidRPr="006130DE">
              <w:rPr>
                <w:rStyle w:val="Hyperlink"/>
                <w:rFonts w:ascii="Times New Roman" w:hAnsi="Times New Roman" w:cs="Times New Roman"/>
                <w:noProof/>
                <w:sz w:val="24"/>
                <w:szCs w:val="24"/>
              </w:rPr>
              <w:t>3.4.</w:t>
            </w:r>
            <w:r w:rsidR="006130DE" w:rsidRPr="006130DE">
              <w:rPr>
                <w:rFonts w:ascii="Times New Roman" w:hAnsi="Times New Roman" w:cs="Times New Roman"/>
                <w:noProof/>
                <w:sz w:val="24"/>
                <w:szCs w:val="24"/>
                <w:lang w:eastAsia="en-US"/>
              </w:rPr>
              <w:tab/>
            </w:r>
            <w:r w:rsidR="006130DE" w:rsidRPr="006130DE">
              <w:rPr>
                <w:rStyle w:val="Hyperlink"/>
                <w:rFonts w:ascii="Times New Roman" w:hAnsi="Times New Roman" w:cs="Times New Roman"/>
                <w:noProof/>
                <w:sz w:val="24"/>
                <w:szCs w:val="24"/>
              </w:rPr>
              <w:t>Control variable:</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_Toc489287949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28</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3"/>
            <w:tabs>
              <w:tab w:val="right" w:leader="dot" w:pos="9350"/>
            </w:tabs>
            <w:rPr>
              <w:rFonts w:ascii="Times New Roman" w:hAnsi="Times New Roman" w:cs="Times New Roman"/>
              <w:noProof/>
              <w:sz w:val="24"/>
              <w:szCs w:val="24"/>
              <w:lang w:eastAsia="en-US"/>
            </w:rPr>
          </w:pPr>
          <w:hyperlink w:anchor="_Toc489287950" w:history="1">
            <w:r w:rsidR="006130DE" w:rsidRPr="006130DE">
              <w:rPr>
                <w:rStyle w:val="Hyperlink"/>
                <w:rFonts w:ascii="Times New Roman" w:hAnsi="Times New Roman" w:cs="Times New Roman"/>
                <w:noProof/>
                <w:sz w:val="24"/>
                <w:szCs w:val="24"/>
              </w:rPr>
              <w:t>3.4.1. Sector type (ST)</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_Toc489287950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28</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3"/>
            <w:tabs>
              <w:tab w:val="right" w:leader="dot" w:pos="9350"/>
            </w:tabs>
            <w:rPr>
              <w:rFonts w:ascii="Times New Roman" w:hAnsi="Times New Roman" w:cs="Times New Roman"/>
              <w:noProof/>
              <w:sz w:val="24"/>
              <w:szCs w:val="24"/>
              <w:lang w:eastAsia="en-US"/>
            </w:rPr>
          </w:pPr>
          <w:hyperlink w:anchor="_Toc489287951" w:history="1">
            <w:r w:rsidR="006130DE" w:rsidRPr="006130DE">
              <w:rPr>
                <w:rStyle w:val="Hyperlink"/>
                <w:rFonts w:ascii="Times New Roman" w:hAnsi="Times New Roman" w:cs="Times New Roman"/>
                <w:noProof/>
                <w:sz w:val="24"/>
                <w:szCs w:val="24"/>
              </w:rPr>
              <w:t>3.4.2. Rule of law (ROL)</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_Toc489287951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28</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3"/>
            <w:tabs>
              <w:tab w:val="right" w:leader="dot" w:pos="9350"/>
            </w:tabs>
            <w:rPr>
              <w:rFonts w:ascii="Times New Roman" w:hAnsi="Times New Roman" w:cs="Times New Roman"/>
              <w:noProof/>
              <w:sz w:val="24"/>
              <w:szCs w:val="24"/>
              <w:lang w:eastAsia="en-US"/>
            </w:rPr>
          </w:pPr>
          <w:hyperlink w:anchor="_Toc489287952" w:history="1">
            <w:r w:rsidR="006130DE" w:rsidRPr="006130DE">
              <w:rPr>
                <w:rStyle w:val="Hyperlink"/>
                <w:rFonts w:ascii="Times New Roman" w:hAnsi="Times New Roman" w:cs="Times New Roman"/>
                <w:noProof/>
                <w:sz w:val="24"/>
                <w:szCs w:val="24"/>
              </w:rPr>
              <w:t>3.4.3. Political risk (PR)</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_Toc489287952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28</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3"/>
            <w:tabs>
              <w:tab w:val="right" w:leader="dot" w:pos="9350"/>
            </w:tabs>
            <w:rPr>
              <w:rFonts w:ascii="Times New Roman" w:hAnsi="Times New Roman" w:cs="Times New Roman"/>
              <w:noProof/>
              <w:sz w:val="24"/>
              <w:szCs w:val="24"/>
              <w:lang w:eastAsia="en-US"/>
            </w:rPr>
          </w:pPr>
          <w:hyperlink w:anchor="_Toc489287953" w:history="1">
            <w:r w:rsidR="006130DE" w:rsidRPr="006130DE">
              <w:rPr>
                <w:rStyle w:val="Hyperlink"/>
                <w:rFonts w:ascii="Times New Roman" w:hAnsi="Times New Roman" w:cs="Times New Roman"/>
                <w:noProof/>
                <w:sz w:val="24"/>
                <w:szCs w:val="24"/>
              </w:rPr>
              <w:t>3.4.4. Year (YEAR)</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_Toc489287953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28</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2"/>
            <w:tabs>
              <w:tab w:val="left" w:pos="880"/>
              <w:tab w:val="right" w:leader="dot" w:pos="9350"/>
            </w:tabs>
            <w:rPr>
              <w:rFonts w:ascii="Times New Roman" w:hAnsi="Times New Roman" w:cs="Times New Roman"/>
              <w:noProof/>
              <w:sz w:val="24"/>
              <w:szCs w:val="24"/>
              <w:lang w:eastAsia="en-US"/>
            </w:rPr>
          </w:pPr>
          <w:hyperlink w:anchor="_Toc489287954" w:history="1">
            <w:r w:rsidR="006130DE" w:rsidRPr="006130DE">
              <w:rPr>
                <w:rStyle w:val="Hyperlink"/>
                <w:rFonts w:ascii="Times New Roman" w:hAnsi="Times New Roman" w:cs="Times New Roman"/>
                <w:noProof/>
                <w:sz w:val="24"/>
                <w:szCs w:val="24"/>
              </w:rPr>
              <w:t>3.5.</w:t>
            </w:r>
            <w:r w:rsidR="006130DE" w:rsidRPr="006130DE">
              <w:rPr>
                <w:rFonts w:ascii="Times New Roman" w:hAnsi="Times New Roman" w:cs="Times New Roman"/>
                <w:noProof/>
                <w:sz w:val="24"/>
                <w:szCs w:val="24"/>
                <w:lang w:eastAsia="en-US"/>
              </w:rPr>
              <w:tab/>
            </w:r>
            <w:r w:rsidR="006130DE" w:rsidRPr="006130DE">
              <w:rPr>
                <w:rStyle w:val="Hyperlink"/>
                <w:rFonts w:ascii="Times New Roman" w:hAnsi="Times New Roman" w:cs="Times New Roman"/>
                <w:noProof/>
                <w:sz w:val="24"/>
                <w:szCs w:val="24"/>
              </w:rPr>
              <w:t>Method:</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_Toc489287954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30</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1"/>
            <w:tabs>
              <w:tab w:val="left" w:pos="440"/>
              <w:tab w:val="right" w:leader="dot" w:pos="9350"/>
            </w:tabs>
            <w:rPr>
              <w:rFonts w:ascii="Times New Roman" w:hAnsi="Times New Roman" w:cs="Times New Roman"/>
              <w:noProof/>
              <w:sz w:val="24"/>
              <w:szCs w:val="24"/>
              <w:lang w:eastAsia="en-US"/>
            </w:rPr>
          </w:pPr>
          <w:hyperlink w:anchor="_Toc489287955" w:history="1">
            <w:r w:rsidR="006130DE" w:rsidRPr="006130DE">
              <w:rPr>
                <w:rStyle w:val="Hyperlink"/>
                <w:rFonts w:ascii="Times New Roman" w:hAnsi="Times New Roman" w:cs="Times New Roman"/>
                <w:noProof/>
                <w:sz w:val="24"/>
                <w:szCs w:val="24"/>
              </w:rPr>
              <w:t>4.</w:t>
            </w:r>
            <w:r w:rsidR="006130DE" w:rsidRPr="006130DE">
              <w:rPr>
                <w:rFonts w:ascii="Times New Roman" w:hAnsi="Times New Roman" w:cs="Times New Roman"/>
                <w:noProof/>
                <w:sz w:val="24"/>
                <w:szCs w:val="24"/>
                <w:lang w:eastAsia="en-US"/>
              </w:rPr>
              <w:tab/>
            </w:r>
            <w:r w:rsidR="006130DE" w:rsidRPr="006130DE">
              <w:rPr>
                <w:rStyle w:val="Hyperlink"/>
                <w:rFonts w:ascii="Times New Roman" w:hAnsi="Times New Roman" w:cs="Times New Roman"/>
                <w:noProof/>
                <w:sz w:val="24"/>
                <w:szCs w:val="24"/>
              </w:rPr>
              <w:t>Empirical results and discussion</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_Toc489287955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31</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2"/>
            <w:tabs>
              <w:tab w:val="left" w:pos="880"/>
              <w:tab w:val="right" w:leader="dot" w:pos="9350"/>
            </w:tabs>
            <w:rPr>
              <w:rFonts w:ascii="Times New Roman" w:hAnsi="Times New Roman" w:cs="Times New Roman"/>
              <w:noProof/>
              <w:sz w:val="24"/>
              <w:szCs w:val="24"/>
              <w:lang w:eastAsia="en-US"/>
            </w:rPr>
          </w:pPr>
          <w:hyperlink w:anchor="_Toc489287956" w:history="1">
            <w:r w:rsidR="006130DE" w:rsidRPr="006130DE">
              <w:rPr>
                <w:rStyle w:val="Hyperlink"/>
                <w:rFonts w:ascii="Times New Roman" w:hAnsi="Times New Roman" w:cs="Times New Roman"/>
                <w:noProof/>
                <w:sz w:val="24"/>
                <w:szCs w:val="24"/>
              </w:rPr>
              <w:t>4.1.</w:t>
            </w:r>
            <w:r w:rsidR="006130DE" w:rsidRPr="006130DE">
              <w:rPr>
                <w:rFonts w:ascii="Times New Roman" w:hAnsi="Times New Roman" w:cs="Times New Roman"/>
                <w:noProof/>
                <w:sz w:val="24"/>
                <w:szCs w:val="24"/>
                <w:lang w:eastAsia="en-US"/>
              </w:rPr>
              <w:tab/>
            </w:r>
            <w:r w:rsidR="006130DE" w:rsidRPr="006130DE">
              <w:rPr>
                <w:rStyle w:val="Hyperlink"/>
                <w:rFonts w:ascii="Times New Roman" w:hAnsi="Times New Roman" w:cs="Times New Roman"/>
                <w:noProof/>
                <w:sz w:val="24"/>
                <w:szCs w:val="24"/>
              </w:rPr>
              <w:t>Economic distance:</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_Toc489287956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32</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2"/>
            <w:tabs>
              <w:tab w:val="left" w:pos="880"/>
              <w:tab w:val="right" w:leader="dot" w:pos="9350"/>
            </w:tabs>
            <w:rPr>
              <w:rFonts w:ascii="Times New Roman" w:hAnsi="Times New Roman" w:cs="Times New Roman"/>
              <w:noProof/>
              <w:sz w:val="24"/>
              <w:szCs w:val="24"/>
              <w:lang w:eastAsia="en-US"/>
            </w:rPr>
          </w:pPr>
          <w:hyperlink w:anchor="_Toc489287957" w:history="1">
            <w:r w:rsidR="006130DE" w:rsidRPr="006130DE">
              <w:rPr>
                <w:rStyle w:val="Hyperlink"/>
                <w:rFonts w:ascii="Times New Roman" w:hAnsi="Times New Roman" w:cs="Times New Roman"/>
                <w:noProof/>
                <w:sz w:val="24"/>
                <w:szCs w:val="24"/>
              </w:rPr>
              <w:t>4.2.</w:t>
            </w:r>
            <w:r w:rsidR="006130DE" w:rsidRPr="006130DE">
              <w:rPr>
                <w:rFonts w:ascii="Times New Roman" w:hAnsi="Times New Roman" w:cs="Times New Roman"/>
                <w:noProof/>
                <w:sz w:val="24"/>
                <w:szCs w:val="24"/>
                <w:lang w:eastAsia="en-US"/>
              </w:rPr>
              <w:tab/>
            </w:r>
            <w:r w:rsidR="006130DE" w:rsidRPr="006130DE">
              <w:rPr>
                <w:rStyle w:val="Hyperlink"/>
                <w:rFonts w:ascii="Times New Roman" w:hAnsi="Times New Roman" w:cs="Times New Roman"/>
                <w:noProof/>
                <w:sz w:val="24"/>
                <w:szCs w:val="24"/>
              </w:rPr>
              <w:t>Geographic distance</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_Toc489287957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33</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2"/>
            <w:tabs>
              <w:tab w:val="left" w:pos="880"/>
              <w:tab w:val="right" w:leader="dot" w:pos="9350"/>
            </w:tabs>
            <w:rPr>
              <w:rFonts w:ascii="Times New Roman" w:hAnsi="Times New Roman" w:cs="Times New Roman"/>
              <w:noProof/>
              <w:sz w:val="24"/>
              <w:szCs w:val="24"/>
              <w:lang w:eastAsia="en-US"/>
            </w:rPr>
          </w:pPr>
          <w:hyperlink w:anchor="_Toc489287958" w:history="1">
            <w:r w:rsidR="006130DE" w:rsidRPr="006130DE">
              <w:rPr>
                <w:rStyle w:val="Hyperlink"/>
                <w:rFonts w:ascii="Times New Roman" w:hAnsi="Times New Roman" w:cs="Times New Roman"/>
                <w:noProof/>
                <w:sz w:val="24"/>
                <w:szCs w:val="24"/>
              </w:rPr>
              <w:t>4.3.</w:t>
            </w:r>
            <w:r w:rsidR="006130DE" w:rsidRPr="006130DE">
              <w:rPr>
                <w:rFonts w:ascii="Times New Roman" w:hAnsi="Times New Roman" w:cs="Times New Roman"/>
                <w:noProof/>
                <w:sz w:val="24"/>
                <w:szCs w:val="24"/>
                <w:lang w:eastAsia="en-US"/>
              </w:rPr>
              <w:tab/>
            </w:r>
            <w:r w:rsidR="006130DE" w:rsidRPr="006130DE">
              <w:rPr>
                <w:rStyle w:val="Hyperlink"/>
                <w:rFonts w:ascii="Times New Roman" w:hAnsi="Times New Roman" w:cs="Times New Roman"/>
                <w:noProof/>
                <w:sz w:val="24"/>
                <w:szCs w:val="24"/>
              </w:rPr>
              <w:t>Cultural distance:</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_Toc489287958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34</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2"/>
            <w:tabs>
              <w:tab w:val="left" w:pos="880"/>
              <w:tab w:val="right" w:leader="dot" w:pos="9350"/>
            </w:tabs>
            <w:rPr>
              <w:rFonts w:ascii="Times New Roman" w:hAnsi="Times New Roman" w:cs="Times New Roman"/>
              <w:noProof/>
              <w:sz w:val="24"/>
              <w:szCs w:val="24"/>
              <w:lang w:eastAsia="en-US"/>
            </w:rPr>
          </w:pPr>
          <w:hyperlink w:anchor="_Toc489287959" w:history="1">
            <w:r w:rsidR="006130DE" w:rsidRPr="006130DE">
              <w:rPr>
                <w:rStyle w:val="Hyperlink"/>
                <w:rFonts w:ascii="Times New Roman" w:hAnsi="Times New Roman" w:cs="Times New Roman"/>
                <w:noProof/>
                <w:sz w:val="24"/>
                <w:szCs w:val="24"/>
              </w:rPr>
              <w:t>4.4.</w:t>
            </w:r>
            <w:r w:rsidR="006130DE" w:rsidRPr="006130DE">
              <w:rPr>
                <w:rFonts w:ascii="Times New Roman" w:hAnsi="Times New Roman" w:cs="Times New Roman"/>
                <w:noProof/>
                <w:sz w:val="24"/>
                <w:szCs w:val="24"/>
                <w:lang w:eastAsia="en-US"/>
              </w:rPr>
              <w:tab/>
            </w:r>
            <w:r w:rsidR="006130DE" w:rsidRPr="006130DE">
              <w:rPr>
                <w:rStyle w:val="Hyperlink"/>
                <w:rFonts w:ascii="Times New Roman" w:hAnsi="Times New Roman" w:cs="Times New Roman"/>
                <w:noProof/>
                <w:sz w:val="24"/>
                <w:szCs w:val="24"/>
              </w:rPr>
              <w:t>Governance distance</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_Toc489287959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34</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2"/>
            <w:tabs>
              <w:tab w:val="left" w:pos="880"/>
              <w:tab w:val="right" w:leader="dot" w:pos="9350"/>
            </w:tabs>
            <w:rPr>
              <w:rFonts w:ascii="Times New Roman" w:hAnsi="Times New Roman" w:cs="Times New Roman"/>
              <w:noProof/>
              <w:sz w:val="24"/>
              <w:szCs w:val="24"/>
              <w:lang w:eastAsia="en-US"/>
            </w:rPr>
          </w:pPr>
          <w:hyperlink w:anchor="_Toc489287960" w:history="1">
            <w:r w:rsidR="006130DE" w:rsidRPr="006130DE">
              <w:rPr>
                <w:rStyle w:val="Hyperlink"/>
                <w:rFonts w:ascii="Times New Roman" w:hAnsi="Times New Roman" w:cs="Times New Roman"/>
                <w:noProof/>
                <w:sz w:val="24"/>
                <w:szCs w:val="24"/>
              </w:rPr>
              <w:t>4.5.</w:t>
            </w:r>
            <w:r w:rsidR="006130DE" w:rsidRPr="006130DE">
              <w:rPr>
                <w:rFonts w:ascii="Times New Roman" w:hAnsi="Times New Roman" w:cs="Times New Roman"/>
                <w:noProof/>
                <w:sz w:val="24"/>
                <w:szCs w:val="24"/>
                <w:lang w:eastAsia="en-US"/>
              </w:rPr>
              <w:tab/>
            </w:r>
            <w:r w:rsidR="006130DE" w:rsidRPr="006130DE">
              <w:rPr>
                <w:rStyle w:val="Hyperlink"/>
                <w:rFonts w:ascii="Times New Roman" w:hAnsi="Times New Roman" w:cs="Times New Roman"/>
                <w:noProof/>
                <w:sz w:val="24"/>
                <w:szCs w:val="24"/>
              </w:rPr>
              <w:t>Host country experience/ India experience</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_Toc489287960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36</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2"/>
            <w:tabs>
              <w:tab w:val="left" w:pos="880"/>
              <w:tab w:val="right" w:leader="dot" w:pos="9350"/>
            </w:tabs>
            <w:rPr>
              <w:rFonts w:ascii="Times New Roman" w:hAnsi="Times New Roman" w:cs="Times New Roman"/>
              <w:noProof/>
              <w:sz w:val="24"/>
              <w:szCs w:val="24"/>
              <w:lang w:eastAsia="en-US"/>
            </w:rPr>
          </w:pPr>
          <w:hyperlink w:anchor="_Toc489287961" w:history="1">
            <w:r w:rsidR="006130DE" w:rsidRPr="006130DE">
              <w:rPr>
                <w:rStyle w:val="Hyperlink"/>
                <w:rFonts w:ascii="Times New Roman" w:hAnsi="Times New Roman" w:cs="Times New Roman"/>
                <w:noProof/>
                <w:sz w:val="24"/>
                <w:szCs w:val="24"/>
              </w:rPr>
              <w:t>4.6.</w:t>
            </w:r>
            <w:r w:rsidR="006130DE" w:rsidRPr="006130DE">
              <w:rPr>
                <w:rFonts w:ascii="Times New Roman" w:hAnsi="Times New Roman" w:cs="Times New Roman"/>
                <w:noProof/>
                <w:sz w:val="24"/>
                <w:szCs w:val="24"/>
                <w:lang w:eastAsia="en-US"/>
              </w:rPr>
              <w:tab/>
            </w:r>
            <w:r w:rsidR="006130DE" w:rsidRPr="006130DE">
              <w:rPr>
                <w:rStyle w:val="Hyperlink"/>
                <w:rFonts w:ascii="Times New Roman" w:hAnsi="Times New Roman" w:cs="Times New Roman"/>
                <w:noProof/>
                <w:sz w:val="24"/>
                <w:szCs w:val="24"/>
              </w:rPr>
              <w:t>Firm size</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_Toc489287961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36</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2"/>
            <w:tabs>
              <w:tab w:val="left" w:pos="880"/>
              <w:tab w:val="right" w:leader="dot" w:pos="9350"/>
            </w:tabs>
            <w:rPr>
              <w:rFonts w:ascii="Times New Roman" w:hAnsi="Times New Roman" w:cs="Times New Roman"/>
              <w:noProof/>
              <w:sz w:val="24"/>
              <w:szCs w:val="24"/>
              <w:lang w:eastAsia="en-US"/>
            </w:rPr>
          </w:pPr>
          <w:hyperlink w:anchor="_Toc489287962" w:history="1">
            <w:r w:rsidR="006130DE" w:rsidRPr="006130DE">
              <w:rPr>
                <w:rStyle w:val="Hyperlink"/>
                <w:rFonts w:ascii="Times New Roman" w:hAnsi="Times New Roman" w:cs="Times New Roman"/>
                <w:noProof/>
                <w:sz w:val="24"/>
                <w:szCs w:val="24"/>
              </w:rPr>
              <w:t>4.7.</w:t>
            </w:r>
            <w:r w:rsidR="006130DE" w:rsidRPr="006130DE">
              <w:rPr>
                <w:rFonts w:ascii="Times New Roman" w:hAnsi="Times New Roman" w:cs="Times New Roman"/>
                <w:noProof/>
                <w:sz w:val="24"/>
                <w:szCs w:val="24"/>
                <w:lang w:eastAsia="en-US"/>
              </w:rPr>
              <w:tab/>
            </w:r>
            <w:r w:rsidR="006130DE" w:rsidRPr="006130DE">
              <w:rPr>
                <w:rStyle w:val="Hyperlink"/>
                <w:rFonts w:ascii="Times New Roman" w:hAnsi="Times New Roman" w:cs="Times New Roman"/>
                <w:noProof/>
                <w:sz w:val="24"/>
                <w:szCs w:val="24"/>
              </w:rPr>
              <w:t>Extension</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_Toc489287962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38</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3"/>
            <w:tabs>
              <w:tab w:val="right" w:leader="dot" w:pos="9350"/>
            </w:tabs>
            <w:rPr>
              <w:rFonts w:ascii="Times New Roman" w:hAnsi="Times New Roman" w:cs="Times New Roman"/>
              <w:noProof/>
              <w:sz w:val="24"/>
              <w:szCs w:val="24"/>
              <w:lang w:eastAsia="en-US"/>
            </w:rPr>
          </w:pPr>
          <w:hyperlink w:anchor="_Toc489287963" w:history="1">
            <w:r w:rsidR="006130DE" w:rsidRPr="006130DE">
              <w:rPr>
                <w:rStyle w:val="Hyperlink"/>
                <w:rFonts w:ascii="Times New Roman" w:hAnsi="Times New Roman" w:cs="Times New Roman"/>
                <w:noProof/>
                <w:sz w:val="24"/>
                <w:szCs w:val="24"/>
              </w:rPr>
              <w:t>4.7.1. Sub-sample study (sector type)</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_Toc489287963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38</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3"/>
            <w:tabs>
              <w:tab w:val="right" w:leader="dot" w:pos="9350"/>
            </w:tabs>
            <w:rPr>
              <w:rFonts w:ascii="Times New Roman" w:hAnsi="Times New Roman" w:cs="Times New Roman"/>
              <w:noProof/>
              <w:sz w:val="24"/>
              <w:szCs w:val="24"/>
              <w:lang w:eastAsia="en-US"/>
            </w:rPr>
          </w:pPr>
          <w:hyperlink w:anchor="_Toc489287964" w:history="1">
            <w:r w:rsidR="006130DE" w:rsidRPr="006130DE">
              <w:rPr>
                <w:rStyle w:val="Hyperlink"/>
                <w:rFonts w:ascii="Times New Roman" w:hAnsi="Times New Roman" w:cs="Times New Roman"/>
                <w:noProof/>
                <w:sz w:val="24"/>
                <w:szCs w:val="24"/>
              </w:rPr>
              <w:t>4.7.2. Separate dimensions of governance distance</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_Toc489287964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42</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1"/>
            <w:tabs>
              <w:tab w:val="left" w:pos="440"/>
              <w:tab w:val="right" w:leader="dot" w:pos="9350"/>
            </w:tabs>
            <w:rPr>
              <w:rFonts w:ascii="Times New Roman" w:hAnsi="Times New Roman" w:cs="Times New Roman"/>
              <w:noProof/>
              <w:sz w:val="24"/>
              <w:szCs w:val="24"/>
              <w:lang w:eastAsia="en-US"/>
            </w:rPr>
          </w:pPr>
          <w:hyperlink w:anchor="_Toc489287965" w:history="1">
            <w:r w:rsidR="006130DE" w:rsidRPr="006130DE">
              <w:rPr>
                <w:rStyle w:val="Hyperlink"/>
                <w:rFonts w:ascii="Times New Roman" w:hAnsi="Times New Roman" w:cs="Times New Roman"/>
                <w:noProof/>
                <w:sz w:val="24"/>
                <w:szCs w:val="24"/>
              </w:rPr>
              <w:t>5.</w:t>
            </w:r>
            <w:r w:rsidR="006130DE" w:rsidRPr="006130DE">
              <w:rPr>
                <w:rFonts w:ascii="Times New Roman" w:hAnsi="Times New Roman" w:cs="Times New Roman"/>
                <w:noProof/>
                <w:sz w:val="24"/>
                <w:szCs w:val="24"/>
                <w:lang w:eastAsia="en-US"/>
              </w:rPr>
              <w:tab/>
            </w:r>
            <w:r w:rsidR="006130DE" w:rsidRPr="006130DE">
              <w:rPr>
                <w:rStyle w:val="Hyperlink"/>
                <w:rFonts w:ascii="Times New Roman" w:hAnsi="Times New Roman" w:cs="Times New Roman"/>
                <w:noProof/>
                <w:sz w:val="24"/>
                <w:szCs w:val="24"/>
              </w:rPr>
              <w:t>Conclusion and limitations:</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_Toc489287965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45</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1"/>
            <w:tabs>
              <w:tab w:val="right" w:leader="dot" w:pos="9350"/>
            </w:tabs>
            <w:rPr>
              <w:rFonts w:ascii="Times New Roman" w:hAnsi="Times New Roman" w:cs="Times New Roman"/>
              <w:noProof/>
              <w:sz w:val="24"/>
              <w:szCs w:val="24"/>
              <w:lang w:eastAsia="en-US"/>
            </w:rPr>
          </w:pPr>
          <w:hyperlink w:anchor="_Toc489287966" w:history="1">
            <w:r w:rsidR="006130DE" w:rsidRPr="006130DE">
              <w:rPr>
                <w:rStyle w:val="Hyperlink"/>
                <w:rFonts w:ascii="Times New Roman" w:hAnsi="Times New Roman" w:cs="Times New Roman"/>
                <w:noProof/>
                <w:sz w:val="24"/>
                <w:szCs w:val="24"/>
              </w:rPr>
              <w:t>References</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_Toc489287966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48</w:t>
            </w:r>
            <w:r w:rsidR="006130DE" w:rsidRPr="006130DE">
              <w:rPr>
                <w:rFonts w:ascii="Times New Roman" w:hAnsi="Times New Roman" w:cs="Times New Roman"/>
                <w:noProof/>
                <w:webHidden/>
                <w:sz w:val="24"/>
                <w:szCs w:val="24"/>
              </w:rPr>
              <w:fldChar w:fldCharType="end"/>
            </w:r>
          </w:hyperlink>
        </w:p>
        <w:p w:rsidR="006130DE" w:rsidRPr="006130DE" w:rsidRDefault="00DD7092">
          <w:pPr>
            <w:pStyle w:val="TOC1"/>
            <w:tabs>
              <w:tab w:val="right" w:leader="dot" w:pos="9350"/>
            </w:tabs>
            <w:rPr>
              <w:rFonts w:ascii="Times New Roman" w:hAnsi="Times New Roman" w:cs="Times New Roman"/>
              <w:noProof/>
              <w:sz w:val="24"/>
              <w:szCs w:val="24"/>
              <w:lang w:eastAsia="en-US"/>
            </w:rPr>
          </w:pPr>
          <w:hyperlink w:anchor="_Toc489287967" w:history="1">
            <w:r w:rsidR="006130DE" w:rsidRPr="006130DE">
              <w:rPr>
                <w:rStyle w:val="Hyperlink"/>
                <w:rFonts w:ascii="Times New Roman" w:hAnsi="Times New Roman" w:cs="Times New Roman"/>
                <w:noProof/>
                <w:sz w:val="24"/>
                <w:szCs w:val="24"/>
              </w:rPr>
              <w:t>Appendix A – Estimation of the Statistical Model</w:t>
            </w:r>
            <w:r w:rsidR="006130DE" w:rsidRPr="006130DE">
              <w:rPr>
                <w:rFonts w:ascii="Times New Roman" w:hAnsi="Times New Roman" w:cs="Times New Roman"/>
                <w:noProof/>
                <w:webHidden/>
                <w:sz w:val="24"/>
                <w:szCs w:val="24"/>
              </w:rPr>
              <w:tab/>
            </w:r>
            <w:r w:rsidR="006130DE" w:rsidRPr="006130DE">
              <w:rPr>
                <w:rFonts w:ascii="Times New Roman" w:hAnsi="Times New Roman" w:cs="Times New Roman"/>
                <w:noProof/>
                <w:webHidden/>
                <w:sz w:val="24"/>
                <w:szCs w:val="24"/>
              </w:rPr>
              <w:fldChar w:fldCharType="begin"/>
            </w:r>
            <w:r w:rsidR="006130DE" w:rsidRPr="006130DE">
              <w:rPr>
                <w:rFonts w:ascii="Times New Roman" w:hAnsi="Times New Roman" w:cs="Times New Roman"/>
                <w:noProof/>
                <w:webHidden/>
                <w:sz w:val="24"/>
                <w:szCs w:val="24"/>
              </w:rPr>
              <w:instrText xml:space="preserve"> PAGEREF _Toc489287967 \h </w:instrText>
            </w:r>
            <w:r w:rsidR="006130DE" w:rsidRPr="006130DE">
              <w:rPr>
                <w:rFonts w:ascii="Times New Roman" w:hAnsi="Times New Roman" w:cs="Times New Roman"/>
                <w:noProof/>
                <w:webHidden/>
                <w:sz w:val="24"/>
                <w:szCs w:val="24"/>
              </w:rPr>
            </w:r>
            <w:r w:rsidR="006130DE" w:rsidRPr="006130DE">
              <w:rPr>
                <w:rFonts w:ascii="Times New Roman" w:hAnsi="Times New Roman" w:cs="Times New Roman"/>
                <w:noProof/>
                <w:webHidden/>
                <w:sz w:val="24"/>
                <w:szCs w:val="24"/>
              </w:rPr>
              <w:fldChar w:fldCharType="separate"/>
            </w:r>
            <w:r w:rsidR="006130DE" w:rsidRPr="006130DE">
              <w:rPr>
                <w:rFonts w:ascii="Times New Roman" w:hAnsi="Times New Roman" w:cs="Times New Roman"/>
                <w:noProof/>
                <w:webHidden/>
                <w:sz w:val="24"/>
                <w:szCs w:val="24"/>
              </w:rPr>
              <w:t>57</w:t>
            </w:r>
            <w:r w:rsidR="006130DE" w:rsidRPr="006130DE">
              <w:rPr>
                <w:rFonts w:ascii="Times New Roman" w:hAnsi="Times New Roman" w:cs="Times New Roman"/>
                <w:noProof/>
                <w:webHidden/>
                <w:sz w:val="24"/>
                <w:szCs w:val="24"/>
              </w:rPr>
              <w:fldChar w:fldCharType="end"/>
            </w:r>
          </w:hyperlink>
        </w:p>
        <w:p w:rsidR="00F7094D" w:rsidRPr="00730468" w:rsidRDefault="00F7094D" w:rsidP="00DF3F76">
          <w:pPr>
            <w:spacing w:line="360" w:lineRule="auto"/>
          </w:pPr>
          <w:r w:rsidRPr="006130DE">
            <w:rPr>
              <w:b/>
              <w:bCs/>
              <w:noProof/>
            </w:rPr>
            <w:fldChar w:fldCharType="end"/>
          </w:r>
        </w:p>
      </w:sdtContent>
    </w:sdt>
    <w:p w:rsidR="00CF60FB" w:rsidRPr="00730468" w:rsidRDefault="00CF60FB" w:rsidP="00DF3F76">
      <w:pPr>
        <w:pStyle w:val="TOCHeading"/>
        <w:spacing w:line="360" w:lineRule="auto"/>
        <w:jc w:val="both"/>
      </w:pPr>
    </w:p>
    <w:p w:rsidR="00C136C0" w:rsidRPr="00730468" w:rsidRDefault="00C136C0" w:rsidP="00DF3F76">
      <w:pPr>
        <w:pStyle w:val="TOCHeading"/>
        <w:spacing w:line="360" w:lineRule="auto"/>
        <w:jc w:val="both"/>
        <w:rPr>
          <w:b w:val="0"/>
        </w:rPr>
      </w:pPr>
    </w:p>
    <w:p w:rsidR="00CE3197" w:rsidRPr="00730468" w:rsidRDefault="00CE3197" w:rsidP="00DF3F76">
      <w:pPr>
        <w:spacing w:after="200" w:line="360" w:lineRule="auto"/>
        <w:jc w:val="both"/>
        <w:rPr>
          <w:color w:val="000000" w:themeColor="text1"/>
        </w:rPr>
      </w:pPr>
      <w:r w:rsidRPr="00730468">
        <w:rPr>
          <w:color w:val="000000" w:themeColor="text1"/>
        </w:rPr>
        <w:br w:type="page"/>
      </w:r>
    </w:p>
    <w:p w:rsidR="00DF57CF" w:rsidRPr="00730468" w:rsidRDefault="004A288B" w:rsidP="00DF3F76">
      <w:pPr>
        <w:pStyle w:val="Heading1"/>
        <w:numPr>
          <w:ilvl w:val="0"/>
          <w:numId w:val="11"/>
        </w:numPr>
        <w:spacing w:line="360" w:lineRule="auto"/>
        <w:jc w:val="both"/>
        <w:rPr>
          <w:rFonts w:ascii="Times New Roman" w:hAnsi="Times New Roman" w:cs="Times New Roman"/>
          <w:b w:val="0"/>
          <w:sz w:val="24"/>
          <w:szCs w:val="24"/>
        </w:rPr>
      </w:pPr>
      <w:bookmarkStart w:id="1" w:name="_Toc487572198"/>
      <w:bookmarkStart w:id="2" w:name="_Toc487707038"/>
      <w:bookmarkStart w:id="3" w:name="_Toc489287928"/>
      <w:r w:rsidRPr="00730468">
        <w:rPr>
          <w:rFonts w:ascii="Times New Roman" w:hAnsi="Times New Roman" w:cs="Times New Roman"/>
          <w:sz w:val="24"/>
          <w:szCs w:val="24"/>
        </w:rPr>
        <w:lastRenderedPageBreak/>
        <w:t>Introduction</w:t>
      </w:r>
      <w:r w:rsidRPr="00730468">
        <w:rPr>
          <w:rFonts w:ascii="Times New Roman" w:hAnsi="Times New Roman" w:cs="Times New Roman"/>
          <w:b w:val="0"/>
          <w:sz w:val="24"/>
          <w:szCs w:val="24"/>
        </w:rPr>
        <w:t>:</w:t>
      </w:r>
      <w:bookmarkEnd w:id="1"/>
      <w:bookmarkEnd w:id="2"/>
      <w:bookmarkEnd w:id="3"/>
    </w:p>
    <w:p w:rsidR="007E49BB" w:rsidRPr="00730468" w:rsidRDefault="007E49BB" w:rsidP="00DF3F76">
      <w:pPr>
        <w:spacing w:line="360" w:lineRule="auto"/>
        <w:jc w:val="both"/>
        <w:rPr>
          <w:color w:val="000000" w:themeColor="text1"/>
        </w:rPr>
      </w:pPr>
      <w:r w:rsidRPr="00730468">
        <w:rPr>
          <w:color w:val="000000" w:themeColor="text1"/>
        </w:rPr>
        <w:t>Due to the fact that the world now is in the era of globalization and businesses are no longer limited by national boundaries; internationalization, especially entering firm’s operational businesses into new foreign markets is quite necessary. In other words, firms are stimulated to join the global playground, and become multinational enterprises (MNEs). In a more clear definition giving by Buckley and Casson (2009), MNEs are described as firms that own and control significant business activities in two or more countries. The trend toward choosing the appropriate mode of entry is one of the most important strategic decisions that an MNE must adopt during its internationalization process (Vern, Sarathy &amp; Russow, 2000). If MNEs could be able to choose the right modes of entry, which would facilitate them to generates MNEs’ competitive advantages in the target countries and even on the international market (</w:t>
      </w:r>
      <w:r w:rsidRPr="00730468">
        <w:t>Verbeke &amp; Brugman, 2009</w:t>
      </w:r>
      <w:r w:rsidRPr="00730468">
        <w:rPr>
          <w:color w:val="000000" w:themeColor="text1"/>
        </w:rPr>
        <w:t xml:space="preserve">). Moreover, the choice of entry mode could even determine a firm’s future performance and survival on the international market (Ekeledo &amp; Sivakumar, 1998). </w:t>
      </w:r>
    </w:p>
    <w:p w:rsidR="007E49BB" w:rsidRPr="00730468" w:rsidRDefault="007E49BB" w:rsidP="00DF3F76">
      <w:pPr>
        <w:spacing w:line="360" w:lineRule="auto"/>
        <w:jc w:val="both"/>
      </w:pPr>
    </w:p>
    <w:p w:rsidR="007E49BB" w:rsidRPr="00730468" w:rsidRDefault="007E49BB" w:rsidP="00DF3F76">
      <w:pPr>
        <w:spacing w:line="360" w:lineRule="auto"/>
        <w:jc w:val="both"/>
        <w:rPr>
          <w:color w:val="FF0000"/>
        </w:rPr>
      </w:pPr>
      <w:r w:rsidRPr="00730468">
        <w:t xml:space="preserve">Concerning entry mode, it is defined an operational form used to enter foreign markets (Brouthers &amp; Hennart 2007). As a more specific definition, it is an </w:t>
      </w:r>
      <w:r w:rsidRPr="00730468">
        <w:rPr>
          <w:lang w:val="en-GB"/>
        </w:rPr>
        <w:t xml:space="preserve">institutional </w:t>
      </w:r>
      <w:r w:rsidRPr="00730468">
        <w:rPr>
          <w:color w:val="000000" w:themeColor="text1"/>
          <w:lang w:val="en-GB"/>
        </w:rPr>
        <w:t xml:space="preserve">agreement that makes the possibility </w:t>
      </w:r>
      <w:r w:rsidRPr="00730468">
        <w:rPr>
          <w:lang w:val="en-GB"/>
        </w:rPr>
        <w:t xml:space="preserve">for </w:t>
      </w:r>
      <w:r w:rsidRPr="00730468">
        <w:rPr>
          <w:noProof/>
          <w:lang w:val="en-GB"/>
        </w:rPr>
        <w:t>an enterprise’s human skills, productions, management, technology, and other resources</w:t>
      </w:r>
      <w:r w:rsidRPr="00730468">
        <w:rPr>
          <w:lang w:val="en-GB"/>
        </w:rPr>
        <w:t xml:space="preserve"> </w:t>
      </w:r>
      <w:r w:rsidRPr="00730468">
        <w:rPr>
          <w:color w:val="000000" w:themeColor="text1"/>
          <w:lang w:val="en-GB"/>
        </w:rPr>
        <w:t>to enter a foreign country (Root, 1994).</w:t>
      </w:r>
      <w:r w:rsidRPr="00730468">
        <w:rPr>
          <w:color w:val="FF0000"/>
        </w:rPr>
        <w:t xml:space="preserve"> </w:t>
      </w:r>
      <w:r w:rsidRPr="00730468">
        <w:rPr>
          <w:color w:val="000000" w:themeColor="text1"/>
        </w:rPr>
        <w:t>When a</w:t>
      </w:r>
      <w:r w:rsidRPr="00730468">
        <w:rPr>
          <w:color w:val="000000" w:themeColor="text1"/>
          <w:lang w:val="en-GB"/>
        </w:rPr>
        <w:t xml:space="preserve"> </w:t>
      </w:r>
      <w:r w:rsidRPr="00730468">
        <w:rPr>
          <w:color w:val="000000" w:themeColor="text1"/>
        </w:rPr>
        <w:t>multinational enterprise enters a new market, they have to determine whether they want to serve that market through (1) non-equity entry modes such as exporting (Direct Exports and Indirect Exports) and contractual agreement (Licensing/Franchising, Turnkey Projects, Resea</w:t>
      </w:r>
      <w:r w:rsidR="00375B8D">
        <w:rPr>
          <w:color w:val="000000" w:themeColor="text1"/>
        </w:rPr>
        <w:t>rch &amp; Development Contracts, Co-</w:t>
      </w:r>
      <w:r w:rsidRPr="00730468">
        <w:rPr>
          <w:color w:val="000000" w:themeColor="text1"/>
        </w:rPr>
        <w:t xml:space="preserve">marketing) or (2) equity modes of entry including joint venture (JV) and wholly owned subsidiary (WOS). Since the entry mode choices are quite broad, I narrow down my study to just focus on equity entry mode choices. With equity approach, firms transfer their resources such as capital, technology and human skills to the foreign market where they then manufacture products and sell products/services in local market. More importantly, firms have to decide which level of ownership they desire, they want to share ownership through joint venture (JV) or want to completely control their foreign business through wholly owned subsidiary (WOS). Such decision is the main concern of my study. </w:t>
      </w:r>
    </w:p>
    <w:p w:rsidR="007E49BB" w:rsidRPr="00730468" w:rsidRDefault="007E49BB" w:rsidP="00DF3F76">
      <w:pPr>
        <w:spacing w:line="360" w:lineRule="auto"/>
        <w:jc w:val="both"/>
        <w:rPr>
          <w:color w:val="000000" w:themeColor="text1"/>
        </w:rPr>
      </w:pPr>
    </w:p>
    <w:p w:rsidR="007E49BB" w:rsidRDefault="007E49BB" w:rsidP="00C72138">
      <w:pPr>
        <w:spacing w:line="360" w:lineRule="auto"/>
        <w:jc w:val="both"/>
      </w:pPr>
      <w:r w:rsidRPr="00730468">
        <w:rPr>
          <w:color w:val="000000" w:themeColor="text1"/>
        </w:rPr>
        <w:lastRenderedPageBreak/>
        <w:t xml:space="preserve">Considering the importance of entry mode selection, a large number of studies have been investigated to clarify the factors which actually have an impact on multinational enterprises’ foreign market entry mode decisions. However, many empirical studies do not have a clear consensus due to the fact that different countries have different contextual characteristics and different scholars focus on different aspects of entry mode selection. That is why the significant factors in one country cannot be applied for every countries else. Hence, in this paper, I try to clarify the factors that influence the entry mode decision in the particular context of India. The reason I choose to study about India is that there is not a study about equity entry mode choices of India alone yet while India has many intriguing features, making it a very compelling case to study. India together with Brazil, Russia, and China (BRIC) is top four major emerging </w:t>
      </w:r>
      <w:r w:rsidRPr="00730468">
        <w:t xml:space="preserve">economies which </w:t>
      </w:r>
      <w:r w:rsidRPr="00730468">
        <w:rPr>
          <w:noProof/>
        </w:rPr>
        <w:t>cover over 25% of the world's land and occupy 40% of the world's population</w:t>
      </w:r>
      <w:r w:rsidRPr="00730468">
        <w:rPr>
          <w:color w:val="000000" w:themeColor="text1"/>
        </w:rPr>
        <w:t xml:space="preserve">. India’s large consumer market and their first-class outsource, offering cheap, skilled labor pools are quite attractive for MNEs. As an illustration, during 2013-2015, India ranked the world's third most attractive destination for </w:t>
      </w:r>
      <w:r w:rsidR="0005458C">
        <w:rPr>
          <w:color w:val="000000" w:themeColor="text1"/>
        </w:rPr>
        <w:t>foreign investment (</w:t>
      </w:r>
      <w:r w:rsidR="0005458C" w:rsidRPr="006A0B43">
        <w:rPr>
          <w:noProof/>
          <w:color w:val="000000" w:themeColor="text1"/>
        </w:rPr>
        <w:t>The United Nations Conference on Trade and Development</w:t>
      </w:r>
      <w:r w:rsidR="0005458C" w:rsidRPr="0005458C">
        <w:rPr>
          <w:color w:val="000000" w:themeColor="text1"/>
        </w:rPr>
        <w:t xml:space="preserve"> (UNCTAD)</w:t>
      </w:r>
      <w:r w:rsidR="008E3CB5">
        <w:rPr>
          <w:color w:val="000000" w:themeColor="text1"/>
        </w:rPr>
        <w:t>, 2013-2015</w:t>
      </w:r>
      <w:r w:rsidR="00542C79">
        <w:rPr>
          <w:color w:val="000000" w:themeColor="text1"/>
        </w:rPr>
        <w:t>)</w:t>
      </w:r>
      <w:r w:rsidRPr="00730468">
        <w:rPr>
          <w:color w:val="000000" w:themeColor="text1"/>
        </w:rPr>
        <w:t>. Additionally, their government focuses on implementing policies which are investors-friendly</w:t>
      </w:r>
      <w:r w:rsidR="008E3CB5" w:rsidRPr="008E3CB5">
        <w:t xml:space="preserve"> </w:t>
      </w:r>
      <w:r w:rsidR="008E3CB5">
        <w:t>(</w:t>
      </w:r>
      <w:r w:rsidR="008E3CB5" w:rsidRPr="008E3CB5">
        <w:rPr>
          <w:color w:val="000000" w:themeColor="text1"/>
        </w:rPr>
        <w:t>India’s Department of Industrial Policy and Promotion (DIPP)</w:t>
      </w:r>
      <w:r w:rsidR="008E3CB5">
        <w:rPr>
          <w:color w:val="000000" w:themeColor="text1"/>
        </w:rPr>
        <w:t>, 2016)</w:t>
      </w:r>
      <w:r w:rsidRPr="00730468">
        <w:rPr>
          <w:color w:val="000000" w:themeColor="text1"/>
        </w:rPr>
        <w:t xml:space="preserve">, enhancing the attractiveness of their market. Such things make India a very interesting host-country to study. Besides that, one of the focus of my study is the four country-level factors since those country-levels factors seems impossible for firms to control but firms have to adapt and conform. </w:t>
      </w:r>
      <w:r w:rsidRPr="00730468">
        <w:t xml:space="preserve">My study addresses the following research question: which factors affect MNEs’ decision to enter via WOS as opposed to JV in the context of India? To get the answers, hypotheses based on the transactions cost </w:t>
      </w:r>
      <w:r w:rsidR="00402D7E">
        <w:t xml:space="preserve">theory </w:t>
      </w:r>
      <w:r w:rsidRPr="00730468">
        <w:t>and other studies are developed and the binary logistic regression estimation against a dataset composed of 769 foreign entrants in India during the period 1997 – 2015 are employed. My study is different from the majority of entry mode choices literatures since those literatures figure out the determinants of entry mode selection when MNEs from the same home country investing in many host countries</w:t>
      </w:r>
      <w:r w:rsidR="00F05A87">
        <w:t xml:space="preserve"> (e.g., </w:t>
      </w:r>
      <w:r w:rsidR="00F05A87" w:rsidRPr="00730468">
        <w:t>Anderson &amp; Gatignon, 1988</w:t>
      </w:r>
      <w:r w:rsidR="00F05A87">
        <w:t xml:space="preserve">; </w:t>
      </w:r>
      <w:r w:rsidR="00F05A87" w:rsidRPr="00730468">
        <w:t>Cho &amp; Padmanabhan, 1996</w:t>
      </w:r>
      <w:r w:rsidR="00F05A87">
        <w:t>; Slangen &amp; Tulder, 2009)</w:t>
      </w:r>
      <w:r w:rsidRPr="00730468">
        <w:t xml:space="preserve">. In my study, I do the opposite way. I examine MNEs which are from various home countries all investing in the same host country. Moreover, India is </w:t>
      </w:r>
      <w:r w:rsidR="00C72138" w:rsidRPr="00C72138">
        <w:t>has many unique characteristics – roundly 18% of the total world population (Worldometers, 2017), 29 states, 7 territories, 1,635 languages, 29 different cultures, countless religions (The Muslim Times, 2014)</w:t>
      </w:r>
      <w:r w:rsidRPr="00730468">
        <w:t xml:space="preserve">. Therefore, the </w:t>
      </w:r>
      <w:r w:rsidRPr="00730468">
        <w:lastRenderedPageBreak/>
        <w:t xml:space="preserve">study might get many surprising findings. </w:t>
      </w:r>
      <w:r w:rsidRPr="00730468">
        <w:rPr>
          <w:color w:val="000000" w:themeColor="text1"/>
        </w:rPr>
        <w:t xml:space="preserve">Conducting this topic is important because the empirical findings of the study could provide insights </w:t>
      </w:r>
      <w:r w:rsidRPr="00730468">
        <w:rPr>
          <w:noProof/>
        </w:rPr>
        <w:t>for MNEs’ board of management to choose the most suitable</w:t>
      </w:r>
      <w:r w:rsidRPr="00730468">
        <w:t xml:space="preserve"> strategy w</w:t>
      </w:r>
      <w:r w:rsidRPr="00730468">
        <w:rPr>
          <w:color w:val="000000" w:themeColor="text1"/>
        </w:rPr>
        <w:t>hen aiming to expand overseas in Indian market. In addition to that, the practical implications of this study could give a clue to governments to modify their governance quality and their policy in order to appeal and attract foreign investment.</w:t>
      </w:r>
      <w:r w:rsidR="00C72138">
        <w:t xml:space="preserve"> </w:t>
      </w:r>
    </w:p>
    <w:p w:rsidR="00C72138" w:rsidRDefault="00C72138" w:rsidP="00C72138">
      <w:pPr>
        <w:spacing w:line="360" w:lineRule="auto"/>
        <w:jc w:val="both"/>
      </w:pPr>
    </w:p>
    <w:p w:rsidR="00C72138" w:rsidRDefault="00C72138" w:rsidP="00C72138">
      <w:pPr>
        <w:spacing w:line="360" w:lineRule="auto"/>
        <w:jc w:val="both"/>
      </w:pPr>
      <w:r>
        <w:t xml:space="preserve">One interesting point is that geographic distance and governance distance are found to have significantly opposite trend with the literature, increasing the likelihood of wholly owned subsidiary. </w:t>
      </w:r>
      <w:r w:rsidR="00402D7E">
        <w:t xml:space="preserve">I suppose the surprising results are because the effects of governance distance and </w:t>
      </w:r>
      <w:r w:rsidR="005B1CD6">
        <w:t xml:space="preserve">geographic distance can not only be explained by transaction cost minimization, but also </w:t>
      </w:r>
      <w:r w:rsidR="00D176D8">
        <w:t xml:space="preserve">by </w:t>
      </w:r>
      <w:r w:rsidR="00792D97">
        <w:t xml:space="preserve">strategic motivations and the </w:t>
      </w:r>
      <w:r w:rsidR="00AF48B7">
        <w:t>specific idiosyncrasies</w:t>
      </w:r>
      <w:r w:rsidR="00792D97">
        <w:t xml:space="preserve"> of India.</w:t>
      </w:r>
      <w:r w:rsidR="005B1CD6">
        <w:t xml:space="preserve">  </w:t>
      </w:r>
      <w:r>
        <w:t xml:space="preserve"> </w:t>
      </w:r>
    </w:p>
    <w:p w:rsidR="00C72138" w:rsidRPr="00730468" w:rsidRDefault="00C72138" w:rsidP="00C72138">
      <w:pPr>
        <w:spacing w:line="360" w:lineRule="auto"/>
        <w:jc w:val="both"/>
      </w:pPr>
    </w:p>
    <w:p w:rsidR="000D0776" w:rsidRPr="00730468" w:rsidRDefault="007E49BB" w:rsidP="00F05A87">
      <w:pPr>
        <w:spacing w:after="200" w:line="360" w:lineRule="auto"/>
        <w:jc w:val="both"/>
      </w:pPr>
      <w:r w:rsidRPr="006A0B43">
        <w:rPr>
          <w:noProof/>
        </w:rPr>
        <w:t>The structure of the rest of the paper is as follows: in</w:t>
      </w:r>
      <w:r w:rsidRPr="00730468">
        <w:t xml:space="preserve"> the second chapter, I review the literature in terms of entry mode and the transaction cost economics in further detail and propose six research hypotheses for empirical examination. These hypotheses are: (1) The increase in the economic distance between home and host country, the increase in the probability that enterprise choose to enter the market through JV and the decrease to enter through WOS, (2) the increase in the geographic distance between home and host country, the increase in the probability that enterprise choose to enter the market through JV and the decrease to enter through WOS, (3) the increase in the cultural distance between home and host country, the increase in the probability that enterprise choose to enter the market through JV and the decrease to enter through WOS, (4) the increase in the governance distance between home and host country, the increase in the probability that enterprise choose to enter the market through JV and the decrease to enter through WOS, (5) the increase in the host country experience of MNEs, the decrease in the probability that they choose to enter the market through JV and the increase to enter through WOS, and (6) the increase in the size of MNEs, the decrease in the probability that they choose to enter the market through JV and the increase to enter through WOS.  I then discuss about the way to collect data, the description of the sample, and empirical methodology to test the hypotheses in Chapter 3. Subs</w:t>
      </w:r>
      <w:r w:rsidR="00792D97">
        <w:t xml:space="preserve">equently, the empirical results, </w:t>
      </w:r>
      <w:r w:rsidR="00A1006C">
        <w:t>discussion</w:t>
      </w:r>
      <w:r w:rsidR="00792D97">
        <w:t xml:space="preserve">, and extension which studies about industry sub-sample and separate dimensions of governance distance, </w:t>
      </w:r>
      <w:r w:rsidRPr="00730468">
        <w:t xml:space="preserve">are presented </w:t>
      </w:r>
      <w:r w:rsidRPr="00730468">
        <w:lastRenderedPageBreak/>
        <w:t>in Chapter 4</w:t>
      </w:r>
      <w:r w:rsidRPr="00730468">
        <w:rPr>
          <w:rFonts w:eastAsia="Calibri"/>
          <w:noProof/>
        </w:rPr>
        <w:t xml:space="preserve">. Finally, Chapter </w:t>
      </w:r>
      <w:r w:rsidR="00F05A87">
        <w:rPr>
          <w:rFonts w:eastAsia="Calibri"/>
          <w:noProof/>
        </w:rPr>
        <w:t>5</w:t>
      </w:r>
      <w:r w:rsidRPr="00730468">
        <w:rPr>
          <w:rFonts w:eastAsia="Calibri"/>
          <w:noProof/>
        </w:rPr>
        <w:t xml:space="preserve"> consists of this study’s conclusion</w:t>
      </w:r>
      <w:r w:rsidRPr="00730468">
        <w:t xml:space="preserve">, the contribution to entry mode literature, this study’s limitations and the recommendation for future research. </w:t>
      </w:r>
      <w:r w:rsidR="007E77C2" w:rsidRPr="00730468">
        <w:t xml:space="preserve"> </w:t>
      </w:r>
      <w:r w:rsidR="000D0776" w:rsidRPr="00730468">
        <w:br w:type="page"/>
      </w:r>
    </w:p>
    <w:p w:rsidR="00AC4D00" w:rsidRPr="00730468" w:rsidRDefault="00AC4D00" w:rsidP="00DF3F76">
      <w:pPr>
        <w:pStyle w:val="Heading1"/>
        <w:numPr>
          <w:ilvl w:val="0"/>
          <w:numId w:val="11"/>
        </w:numPr>
        <w:spacing w:line="360" w:lineRule="auto"/>
        <w:jc w:val="both"/>
        <w:rPr>
          <w:rFonts w:ascii="Times New Roman" w:hAnsi="Times New Roman" w:cs="Times New Roman"/>
          <w:sz w:val="24"/>
          <w:szCs w:val="24"/>
        </w:rPr>
      </w:pPr>
      <w:bookmarkStart w:id="4" w:name="_Toc487572199"/>
      <w:bookmarkStart w:id="5" w:name="_Toc487707039"/>
      <w:bookmarkStart w:id="6" w:name="_Toc489287929"/>
      <w:r w:rsidRPr="00730468">
        <w:rPr>
          <w:rFonts w:ascii="Times New Roman" w:hAnsi="Times New Roman" w:cs="Times New Roman"/>
          <w:sz w:val="24"/>
          <w:szCs w:val="24"/>
        </w:rPr>
        <w:lastRenderedPageBreak/>
        <w:t>Literature Review:</w:t>
      </w:r>
      <w:bookmarkEnd w:id="4"/>
      <w:bookmarkEnd w:id="5"/>
      <w:bookmarkEnd w:id="6"/>
    </w:p>
    <w:p w:rsidR="00AC4D00" w:rsidRPr="00730468" w:rsidRDefault="00545A3B" w:rsidP="00DF3F76">
      <w:pPr>
        <w:pStyle w:val="Heading2"/>
        <w:spacing w:line="360" w:lineRule="auto"/>
      </w:pPr>
      <w:r w:rsidRPr="00730468">
        <w:t xml:space="preserve"> </w:t>
      </w:r>
      <w:bookmarkStart w:id="7" w:name="_Toc487572200"/>
      <w:bookmarkStart w:id="8" w:name="_Toc487707040"/>
      <w:bookmarkStart w:id="9" w:name="_Toc489287930"/>
      <w:r w:rsidR="00AC4D00" w:rsidRPr="00730468">
        <w:t>Entry modes:</w:t>
      </w:r>
      <w:bookmarkEnd w:id="7"/>
      <w:bookmarkEnd w:id="8"/>
      <w:bookmarkEnd w:id="9"/>
    </w:p>
    <w:p w:rsidR="00CD2CFA" w:rsidRPr="00730468" w:rsidRDefault="00CD2CFA" w:rsidP="00DF3F76">
      <w:pPr>
        <w:spacing w:line="360" w:lineRule="auto"/>
        <w:jc w:val="both"/>
      </w:pPr>
      <w:r w:rsidRPr="00730468">
        <w:t>Entry mode theory suggests that the entry mode decision should be made based on the trade-off between risks and returns. That means firms are supposed to choose the entry mode with the highest risk-adjusted return (Anderson &amp; Gatignon, 1986). Such modes of entry are defined by different resource commitments, degree of control and risk, making the initial decision difficult to change without a loss of time and money. That explains why entry mode choices are very important and play an important role in the subsequent success of the foreign operation (Root, 1987)</w:t>
      </w:r>
      <w:r w:rsidR="00C8554A">
        <w:t>.</w:t>
      </w:r>
    </w:p>
    <w:p w:rsidR="00CD2CFA" w:rsidRPr="00730468" w:rsidRDefault="00CD2CFA" w:rsidP="00DF3F76">
      <w:pPr>
        <w:spacing w:line="360" w:lineRule="auto"/>
        <w:jc w:val="both"/>
      </w:pPr>
    </w:p>
    <w:p w:rsidR="00CD2CFA" w:rsidRPr="00730468" w:rsidRDefault="00CD2CFA" w:rsidP="00DF3F76">
      <w:pPr>
        <w:spacing w:line="360" w:lineRule="auto"/>
        <w:jc w:val="both"/>
        <w:rPr>
          <w:color w:val="000000" w:themeColor="text1"/>
        </w:rPr>
      </w:pPr>
      <w:r w:rsidRPr="00730468">
        <w:rPr>
          <w:color w:val="000000" w:themeColor="text1"/>
        </w:rPr>
        <w:t xml:space="preserve">In regards to category, entry modes are divided into two main groups - non-equity and equity entry mode, depending on whether an MNE represents investments with or without equity. In this paper, I just discuss about JV and WOS - they are both classified as the equity entry modes (Hennart, 1988; Hennart, 1989). A WOS is defined as a firm in the host country whose common stock is 100% owned by the parent company located in the home country. Thus, a WOS can be established through Greenfield investment or 100% acquisition by the parent company. Greenfield investment is the extent to which a company builds its own new facility in a foreign country where no corporate facilities previously existed. That could be the investment in a manufacturing plant, distribution facility, commercial office or other physical structures. In this paper, acquisition refers to 100% acquisitions which mean an MNE obtain full control of subsidiary - MNE owns all the shares of a </w:t>
      </w:r>
      <w:r w:rsidR="00C8554A">
        <w:rPr>
          <w:color w:val="000000" w:themeColor="text1"/>
        </w:rPr>
        <w:t>subsidiary</w:t>
      </w:r>
      <w:r w:rsidRPr="00730468">
        <w:rPr>
          <w:color w:val="000000" w:themeColor="text1"/>
        </w:rPr>
        <w:t xml:space="preserve">, there are no minority shareholders. Meanwhile, joint ventures are a business arrangement with at least two parties together developing a new entity, a new project or any other business activity, for a finite time, by contributing equity and pooling their resources. Parties are responsible for sharing revenues, expenses and assets. </w:t>
      </w:r>
    </w:p>
    <w:p w:rsidR="00CD2CFA" w:rsidRPr="00730468" w:rsidRDefault="00CD2CFA" w:rsidP="00DF3F76">
      <w:pPr>
        <w:spacing w:line="360" w:lineRule="auto"/>
        <w:jc w:val="both"/>
        <w:rPr>
          <w:color w:val="000000" w:themeColor="text1"/>
        </w:rPr>
      </w:pPr>
    </w:p>
    <w:p w:rsidR="00CD2CFA" w:rsidRPr="00730468" w:rsidRDefault="00CD2CFA" w:rsidP="00DF3F76">
      <w:pPr>
        <w:spacing w:line="360" w:lineRule="auto"/>
        <w:jc w:val="both"/>
        <w:rPr>
          <w:color w:val="000000" w:themeColor="text1"/>
        </w:rPr>
      </w:pPr>
      <w:r w:rsidRPr="00730468">
        <w:rPr>
          <w:color w:val="000000" w:themeColor="text1"/>
        </w:rPr>
        <w:t>In terms of control, commitment and risk, WOS is selected when an MNE desire to get the highest level of control based on making the highest level of commitment and adopting the highest level of risk. Meanwhile, joint ventures get lower level of control but the level of risk can be reduced (Anderson &amp; Gatignon, 1986).</w:t>
      </w:r>
      <w:r w:rsidRPr="00730468">
        <w:t xml:space="preserve"> Both WOS and JV offer certain advantages. On the one hand, MNEs are more inclined</w:t>
      </w:r>
      <w:r w:rsidRPr="00730468">
        <w:rPr>
          <w:color w:val="000000" w:themeColor="text1"/>
        </w:rPr>
        <w:t xml:space="preserve"> to invest through JVs in order to obtain access to local </w:t>
      </w:r>
      <w:r w:rsidRPr="00730468">
        <w:rPr>
          <w:color w:val="000000" w:themeColor="text1"/>
        </w:rPr>
        <w:lastRenderedPageBreak/>
        <w:t>knowledge and contacts. Such specific assets are difficult to be obtained through market contracts, leading MNEs to share the investment project with a local partner to gain the access to their desired resources. Furthermore, JVs reduces the investment and commitment of resources such as equity capital and opportunity costs of managerial talent sent to run the foreign business. Thus, JVs are more flexible as entry modes than WOS since they are more easily dissolved, allowing MNEs disinvestment when unfavorable changes happen. On the other hand, MNEs prefer WOS since WOS provides MNEs an opportunity to expand quickly</w:t>
      </w:r>
      <w:r w:rsidR="00C8554A">
        <w:rPr>
          <w:color w:val="000000" w:themeColor="text1"/>
        </w:rPr>
        <w:t>,</w:t>
      </w:r>
      <w:r w:rsidRPr="00730468">
        <w:rPr>
          <w:color w:val="000000" w:themeColor="text1"/>
        </w:rPr>
        <w:t xml:space="preserve"> independent of the partner so it is unnecessary to cooperate with a partner whose decision and behavior rules are not well-known and understood by the foreign firm. Moreover, penetrating via WOS reduces the risk of losing intellectual property to other companies and remaining high profit. </w:t>
      </w:r>
    </w:p>
    <w:p w:rsidR="00CD2CFA" w:rsidRPr="00730468" w:rsidRDefault="00CD2CFA" w:rsidP="00DF3F76">
      <w:pPr>
        <w:spacing w:line="360" w:lineRule="auto"/>
        <w:jc w:val="both"/>
        <w:rPr>
          <w:color w:val="000000" w:themeColor="text1"/>
        </w:rPr>
      </w:pPr>
    </w:p>
    <w:p w:rsidR="00CD2CFA" w:rsidRPr="00730468" w:rsidRDefault="00CD2CFA" w:rsidP="00DF3F76">
      <w:pPr>
        <w:spacing w:line="360" w:lineRule="auto"/>
        <w:jc w:val="both"/>
        <w:rPr>
          <w:color w:val="000000" w:themeColor="text1"/>
        </w:rPr>
      </w:pPr>
      <w:r w:rsidRPr="00730468">
        <w:rPr>
          <w:color w:val="000000" w:themeColor="text1"/>
        </w:rPr>
        <w:t>Although some scholars make efforts to bridge the stream of ‘establishment mo</w:t>
      </w:r>
      <w:r w:rsidR="00375B8D">
        <w:rPr>
          <w:color w:val="000000" w:themeColor="text1"/>
        </w:rPr>
        <w:t>de choice’ (the choice between G</w:t>
      </w:r>
      <w:r w:rsidRPr="00730468">
        <w:rPr>
          <w:color w:val="000000" w:themeColor="text1"/>
        </w:rPr>
        <w:t>reenfield establishment and acquisition) and entry mode choice (the choice between JVs and WOS) (Dikova &amp; Van Witteloostuijn, 2007), many researchers prove that the entry mode and the establishment mode choices are made independently (Hennart, 1991; Padmanabhan &amp; Cho, 1996). That explains why in this paper, there is n</w:t>
      </w:r>
      <w:r w:rsidR="00375B8D">
        <w:rPr>
          <w:color w:val="000000" w:themeColor="text1"/>
        </w:rPr>
        <w:t>o problem when acquisition and G</w:t>
      </w:r>
      <w:r w:rsidRPr="00730468">
        <w:rPr>
          <w:color w:val="000000" w:themeColor="text1"/>
        </w:rPr>
        <w:t>reenfield investment are grouped into one category – wholly owned subsidiary. My study, therefore, just concern about two choice options, WOS which refer to full-ownership investment and JVs which refer to shared-ownership investment. This binary approach (the choice between JV and WOS) are supported by numerous previous studies (</w:t>
      </w:r>
      <w:r w:rsidR="00C8554A">
        <w:rPr>
          <w:color w:val="000000" w:themeColor="text1"/>
        </w:rPr>
        <w:t xml:space="preserve">e.g., </w:t>
      </w:r>
      <w:r w:rsidRPr="00730468">
        <w:rPr>
          <w:color w:val="000000" w:themeColor="text1"/>
        </w:rPr>
        <w:t>Brouthers &amp; Hennart, 2007; Canabal &amp; White, 2008).</w:t>
      </w:r>
    </w:p>
    <w:p w:rsidR="00C263C5" w:rsidRPr="00730468" w:rsidRDefault="00C263C5" w:rsidP="00DF3F76">
      <w:pPr>
        <w:spacing w:line="360" w:lineRule="auto"/>
        <w:jc w:val="both"/>
        <w:rPr>
          <w:color w:val="000000" w:themeColor="text1"/>
        </w:rPr>
      </w:pPr>
    </w:p>
    <w:p w:rsidR="00E745ED" w:rsidRPr="00730468" w:rsidRDefault="00656191" w:rsidP="00DF3F76">
      <w:pPr>
        <w:pStyle w:val="Heading2"/>
        <w:spacing w:line="360" w:lineRule="auto"/>
      </w:pPr>
      <w:r w:rsidRPr="00730468">
        <w:t xml:space="preserve"> </w:t>
      </w:r>
      <w:bookmarkStart w:id="10" w:name="_Toc487572201"/>
      <w:bookmarkStart w:id="11" w:name="_Toc487707041"/>
      <w:bookmarkStart w:id="12" w:name="_Toc489287931"/>
      <w:r w:rsidR="00CD0446" w:rsidRPr="00730468">
        <w:t>Transaction cost economics (TCE) theory</w:t>
      </w:r>
      <w:bookmarkEnd w:id="10"/>
      <w:bookmarkEnd w:id="11"/>
      <w:bookmarkEnd w:id="12"/>
    </w:p>
    <w:p w:rsidR="00730468" w:rsidRPr="00730468" w:rsidRDefault="00730468" w:rsidP="00DF3F76">
      <w:pPr>
        <w:spacing w:line="360" w:lineRule="auto"/>
        <w:jc w:val="both"/>
        <w:rPr>
          <w:color w:val="000000" w:themeColor="text1"/>
        </w:rPr>
      </w:pPr>
      <w:r w:rsidRPr="00730468">
        <w:rPr>
          <w:color w:val="000000" w:themeColor="text1"/>
        </w:rPr>
        <w:t>Transaction cost perception is first presented by Ronald Coase (1937) with the original definition of transaction cost referring to</w:t>
      </w:r>
      <w:r w:rsidRPr="00730468">
        <w:t xml:space="preserve"> </w:t>
      </w:r>
      <w:r w:rsidRPr="00730468">
        <w:rPr>
          <w:color w:val="000000" w:themeColor="text1"/>
        </w:rPr>
        <w:t>“the cost of carrying out a transaction by means of an exchange on the open market”. Concerning entry mode decisions literature, transaction costs involve the costs of negotiating a contract (Abdi &amp; Au</w:t>
      </w:r>
      <w:r w:rsidR="00FD7E3E">
        <w:rPr>
          <w:color w:val="000000" w:themeColor="text1"/>
        </w:rPr>
        <w:t xml:space="preserve">lakh, 2012), monitoring </w:t>
      </w:r>
      <w:r w:rsidRPr="00730468">
        <w:rPr>
          <w:color w:val="000000" w:themeColor="text1"/>
        </w:rPr>
        <w:t>performance of the subsidiary and the behavior of partners (Dimitratos, Ibeh, Lioukas, &amp; Wheeler, 2010) or establishing safeguards (Feinberg &amp; Gupta, 2009). The basic unit of TCE is the transaction.</w:t>
      </w:r>
      <w:r w:rsidRPr="00730468">
        <w:t xml:space="preserve"> T</w:t>
      </w:r>
      <w:r w:rsidRPr="00730468">
        <w:rPr>
          <w:color w:val="000000" w:themeColor="text1"/>
        </w:rPr>
        <w:t>ransaction cost approach is considered as the dominant theoretical perspective in entry mode choices studies (</w:t>
      </w:r>
      <w:r w:rsidRPr="006A0B43">
        <w:rPr>
          <w:noProof/>
          <w:color w:val="000000" w:themeColor="text1"/>
        </w:rPr>
        <w:t>Kogut and Singh, 1988b; Hennart, 1991; Erramilli and Rao, 1993; Hennart and Park, 1993;</w:t>
      </w:r>
      <w:r w:rsidRPr="00730468">
        <w:rPr>
          <w:color w:val="000000" w:themeColor="text1"/>
        </w:rPr>
        <w:t xml:space="preserve"> </w:t>
      </w:r>
      <w:r w:rsidRPr="00730468">
        <w:rPr>
          <w:color w:val="000000" w:themeColor="text1"/>
        </w:rPr>
        <w:lastRenderedPageBreak/>
        <w:t xml:space="preserve">Padmanabhan &amp; Cho, 1995; Padmanabhan &amp; Cho, 1996; Brouthers and Brouthers, 2000; Brouthers, 2002; Brouthers and Brouthers, 2003). Moreover, in their separate studies, Shrader (2001) and Brouthers (2002) found that companies that observe the propositions of the transaction cost economics have better performance than ones not doing so.  </w:t>
      </w:r>
    </w:p>
    <w:p w:rsidR="00730468" w:rsidRPr="00730468" w:rsidRDefault="00730468" w:rsidP="00DF3F76">
      <w:pPr>
        <w:spacing w:line="360" w:lineRule="auto"/>
        <w:jc w:val="both"/>
        <w:rPr>
          <w:color w:val="000000" w:themeColor="text1"/>
        </w:rPr>
      </w:pPr>
    </w:p>
    <w:p w:rsidR="00730468" w:rsidRPr="00730468" w:rsidRDefault="00730468" w:rsidP="00DF3F76">
      <w:pPr>
        <w:spacing w:line="360" w:lineRule="auto"/>
        <w:jc w:val="both"/>
        <w:rPr>
          <w:color w:val="000000" w:themeColor="text1"/>
        </w:rPr>
      </w:pPr>
      <w:r w:rsidRPr="00730468">
        <w:rPr>
          <w:color w:val="000000" w:themeColor="text1"/>
        </w:rPr>
        <w:t xml:space="preserve">There are two main assumptions in terms of TCE which include </w:t>
      </w:r>
      <w:r w:rsidRPr="00FD7E3E">
        <w:rPr>
          <w:i/>
          <w:color w:val="000000" w:themeColor="text1"/>
        </w:rPr>
        <w:t>bounded rationality</w:t>
      </w:r>
      <w:r w:rsidRPr="00730468">
        <w:rPr>
          <w:color w:val="000000" w:themeColor="text1"/>
        </w:rPr>
        <w:t xml:space="preserve"> and </w:t>
      </w:r>
      <w:r w:rsidRPr="00FD7E3E">
        <w:rPr>
          <w:i/>
          <w:color w:val="000000" w:themeColor="text1"/>
        </w:rPr>
        <w:t>opportunism</w:t>
      </w:r>
      <w:r w:rsidRPr="00730468">
        <w:rPr>
          <w:color w:val="000000" w:themeColor="text1"/>
        </w:rPr>
        <w:t xml:space="preserve">. Bounded rationality refers to the extent by which entitles are supposed to behave rationally but because of their limitation of information and time, they </w:t>
      </w:r>
      <w:r w:rsidR="00FD7E3E">
        <w:rPr>
          <w:color w:val="000000" w:themeColor="text1"/>
        </w:rPr>
        <w:t xml:space="preserve">are still but </w:t>
      </w:r>
      <w:r w:rsidRPr="00730468">
        <w:rPr>
          <w:color w:val="000000" w:themeColor="text1"/>
        </w:rPr>
        <w:t xml:space="preserve">do not completely behave </w:t>
      </w:r>
      <w:r w:rsidR="00FD7E3E" w:rsidRPr="00730468">
        <w:rPr>
          <w:color w:val="000000" w:themeColor="text1"/>
        </w:rPr>
        <w:t xml:space="preserve">rationally </w:t>
      </w:r>
      <w:r w:rsidRPr="00730468">
        <w:rPr>
          <w:color w:val="000000" w:themeColor="text1"/>
        </w:rPr>
        <w:t xml:space="preserve">(Williamson, 1985; March &amp; Simon, 1993). Opportunism happens when </w:t>
      </w:r>
      <w:r w:rsidRPr="00FD7E3E">
        <w:rPr>
          <w:i/>
          <w:color w:val="000000" w:themeColor="text1"/>
        </w:rPr>
        <w:t>self-interest</w:t>
      </w:r>
      <w:r w:rsidRPr="00730468">
        <w:rPr>
          <w:color w:val="000000" w:themeColor="text1"/>
        </w:rPr>
        <w:t xml:space="preserve"> firms exploit each other’s vulnerabilities in the attempt to gain more favo</w:t>
      </w:r>
      <w:r w:rsidR="00D80784">
        <w:rPr>
          <w:color w:val="000000" w:themeColor="text1"/>
        </w:rPr>
        <w:t xml:space="preserve">rable results for themselves from the collaboration. That leads to unexpected behavior like </w:t>
      </w:r>
      <w:r w:rsidR="009C4247">
        <w:rPr>
          <w:color w:val="000000" w:themeColor="text1"/>
        </w:rPr>
        <w:t>stealing, copying or</w:t>
      </w:r>
      <w:r w:rsidR="00D80784">
        <w:rPr>
          <w:color w:val="000000" w:themeColor="text1"/>
        </w:rPr>
        <w:t xml:space="preserve"> </w:t>
      </w:r>
      <w:r w:rsidR="009C4247">
        <w:rPr>
          <w:color w:val="000000" w:themeColor="text1"/>
        </w:rPr>
        <w:t xml:space="preserve">other </w:t>
      </w:r>
      <w:r w:rsidR="00D80784">
        <w:rPr>
          <w:color w:val="000000" w:themeColor="text1"/>
        </w:rPr>
        <w:t>fraud</w:t>
      </w:r>
      <w:r w:rsidR="009C4247">
        <w:rPr>
          <w:color w:val="000000" w:themeColor="text1"/>
        </w:rPr>
        <w:t>s</w:t>
      </w:r>
      <w:r w:rsidR="00D80784">
        <w:rPr>
          <w:color w:val="000000" w:themeColor="text1"/>
        </w:rPr>
        <w:t>.</w:t>
      </w:r>
    </w:p>
    <w:p w:rsidR="00730468" w:rsidRPr="00730468" w:rsidRDefault="00730468" w:rsidP="00DF3F76">
      <w:pPr>
        <w:spacing w:line="360" w:lineRule="auto"/>
        <w:jc w:val="both"/>
        <w:rPr>
          <w:color w:val="FF0000"/>
        </w:rPr>
      </w:pPr>
    </w:p>
    <w:p w:rsidR="00730468" w:rsidRPr="00730468" w:rsidRDefault="00730468" w:rsidP="00DF3F76">
      <w:pPr>
        <w:spacing w:line="360" w:lineRule="auto"/>
        <w:jc w:val="both"/>
        <w:rPr>
          <w:color w:val="000000" w:themeColor="text1"/>
        </w:rPr>
      </w:pPr>
      <w:r w:rsidRPr="00730468">
        <w:rPr>
          <w:color w:val="000000" w:themeColor="text1"/>
        </w:rPr>
        <w:t>The theory takes into account the predicted costs encountered by an enterprise at the time of its operation in a host country. The mitigating impact of country-specific, the decision-specific experiences of an MNE (Padmanabhan &amp; Cho, 1999) and the cultural proximity of the host and home country (Brouthers, 2002) make this cost become lower or higher. The choice of entry mode of an MNE, therefore, is a result of a decision making process that compares the costs and cost-amending associated with alternatives. That means which alternative minimizes the cost of transaction and inefficiencies subsequent to entry would be chosen (Hennart, 1989; Masten, 1993; Klein &amp; Shelanski, 1995).</w:t>
      </w:r>
      <w:r w:rsidRPr="00730468">
        <w:t xml:space="preserve"> The transaction cost is supposed to be higher when countries are more dissimilar in terms of economic development, culture as well as institution since countries differing largely in relative to those mentioned factors will bear higher adaptation costs and subsequently leading to high</w:t>
      </w:r>
      <w:r w:rsidR="00FD7E3E">
        <w:t xml:space="preserve">er cost. </w:t>
      </w:r>
      <w:r w:rsidRPr="00730468">
        <w:t xml:space="preserve">In general, </w:t>
      </w:r>
      <w:r w:rsidRPr="00730468">
        <w:rPr>
          <w:i/>
        </w:rPr>
        <w:t>transaction costs become higher when countries are more distant or more dissimilar</w:t>
      </w:r>
      <w:r w:rsidRPr="00730468">
        <w:t>.</w:t>
      </w:r>
      <w:r w:rsidR="009C4247" w:rsidRPr="009C4247">
        <w:t xml:space="preserve"> </w:t>
      </w:r>
      <w:r w:rsidR="0026178A">
        <w:t xml:space="preserve">In that case, </w:t>
      </w:r>
      <w:r w:rsidR="009C4247">
        <w:t xml:space="preserve">MNEs </w:t>
      </w:r>
      <w:r w:rsidR="0026178A">
        <w:t>are</w:t>
      </w:r>
      <w:r w:rsidR="009C4247" w:rsidRPr="009C4247">
        <w:t xml:space="preserve"> advised to </w:t>
      </w:r>
      <w:r w:rsidR="0026178A">
        <w:t>maintain</w:t>
      </w:r>
      <w:r w:rsidR="009C4247" w:rsidRPr="009C4247">
        <w:t xml:space="preserve"> flexibility and avoid high ownership</w:t>
      </w:r>
      <w:r w:rsidR="0026178A">
        <w:t xml:space="preserve"> mode of entry</w:t>
      </w:r>
      <w:r w:rsidR="009C4247" w:rsidRPr="009C4247">
        <w:t xml:space="preserve"> (Williamson 1975).</w:t>
      </w:r>
    </w:p>
    <w:p w:rsidR="00730468" w:rsidRPr="00730468" w:rsidRDefault="00730468" w:rsidP="00DF3F76">
      <w:pPr>
        <w:spacing w:line="360" w:lineRule="auto"/>
        <w:jc w:val="both"/>
        <w:rPr>
          <w:color w:val="000000" w:themeColor="text1"/>
        </w:rPr>
      </w:pPr>
    </w:p>
    <w:p w:rsidR="00730468" w:rsidRPr="00730468" w:rsidRDefault="00730468" w:rsidP="00DF3F76">
      <w:pPr>
        <w:spacing w:line="360" w:lineRule="auto"/>
        <w:jc w:val="both"/>
        <w:rPr>
          <w:color w:val="000000" w:themeColor="text1"/>
        </w:rPr>
      </w:pPr>
      <w:r w:rsidRPr="00730468">
        <w:rPr>
          <w:color w:val="000000" w:themeColor="text1"/>
        </w:rPr>
        <w:t xml:space="preserve">Another emphasis of the transaction cost approach is the level of control which determines the risk and profitability of investment (Anderson &amp; Gatignon, 1986). If an MNE enters a market by WOS, it has full control over the decision making process of its operation in the host country. That is advantageous since full control enables the company to decide strategies and decisions on </w:t>
      </w:r>
      <w:r w:rsidRPr="00730468">
        <w:rPr>
          <w:color w:val="000000" w:themeColor="text1"/>
        </w:rPr>
        <w:lastRenderedPageBreak/>
        <w:t xml:space="preserve">their own to achieve a higher return (Davidson, 1982). Moreover, full control let MNEs be able to keep invaluable knowledge and assets secretly. Nonetheless, in order to get full control, MNEs have to give higher resource commitment which at the same time generates higher </w:t>
      </w:r>
      <w:r w:rsidR="00FD7E3E">
        <w:rPr>
          <w:color w:val="000000" w:themeColor="text1"/>
        </w:rPr>
        <w:t>s</w:t>
      </w:r>
      <w:r w:rsidRPr="00730468">
        <w:rPr>
          <w:color w:val="000000" w:themeColor="text1"/>
        </w:rPr>
        <w:t>witching cost, making MNEs difficult to adjust their arrangement in case their initial mode not turning out well. Moreover, MNEs have to obtain information, assimilate into local market and develop business rela</w:t>
      </w:r>
      <w:r w:rsidR="009C4247">
        <w:rPr>
          <w:color w:val="000000" w:themeColor="text1"/>
        </w:rPr>
        <w:t xml:space="preserve">tionships on their own. </w:t>
      </w:r>
      <w:r w:rsidRPr="00730468">
        <w:rPr>
          <w:color w:val="000000" w:themeColor="text1"/>
        </w:rPr>
        <w:t xml:space="preserve">The cost associated with those things can be very high. Meanwhile, with the mode associated with low degree of control, transaction costs might be lower (Hill, Hwang, &amp; Kim, 1990). A JV with a local company allows an MNE to have access to information about the local markets and institutions, higher flexibility but JV could lead to the leak of the intangible asset or technology possessed by the MNE to the local partner. Moreover, MNEs have to pay significant cost for monitoring opportunistic behaviors of their local partners and the cost for cooperation. Therefore, TCE suggests that </w:t>
      </w:r>
      <w:r w:rsidRPr="00730468">
        <w:rPr>
          <w:i/>
          <w:color w:val="000000" w:themeColor="text1"/>
        </w:rPr>
        <w:t>entry mode selection is also based on the trade-off between control and resource commitment.</w:t>
      </w:r>
    </w:p>
    <w:p w:rsidR="00730468" w:rsidRPr="00730468" w:rsidRDefault="00730468" w:rsidP="00DF3F76">
      <w:pPr>
        <w:spacing w:line="360" w:lineRule="auto"/>
        <w:jc w:val="both"/>
        <w:rPr>
          <w:color w:val="000000" w:themeColor="text1"/>
        </w:rPr>
      </w:pPr>
    </w:p>
    <w:p w:rsidR="00730468" w:rsidRDefault="00730468" w:rsidP="00DF3F76">
      <w:pPr>
        <w:spacing w:line="360" w:lineRule="auto"/>
        <w:jc w:val="both"/>
        <w:rPr>
          <w:color w:val="000000" w:themeColor="text1"/>
        </w:rPr>
      </w:pPr>
      <w:r w:rsidRPr="00730468">
        <w:rPr>
          <w:color w:val="000000" w:themeColor="text1"/>
        </w:rPr>
        <w:t>TCE comprises three main dimensions which are asset specificity, external uncertainty and internal uncertainty (Williamson, 1985; Anderson &amp; Gatignon, 1986). Asset specificity involves a broad range of resources that are tailored to a specific relationship while</w:t>
      </w:r>
      <w:r w:rsidRPr="00730468">
        <w:t xml:space="preserve"> </w:t>
      </w:r>
      <w:r w:rsidRPr="00730468">
        <w:rPr>
          <w:color w:val="000000" w:themeColor="text1"/>
        </w:rPr>
        <w:t>external uncertainty which embraces the probability of encountering the unexpected changes in the institutional, cultural and economic environment</w:t>
      </w:r>
      <w:r w:rsidRPr="00730468">
        <w:t xml:space="preserve"> </w:t>
      </w:r>
      <w:r w:rsidRPr="00730468">
        <w:rPr>
          <w:color w:val="000000" w:themeColor="text1"/>
        </w:rPr>
        <w:t>(Bremen et al.,  2010) and internal uncertainty involves a company’s lack of experience or knowledge of foreign markets (Zhao et al., 2004). Thus, geographic distance, cultural distance, economic distance, governance distance, sector type, firm size and host country experience are suitable to be examined in terms</w:t>
      </w:r>
      <w:r w:rsidR="000D4C92">
        <w:rPr>
          <w:color w:val="000000" w:themeColor="text1"/>
        </w:rPr>
        <w:t xml:space="preserve"> of entry mode determinants. </w:t>
      </w:r>
    </w:p>
    <w:p w:rsidR="000D4C92" w:rsidRPr="00730468" w:rsidRDefault="000D4C92" w:rsidP="00DF3F76">
      <w:pPr>
        <w:spacing w:line="360" w:lineRule="auto"/>
        <w:jc w:val="both"/>
        <w:rPr>
          <w:color w:val="000000" w:themeColor="text1"/>
        </w:rPr>
      </w:pPr>
    </w:p>
    <w:p w:rsidR="00730468" w:rsidRPr="00730468" w:rsidRDefault="00730468" w:rsidP="00DF3F76">
      <w:pPr>
        <w:spacing w:line="360" w:lineRule="auto"/>
        <w:jc w:val="both"/>
        <w:rPr>
          <w:color w:val="000000" w:themeColor="text1"/>
        </w:rPr>
      </w:pPr>
      <w:r w:rsidRPr="00730468">
        <w:rPr>
          <w:color w:val="000000" w:themeColor="text1"/>
        </w:rPr>
        <w:t xml:space="preserve">However, entry mode choices do not always </w:t>
      </w:r>
      <w:r w:rsidR="002B6CE0">
        <w:rPr>
          <w:color w:val="000000" w:themeColor="text1"/>
        </w:rPr>
        <w:t>turn out</w:t>
      </w:r>
      <w:r w:rsidRPr="00730468">
        <w:rPr>
          <w:color w:val="000000" w:themeColor="text1"/>
        </w:rPr>
        <w:t xml:space="preserve"> in the way that TCE </w:t>
      </w:r>
      <w:r w:rsidR="002B6CE0">
        <w:rPr>
          <w:color w:val="000000" w:themeColor="text1"/>
        </w:rPr>
        <w:t>could</w:t>
      </w:r>
      <w:r w:rsidRPr="00730468">
        <w:rPr>
          <w:color w:val="000000" w:themeColor="text1"/>
        </w:rPr>
        <w:t xml:space="preserve"> </w:t>
      </w:r>
      <w:r w:rsidR="002B6CE0">
        <w:rPr>
          <w:color w:val="000000" w:themeColor="text1"/>
        </w:rPr>
        <w:t>explain</w:t>
      </w:r>
      <w:r w:rsidRPr="00730468">
        <w:rPr>
          <w:color w:val="000000" w:themeColor="text1"/>
        </w:rPr>
        <w:t xml:space="preserve">. </w:t>
      </w:r>
      <w:r w:rsidR="002B6CE0">
        <w:rPr>
          <w:color w:val="000000" w:themeColor="text1"/>
        </w:rPr>
        <w:t>In other word</w:t>
      </w:r>
      <w:r w:rsidRPr="00730468">
        <w:rPr>
          <w:color w:val="000000" w:themeColor="text1"/>
        </w:rPr>
        <w:t>, the logic from transaction cost theory is just simply not enough to explain the impact of certain entry mode determinants. Therefore, I combine TCE with other theories and empirical studies to have better explanation for factors which are examined in my study.</w:t>
      </w:r>
    </w:p>
    <w:p w:rsidR="0097279C" w:rsidRDefault="0097279C">
      <w:pPr>
        <w:spacing w:after="200" w:line="276" w:lineRule="auto"/>
        <w:rPr>
          <w:color w:val="000000" w:themeColor="text1"/>
        </w:rPr>
      </w:pPr>
      <w:r>
        <w:rPr>
          <w:color w:val="000000" w:themeColor="text1"/>
        </w:rPr>
        <w:br w:type="page"/>
      </w:r>
    </w:p>
    <w:p w:rsidR="00AC4D00" w:rsidRPr="00730468" w:rsidRDefault="00656191" w:rsidP="00DF3F76">
      <w:pPr>
        <w:pStyle w:val="Heading2"/>
        <w:spacing w:line="360" w:lineRule="auto"/>
      </w:pPr>
      <w:r w:rsidRPr="00730468">
        <w:lastRenderedPageBreak/>
        <w:t xml:space="preserve"> </w:t>
      </w:r>
      <w:bookmarkStart w:id="13" w:name="_Toc487572202"/>
      <w:bookmarkStart w:id="14" w:name="_Toc487707042"/>
      <w:bookmarkStart w:id="15" w:name="_Toc489287932"/>
      <w:r w:rsidR="00AC4D00" w:rsidRPr="00730468">
        <w:t xml:space="preserve">Theoretical framework and </w:t>
      </w:r>
      <w:r w:rsidR="00593539" w:rsidRPr="00730468">
        <w:t>hypotheses</w:t>
      </w:r>
      <w:r w:rsidR="006D173C" w:rsidRPr="00730468">
        <w:t xml:space="preserve"> development</w:t>
      </w:r>
      <w:bookmarkEnd w:id="13"/>
      <w:bookmarkEnd w:id="14"/>
      <w:bookmarkEnd w:id="15"/>
    </w:p>
    <w:p w:rsidR="00026128" w:rsidRPr="00730468" w:rsidRDefault="00026128" w:rsidP="00DF3F76">
      <w:pPr>
        <w:spacing w:line="360" w:lineRule="auto"/>
        <w:jc w:val="both"/>
        <w:rPr>
          <w:color w:val="000000" w:themeColor="text1"/>
        </w:rPr>
      </w:pPr>
      <w:r w:rsidRPr="00730468">
        <w:rPr>
          <w:color w:val="000000" w:themeColor="text1"/>
        </w:rPr>
        <w:t>Entry mode choice</w:t>
      </w:r>
      <w:r w:rsidR="00F50A13" w:rsidRPr="00730468">
        <w:rPr>
          <w:color w:val="000000" w:themeColor="text1"/>
        </w:rPr>
        <w:t xml:space="preserve">s refer </w:t>
      </w:r>
      <w:r w:rsidRPr="00730468">
        <w:rPr>
          <w:color w:val="000000" w:themeColor="text1"/>
        </w:rPr>
        <w:t>to the preference of a</w:t>
      </w:r>
      <w:r w:rsidR="0028286A" w:rsidRPr="00730468">
        <w:rPr>
          <w:color w:val="000000" w:themeColor="text1"/>
        </w:rPr>
        <w:t>n</w:t>
      </w:r>
      <w:r w:rsidRPr="00730468">
        <w:rPr>
          <w:color w:val="000000" w:themeColor="text1"/>
        </w:rPr>
        <w:t xml:space="preserve"> MNE for how to enter foreign markets. </w:t>
      </w:r>
      <w:r w:rsidR="00F50A13" w:rsidRPr="00730468">
        <w:rPr>
          <w:color w:val="000000" w:themeColor="text1"/>
        </w:rPr>
        <w:t>The MNE</w:t>
      </w:r>
      <w:r w:rsidRPr="00730468">
        <w:rPr>
          <w:color w:val="000000" w:themeColor="text1"/>
        </w:rPr>
        <w:t xml:space="preserve"> makes this choice by considering various factors like:</w:t>
      </w:r>
    </w:p>
    <w:p w:rsidR="002A7707" w:rsidRPr="00730468" w:rsidRDefault="00EF012B" w:rsidP="00F65E94">
      <w:pPr>
        <w:spacing w:line="360" w:lineRule="auto"/>
        <w:jc w:val="center"/>
        <w:rPr>
          <w:color w:val="000000" w:themeColor="text1"/>
        </w:rPr>
      </w:pPr>
      <w:r w:rsidRPr="00730468">
        <w:rPr>
          <w:noProof/>
          <w:color w:val="000000" w:themeColor="text1"/>
        </w:rPr>
        <w:drawing>
          <wp:inline distT="0" distB="0" distL="0" distR="0" wp14:anchorId="5EAF6CEB" wp14:editId="0AF256BB">
            <wp:extent cx="5116749" cy="3672271"/>
            <wp:effectExtent l="0" t="0" r="8255" b="4445"/>
            <wp:docPr id="5154" name="Picture 5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124924" cy="3678138"/>
                    </a:xfrm>
                    <a:prstGeom prst="rect">
                      <a:avLst/>
                    </a:prstGeom>
                    <a:noFill/>
                  </pic:spPr>
                </pic:pic>
              </a:graphicData>
            </a:graphic>
          </wp:inline>
        </w:drawing>
      </w:r>
    </w:p>
    <w:p w:rsidR="004F54EE" w:rsidRPr="00730468" w:rsidRDefault="004F54EE" w:rsidP="00F65E94">
      <w:pPr>
        <w:spacing w:line="360" w:lineRule="auto"/>
        <w:ind w:firstLine="720"/>
        <w:rPr>
          <w:color w:val="000000" w:themeColor="text1"/>
        </w:rPr>
      </w:pPr>
      <w:r w:rsidRPr="00730468">
        <w:rPr>
          <w:color w:val="000000" w:themeColor="text1"/>
        </w:rPr>
        <w:t>+ Positive correlation</w:t>
      </w:r>
    </w:p>
    <w:p w:rsidR="004F54EE" w:rsidRPr="00730468" w:rsidRDefault="004F54EE" w:rsidP="00F65E94">
      <w:pPr>
        <w:spacing w:line="360" w:lineRule="auto"/>
        <w:ind w:firstLine="720"/>
        <w:rPr>
          <w:color w:val="000000" w:themeColor="text1"/>
        </w:rPr>
      </w:pPr>
      <w:r w:rsidRPr="00730468">
        <w:rPr>
          <w:color w:val="000000" w:themeColor="text1"/>
        </w:rPr>
        <w:t>- Negative correlation</w:t>
      </w:r>
    </w:p>
    <w:p w:rsidR="00375B8D" w:rsidRDefault="00F50A13" w:rsidP="00375B8D">
      <w:pPr>
        <w:spacing w:line="360" w:lineRule="auto"/>
        <w:jc w:val="center"/>
        <w:rPr>
          <w:color w:val="000000" w:themeColor="text1"/>
        </w:rPr>
      </w:pPr>
      <w:r w:rsidRPr="00730468">
        <w:rPr>
          <w:color w:val="000000" w:themeColor="text1"/>
        </w:rPr>
        <w:t>Figure 1:  Theoretical framework – The expected impact</w:t>
      </w:r>
      <w:r w:rsidR="004F54EE" w:rsidRPr="00730468">
        <w:rPr>
          <w:color w:val="000000" w:themeColor="text1"/>
        </w:rPr>
        <w:t>s</w:t>
      </w:r>
      <w:r w:rsidRPr="00730468">
        <w:rPr>
          <w:color w:val="000000" w:themeColor="text1"/>
        </w:rPr>
        <w:t xml:space="preserve"> of independent variables </w:t>
      </w:r>
    </w:p>
    <w:p w:rsidR="00F50A13" w:rsidRPr="00730468" w:rsidRDefault="00375B8D" w:rsidP="00375B8D">
      <w:pPr>
        <w:spacing w:line="360" w:lineRule="auto"/>
        <w:jc w:val="center"/>
        <w:rPr>
          <w:color w:val="000000" w:themeColor="text1"/>
        </w:rPr>
      </w:pPr>
      <w:r>
        <w:rPr>
          <w:color w:val="000000" w:themeColor="text1"/>
        </w:rPr>
        <w:t xml:space="preserve">of </w:t>
      </w:r>
      <w:r w:rsidR="004F54EE" w:rsidRPr="00730468">
        <w:rPr>
          <w:color w:val="000000" w:themeColor="text1"/>
        </w:rPr>
        <w:t>en</w:t>
      </w:r>
      <w:r w:rsidR="00F50A13" w:rsidRPr="00730468">
        <w:rPr>
          <w:color w:val="000000" w:themeColor="text1"/>
        </w:rPr>
        <w:t>try mode decision</w:t>
      </w:r>
    </w:p>
    <w:p w:rsidR="008C673D" w:rsidRPr="00730468" w:rsidRDefault="00F7094D" w:rsidP="00DF3F76">
      <w:pPr>
        <w:pStyle w:val="Heading3"/>
        <w:spacing w:line="360" w:lineRule="auto"/>
      </w:pPr>
      <w:bookmarkStart w:id="16" w:name="_Toc487572203"/>
      <w:bookmarkStart w:id="17" w:name="_Toc487707043"/>
      <w:bookmarkStart w:id="18" w:name="_Toc489287933"/>
      <w:r w:rsidRPr="00730468">
        <w:t xml:space="preserve">2.3.1. </w:t>
      </w:r>
      <w:r w:rsidR="0075076E" w:rsidRPr="00730468">
        <w:t>Economic</w:t>
      </w:r>
      <w:r w:rsidR="00026128" w:rsidRPr="00730468">
        <w:t xml:space="preserve"> distance: </w:t>
      </w:r>
      <w:r w:rsidR="008C673D" w:rsidRPr="00730468">
        <w:t>(ED)</w:t>
      </w:r>
      <w:bookmarkEnd w:id="16"/>
      <w:bookmarkEnd w:id="17"/>
      <w:bookmarkEnd w:id="18"/>
      <w:r w:rsidR="004A07F1" w:rsidRPr="00730468">
        <w:t xml:space="preserve"> </w:t>
      </w:r>
    </w:p>
    <w:p w:rsidR="0051735C" w:rsidRPr="00730468" w:rsidRDefault="002F0656" w:rsidP="00DF3F76">
      <w:pPr>
        <w:spacing w:line="360" w:lineRule="auto"/>
        <w:jc w:val="both"/>
        <w:rPr>
          <w:color w:val="000000" w:themeColor="text1"/>
        </w:rPr>
      </w:pPr>
      <w:r w:rsidRPr="00730468">
        <w:rPr>
          <w:color w:val="000000" w:themeColor="text1"/>
        </w:rPr>
        <w:t xml:space="preserve">Economic distance is </w:t>
      </w:r>
      <w:r w:rsidR="006E23A7" w:rsidRPr="00730468">
        <w:rPr>
          <w:color w:val="000000" w:themeColor="text1"/>
        </w:rPr>
        <w:t>defined</w:t>
      </w:r>
      <w:r w:rsidRPr="00730468">
        <w:rPr>
          <w:color w:val="000000" w:themeColor="text1"/>
        </w:rPr>
        <w:t xml:space="preserve"> as </w:t>
      </w:r>
      <w:r w:rsidR="00C85198" w:rsidRPr="00730468">
        <w:rPr>
          <w:color w:val="000000" w:themeColor="text1"/>
        </w:rPr>
        <w:t xml:space="preserve">the difference between </w:t>
      </w:r>
      <w:r w:rsidRPr="00730468">
        <w:rPr>
          <w:color w:val="000000" w:themeColor="text1"/>
        </w:rPr>
        <w:t xml:space="preserve">the level of economic development in the host country </w:t>
      </w:r>
      <w:r w:rsidR="0051735C" w:rsidRPr="00730468">
        <w:rPr>
          <w:color w:val="000000" w:themeColor="text1"/>
        </w:rPr>
        <w:t>in regards</w:t>
      </w:r>
      <w:r w:rsidR="00C85198" w:rsidRPr="00730468">
        <w:rPr>
          <w:color w:val="000000" w:themeColor="text1"/>
        </w:rPr>
        <w:t xml:space="preserve"> to</w:t>
      </w:r>
      <w:r w:rsidR="0051735C" w:rsidRPr="00730468">
        <w:rPr>
          <w:color w:val="000000" w:themeColor="text1"/>
        </w:rPr>
        <w:t xml:space="preserve"> </w:t>
      </w:r>
      <w:r w:rsidR="00C85198" w:rsidRPr="00730468">
        <w:rPr>
          <w:color w:val="000000" w:themeColor="text1"/>
        </w:rPr>
        <w:t>that level in</w:t>
      </w:r>
      <w:r w:rsidRPr="00730468">
        <w:rPr>
          <w:color w:val="000000" w:themeColor="text1"/>
        </w:rPr>
        <w:t xml:space="preserve"> the home country (Ghemawat, 2001</w:t>
      </w:r>
      <w:r w:rsidR="0051735C" w:rsidRPr="00730468">
        <w:t>; Johnson &amp; Tellis, 2008</w:t>
      </w:r>
      <w:r w:rsidRPr="00730468">
        <w:t>).</w:t>
      </w:r>
      <w:r w:rsidR="0051735C" w:rsidRPr="00730468">
        <w:rPr>
          <w:color w:val="000000" w:themeColor="text1"/>
        </w:rPr>
        <w:t xml:space="preserve"> </w:t>
      </w:r>
    </w:p>
    <w:p w:rsidR="00CD3A9D" w:rsidRPr="00730468" w:rsidRDefault="00CD3A9D" w:rsidP="00DF3F76">
      <w:pPr>
        <w:spacing w:line="360" w:lineRule="auto"/>
        <w:jc w:val="both"/>
        <w:rPr>
          <w:color w:val="000000" w:themeColor="text1"/>
        </w:rPr>
      </w:pPr>
    </w:p>
    <w:p w:rsidR="00CD3A9D" w:rsidRPr="00730468" w:rsidRDefault="00B07069" w:rsidP="00DF3F76">
      <w:pPr>
        <w:spacing w:line="360" w:lineRule="auto"/>
        <w:jc w:val="both"/>
        <w:rPr>
          <w:color w:val="000000" w:themeColor="text1"/>
        </w:rPr>
      </w:pPr>
      <w:r w:rsidRPr="00730468">
        <w:rPr>
          <w:color w:val="000000" w:themeColor="text1"/>
        </w:rPr>
        <w:t>In</w:t>
      </w:r>
      <w:r w:rsidR="00CD3A9D" w:rsidRPr="00730468">
        <w:rPr>
          <w:color w:val="000000" w:themeColor="text1"/>
        </w:rPr>
        <w:t xml:space="preserve"> international business literature</w:t>
      </w:r>
      <w:r w:rsidRPr="00730468">
        <w:rPr>
          <w:color w:val="000000" w:themeColor="text1"/>
        </w:rPr>
        <w:t>,</w:t>
      </w:r>
      <w:r w:rsidR="00CD3A9D" w:rsidRPr="00730468">
        <w:rPr>
          <w:color w:val="000000" w:themeColor="text1"/>
        </w:rPr>
        <w:t xml:space="preserve"> </w:t>
      </w:r>
      <w:r w:rsidRPr="00730468">
        <w:rPr>
          <w:color w:val="000000" w:themeColor="text1"/>
        </w:rPr>
        <w:t>there are</w:t>
      </w:r>
      <w:r w:rsidR="00CD3A9D" w:rsidRPr="00730468">
        <w:rPr>
          <w:color w:val="000000" w:themeColor="text1"/>
        </w:rPr>
        <w:t xml:space="preserve"> three </w:t>
      </w:r>
      <w:r w:rsidRPr="00730468">
        <w:rPr>
          <w:color w:val="000000" w:themeColor="text1"/>
        </w:rPr>
        <w:t>most common</w:t>
      </w:r>
      <w:r w:rsidR="00CD3A9D" w:rsidRPr="00730468">
        <w:rPr>
          <w:color w:val="000000" w:themeColor="text1"/>
        </w:rPr>
        <w:t xml:space="preserve"> indicators </w:t>
      </w:r>
      <w:r w:rsidRPr="00730468">
        <w:rPr>
          <w:color w:val="000000" w:themeColor="text1"/>
        </w:rPr>
        <w:t xml:space="preserve">in terms </w:t>
      </w:r>
      <w:r w:rsidR="00CD3A9D" w:rsidRPr="00730468">
        <w:rPr>
          <w:color w:val="000000" w:themeColor="text1"/>
        </w:rPr>
        <w:t xml:space="preserve">of economic </w:t>
      </w:r>
      <w:r w:rsidRPr="00730468">
        <w:rPr>
          <w:color w:val="000000" w:themeColor="text1"/>
        </w:rPr>
        <w:t>distance</w:t>
      </w:r>
      <w:r w:rsidR="00CD3A9D" w:rsidRPr="00730468">
        <w:rPr>
          <w:color w:val="000000" w:themeColor="text1"/>
        </w:rPr>
        <w:t xml:space="preserve"> </w:t>
      </w:r>
      <w:r w:rsidRPr="00730468">
        <w:rPr>
          <w:color w:val="000000" w:themeColor="text1"/>
        </w:rPr>
        <w:t xml:space="preserve">which include consumer income </w:t>
      </w:r>
      <w:r w:rsidR="00CD3A9D" w:rsidRPr="00730468">
        <w:rPr>
          <w:color w:val="000000" w:themeColor="text1"/>
        </w:rPr>
        <w:t>(GDP per capita), inflation rates</w:t>
      </w:r>
      <w:r w:rsidRPr="00730468">
        <w:rPr>
          <w:color w:val="000000" w:themeColor="text1"/>
        </w:rPr>
        <w:t xml:space="preserve"> (GDP deflator (% GDP)</w:t>
      </w:r>
      <w:r w:rsidR="00CD3A9D" w:rsidRPr="00730468">
        <w:rPr>
          <w:color w:val="000000" w:themeColor="text1"/>
        </w:rPr>
        <w:t xml:space="preserve">, </w:t>
      </w:r>
      <w:r w:rsidR="00CD3A9D" w:rsidRPr="00705E75">
        <w:rPr>
          <w:color w:val="000000" w:themeColor="text1"/>
        </w:rPr>
        <w:t xml:space="preserve">and trade </w:t>
      </w:r>
      <w:r w:rsidRPr="00705E75">
        <w:rPr>
          <w:color w:val="000000" w:themeColor="text1"/>
        </w:rPr>
        <w:t xml:space="preserve">intensity in relative </w:t>
      </w:r>
      <w:r w:rsidR="004F54EE" w:rsidRPr="00705E75">
        <w:rPr>
          <w:noProof/>
          <w:color w:val="000000" w:themeColor="text1"/>
        </w:rPr>
        <w:t>to</w:t>
      </w:r>
      <w:r w:rsidR="00CD3A9D" w:rsidRPr="00705E75">
        <w:rPr>
          <w:noProof/>
          <w:color w:val="000000" w:themeColor="text1"/>
        </w:rPr>
        <w:t xml:space="preserve"> the rest of the world (</w:t>
      </w:r>
      <w:r w:rsidRPr="00705E75">
        <w:rPr>
          <w:noProof/>
          <w:color w:val="000000" w:themeColor="text1"/>
        </w:rPr>
        <w:t>the difference</w:t>
      </w:r>
      <w:r w:rsidRPr="00705E75">
        <w:rPr>
          <w:color w:val="000000" w:themeColor="text1"/>
        </w:rPr>
        <w:t xml:space="preserve"> of export and import </w:t>
      </w:r>
      <w:r w:rsidR="00CD3A9D" w:rsidRPr="00705E75">
        <w:rPr>
          <w:color w:val="000000" w:themeColor="text1"/>
        </w:rPr>
        <w:t xml:space="preserve">as a proportion of GDP). </w:t>
      </w:r>
      <w:r w:rsidR="00F7138D" w:rsidRPr="00730468">
        <w:rPr>
          <w:color w:val="000000" w:themeColor="text1"/>
        </w:rPr>
        <w:t xml:space="preserve">Among them, consumer’s income is the most dominated proxy used to measure economic distance. It measures the countries difference in regards of </w:t>
      </w:r>
      <w:r w:rsidR="009725A4" w:rsidRPr="00730468">
        <w:rPr>
          <w:color w:val="000000" w:themeColor="text1"/>
        </w:rPr>
        <w:t xml:space="preserve">consumer </w:t>
      </w:r>
      <w:r w:rsidR="00F7138D" w:rsidRPr="00730468">
        <w:rPr>
          <w:color w:val="000000" w:themeColor="text1"/>
        </w:rPr>
        <w:t xml:space="preserve">wealth </w:t>
      </w:r>
      <w:r w:rsidR="009725A4" w:rsidRPr="00730468">
        <w:rPr>
          <w:color w:val="000000" w:themeColor="text1"/>
        </w:rPr>
        <w:lastRenderedPageBreak/>
        <w:t>(</w:t>
      </w:r>
      <w:r w:rsidR="00F7138D" w:rsidRPr="00730468">
        <w:rPr>
          <w:color w:val="000000" w:themeColor="text1"/>
        </w:rPr>
        <w:t>Ghemawat, 2001)</w:t>
      </w:r>
      <w:r w:rsidR="009725A4" w:rsidRPr="00730468">
        <w:rPr>
          <w:color w:val="000000" w:themeColor="text1"/>
        </w:rPr>
        <w:t xml:space="preserve"> and</w:t>
      </w:r>
      <w:r w:rsidR="00F7138D" w:rsidRPr="00730468">
        <w:rPr>
          <w:color w:val="000000" w:themeColor="text1"/>
        </w:rPr>
        <w:t xml:space="preserve"> involves</w:t>
      </w:r>
      <w:r w:rsidR="00CD3A9D" w:rsidRPr="00730468">
        <w:rPr>
          <w:color w:val="000000" w:themeColor="text1"/>
        </w:rPr>
        <w:t xml:space="preserve"> </w:t>
      </w:r>
      <w:r w:rsidR="00F7138D" w:rsidRPr="00730468">
        <w:rPr>
          <w:color w:val="000000" w:themeColor="text1"/>
        </w:rPr>
        <w:t>the</w:t>
      </w:r>
      <w:r w:rsidR="00CD3A9D" w:rsidRPr="00730468">
        <w:rPr>
          <w:color w:val="000000" w:themeColor="text1"/>
        </w:rPr>
        <w:t xml:space="preserve"> consumer pu</w:t>
      </w:r>
      <w:r w:rsidR="009725A4" w:rsidRPr="00730468">
        <w:rPr>
          <w:color w:val="000000" w:themeColor="text1"/>
        </w:rPr>
        <w:t>rchasing power and preferences. The second indicator refers to</w:t>
      </w:r>
      <w:r w:rsidR="00CD3A9D" w:rsidRPr="00730468">
        <w:rPr>
          <w:color w:val="000000" w:themeColor="text1"/>
        </w:rPr>
        <w:t xml:space="preserve"> macroeconomic stability</w:t>
      </w:r>
      <w:r w:rsidR="009725A4" w:rsidRPr="00730468">
        <w:rPr>
          <w:color w:val="000000" w:themeColor="text1"/>
        </w:rPr>
        <w:t xml:space="preserve"> while the last indicator involves</w:t>
      </w:r>
      <w:r w:rsidR="00CD3A9D" w:rsidRPr="00730468">
        <w:rPr>
          <w:color w:val="000000" w:themeColor="text1"/>
        </w:rPr>
        <w:t xml:space="preserve"> the openness of the economy to </w:t>
      </w:r>
      <w:r w:rsidR="009725A4" w:rsidRPr="00730468">
        <w:rPr>
          <w:color w:val="000000" w:themeColor="text1"/>
        </w:rPr>
        <w:t>external influences</w:t>
      </w:r>
      <w:r w:rsidR="00CD3A9D" w:rsidRPr="00730468">
        <w:rPr>
          <w:color w:val="000000" w:themeColor="text1"/>
        </w:rPr>
        <w:t xml:space="preserve">. </w:t>
      </w:r>
      <w:r w:rsidR="009725A4" w:rsidRPr="00730468">
        <w:rPr>
          <w:color w:val="000000" w:themeColor="text1"/>
        </w:rPr>
        <w:t>Multiple</w:t>
      </w:r>
      <w:r w:rsidR="00CD3A9D" w:rsidRPr="00730468">
        <w:rPr>
          <w:color w:val="000000" w:themeColor="text1"/>
        </w:rPr>
        <w:t xml:space="preserve"> </w:t>
      </w:r>
      <w:r w:rsidR="009725A4" w:rsidRPr="00730468">
        <w:rPr>
          <w:color w:val="000000" w:themeColor="text1"/>
        </w:rPr>
        <w:t>researches</w:t>
      </w:r>
      <w:r w:rsidR="00CD3A9D" w:rsidRPr="00730468">
        <w:rPr>
          <w:color w:val="000000" w:themeColor="text1"/>
        </w:rPr>
        <w:t xml:space="preserve"> in international business have examined the impact of economic distance on the </w:t>
      </w:r>
      <w:r w:rsidR="009725A4" w:rsidRPr="00730468">
        <w:rPr>
          <w:color w:val="000000" w:themeColor="text1"/>
        </w:rPr>
        <w:t>decision</w:t>
      </w:r>
      <w:r w:rsidR="00CD3A9D" w:rsidRPr="00730468">
        <w:rPr>
          <w:color w:val="000000" w:themeColor="text1"/>
        </w:rPr>
        <w:t xml:space="preserve"> of foreign market, and of entry mode (Iyer, 1997; Yeung, 1997; Zaheer &amp; Zaheer, 1997). </w:t>
      </w:r>
    </w:p>
    <w:p w:rsidR="009725A4" w:rsidRPr="00730468" w:rsidRDefault="009725A4" w:rsidP="00DF3F76">
      <w:pPr>
        <w:spacing w:line="360" w:lineRule="auto"/>
        <w:jc w:val="both"/>
        <w:rPr>
          <w:color w:val="000000" w:themeColor="text1"/>
        </w:rPr>
      </w:pPr>
    </w:p>
    <w:p w:rsidR="00D8498C" w:rsidRPr="00730468" w:rsidRDefault="008B5B56" w:rsidP="00DF3F76">
      <w:pPr>
        <w:spacing w:line="360" w:lineRule="auto"/>
        <w:jc w:val="both"/>
        <w:rPr>
          <w:color w:val="000000" w:themeColor="text1"/>
        </w:rPr>
      </w:pPr>
      <w:r w:rsidRPr="00730468">
        <w:rPr>
          <w:color w:val="000000" w:themeColor="text1"/>
        </w:rPr>
        <w:t xml:space="preserve">From the perspective of </w:t>
      </w:r>
      <w:r w:rsidR="005C5528">
        <w:rPr>
          <w:color w:val="000000" w:themeColor="text1"/>
        </w:rPr>
        <w:t>t</w:t>
      </w:r>
      <w:r w:rsidR="005C5528" w:rsidRPr="005C5528">
        <w:rPr>
          <w:color w:val="000000" w:themeColor="text1"/>
        </w:rPr>
        <w:t>ransaction cost economics</w:t>
      </w:r>
      <w:r w:rsidRPr="00730468">
        <w:rPr>
          <w:color w:val="000000" w:themeColor="text1"/>
        </w:rPr>
        <w:t>, the similarities in economic environments between the home and host countries have the potential to lower costs (Anderson &amp; Gatignon, 1986). That helps to explain</w:t>
      </w:r>
      <w:r w:rsidR="006E3EEC" w:rsidRPr="00730468">
        <w:rPr>
          <w:color w:val="000000" w:themeColor="text1"/>
        </w:rPr>
        <w:t xml:space="preserve"> </w:t>
      </w:r>
      <w:r w:rsidRPr="00730468">
        <w:rPr>
          <w:color w:val="000000" w:themeColor="text1"/>
        </w:rPr>
        <w:t xml:space="preserve">why </w:t>
      </w:r>
      <w:r w:rsidR="006E3EEC" w:rsidRPr="00730468">
        <w:rPr>
          <w:color w:val="000000" w:themeColor="text1"/>
        </w:rPr>
        <w:t>MNE</w:t>
      </w:r>
      <w:r w:rsidRPr="00730468">
        <w:rPr>
          <w:color w:val="000000" w:themeColor="text1"/>
        </w:rPr>
        <w:t>s are more preferable</w:t>
      </w:r>
      <w:r w:rsidR="006E3EEC" w:rsidRPr="00730468">
        <w:rPr>
          <w:color w:val="000000" w:themeColor="text1"/>
        </w:rPr>
        <w:t xml:space="preserve"> to deal on their own in foreign country if</w:t>
      </w:r>
      <w:r w:rsidR="00291EB6" w:rsidRPr="00730468">
        <w:rPr>
          <w:color w:val="000000" w:themeColor="text1"/>
        </w:rPr>
        <w:t xml:space="preserve"> the economic distance between two countries</w:t>
      </w:r>
      <w:r w:rsidR="006E3EEC" w:rsidRPr="00730468">
        <w:rPr>
          <w:color w:val="000000" w:themeColor="text1"/>
        </w:rPr>
        <w:t xml:space="preserve"> is </w:t>
      </w:r>
      <w:r w:rsidRPr="00730468">
        <w:rPr>
          <w:color w:val="000000" w:themeColor="text1"/>
        </w:rPr>
        <w:t>proximate</w:t>
      </w:r>
      <w:r w:rsidR="00291EB6" w:rsidRPr="00730468">
        <w:rPr>
          <w:color w:val="000000" w:themeColor="text1"/>
        </w:rPr>
        <w:t xml:space="preserve"> (</w:t>
      </w:r>
      <w:r w:rsidR="00AE5640" w:rsidRPr="00730468">
        <w:rPr>
          <w:color w:val="000000" w:themeColor="text1"/>
        </w:rPr>
        <w:t xml:space="preserve">Hennart &amp; Larimo, 1998; </w:t>
      </w:r>
      <w:r w:rsidR="00291EB6" w:rsidRPr="00730468">
        <w:rPr>
          <w:color w:val="000000" w:themeColor="text1"/>
        </w:rPr>
        <w:t>Johnson &amp; Tellis, 2008)</w:t>
      </w:r>
      <w:r w:rsidR="006E3EEC" w:rsidRPr="00730468">
        <w:rPr>
          <w:color w:val="000000" w:themeColor="text1"/>
        </w:rPr>
        <w:t>. F</w:t>
      </w:r>
      <w:r w:rsidR="00291EB6" w:rsidRPr="00730468">
        <w:rPr>
          <w:color w:val="000000" w:themeColor="text1"/>
        </w:rPr>
        <w:t>irst</w:t>
      </w:r>
      <w:r w:rsidR="00D71157" w:rsidRPr="00730468">
        <w:rPr>
          <w:color w:val="000000" w:themeColor="text1"/>
        </w:rPr>
        <w:t>ly</w:t>
      </w:r>
      <w:r w:rsidR="006E3EEC" w:rsidRPr="00730468">
        <w:rPr>
          <w:color w:val="000000" w:themeColor="text1"/>
        </w:rPr>
        <w:t xml:space="preserve">, </w:t>
      </w:r>
      <w:r w:rsidR="00D71157" w:rsidRPr="00730468">
        <w:rPr>
          <w:color w:val="000000" w:themeColor="text1"/>
        </w:rPr>
        <w:t>countries with the same level of economic strength tend to have</w:t>
      </w:r>
      <w:r w:rsidR="006E3EEC" w:rsidRPr="00730468">
        <w:rPr>
          <w:color w:val="000000" w:themeColor="text1"/>
        </w:rPr>
        <w:t xml:space="preserve"> </w:t>
      </w:r>
      <w:r w:rsidR="00291EB6" w:rsidRPr="00730468">
        <w:rPr>
          <w:color w:val="000000" w:themeColor="text1"/>
        </w:rPr>
        <w:t xml:space="preserve">similar market </w:t>
      </w:r>
      <w:r w:rsidR="00D71157" w:rsidRPr="00730468">
        <w:rPr>
          <w:color w:val="000000" w:themeColor="text1"/>
        </w:rPr>
        <w:t>segments with similar customer wealth and taste;</w:t>
      </w:r>
      <w:r w:rsidR="00291EB6" w:rsidRPr="00730468">
        <w:rPr>
          <w:color w:val="000000" w:themeColor="text1"/>
        </w:rPr>
        <w:t xml:space="preserve"> </w:t>
      </w:r>
      <w:r w:rsidR="00D71157" w:rsidRPr="00730468">
        <w:rPr>
          <w:color w:val="000000" w:themeColor="text1"/>
        </w:rPr>
        <w:t>as a result,</w:t>
      </w:r>
      <w:r w:rsidR="00291EB6" w:rsidRPr="00730468">
        <w:rPr>
          <w:color w:val="000000" w:themeColor="text1"/>
        </w:rPr>
        <w:t xml:space="preserve"> market demand knowledge</w:t>
      </w:r>
      <w:r w:rsidR="00D71157" w:rsidRPr="00730468">
        <w:rPr>
          <w:color w:val="000000" w:themeColor="text1"/>
        </w:rPr>
        <w:t xml:space="preserve"> could be able to be transferred smoother </w:t>
      </w:r>
      <w:r w:rsidR="00291EB6" w:rsidRPr="00730468">
        <w:rPr>
          <w:color w:val="000000" w:themeColor="text1"/>
        </w:rPr>
        <w:t>from</w:t>
      </w:r>
      <w:r w:rsidR="00D71157" w:rsidRPr="00730468">
        <w:rPr>
          <w:color w:val="000000" w:themeColor="text1"/>
        </w:rPr>
        <w:t xml:space="preserve"> MNE</w:t>
      </w:r>
      <w:r w:rsidR="00E74051" w:rsidRPr="00730468">
        <w:rPr>
          <w:color w:val="000000" w:themeColor="text1"/>
        </w:rPr>
        <w:t>s</w:t>
      </w:r>
      <w:r w:rsidR="00D71157" w:rsidRPr="00730468">
        <w:rPr>
          <w:color w:val="000000" w:themeColor="text1"/>
        </w:rPr>
        <w:t xml:space="preserve"> </w:t>
      </w:r>
      <w:r w:rsidR="00291EB6" w:rsidRPr="00730468">
        <w:rPr>
          <w:color w:val="000000" w:themeColor="text1"/>
        </w:rPr>
        <w:t xml:space="preserve">to </w:t>
      </w:r>
      <w:r w:rsidRPr="00730468">
        <w:rPr>
          <w:color w:val="000000" w:themeColor="text1"/>
        </w:rPr>
        <w:t>their subsidiary</w:t>
      </w:r>
      <w:r w:rsidR="00291EB6" w:rsidRPr="00730468">
        <w:rPr>
          <w:color w:val="000000" w:themeColor="text1"/>
        </w:rPr>
        <w:t>. Moreover,</w:t>
      </w:r>
      <w:r w:rsidR="00A3787D" w:rsidRPr="00730468">
        <w:rPr>
          <w:color w:val="000000" w:themeColor="text1"/>
        </w:rPr>
        <w:t xml:space="preserve"> it is highly likely that</w:t>
      </w:r>
      <w:r w:rsidR="00291EB6" w:rsidRPr="00730468">
        <w:rPr>
          <w:color w:val="000000" w:themeColor="text1"/>
        </w:rPr>
        <w:t xml:space="preserve"> </w:t>
      </w:r>
      <w:r w:rsidR="00A3787D" w:rsidRPr="00730468">
        <w:rPr>
          <w:color w:val="000000" w:themeColor="text1"/>
        </w:rPr>
        <w:t xml:space="preserve">similar economic profile countries would have </w:t>
      </w:r>
      <w:r w:rsidR="00291EB6" w:rsidRPr="00730468">
        <w:rPr>
          <w:color w:val="000000" w:themeColor="text1"/>
        </w:rPr>
        <w:t>similar physical infrastructures</w:t>
      </w:r>
      <w:r w:rsidR="00A3787D" w:rsidRPr="00730468">
        <w:rPr>
          <w:color w:val="000000" w:themeColor="text1"/>
        </w:rPr>
        <w:t>; therefore, an MNE does not need to put too many efforts to make operation activities in foreign market get stable</w:t>
      </w:r>
      <w:r w:rsidR="00291EB6" w:rsidRPr="00730468">
        <w:rPr>
          <w:color w:val="000000" w:themeColor="text1"/>
        </w:rPr>
        <w:t xml:space="preserve">, consequently lower costs. </w:t>
      </w:r>
      <w:r w:rsidR="00A3787D" w:rsidRPr="00730468">
        <w:rPr>
          <w:color w:val="000000" w:themeColor="text1"/>
        </w:rPr>
        <w:t>Last but not least</w:t>
      </w:r>
      <w:r w:rsidR="00291EB6" w:rsidRPr="00730468">
        <w:rPr>
          <w:color w:val="000000" w:themeColor="text1"/>
        </w:rPr>
        <w:t xml:space="preserve">, countries with similar economic </w:t>
      </w:r>
      <w:r w:rsidR="00A3787D" w:rsidRPr="00730468">
        <w:rPr>
          <w:color w:val="000000" w:themeColor="text1"/>
        </w:rPr>
        <w:t>background</w:t>
      </w:r>
      <w:r w:rsidR="008B4118" w:rsidRPr="00730468">
        <w:rPr>
          <w:color w:val="000000" w:themeColor="text1"/>
        </w:rPr>
        <w:t xml:space="preserve"> allow MNEs </w:t>
      </w:r>
      <w:r w:rsidR="00291EB6" w:rsidRPr="00730468">
        <w:rPr>
          <w:color w:val="000000" w:themeColor="text1"/>
        </w:rPr>
        <w:t>to replicate and adapt their skills</w:t>
      </w:r>
      <w:r w:rsidR="008B4118" w:rsidRPr="00730468">
        <w:rPr>
          <w:color w:val="000000" w:themeColor="text1"/>
        </w:rPr>
        <w:t xml:space="preserve"> because they do not need to adjust their competencies too much</w:t>
      </w:r>
      <w:r w:rsidR="00291EB6" w:rsidRPr="00730468">
        <w:rPr>
          <w:color w:val="000000" w:themeColor="text1"/>
        </w:rPr>
        <w:t>.</w:t>
      </w:r>
      <w:r w:rsidR="001D0A26" w:rsidRPr="00730468">
        <w:rPr>
          <w:color w:val="000000" w:themeColor="text1"/>
        </w:rPr>
        <w:t xml:space="preserve"> These advantages </w:t>
      </w:r>
      <w:r w:rsidRPr="00730468">
        <w:rPr>
          <w:color w:val="000000" w:themeColor="text1"/>
        </w:rPr>
        <w:t>enable</w:t>
      </w:r>
      <w:r w:rsidR="001D0A26" w:rsidRPr="00730468">
        <w:rPr>
          <w:color w:val="000000" w:themeColor="text1"/>
        </w:rPr>
        <w:t xml:space="preserve"> lower costs and efficiency in MNE’s subsidiary. </w:t>
      </w:r>
      <w:r w:rsidR="003F7B1E" w:rsidRPr="00730468">
        <w:rPr>
          <w:color w:val="000000" w:themeColor="text1"/>
        </w:rPr>
        <w:t>Otherwise, a larger economic distance results in higher transaction costs due to the disparities, increasing business barriers and the complexity to adap</w:t>
      </w:r>
      <w:r w:rsidR="002E417C" w:rsidRPr="00730468">
        <w:rPr>
          <w:color w:val="000000" w:themeColor="text1"/>
        </w:rPr>
        <w:t>t to a host country’s standards, which make MNEs have the preference for more cooperative mode of entry.</w:t>
      </w:r>
    </w:p>
    <w:p w:rsidR="00E74051" w:rsidRPr="00730468" w:rsidRDefault="00E74051" w:rsidP="00DF3F76">
      <w:pPr>
        <w:spacing w:line="360" w:lineRule="auto"/>
        <w:jc w:val="both"/>
        <w:rPr>
          <w:color w:val="000000" w:themeColor="text1"/>
        </w:rPr>
      </w:pPr>
    </w:p>
    <w:p w:rsidR="00E74051" w:rsidRPr="00730468" w:rsidRDefault="00E74051" w:rsidP="00DF3F76">
      <w:pPr>
        <w:spacing w:line="360" w:lineRule="auto"/>
        <w:jc w:val="both"/>
        <w:rPr>
          <w:color w:val="000000" w:themeColor="text1"/>
        </w:rPr>
      </w:pPr>
      <w:r w:rsidRPr="00730468">
        <w:rPr>
          <w:color w:val="000000" w:themeColor="text1"/>
        </w:rPr>
        <w:t>Findings from many prior studies also show a negative relationship between the economic distance and the level of ownership (Hennart &amp; Larimo, 1998; Tsang &amp; Yip, 2007; Johnson &amp; Tellis, 2008).</w:t>
      </w:r>
      <w:r w:rsidR="00F7138D" w:rsidRPr="00730468">
        <w:rPr>
          <w:color w:val="000000" w:themeColor="text1"/>
        </w:rPr>
        <w:t xml:space="preserve"> Therefore, the hypothesis 1 is built as below:</w:t>
      </w:r>
    </w:p>
    <w:p w:rsidR="00E74051" w:rsidRPr="00730468" w:rsidRDefault="00E74051" w:rsidP="00DF3F76">
      <w:pPr>
        <w:spacing w:line="360" w:lineRule="auto"/>
        <w:jc w:val="both"/>
        <w:rPr>
          <w:color w:val="000000" w:themeColor="text1"/>
        </w:rPr>
      </w:pPr>
    </w:p>
    <w:p w:rsidR="00026128" w:rsidRPr="00730468" w:rsidRDefault="00026128" w:rsidP="00DF3F76">
      <w:pPr>
        <w:spacing w:line="360" w:lineRule="auto"/>
        <w:jc w:val="both"/>
      </w:pPr>
      <w:r w:rsidRPr="00730468">
        <w:t>H</w:t>
      </w:r>
      <w:r w:rsidR="00BB5BDD" w:rsidRPr="00730468">
        <w:t>ypothesis 1</w:t>
      </w:r>
      <w:r w:rsidRPr="00730468">
        <w:t xml:space="preserve">: </w:t>
      </w:r>
      <w:r w:rsidR="00291EB6" w:rsidRPr="00730468">
        <w:t xml:space="preserve">the increase in the economic distance between home and host country, the increase in the probability that enterprise choose to enter the market through </w:t>
      </w:r>
      <w:r w:rsidR="00026A7F" w:rsidRPr="00730468">
        <w:t>JV</w:t>
      </w:r>
      <w:r w:rsidR="00291EB6" w:rsidRPr="00730468">
        <w:t xml:space="preserve"> and the decrease to enter through</w:t>
      </w:r>
      <w:r w:rsidR="00026A7F" w:rsidRPr="00730468">
        <w:t xml:space="preserve"> WOS</w:t>
      </w:r>
      <w:r w:rsidR="00291EB6" w:rsidRPr="00730468">
        <w:t>.</w:t>
      </w:r>
    </w:p>
    <w:p w:rsidR="00F65E94" w:rsidRDefault="00F65E94">
      <w:pPr>
        <w:spacing w:after="200" w:line="276" w:lineRule="auto"/>
      </w:pPr>
      <w:r>
        <w:br w:type="page"/>
      </w:r>
    </w:p>
    <w:p w:rsidR="008C673D" w:rsidRPr="00730468" w:rsidRDefault="00F7094D" w:rsidP="00DF3F76">
      <w:pPr>
        <w:pStyle w:val="Heading3"/>
        <w:spacing w:line="360" w:lineRule="auto"/>
      </w:pPr>
      <w:bookmarkStart w:id="19" w:name="_Toc487572204"/>
      <w:bookmarkStart w:id="20" w:name="_Toc487707044"/>
      <w:bookmarkStart w:id="21" w:name="_Toc489287934"/>
      <w:r w:rsidRPr="00730468">
        <w:lastRenderedPageBreak/>
        <w:t xml:space="preserve">2.3.2. </w:t>
      </w:r>
      <w:r w:rsidR="00026128" w:rsidRPr="00730468">
        <w:t>Geographic distance:</w:t>
      </w:r>
      <w:r w:rsidR="008C673D" w:rsidRPr="00730468">
        <w:t xml:space="preserve"> (GD)</w:t>
      </w:r>
      <w:bookmarkEnd w:id="19"/>
      <w:bookmarkEnd w:id="20"/>
      <w:bookmarkEnd w:id="21"/>
    </w:p>
    <w:p w:rsidR="009C4B91" w:rsidRPr="00730468" w:rsidRDefault="009C4B91" w:rsidP="00DF3F76">
      <w:pPr>
        <w:spacing w:line="360" w:lineRule="auto"/>
        <w:jc w:val="both"/>
        <w:rPr>
          <w:color w:val="000000" w:themeColor="text1"/>
        </w:rPr>
      </w:pPr>
      <w:r w:rsidRPr="00730468">
        <w:rPr>
          <w:color w:val="000000" w:themeColor="text1"/>
        </w:rPr>
        <w:t>Geographic distance not only captures physical distance between the home and the host countries but also take into account the host countries’ transportation and communication infrastructures (Ghemawat, 2001).</w:t>
      </w:r>
    </w:p>
    <w:p w:rsidR="009C4B91" w:rsidRPr="00730468" w:rsidRDefault="009C4B91" w:rsidP="00DF3F76">
      <w:pPr>
        <w:spacing w:line="360" w:lineRule="auto"/>
        <w:jc w:val="both"/>
        <w:rPr>
          <w:color w:val="000000" w:themeColor="text1"/>
        </w:rPr>
      </w:pPr>
    </w:p>
    <w:p w:rsidR="00421648" w:rsidRPr="00730468" w:rsidRDefault="00A01D89" w:rsidP="00DF3F76">
      <w:pPr>
        <w:spacing w:line="360" w:lineRule="auto"/>
        <w:jc w:val="both"/>
        <w:rPr>
          <w:color w:val="FF0000"/>
        </w:rPr>
      </w:pPr>
      <w:r w:rsidRPr="00730468">
        <w:rPr>
          <w:color w:val="000000" w:themeColor="text1"/>
        </w:rPr>
        <w:t>There are many approaches used to measure geographic distance between territories such as using the latitude and longitude of the main city in each country (Chen, 2004),</w:t>
      </w:r>
      <w:r w:rsidR="00B974C8" w:rsidRPr="00730468">
        <w:rPr>
          <w:color w:val="000000" w:themeColor="text1"/>
        </w:rPr>
        <w:t xml:space="preserve"> </w:t>
      </w:r>
      <w:r w:rsidRPr="00730468">
        <w:rPr>
          <w:color w:val="000000" w:themeColor="text1"/>
        </w:rPr>
        <w:t>the direct line distance (Krishna, 2003), or the great circle method (Ragozzino, 2009).</w:t>
      </w:r>
      <w:r w:rsidR="007C39A5" w:rsidRPr="00730468">
        <w:rPr>
          <w:color w:val="000000" w:themeColor="text1"/>
        </w:rPr>
        <w:t xml:space="preserve"> </w:t>
      </w:r>
      <w:r w:rsidRPr="00730468">
        <w:rPr>
          <w:color w:val="000000" w:themeColor="text1"/>
        </w:rPr>
        <w:t xml:space="preserve">In international business literature, </w:t>
      </w:r>
      <w:r w:rsidR="00B974C8" w:rsidRPr="00730468">
        <w:rPr>
          <w:color w:val="000000" w:themeColor="text1"/>
        </w:rPr>
        <w:t xml:space="preserve">geographic distance is long time considered as an important factor </w:t>
      </w:r>
      <w:r w:rsidR="007C39A5" w:rsidRPr="00730468">
        <w:rPr>
          <w:color w:val="000000" w:themeColor="text1"/>
        </w:rPr>
        <w:t>of</w:t>
      </w:r>
      <w:r w:rsidR="00B974C8" w:rsidRPr="00730468">
        <w:rPr>
          <w:color w:val="000000" w:themeColor="text1"/>
        </w:rPr>
        <w:t xml:space="preserve"> trade, foreign investment, and cross-national economic activity (Anderson, 1979; Deadorff, 1998).</w:t>
      </w:r>
      <w:r w:rsidR="00421648" w:rsidRPr="00730468">
        <w:rPr>
          <w:color w:val="000000" w:themeColor="text1"/>
        </w:rPr>
        <w:t xml:space="preserve"> Geographic distance is found to have negative correlation with trade between countries (Anderson, 1979; Deadorff, 1998) </w:t>
      </w:r>
      <w:r w:rsidR="00421648" w:rsidRPr="00730468">
        <w:t>and enterprises have preference to enter proximate countries due to lower economic and management costs (Dow, 2000).</w:t>
      </w:r>
    </w:p>
    <w:p w:rsidR="00722EF4" w:rsidRPr="00730468" w:rsidRDefault="00722EF4" w:rsidP="00DF3F76">
      <w:pPr>
        <w:spacing w:line="360" w:lineRule="auto"/>
        <w:jc w:val="both"/>
        <w:rPr>
          <w:color w:val="000000" w:themeColor="text1"/>
        </w:rPr>
      </w:pPr>
    </w:p>
    <w:p w:rsidR="00C73BFD" w:rsidRPr="00730468" w:rsidRDefault="002F0656" w:rsidP="00DF3F76">
      <w:pPr>
        <w:spacing w:line="360" w:lineRule="auto"/>
        <w:jc w:val="both"/>
      </w:pPr>
      <w:r w:rsidRPr="00730468">
        <w:t>F</w:t>
      </w:r>
      <w:r w:rsidR="00A514F5" w:rsidRPr="00730468">
        <w:t>ollowing the</w:t>
      </w:r>
      <w:r w:rsidRPr="00730468">
        <w:t xml:space="preserve"> transaction cost perspective</w:t>
      </w:r>
      <w:r w:rsidR="00A514F5" w:rsidRPr="00730468">
        <w:t>,</w:t>
      </w:r>
      <w:r w:rsidRPr="00730468">
        <w:t xml:space="preserve"> </w:t>
      </w:r>
      <w:r w:rsidR="00A514F5" w:rsidRPr="00730468">
        <w:t xml:space="preserve">an increasing in geographic distance between markets </w:t>
      </w:r>
      <w:r w:rsidRPr="00730468">
        <w:t xml:space="preserve">will inevitably lead to </w:t>
      </w:r>
      <w:r w:rsidR="00A514F5" w:rsidRPr="00730468">
        <w:t>increasing</w:t>
      </w:r>
      <w:r w:rsidRPr="00730468">
        <w:t xml:space="preserve"> costs of transportation and communication. </w:t>
      </w:r>
      <w:r w:rsidR="00C73BFD" w:rsidRPr="00730468">
        <w:t>The idea originally comes from the gravitational model of international commerce with the commercial flow between two countries implies a negative trend with the distance of that two countries (Tinbergen, 1962).</w:t>
      </w:r>
      <w:r w:rsidR="0003690C" w:rsidRPr="00730468">
        <w:t xml:space="preserve"> </w:t>
      </w:r>
      <w:r w:rsidR="00563906" w:rsidRPr="00730468">
        <w:t xml:space="preserve">Concerning </w:t>
      </w:r>
      <w:r w:rsidR="00563906" w:rsidRPr="00011FAF">
        <w:rPr>
          <w:i/>
        </w:rPr>
        <w:t>transportation</w:t>
      </w:r>
      <w:r w:rsidR="0003690C" w:rsidRPr="00730468">
        <w:t xml:space="preserve">, for nearby countries, entering through WOS will be preferred because of the comparatively better control and the relatively low costs of </w:t>
      </w:r>
      <w:r w:rsidR="00504D6C" w:rsidRPr="00730468">
        <w:t xml:space="preserve">transportation and </w:t>
      </w:r>
      <w:r w:rsidR="0003690C" w:rsidRPr="00730468">
        <w:t>coordination activities of the subsidiary</w:t>
      </w:r>
      <w:r w:rsidR="00563906" w:rsidRPr="00730468">
        <w:rPr>
          <w:color w:val="000000" w:themeColor="text1"/>
        </w:rPr>
        <w:t xml:space="preserve"> (Shenkar, 2001)</w:t>
      </w:r>
      <w:r w:rsidR="0003690C" w:rsidRPr="00730468">
        <w:t xml:space="preserve">. Nonetheless, </w:t>
      </w:r>
      <w:r w:rsidR="00504D6C" w:rsidRPr="00730468">
        <w:t>when geographic distance increases, transportation costs, especially for heavy tangible products transported in high quantities are expected to increase (Berry, Guillén, &amp; Zhou, 2010; Ghemawat, 2001). MNEs then have to deal with higher costs of transportation, logistics distribution and other operational expenses, making them seek fo</w:t>
      </w:r>
      <w:r w:rsidR="00B559FC">
        <w:t>r partnerships with local firms to reduce the costs</w:t>
      </w:r>
      <w:r w:rsidR="00504D6C" w:rsidRPr="00730468">
        <w:t xml:space="preserve">. </w:t>
      </w:r>
      <w:r w:rsidR="00563906" w:rsidRPr="00730468">
        <w:t>In other words</w:t>
      </w:r>
      <w:r w:rsidR="00504D6C" w:rsidRPr="00730468">
        <w:t>, MNE</w:t>
      </w:r>
      <w:r w:rsidR="00563906" w:rsidRPr="00730468">
        <w:t>s</w:t>
      </w:r>
      <w:r w:rsidR="00504D6C" w:rsidRPr="00730468">
        <w:t xml:space="preserve"> prefer cooperative entry modes (JV) if the target markets are situated in geographically distant countries</w:t>
      </w:r>
      <w:r w:rsidR="00563906" w:rsidRPr="00730468">
        <w:t xml:space="preserve">. </w:t>
      </w:r>
    </w:p>
    <w:p w:rsidR="00A514F5" w:rsidRPr="00730468" w:rsidRDefault="00A514F5" w:rsidP="00DF3F76">
      <w:pPr>
        <w:spacing w:line="360" w:lineRule="auto"/>
        <w:jc w:val="both"/>
      </w:pPr>
    </w:p>
    <w:p w:rsidR="00A514F5" w:rsidRPr="00730468" w:rsidRDefault="00563906" w:rsidP="00DF3F76">
      <w:pPr>
        <w:spacing w:line="360" w:lineRule="auto"/>
        <w:jc w:val="both"/>
      </w:pPr>
      <w:r w:rsidRPr="00730468">
        <w:t xml:space="preserve">In terms of </w:t>
      </w:r>
      <w:r w:rsidRPr="00011FAF">
        <w:rPr>
          <w:i/>
        </w:rPr>
        <w:t>communication</w:t>
      </w:r>
      <w:r w:rsidRPr="00730468">
        <w:t xml:space="preserve">, </w:t>
      </w:r>
      <w:r w:rsidR="005C5528">
        <w:rPr>
          <w:color w:val="000000" w:themeColor="text1"/>
        </w:rPr>
        <w:t>t</w:t>
      </w:r>
      <w:r w:rsidR="005C5528" w:rsidRPr="005C5528">
        <w:rPr>
          <w:color w:val="000000" w:themeColor="text1"/>
        </w:rPr>
        <w:t>ransaction cost economics</w:t>
      </w:r>
      <w:r w:rsidR="005C5528">
        <w:t xml:space="preserve"> </w:t>
      </w:r>
      <w:r w:rsidR="00A514F5" w:rsidRPr="00730468">
        <w:t xml:space="preserve">suggests that </w:t>
      </w:r>
      <w:r w:rsidR="00761330" w:rsidRPr="00730468">
        <w:t xml:space="preserve">the relationship of </w:t>
      </w:r>
      <w:r w:rsidR="002C1FB9" w:rsidRPr="00730468">
        <w:t>headquarter and subsidiary</w:t>
      </w:r>
      <w:r w:rsidR="00A514F5" w:rsidRPr="00730468">
        <w:t xml:space="preserve"> </w:t>
      </w:r>
      <w:r w:rsidR="00761330" w:rsidRPr="00730468">
        <w:t>could be considered</w:t>
      </w:r>
      <w:r w:rsidR="00A514F5" w:rsidRPr="00730468">
        <w:t xml:space="preserve"> as principal–agent relation (Grossman and Hart, 1986). </w:t>
      </w:r>
      <w:r w:rsidR="002C1FB9" w:rsidRPr="00730468">
        <w:t xml:space="preserve">That means the subsidiary (now plays a role of agent) is supposed to act on behalf of the </w:t>
      </w:r>
      <w:r w:rsidR="002C1FB9" w:rsidRPr="00730468">
        <w:lastRenderedPageBreak/>
        <w:t xml:space="preserve">headquarter (principal) and not to have a conflict of interest in carrying out the act. </w:t>
      </w:r>
      <w:r w:rsidR="005B6835" w:rsidRPr="00730468">
        <w:t xml:space="preserve">Compared with WOS, </w:t>
      </w:r>
      <w:r w:rsidR="00761330" w:rsidRPr="00730468">
        <w:t>JV is supposed to have numerous principals</w:t>
      </w:r>
      <w:r w:rsidR="005B6835" w:rsidRPr="00730468">
        <w:t>, which makes the problem with goal consensus more severe in JV.</w:t>
      </w:r>
      <w:r w:rsidR="00421D59" w:rsidRPr="00730468">
        <w:t xml:space="preserve"> Moreover,</w:t>
      </w:r>
      <w:r w:rsidR="00A514F5" w:rsidRPr="00730468">
        <w:t xml:space="preserve"> </w:t>
      </w:r>
      <w:r w:rsidR="00070864" w:rsidRPr="00730468">
        <w:t xml:space="preserve">entry via </w:t>
      </w:r>
      <w:r w:rsidR="00A514F5" w:rsidRPr="00730468">
        <w:t>WOS</w:t>
      </w:r>
      <w:r w:rsidR="00070864" w:rsidRPr="00730468">
        <w:t>, MNEs</w:t>
      </w:r>
      <w:r w:rsidR="00A514F5" w:rsidRPr="00730468">
        <w:t xml:space="preserve"> has</w:t>
      </w:r>
      <w:r w:rsidR="00070864" w:rsidRPr="00730468">
        <w:t xml:space="preserve"> not only</w:t>
      </w:r>
      <w:r w:rsidR="00A514F5" w:rsidRPr="00730468">
        <w:t xml:space="preserve"> </w:t>
      </w:r>
      <w:r w:rsidR="00070864" w:rsidRPr="00730468">
        <w:t>better</w:t>
      </w:r>
      <w:r w:rsidR="00A514F5" w:rsidRPr="00730468">
        <w:t xml:space="preserve"> ability to </w:t>
      </w:r>
      <w:r w:rsidR="00070864" w:rsidRPr="00730468">
        <w:t>r</w:t>
      </w:r>
      <w:r w:rsidR="00A514F5" w:rsidRPr="00730468">
        <w:t>eplicat</w:t>
      </w:r>
      <w:r w:rsidR="00070864" w:rsidRPr="00730468">
        <w:t>e</w:t>
      </w:r>
      <w:r w:rsidR="00A514F5" w:rsidRPr="00730468">
        <w:t xml:space="preserve"> the </w:t>
      </w:r>
      <w:r w:rsidR="00070864" w:rsidRPr="00730468">
        <w:t>firm</w:t>
      </w:r>
      <w:r w:rsidR="00A514F5" w:rsidRPr="00730468">
        <w:t xml:space="preserve"> rules and procedures into the subsidiaries</w:t>
      </w:r>
      <w:r w:rsidR="00070864" w:rsidRPr="00730468">
        <w:t xml:space="preserve"> but also free and transparent </w:t>
      </w:r>
      <w:r w:rsidR="00A514F5" w:rsidRPr="00730468">
        <w:t>information flows</w:t>
      </w:r>
      <w:r w:rsidR="00070864" w:rsidRPr="00730468">
        <w:t xml:space="preserve"> from headquarter </w:t>
      </w:r>
      <w:r w:rsidR="00EA0F7D" w:rsidRPr="00730468">
        <w:t>to</w:t>
      </w:r>
      <w:r w:rsidR="00070864" w:rsidRPr="00730468">
        <w:t xml:space="preserve"> subsidiary and vice versa</w:t>
      </w:r>
      <w:r w:rsidR="00A514F5" w:rsidRPr="00730468">
        <w:t xml:space="preserve">. </w:t>
      </w:r>
      <w:r w:rsidR="00070864" w:rsidRPr="00730468">
        <w:t xml:space="preserve">Thus, </w:t>
      </w:r>
      <w:r w:rsidR="00525603" w:rsidRPr="00730468">
        <w:t>MNEs are supposed to prefer entering via WOS in geographically proximate countries. Nonetheless</w:t>
      </w:r>
      <w:r w:rsidR="00827B79" w:rsidRPr="00730468">
        <w:t>, increasing geographic distance</w:t>
      </w:r>
      <w:r w:rsidR="00A514F5" w:rsidRPr="00730468">
        <w:t xml:space="preserve"> </w:t>
      </w:r>
      <w:r w:rsidR="00827B79" w:rsidRPr="00730468">
        <w:t>leads to increasing difficulty to</w:t>
      </w:r>
      <w:r w:rsidR="00A514F5" w:rsidRPr="00730468">
        <w:t xml:space="preserve"> have timely communication and accurate information flows</w:t>
      </w:r>
      <w:r w:rsidR="00827B79" w:rsidRPr="00730468">
        <w:t>,</w:t>
      </w:r>
      <w:r w:rsidR="00A514F5" w:rsidRPr="00730468">
        <w:t xml:space="preserve"> </w:t>
      </w:r>
      <w:r w:rsidR="00827B79" w:rsidRPr="00730468">
        <w:t>resulting in</w:t>
      </w:r>
      <w:r w:rsidR="00A514F5" w:rsidRPr="00730468">
        <w:t xml:space="preserve"> the monitoring efficiency deteriorates </w:t>
      </w:r>
      <w:r w:rsidR="00827B79" w:rsidRPr="00730468">
        <w:t>(Grossman and Helpman, 2004)</w:t>
      </w:r>
      <w:r w:rsidR="00A514F5" w:rsidRPr="00730468">
        <w:t xml:space="preserve">. </w:t>
      </w:r>
      <w:r w:rsidR="00827B79" w:rsidRPr="00730468">
        <w:t>Thus</w:t>
      </w:r>
      <w:r w:rsidR="00A514F5" w:rsidRPr="00730468">
        <w:t xml:space="preserve">, MNEs </w:t>
      </w:r>
      <w:r w:rsidR="00827B79" w:rsidRPr="00730468">
        <w:t>might</w:t>
      </w:r>
      <w:r w:rsidR="00A514F5" w:rsidRPr="00730468">
        <w:t xml:space="preserve"> </w:t>
      </w:r>
      <w:r w:rsidR="00827B79" w:rsidRPr="00730468">
        <w:t>be more</w:t>
      </w:r>
      <w:r w:rsidR="00A514F5" w:rsidRPr="00730468">
        <w:t xml:space="preserve"> </w:t>
      </w:r>
      <w:r w:rsidR="00827B79" w:rsidRPr="00730468">
        <w:t xml:space="preserve">likely to choose JV </w:t>
      </w:r>
      <w:r w:rsidR="00A514F5" w:rsidRPr="00730468">
        <w:t xml:space="preserve">when the advantages of </w:t>
      </w:r>
      <w:r w:rsidR="00827B79" w:rsidRPr="00730468">
        <w:t>WOS</w:t>
      </w:r>
      <w:r w:rsidR="00A514F5" w:rsidRPr="00730468">
        <w:t xml:space="preserve"> are weakened </w:t>
      </w:r>
      <w:r w:rsidR="00827B79" w:rsidRPr="00730468">
        <w:t>over longer</w:t>
      </w:r>
      <w:r w:rsidR="00A514F5" w:rsidRPr="00730468">
        <w:t xml:space="preserve"> geographic distance.</w:t>
      </w:r>
    </w:p>
    <w:p w:rsidR="005226D7" w:rsidRPr="00730468" w:rsidRDefault="005226D7" w:rsidP="00DF3F76">
      <w:pPr>
        <w:spacing w:line="360" w:lineRule="auto"/>
        <w:jc w:val="both"/>
        <w:rPr>
          <w:color w:val="000000" w:themeColor="text1"/>
        </w:rPr>
      </w:pPr>
    </w:p>
    <w:p w:rsidR="00026128" w:rsidRPr="00730468" w:rsidRDefault="00026128" w:rsidP="00DF3F76">
      <w:pPr>
        <w:spacing w:line="360" w:lineRule="auto"/>
        <w:jc w:val="both"/>
        <w:rPr>
          <w:color w:val="000000" w:themeColor="text1"/>
        </w:rPr>
      </w:pPr>
      <w:r w:rsidRPr="00730468">
        <w:rPr>
          <w:color w:val="000000" w:themeColor="text1"/>
        </w:rPr>
        <w:t>H</w:t>
      </w:r>
      <w:r w:rsidR="00B04085" w:rsidRPr="00730468">
        <w:rPr>
          <w:color w:val="000000" w:themeColor="text1"/>
        </w:rPr>
        <w:t xml:space="preserve">ypothesis </w:t>
      </w:r>
      <w:r w:rsidRPr="00730468">
        <w:rPr>
          <w:color w:val="000000" w:themeColor="text1"/>
        </w:rPr>
        <w:t>2:</w:t>
      </w:r>
      <w:r w:rsidR="00026A7F" w:rsidRPr="00730468">
        <w:rPr>
          <w:color w:val="000000" w:themeColor="text1"/>
        </w:rPr>
        <w:t xml:space="preserve"> </w:t>
      </w:r>
      <w:r w:rsidR="00892F42" w:rsidRPr="00730468">
        <w:rPr>
          <w:color w:val="000000" w:themeColor="text1"/>
        </w:rPr>
        <w:t>the increase in the geographic distance between home and host country, the increase in the probability that enterprise choose to enter the market through JV and the decrease to enter through WOS.</w:t>
      </w:r>
    </w:p>
    <w:p w:rsidR="00972D42" w:rsidRPr="00730468" w:rsidRDefault="00972D42" w:rsidP="00DF3F76">
      <w:pPr>
        <w:spacing w:line="360" w:lineRule="auto"/>
        <w:jc w:val="both"/>
        <w:rPr>
          <w:color w:val="000000" w:themeColor="text1"/>
        </w:rPr>
      </w:pPr>
    </w:p>
    <w:p w:rsidR="00593539" w:rsidRPr="00730468" w:rsidRDefault="00F7094D" w:rsidP="00DF3F76">
      <w:pPr>
        <w:pStyle w:val="Heading3"/>
        <w:spacing w:line="360" w:lineRule="auto"/>
      </w:pPr>
      <w:bookmarkStart w:id="22" w:name="_Toc487572205"/>
      <w:bookmarkStart w:id="23" w:name="_Toc487707045"/>
      <w:bookmarkStart w:id="24" w:name="_Toc489287935"/>
      <w:r w:rsidRPr="00730468">
        <w:t xml:space="preserve">2.3.3. </w:t>
      </w:r>
      <w:r w:rsidR="00026128" w:rsidRPr="00730468">
        <w:t>Cultural distance</w:t>
      </w:r>
      <w:r w:rsidR="008C673D" w:rsidRPr="00730468">
        <w:t xml:space="preserve"> (CD)</w:t>
      </w:r>
      <w:bookmarkEnd w:id="22"/>
      <w:bookmarkEnd w:id="23"/>
      <w:bookmarkEnd w:id="24"/>
    </w:p>
    <w:p w:rsidR="00CB280E" w:rsidRPr="00730468" w:rsidRDefault="00CB280E" w:rsidP="00DF3F76">
      <w:pPr>
        <w:spacing w:line="360" w:lineRule="auto"/>
        <w:jc w:val="both"/>
      </w:pPr>
      <w:r w:rsidRPr="00730468">
        <w:t>C</w:t>
      </w:r>
      <w:r w:rsidR="000C1BAD" w:rsidRPr="00730468">
        <w:t xml:space="preserve">ulture and cultural distance </w:t>
      </w:r>
      <w:r w:rsidRPr="00730468">
        <w:t>are</w:t>
      </w:r>
      <w:r w:rsidR="000C1BAD" w:rsidRPr="00730468">
        <w:t xml:space="preserve"> the third most </w:t>
      </w:r>
      <w:r w:rsidRPr="00730468">
        <w:t>common</w:t>
      </w:r>
      <w:r w:rsidR="000C1BAD" w:rsidRPr="00730468">
        <w:t xml:space="preserve"> constructs </w:t>
      </w:r>
      <w:r w:rsidRPr="00730468">
        <w:t>in terms of</w:t>
      </w:r>
      <w:r w:rsidR="000C1BAD" w:rsidRPr="00730468">
        <w:t xml:space="preserve"> entry mode</w:t>
      </w:r>
      <w:r w:rsidRPr="00730468">
        <w:t xml:space="preserve"> study (Canabal &amp; White, 2008).</w:t>
      </w:r>
      <w:r w:rsidR="000C1BAD" w:rsidRPr="00730468">
        <w:t xml:space="preserve"> C</w:t>
      </w:r>
      <w:r w:rsidR="008200C2" w:rsidRPr="00730468">
        <w:t xml:space="preserve">ulture is </w:t>
      </w:r>
      <w:r w:rsidRPr="00730468">
        <w:t>described</w:t>
      </w:r>
      <w:r w:rsidR="008200C2" w:rsidRPr="00730468">
        <w:t xml:space="preserve"> as “collective mental programmes</w:t>
      </w:r>
      <w:r w:rsidR="00375B8D">
        <w:t>”</w:t>
      </w:r>
      <w:r w:rsidR="008200C2" w:rsidRPr="00730468">
        <w:t xml:space="preserve"> shared by a group of people</w:t>
      </w:r>
      <w:r w:rsidRPr="00730468">
        <w:t>,</w:t>
      </w:r>
      <w:r w:rsidR="008200C2" w:rsidRPr="00730468">
        <w:t xml:space="preserve"> </w:t>
      </w:r>
      <w:r w:rsidRPr="00730468">
        <w:t>making that</w:t>
      </w:r>
      <w:r w:rsidR="008200C2" w:rsidRPr="00730468">
        <w:t xml:space="preserve"> group </w:t>
      </w:r>
      <w:r w:rsidRPr="00730468">
        <w:t xml:space="preserve">different </w:t>
      </w:r>
      <w:r w:rsidR="008200C2" w:rsidRPr="00730468">
        <w:t xml:space="preserve">from another. </w:t>
      </w:r>
      <w:r w:rsidR="00EE61C1" w:rsidRPr="00730468">
        <w:t>Thus, the existent differences in</w:t>
      </w:r>
      <w:r w:rsidR="008200C2" w:rsidRPr="00730468">
        <w:t xml:space="preserve"> norms</w:t>
      </w:r>
      <w:r w:rsidR="00EE61C1" w:rsidRPr="00730468">
        <w:t>, values</w:t>
      </w:r>
      <w:r w:rsidR="008200C2" w:rsidRPr="00730468">
        <w:t xml:space="preserve"> and behavior rules </w:t>
      </w:r>
      <w:r w:rsidR="00EE61C1" w:rsidRPr="00730468">
        <w:t xml:space="preserve">between countries define cultural distance </w:t>
      </w:r>
      <w:r w:rsidR="008200C2" w:rsidRPr="00730468">
        <w:t xml:space="preserve">(Shenkar, 2001). </w:t>
      </w:r>
      <w:r w:rsidR="00714209" w:rsidRPr="00730468">
        <w:t xml:space="preserve">In other words, </w:t>
      </w:r>
      <w:r w:rsidR="00714209" w:rsidRPr="00730468">
        <w:rPr>
          <w:color w:val="000000" w:themeColor="text1"/>
        </w:rPr>
        <w:t xml:space="preserve">larger cultural distance will lead to the larger </w:t>
      </w:r>
      <w:r w:rsidR="005947FC" w:rsidRPr="00730468">
        <w:rPr>
          <w:noProof/>
        </w:rPr>
        <w:t>disparity</w:t>
      </w:r>
      <w:r w:rsidR="00714209" w:rsidRPr="00730468">
        <w:rPr>
          <w:noProof/>
        </w:rPr>
        <w:t xml:space="preserve"> between the home and target country</w:t>
      </w:r>
      <w:r w:rsidR="005947FC" w:rsidRPr="00730468">
        <w:rPr>
          <w:noProof/>
        </w:rPr>
        <w:t xml:space="preserve"> in the shared norms and values</w:t>
      </w:r>
      <w:r w:rsidR="00714209" w:rsidRPr="00730468">
        <w:rPr>
          <w:noProof/>
        </w:rPr>
        <w:t>.</w:t>
      </w:r>
    </w:p>
    <w:p w:rsidR="00EE61C1" w:rsidRPr="00730468" w:rsidRDefault="00EE61C1" w:rsidP="00DF3F76">
      <w:pPr>
        <w:spacing w:line="360" w:lineRule="auto"/>
        <w:jc w:val="both"/>
      </w:pPr>
    </w:p>
    <w:p w:rsidR="00FA50F2" w:rsidRPr="00730468" w:rsidRDefault="00FA50F2" w:rsidP="00DF3F76">
      <w:pPr>
        <w:spacing w:line="360" w:lineRule="auto"/>
        <w:jc w:val="both"/>
        <w:rPr>
          <w:color w:val="000000" w:themeColor="text1"/>
        </w:rPr>
      </w:pPr>
      <w:r w:rsidRPr="00730468">
        <w:t>In terms of the impact of cultural distance on entry mode choices, empirical findings from prior studies are very ambiguous and contradictory. For example, several studies found that cultural distance encourages JV (Erramilli &amp; Rao, 1993; Hennart &amp; Larimo, 1998; Pak &amp; Park, 2004)</w:t>
      </w:r>
      <w:r w:rsidR="008F42C3" w:rsidRPr="00730468">
        <w:t xml:space="preserve">, </w:t>
      </w:r>
      <w:r w:rsidRPr="00730468">
        <w:t>some others concluded that cultural distance encourages WOS (</w:t>
      </w:r>
      <w:r w:rsidR="008F42C3" w:rsidRPr="00730468">
        <w:t>Padmanabhan &amp; Cho, 1996; Anand &amp; Delios, 1997)</w:t>
      </w:r>
      <w:r w:rsidRPr="00730468">
        <w:t xml:space="preserve"> </w:t>
      </w:r>
      <w:r w:rsidR="008F42C3" w:rsidRPr="00730468">
        <w:t xml:space="preserve">while </w:t>
      </w:r>
      <w:r w:rsidRPr="00730468">
        <w:t>Contractor &amp; Kundu (1998) and Luo (2001) even found it to have no significant effect.</w:t>
      </w:r>
    </w:p>
    <w:p w:rsidR="004279BA" w:rsidRDefault="004279BA" w:rsidP="00DF3F76">
      <w:pPr>
        <w:spacing w:line="360" w:lineRule="auto"/>
        <w:jc w:val="both"/>
        <w:rPr>
          <w:noProof/>
        </w:rPr>
      </w:pPr>
    </w:p>
    <w:p w:rsidR="00FA50F2" w:rsidRPr="00730468" w:rsidRDefault="00FA50F2" w:rsidP="00DF3F76">
      <w:pPr>
        <w:spacing w:line="360" w:lineRule="auto"/>
        <w:jc w:val="both"/>
        <w:rPr>
          <w:color w:val="000000" w:themeColor="text1"/>
        </w:rPr>
      </w:pPr>
      <w:r w:rsidRPr="00705E75">
        <w:rPr>
          <w:noProof/>
          <w:color w:val="000000" w:themeColor="text1"/>
        </w:rPr>
        <w:lastRenderedPageBreak/>
        <w:t xml:space="preserve">Although there is no consensus among </w:t>
      </w:r>
      <w:r w:rsidR="00FC653B" w:rsidRPr="00705E75">
        <w:rPr>
          <w:noProof/>
          <w:color w:val="000000" w:themeColor="text1"/>
        </w:rPr>
        <w:t>scholars</w:t>
      </w:r>
      <w:r w:rsidRPr="00705E75">
        <w:rPr>
          <w:noProof/>
          <w:color w:val="000000" w:themeColor="text1"/>
        </w:rPr>
        <w:t xml:space="preserve"> regarding </w:t>
      </w:r>
      <w:r w:rsidR="00FC653B" w:rsidRPr="00705E75">
        <w:rPr>
          <w:noProof/>
          <w:color w:val="000000" w:themeColor="text1"/>
        </w:rPr>
        <w:t xml:space="preserve">to </w:t>
      </w:r>
      <w:r w:rsidRPr="00705E75">
        <w:rPr>
          <w:noProof/>
          <w:color w:val="000000" w:themeColor="text1"/>
        </w:rPr>
        <w:t>the</w:t>
      </w:r>
      <w:r w:rsidRPr="00705E75">
        <w:rPr>
          <w:color w:val="000000" w:themeColor="text1"/>
        </w:rPr>
        <w:t xml:space="preserve"> impact of cultural distance in </w:t>
      </w:r>
      <w:r w:rsidRPr="00730468">
        <w:rPr>
          <w:color w:val="000000" w:themeColor="text1"/>
        </w:rPr>
        <w:t>forecasting international entry mode choices, there are many supporting this paper’s argument that JV should be selected in situations where cultural d</w:t>
      </w:r>
      <w:r w:rsidR="001B6A76" w:rsidRPr="00730468">
        <w:rPr>
          <w:color w:val="000000" w:themeColor="text1"/>
        </w:rPr>
        <w:t xml:space="preserve">istance is perceived to be high, specially the support from the </w:t>
      </w:r>
      <w:r w:rsidR="005C5528">
        <w:rPr>
          <w:color w:val="000000" w:themeColor="text1"/>
        </w:rPr>
        <w:t>t</w:t>
      </w:r>
      <w:r w:rsidR="005C5528" w:rsidRPr="005C5528">
        <w:rPr>
          <w:color w:val="000000" w:themeColor="text1"/>
        </w:rPr>
        <w:t>ransaction cost economics</w:t>
      </w:r>
      <w:r w:rsidR="005C5528" w:rsidRPr="00730468">
        <w:rPr>
          <w:color w:val="000000" w:themeColor="text1"/>
        </w:rPr>
        <w:t xml:space="preserve"> </w:t>
      </w:r>
      <w:r w:rsidR="001B6A76" w:rsidRPr="00730468">
        <w:rPr>
          <w:color w:val="000000" w:themeColor="text1"/>
        </w:rPr>
        <w:t>theory.</w:t>
      </w:r>
      <w:r w:rsidRPr="00730468">
        <w:rPr>
          <w:color w:val="000000" w:themeColor="text1"/>
        </w:rPr>
        <w:t xml:space="preserve"> </w:t>
      </w:r>
    </w:p>
    <w:p w:rsidR="00FA50F2" w:rsidRPr="00730468" w:rsidRDefault="00FA50F2" w:rsidP="00DF3F76">
      <w:pPr>
        <w:spacing w:line="360" w:lineRule="auto"/>
        <w:jc w:val="both"/>
        <w:rPr>
          <w:color w:val="000000" w:themeColor="text1"/>
        </w:rPr>
      </w:pPr>
    </w:p>
    <w:p w:rsidR="00C574BE" w:rsidRPr="00730468" w:rsidRDefault="001B6A76" w:rsidP="00DF3F76">
      <w:pPr>
        <w:spacing w:line="360" w:lineRule="auto"/>
        <w:jc w:val="both"/>
      </w:pPr>
      <w:r w:rsidRPr="00730468">
        <w:t xml:space="preserve">From the perspective of </w:t>
      </w:r>
      <w:r w:rsidR="00302847">
        <w:rPr>
          <w:color w:val="000000" w:themeColor="text1"/>
        </w:rPr>
        <w:t>t</w:t>
      </w:r>
      <w:r w:rsidR="00302847" w:rsidRPr="005C5528">
        <w:rPr>
          <w:color w:val="000000" w:themeColor="text1"/>
        </w:rPr>
        <w:t>ransaction cost economics</w:t>
      </w:r>
      <w:r w:rsidRPr="00730468">
        <w:t xml:space="preserve">, </w:t>
      </w:r>
      <w:r w:rsidR="00714209" w:rsidRPr="00730468">
        <w:t>MNEs</w:t>
      </w:r>
      <w:r w:rsidR="00834B48" w:rsidRPr="00730468">
        <w:t xml:space="preserve"> </w:t>
      </w:r>
      <w:r w:rsidRPr="00730468">
        <w:t xml:space="preserve">via WOS </w:t>
      </w:r>
      <w:r w:rsidR="00834B48" w:rsidRPr="00730468">
        <w:t>can</w:t>
      </w:r>
      <w:r w:rsidR="00714209" w:rsidRPr="00730468">
        <w:t xml:space="preserve"> get full control of their foreign operation but the </w:t>
      </w:r>
      <w:r w:rsidR="00834B48" w:rsidRPr="00730468">
        <w:t>full control itself is the reason why MNEs bear</w:t>
      </w:r>
      <w:r w:rsidR="00714209" w:rsidRPr="00730468">
        <w:t xml:space="preserve"> </w:t>
      </w:r>
      <w:r w:rsidR="00427016" w:rsidRPr="00730468">
        <w:t>considerable external uncertainty (</w:t>
      </w:r>
      <w:r w:rsidR="00FA50F2" w:rsidRPr="00730468">
        <w:t xml:space="preserve">Root, 1987; </w:t>
      </w:r>
      <w:r w:rsidR="00863314" w:rsidRPr="00730468">
        <w:t>Anderson &amp; Gatignon</w:t>
      </w:r>
      <w:r w:rsidR="00FA50F2" w:rsidRPr="00730468">
        <w:t>, 1988; Hill et al., 1990</w:t>
      </w:r>
      <w:r w:rsidR="00427016" w:rsidRPr="00730468">
        <w:t>)</w:t>
      </w:r>
      <w:r w:rsidR="00AC63A3" w:rsidRPr="00730468">
        <w:t>. Increasing c</w:t>
      </w:r>
      <w:r w:rsidR="00A46764" w:rsidRPr="00730468">
        <w:t xml:space="preserve">ultural distance </w:t>
      </w:r>
      <w:r w:rsidR="00AC63A3" w:rsidRPr="00730468">
        <w:t>makes the</w:t>
      </w:r>
      <w:r w:rsidR="00A46764" w:rsidRPr="00730468">
        <w:t xml:space="preserve"> external uncertainty</w:t>
      </w:r>
      <w:r w:rsidR="00AC63A3" w:rsidRPr="00730468">
        <w:t xml:space="preserve"> associated with WOS more serious, t</w:t>
      </w:r>
      <w:r w:rsidR="00427016" w:rsidRPr="00730468">
        <w:t xml:space="preserve">he </w:t>
      </w:r>
      <w:r w:rsidR="00A46764" w:rsidRPr="00730468">
        <w:t>increasing</w:t>
      </w:r>
      <w:r w:rsidR="00427016" w:rsidRPr="00730468">
        <w:t xml:space="preserve"> cultural distance</w:t>
      </w:r>
      <w:r w:rsidR="00A46764" w:rsidRPr="00730468">
        <w:t xml:space="preserve"> lead to the </w:t>
      </w:r>
      <w:r w:rsidR="00D72F5A" w:rsidRPr="00730468">
        <w:t>increasing</w:t>
      </w:r>
      <w:r w:rsidR="00427016" w:rsidRPr="00730468">
        <w:t xml:space="preserve"> difference in the shared norms and values between the home and </w:t>
      </w:r>
      <w:r w:rsidR="00D72F5A" w:rsidRPr="00730468">
        <w:t>the host</w:t>
      </w:r>
      <w:r w:rsidR="00427016" w:rsidRPr="00730468">
        <w:t xml:space="preserve"> country, and </w:t>
      </w:r>
      <w:r w:rsidR="00D72F5A" w:rsidRPr="00730468">
        <w:t>thus</w:t>
      </w:r>
      <w:r w:rsidR="00427016" w:rsidRPr="00730468">
        <w:t xml:space="preserve"> </w:t>
      </w:r>
      <w:r w:rsidR="00AC63A3" w:rsidRPr="00730468">
        <w:t xml:space="preserve">leading to </w:t>
      </w:r>
      <w:r w:rsidR="00427016" w:rsidRPr="00730468">
        <w:t xml:space="preserve">the </w:t>
      </w:r>
      <w:r w:rsidR="00357CB3" w:rsidRPr="00730468">
        <w:t>high adaption cost</w:t>
      </w:r>
      <w:r w:rsidR="00427016" w:rsidRPr="00730468">
        <w:t xml:space="preserve"> associated with </w:t>
      </w:r>
      <w:r w:rsidR="00A46764" w:rsidRPr="00730468">
        <w:t xml:space="preserve">WOS. </w:t>
      </w:r>
      <w:r w:rsidR="00D72F5A" w:rsidRPr="00730468">
        <w:t xml:space="preserve">To </w:t>
      </w:r>
      <w:r w:rsidR="00187DA0" w:rsidRPr="00730468">
        <w:t xml:space="preserve">deteriorate </w:t>
      </w:r>
      <w:r w:rsidR="00D72F5A" w:rsidRPr="00730468">
        <w:t>high external uncertainty</w:t>
      </w:r>
      <w:r w:rsidR="00187DA0" w:rsidRPr="00730468">
        <w:t xml:space="preserve"> in culturally distant countries</w:t>
      </w:r>
      <w:r w:rsidR="00D72F5A" w:rsidRPr="00730468">
        <w:t>, MNEs c</w:t>
      </w:r>
      <w:r w:rsidR="00187DA0" w:rsidRPr="00730468">
        <w:t>ould opt for JV</w:t>
      </w:r>
      <w:r w:rsidR="00427016" w:rsidRPr="00730468">
        <w:t xml:space="preserve">. </w:t>
      </w:r>
      <w:r w:rsidR="00187DA0" w:rsidRPr="00730468">
        <w:t xml:space="preserve">The </w:t>
      </w:r>
      <w:r w:rsidRPr="00730468">
        <w:t xml:space="preserve">first </w:t>
      </w:r>
      <w:r w:rsidR="00187DA0" w:rsidRPr="00730468">
        <w:t xml:space="preserve">underlying reason is that local </w:t>
      </w:r>
      <w:r w:rsidR="00187DA0" w:rsidRPr="00730468">
        <w:rPr>
          <w:color w:val="000000" w:themeColor="text1"/>
        </w:rPr>
        <w:t>firms generally own deeper understanding of their countries’ norms and values, and of other local stakeholders’ practices and preferences thriving from these norms and values (</w:t>
      </w:r>
      <w:r w:rsidR="008F42C3" w:rsidRPr="00730468">
        <w:rPr>
          <w:color w:val="000000" w:themeColor="text1"/>
        </w:rPr>
        <w:t>Stopford &amp; Wells, 1972; Franko, 1973; Root, 1987;</w:t>
      </w:r>
      <w:r w:rsidR="00187DA0" w:rsidRPr="00730468">
        <w:rPr>
          <w:color w:val="000000" w:themeColor="text1"/>
        </w:rPr>
        <w:t xml:space="preserve"> Barkema &amp; </w:t>
      </w:r>
      <w:r w:rsidR="008F42C3" w:rsidRPr="00730468">
        <w:rPr>
          <w:color w:val="000000" w:themeColor="text1"/>
        </w:rPr>
        <w:t>Vermeulen, 1997</w:t>
      </w:r>
      <w:r w:rsidR="00187DA0" w:rsidRPr="00730468">
        <w:rPr>
          <w:color w:val="000000" w:themeColor="text1"/>
        </w:rPr>
        <w:t xml:space="preserve">). Additionally, when joining in JV, local firms share the proﬁts with MNEs; thus, they normally intensively use their cultural knowledge to beneﬁt the JV subsidiary </w:t>
      </w:r>
      <w:r w:rsidRPr="00730468">
        <w:rPr>
          <w:color w:val="000000" w:themeColor="text1"/>
        </w:rPr>
        <w:t xml:space="preserve">(Hennart, 1988). </w:t>
      </w:r>
      <w:r w:rsidR="00187DA0" w:rsidRPr="00730468">
        <w:t>Secondly, J</w:t>
      </w:r>
      <w:r w:rsidR="007F152A" w:rsidRPr="00730468">
        <w:t>V enables MNEs to deteriorate external uncertainty in culturally distant countries since in comparison with WOS</w:t>
      </w:r>
      <w:r w:rsidR="00A5277C" w:rsidRPr="00730468">
        <w:t>,</w:t>
      </w:r>
      <w:r w:rsidR="007F152A" w:rsidRPr="00730468">
        <w:t xml:space="preserve"> JV basically demands</w:t>
      </w:r>
      <w:r w:rsidR="00427016" w:rsidRPr="00730468">
        <w:t xml:space="preserve"> fewer resources from MNEs (Anderson &amp; Gatignon, 1986; Hill et al., 1990). </w:t>
      </w:r>
      <w:r w:rsidR="007F152A" w:rsidRPr="00730468">
        <w:t>Because demanding</w:t>
      </w:r>
      <w:r w:rsidR="00427016" w:rsidRPr="00730468">
        <w:t xml:space="preserve"> fewer resources, </w:t>
      </w:r>
      <w:r w:rsidR="007F152A" w:rsidRPr="00730468">
        <w:t>JV typic</w:t>
      </w:r>
      <w:r w:rsidR="00427016" w:rsidRPr="00730468">
        <w:t>ally ha</w:t>
      </w:r>
      <w:r w:rsidR="007F152A" w:rsidRPr="00730468">
        <w:t>s</w:t>
      </w:r>
      <w:r w:rsidR="00B749B4" w:rsidRPr="00730468">
        <w:t xml:space="preserve"> lower </w:t>
      </w:r>
      <w:r w:rsidR="00427016" w:rsidRPr="00730468">
        <w:t xml:space="preserve">exit costs, and </w:t>
      </w:r>
      <w:r w:rsidR="007F152A" w:rsidRPr="00730468">
        <w:t>therefore enhancing</w:t>
      </w:r>
      <w:r w:rsidR="00427016" w:rsidRPr="00730468">
        <w:t xml:space="preserve"> an MNE’s ﬂexibility (Brouthers &amp; Brouthers, 2001; Kogut, 1991). </w:t>
      </w:r>
      <w:r w:rsidR="00B749B4" w:rsidRPr="00730468">
        <w:t xml:space="preserve">The high level of flexibility </w:t>
      </w:r>
      <w:r w:rsidR="00C574BE" w:rsidRPr="00730468">
        <w:t>is an important advantage for</w:t>
      </w:r>
      <w:r w:rsidR="00B749B4" w:rsidRPr="00730468">
        <w:t xml:space="preserve"> MNEs</w:t>
      </w:r>
      <w:r w:rsidR="00C574BE" w:rsidRPr="00730468">
        <w:t xml:space="preserve"> in the context of </w:t>
      </w:r>
      <w:r w:rsidR="00B749B4" w:rsidRPr="00730468">
        <w:t xml:space="preserve"> </w:t>
      </w:r>
      <w:r w:rsidR="00C574BE" w:rsidRPr="00730468">
        <w:t xml:space="preserve">culturally distant countries </w:t>
      </w:r>
      <w:r w:rsidR="00B749B4" w:rsidRPr="00730468">
        <w:t>since entering culturally distant markets is more likely to fail than entering culturally proximate one</w:t>
      </w:r>
      <w:r w:rsidR="00C574BE" w:rsidRPr="00730468">
        <w:t xml:space="preserve">s (Hill et al., 1990). </w:t>
      </w:r>
    </w:p>
    <w:p w:rsidR="00C574BE" w:rsidRPr="00730468" w:rsidRDefault="00C574BE" w:rsidP="00DF3F76">
      <w:pPr>
        <w:spacing w:line="360" w:lineRule="auto"/>
        <w:jc w:val="both"/>
      </w:pPr>
    </w:p>
    <w:p w:rsidR="00427016" w:rsidRPr="00730468" w:rsidRDefault="00C574BE" w:rsidP="00DF3F76">
      <w:pPr>
        <w:spacing w:line="360" w:lineRule="auto"/>
        <w:jc w:val="both"/>
      </w:pPr>
      <w:r w:rsidRPr="00730468">
        <w:t xml:space="preserve">All in all, to be in line with numerous prior studies assuming </w:t>
      </w:r>
      <w:r w:rsidR="00806558" w:rsidRPr="00730468">
        <w:t>negative</w:t>
      </w:r>
      <w:r w:rsidRPr="00730468">
        <w:t xml:space="preserve"> correlation </w:t>
      </w:r>
      <w:r w:rsidR="00806558" w:rsidRPr="00730468">
        <w:t>between</w:t>
      </w:r>
      <w:r w:rsidRPr="00730468">
        <w:t xml:space="preserve"> </w:t>
      </w:r>
      <w:r w:rsidR="00806558" w:rsidRPr="00730468">
        <w:t xml:space="preserve">cultural distance and the level of ownership </w:t>
      </w:r>
      <w:r w:rsidRPr="00730468">
        <w:t>(</w:t>
      </w:r>
      <w:r w:rsidR="00863314" w:rsidRPr="00730468">
        <w:t>Anderson &amp; Gatignon</w:t>
      </w:r>
      <w:r w:rsidRPr="00730468">
        <w:t xml:space="preserve">, 1988; </w:t>
      </w:r>
      <w:r w:rsidR="00C912BA" w:rsidRPr="00730468">
        <w:t xml:space="preserve">Erramilli &amp; Rao, 1993; </w:t>
      </w:r>
      <w:r w:rsidRPr="00730468">
        <w:t>Larimo, 1993; Hennart &amp; Larimo, 1998; Contractor &amp; Kundu, 1998; Palenzuela &amp; Bobillo, 1999; Brouthers &amp; Brouthers, 2001</w:t>
      </w:r>
      <w:r w:rsidR="00C912BA" w:rsidRPr="00730468">
        <w:t>; Pak &amp; Park, 2004</w:t>
      </w:r>
      <w:r w:rsidRPr="00730468">
        <w:t>)</w:t>
      </w:r>
      <w:r w:rsidR="00806558" w:rsidRPr="00730468">
        <w:t>,</w:t>
      </w:r>
      <w:r w:rsidRPr="00730468">
        <w:t xml:space="preserve"> and due to the fact that in the context of culturally distant countries,</w:t>
      </w:r>
      <w:r w:rsidR="00427016" w:rsidRPr="00730468">
        <w:t xml:space="preserve"> the external uncertainty associated with </w:t>
      </w:r>
      <w:r w:rsidRPr="00730468">
        <w:t>JV</w:t>
      </w:r>
      <w:r w:rsidR="00427016" w:rsidRPr="00730468">
        <w:t xml:space="preserve"> </w:t>
      </w:r>
      <w:r w:rsidRPr="00730468">
        <w:t>is lower than for WOS</w:t>
      </w:r>
      <w:r w:rsidR="00427016" w:rsidRPr="00730468">
        <w:t xml:space="preserve">, </w:t>
      </w:r>
      <w:r w:rsidRPr="00730468">
        <w:t>my third hypothesis is stated as below:</w:t>
      </w:r>
      <w:r w:rsidR="00427016" w:rsidRPr="00730468">
        <w:t xml:space="preserve"> </w:t>
      </w:r>
    </w:p>
    <w:p w:rsidR="00892F42" w:rsidRPr="00730468" w:rsidRDefault="00892F42" w:rsidP="00DF3F76">
      <w:pPr>
        <w:pStyle w:val="NormalWeb"/>
        <w:shd w:val="clear" w:color="auto" w:fill="FFFFFF"/>
        <w:spacing w:before="0" w:beforeAutospacing="0" w:after="0" w:afterAutospacing="0" w:line="360" w:lineRule="auto"/>
        <w:jc w:val="both"/>
        <w:textAlignment w:val="baseline"/>
        <w:rPr>
          <w:color w:val="000000" w:themeColor="text1"/>
        </w:rPr>
      </w:pPr>
      <w:r w:rsidRPr="00730468">
        <w:rPr>
          <w:color w:val="000000" w:themeColor="text1"/>
        </w:rPr>
        <w:lastRenderedPageBreak/>
        <w:t>H</w:t>
      </w:r>
      <w:r w:rsidR="00B04085" w:rsidRPr="00730468">
        <w:rPr>
          <w:color w:val="000000" w:themeColor="text1"/>
        </w:rPr>
        <w:t xml:space="preserve">ypothesis </w:t>
      </w:r>
      <w:r w:rsidRPr="00730468">
        <w:rPr>
          <w:color w:val="000000" w:themeColor="text1"/>
        </w:rPr>
        <w:t xml:space="preserve">3: the increase in the cultural distance between home and host country, the increase in the probability that enterprise choose to enter the market through </w:t>
      </w:r>
      <w:r w:rsidR="007046AE" w:rsidRPr="00730468">
        <w:rPr>
          <w:color w:val="000000" w:themeColor="text1"/>
        </w:rPr>
        <w:t>JV</w:t>
      </w:r>
      <w:r w:rsidRPr="00730468">
        <w:rPr>
          <w:color w:val="000000" w:themeColor="text1"/>
        </w:rPr>
        <w:t xml:space="preserve"> and the decrease to enter through </w:t>
      </w:r>
      <w:r w:rsidR="007046AE" w:rsidRPr="00730468">
        <w:rPr>
          <w:color w:val="000000" w:themeColor="text1"/>
        </w:rPr>
        <w:t>WOS</w:t>
      </w:r>
      <w:r w:rsidRPr="00730468">
        <w:rPr>
          <w:color w:val="000000" w:themeColor="text1"/>
        </w:rPr>
        <w:t>.</w:t>
      </w:r>
    </w:p>
    <w:p w:rsidR="008A5E86" w:rsidRPr="00730468" w:rsidRDefault="008A5E86" w:rsidP="00DF3F76">
      <w:pPr>
        <w:pStyle w:val="NormalWeb"/>
        <w:shd w:val="clear" w:color="auto" w:fill="FFFFFF"/>
        <w:spacing w:before="0" w:beforeAutospacing="0" w:after="0" w:afterAutospacing="0" w:line="360" w:lineRule="auto"/>
        <w:jc w:val="both"/>
        <w:textAlignment w:val="baseline"/>
        <w:rPr>
          <w:color w:val="000000" w:themeColor="text1"/>
        </w:rPr>
      </w:pPr>
    </w:p>
    <w:p w:rsidR="008A5E86" w:rsidRPr="00730468" w:rsidRDefault="00F7094D" w:rsidP="00DF3F76">
      <w:pPr>
        <w:pStyle w:val="Heading3"/>
        <w:spacing w:line="360" w:lineRule="auto"/>
      </w:pPr>
      <w:bookmarkStart w:id="25" w:name="_Toc487572206"/>
      <w:bookmarkStart w:id="26" w:name="_Toc487707046"/>
      <w:bookmarkStart w:id="27" w:name="_Toc489287936"/>
      <w:r w:rsidRPr="00730468">
        <w:t xml:space="preserve">2.3.4. </w:t>
      </w:r>
      <w:r w:rsidR="008A5E86" w:rsidRPr="00730468">
        <w:t xml:space="preserve">Governance </w:t>
      </w:r>
      <w:r w:rsidR="00270686" w:rsidRPr="00730468">
        <w:t>distance</w:t>
      </w:r>
      <w:r w:rsidR="008C673D" w:rsidRPr="00730468">
        <w:t xml:space="preserve"> (G</w:t>
      </w:r>
      <w:r w:rsidR="00270686" w:rsidRPr="00730468">
        <w:t>oD</w:t>
      </w:r>
      <w:r w:rsidR="008C673D" w:rsidRPr="00730468">
        <w:t>)</w:t>
      </w:r>
      <w:bookmarkEnd w:id="25"/>
      <w:bookmarkEnd w:id="26"/>
      <w:bookmarkEnd w:id="27"/>
    </w:p>
    <w:p w:rsidR="00ED42C5" w:rsidRPr="00730468" w:rsidRDefault="00ED42C5" w:rsidP="00DF3F76">
      <w:pPr>
        <w:spacing w:line="360" w:lineRule="auto"/>
        <w:jc w:val="both"/>
      </w:pPr>
      <w:r w:rsidRPr="00730468">
        <w:t>‘</w:t>
      </w:r>
      <w:r w:rsidRPr="00730468">
        <w:rPr>
          <w:i/>
        </w:rPr>
        <w:t xml:space="preserve">Governance quality includes attributes </w:t>
      </w:r>
      <w:r w:rsidRPr="00730468">
        <w:rPr>
          <w:i/>
          <w:noProof/>
        </w:rPr>
        <w:t>of legislation, regulation, and legal systems that condition freedom of transacting, security of property rights, and transparency of government and legal</w:t>
      </w:r>
      <w:r w:rsidRPr="00730468">
        <w:rPr>
          <w:i/>
        </w:rPr>
        <w:t xml:space="preserve"> processes and includes the process by which governments are selected, monitored, and replaced, governments’ capacity to effectively formulate and implement solid policies, and </w:t>
      </w:r>
      <w:r w:rsidRPr="00730468">
        <w:rPr>
          <w:i/>
          <w:noProof/>
        </w:rPr>
        <w:t>the extent to which citizens and governments respect the institutions that govern economic and social</w:t>
      </w:r>
      <w:r w:rsidRPr="00730468">
        <w:rPr>
          <w:i/>
        </w:rPr>
        <w:t xml:space="preserve"> interactions</w:t>
      </w:r>
      <w:r w:rsidRPr="00730468">
        <w:t>’</w:t>
      </w:r>
      <w:r w:rsidRPr="00730468">
        <w:rPr>
          <w:i/>
        </w:rPr>
        <w:t xml:space="preserve"> </w:t>
      </w:r>
      <w:r w:rsidRPr="00730468">
        <w:t xml:space="preserve">(Kaufmann, Kraay </w:t>
      </w:r>
      <w:r w:rsidR="00011FAF">
        <w:t>&amp;</w:t>
      </w:r>
      <w:r w:rsidRPr="00730468">
        <w:t xml:space="preserve"> Mastruzzi,</w:t>
      </w:r>
      <w:r w:rsidR="00011FAF">
        <w:t xml:space="preserve"> </w:t>
      </w:r>
      <w:r w:rsidRPr="00730468">
        <w:t xml:space="preserve">2004). Thus, governance distance reflects the difference in </w:t>
      </w:r>
      <w:r w:rsidR="00552FEF" w:rsidRPr="00730468">
        <w:t xml:space="preserve">the development of </w:t>
      </w:r>
      <w:r w:rsidRPr="00730468">
        <w:t>governance environment between the host and the home country</w:t>
      </w:r>
      <w:r w:rsidR="00552FEF" w:rsidRPr="00730468">
        <w:t>.</w:t>
      </w:r>
    </w:p>
    <w:p w:rsidR="00552FEF" w:rsidRPr="00730468" w:rsidRDefault="00552FEF" w:rsidP="00DF3F76">
      <w:pPr>
        <w:spacing w:line="360" w:lineRule="auto"/>
        <w:jc w:val="both"/>
      </w:pPr>
    </w:p>
    <w:p w:rsidR="00552FEF" w:rsidRPr="00730468" w:rsidRDefault="00901366" w:rsidP="00DF3F76">
      <w:pPr>
        <w:spacing w:line="360" w:lineRule="auto"/>
        <w:jc w:val="both"/>
        <w:rPr>
          <w:color w:val="000000" w:themeColor="text1"/>
        </w:rPr>
      </w:pPr>
      <w:r w:rsidRPr="00730468">
        <w:t xml:space="preserve">From the perspective of </w:t>
      </w:r>
      <w:r w:rsidR="005C5528">
        <w:rPr>
          <w:color w:val="000000" w:themeColor="text1"/>
        </w:rPr>
        <w:t>t</w:t>
      </w:r>
      <w:r w:rsidR="005C5528" w:rsidRPr="005C5528">
        <w:rPr>
          <w:color w:val="000000" w:themeColor="text1"/>
        </w:rPr>
        <w:t>ransaction cost economics</w:t>
      </w:r>
      <w:r w:rsidRPr="00730468">
        <w:t>, external uncertainty involves the uncertainty perceived by MNEs in the formal and informal institutional environment of the host country (</w:t>
      </w:r>
      <w:r w:rsidR="009055A6" w:rsidRPr="00730468">
        <w:t>Delios &amp; Henisz</w:t>
      </w:r>
      <w:r w:rsidRPr="00730468">
        <w:t xml:space="preserve">, 2002; Delios &amp; Henisz, 2003b; Slangen &amp; Tulder, 2009). </w:t>
      </w:r>
      <w:r w:rsidR="00AA3F9D">
        <w:t>That means when formal institutional environment changes, the external uncertainty will increase. In literature, t</w:t>
      </w:r>
      <w:r w:rsidRPr="00730468">
        <w:t xml:space="preserve">he level of political risk in host countries has been </w:t>
      </w:r>
      <w:r w:rsidR="00053A47" w:rsidRPr="00730468">
        <w:t xml:space="preserve">widely </w:t>
      </w:r>
      <w:r w:rsidRPr="00730468">
        <w:t xml:space="preserve">used </w:t>
      </w:r>
      <w:r w:rsidR="00AA3F9D">
        <w:t xml:space="preserve">to </w:t>
      </w:r>
      <w:r w:rsidR="00011FAF">
        <w:t>measure</w:t>
      </w:r>
      <w:r w:rsidRPr="00730468">
        <w:t xml:space="preserve"> formal institutional environment (</w:t>
      </w:r>
      <w:r w:rsidR="00A50C5A" w:rsidRPr="00730468">
        <w:t xml:space="preserve">Kobrin, 1983; Akhter &amp; Lusch, 1988; Agarwal &amp; Ramaswami, 1992; </w:t>
      </w:r>
      <w:r w:rsidR="00785E9E" w:rsidRPr="00730468">
        <w:t xml:space="preserve">Beamish </w:t>
      </w:r>
      <w:r w:rsidRPr="00730468">
        <w:t xml:space="preserve">&amp; </w:t>
      </w:r>
      <w:r w:rsidR="00785E9E" w:rsidRPr="00730468">
        <w:t>Delios</w:t>
      </w:r>
      <w:r w:rsidRPr="00730468">
        <w:t>, 1999; Deli</w:t>
      </w:r>
      <w:r w:rsidR="00A50C5A" w:rsidRPr="00730468">
        <w:t>os &amp; Henisz, 2000; Henisz, 2000</w:t>
      </w:r>
      <w:r w:rsidRPr="00730468">
        <w:t xml:space="preserve">). However, Slangen and Tulder (2009) suggest that governance distance </w:t>
      </w:r>
      <w:r w:rsidR="00F80588">
        <w:t>is way better to represent</w:t>
      </w:r>
      <w:r w:rsidR="00AA3F9D">
        <w:t xml:space="preserve"> for</w:t>
      </w:r>
      <w:r w:rsidRPr="00730468">
        <w:t xml:space="preserve"> formal institutional environment</w:t>
      </w:r>
      <w:r w:rsidR="00552FEF" w:rsidRPr="00730468">
        <w:t xml:space="preserve"> since it </w:t>
      </w:r>
      <w:r w:rsidRPr="00730468">
        <w:t>capture</w:t>
      </w:r>
      <w:r w:rsidRPr="00730468">
        <w:rPr>
          <w:color w:val="000000" w:themeColor="text1"/>
        </w:rPr>
        <w:t xml:space="preserve">s numerous </w:t>
      </w:r>
      <w:r w:rsidR="00552FEF" w:rsidRPr="00730468">
        <w:rPr>
          <w:color w:val="000000" w:themeColor="text1"/>
        </w:rPr>
        <w:t>formal institutional environme</w:t>
      </w:r>
      <w:r w:rsidRPr="00730468">
        <w:rPr>
          <w:color w:val="000000" w:themeColor="text1"/>
        </w:rPr>
        <w:t>nt</w:t>
      </w:r>
      <w:r w:rsidR="00552FEF" w:rsidRPr="00730468">
        <w:rPr>
          <w:color w:val="000000" w:themeColor="text1"/>
        </w:rPr>
        <w:t xml:space="preserve"> </w:t>
      </w:r>
      <w:r w:rsidR="00011FAF">
        <w:rPr>
          <w:color w:val="000000" w:themeColor="text1"/>
        </w:rPr>
        <w:t>aspects</w:t>
      </w:r>
      <w:r w:rsidR="00552FEF" w:rsidRPr="00730468">
        <w:rPr>
          <w:color w:val="000000" w:themeColor="text1"/>
        </w:rPr>
        <w:t xml:space="preserve"> </w:t>
      </w:r>
      <w:r w:rsidR="000512D7" w:rsidRPr="00730468">
        <w:rPr>
          <w:color w:val="000000" w:themeColor="text1"/>
        </w:rPr>
        <w:t xml:space="preserve">and political risk itself is just one </w:t>
      </w:r>
      <w:r w:rsidR="00011FAF">
        <w:rPr>
          <w:color w:val="000000" w:themeColor="text1"/>
        </w:rPr>
        <w:t>aspect</w:t>
      </w:r>
      <w:r w:rsidR="000512D7" w:rsidRPr="00730468">
        <w:rPr>
          <w:color w:val="000000" w:themeColor="text1"/>
        </w:rPr>
        <w:t xml:space="preserve"> of governance </w:t>
      </w:r>
      <w:r w:rsidR="00AA3F9D">
        <w:rPr>
          <w:color w:val="000000" w:themeColor="text1"/>
        </w:rPr>
        <w:t>distance</w:t>
      </w:r>
      <w:r w:rsidR="000512D7" w:rsidRPr="00730468">
        <w:rPr>
          <w:color w:val="000000" w:themeColor="text1"/>
        </w:rPr>
        <w:t xml:space="preserve">. </w:t>
      </w:r>
      <w:r w:rsidR="0062185A" w:rsidRPr="00730468">
        <w:rPr>
          <w:color w:val="000000" w:themeColor="text1"/>
        </w:rPr>
        <w:t xml:space="preserve">Governance </w:t>
      </w:r>
      <w:r w:rsidR="00AA3F9D">
        <w:rPr>
          <w:color w:val="000000" w:themeColor="text1"/>
        </w:rPr>
        <w:t>distance</w:t>
      </w:r>
      <w:r w:rsidR="0062185A" w:rsidRPr="00730468">
        <w:rPr>
          <w:color w:val="000000" w:themeColor="text1"/>
        </w:rPr>
        <w:t xml:space="preserve"> includes 6 dimensions: </w:t>
      </w:r>
      <w:r w:rsidR="0062185A" w:rsidRPr="006A0B43">
        <w:rPr>
          <w:bCs/>
          <w:noProof/>
          <w:color w:val="000000" w:themeColor="text1"/>
        </w:rPr>
        <w:t xml:space="preserve">Voice and Accountability, Political Stability and Absence of </w:t>
      </w:r>
      <w:r w:rsidR="0047190F" w:rsidRPr="006A0B43">
        <w:rPr>
          <w:bCs/>
          <w:noProof/>
        </w:rPr>
        <w:t>Violence</w:t>
      </w:r>
      <w:r w:rsidR="00577913" w:rsidRPr="006A0B43">
        <w:rPr>
          <w:bCs/>
          <w:noProof/>
        </w:rPr>
        <w:t>,</w:t>
      </w:r>
      <w:r w:rsidR="0062185A" w:rsidRPr="006A0B43">
        <w:rPr>
          <w:bCs/>
          <w:noProof/>
        </w:rPr>
        <w:t xml:space="preserve"> Government Eff</w:t>
      </w:r>
      <w:r w:rsidR="00577913" w:rsidRPr="006A0B43">
        <w:rPr>
          <w:bCs/>
          <w:noProof/>
        </w:rPr>
        <w:t>ec</w:t>
      </w:r>
      <w:r w:rsidR="0047190F" w:rsidRPr="006A0B43">
        <w:rPr>
          <w:bCs/>
          <w:noProof/>
        </w:rPr>
        <w:t>tiveness, Regulatory Quality, Rule of Law and Control of Corruption</w:t>
      </w:r>
      <w:r w:rsidR="0062185A" w:rsidRPr="006A0B43">
        <w:rPr>
          <w:bCs/>
          <w:noProof/>
        </w:rPr>
        <w:t>.</w:t>
      </w:r>
      <w:r w:rsidR="0062185A" w:rsidRPr="00577913">
        <w:rPr>
          <w:bCs/>
        </w:rPr>
        <w:t xml:space="preserve"> </w:t>
      </w:r>
      <w:r w:rsidR="000512D7" w:rsidRPr="00730468">
        <w:rPr>
          <w:color w:val="000000" w:themeColor="text1"/>
        </w:rPr>
        <w:t xml:space="preserve">Moreover, </w:t>
      </w:r>
      <w:r w:rsidR="0062185A" w:rsidRPr="00730468">
        <w:rPr>
          <w:color w:val="000000" w:themeColor="text1"/>
        </w:rPr>
        <w:t>in the methodology part of his study, Contractor</w:t>
      </w:r>
      <w:r w:rsidR="00B707C6" w:rsidRPr="00730468">
        <w:rPr>
          <w:color w:val="000000" w:themeColor="text1"/>
        </w:rPr>
        <w:t xml:space="preserve"> </w:t>
      </w:r>
      <w:r w:rsidR="00962EDA">
        <w:rPr>
          <w:color w:val="000000" w:themeColor="text1"/>
        </w:rPr>
        <w:t xml:space="preserve">et al. </w:t>
      </w:r>
      <w:r w:rsidR="0062185A" w:rsidRPr="00730468">
        <w:rPr>
          <w:color w:val="000000" w:themeColor="text1"/>
        </w:rPr>
        <w:t xml:space="preserve">(2014) </w:t>
      </w:r>
      <w:r w:rsidR="00F80588">
        <w:rPr>
          <w:color w:val="000000" w:themeColor="text1"/>
        </w:rPr>
        <w:t xml:space="preserve">did </w:t>
      </w:r>
      <w:r w:rsidR="0062185A" w:rsidRPr="00730468">
        <w:rPr>
          <w:color w:val="000000" w:themeColor="text1"/>
        </w:rPr>
        <w:t xml:space="preserve">use governance indicators </w:t>
      </w:r>
      <w:r w:rsidR="00F80588">
        <w:rPr>
          <w:color w:val="000000" w:themeColor="text1"/>
        </w:rPr>
        <w:t>to measure</w:t>
      </w:r>
      <w:r w:rsidR="0062185A" w:rsidRPr="00730468">
        <w:rPr>
          <w:color w:val="000000" w:themeColor="text1"/>
        </w:rPr>
        <w:t xml:space="preserve"> the formal institutional di</w:t>
      </w:r>
      <w:r w:rsidR="00AA3F9D">
        <w:rPr>
          <w:color w:val="000000" w:themeColor="text1"/>
        </w:rPr>
        <w:t>stance</w:t>
      </w:r>
      <w:r w:rsidR="00734500" w:rsidRPr="00730468">
        <w:rPr>
          <w:color w:val="000000" w:themeColor="text1"/>
        </w:rPr>
        <w:t xml:space="preserve">. </w:t>
      </w:r>
      <w:r w:rsidR="00F80588">
        <w:rPr>
          <w:color w:val="000000" w:themeColor="text1"/>
        </w:rPr>
        <w:t xml:space="preserve">Therefore, governance distance is increasing considered as an optimal proxy for formal institutional distance; however, </w:t>
      </w:r>
      <w:r w:rsidR="00F80588" w:rsidRPr="00730468">
        <w:rPr>
          <w:color w:val="000000" w:themeColor="text1"/>
        </w:rPr>
        <w:t xml:space="preserve">governance distance until now is still sparsely </w:t>
      </w:r>
      <w:r w:rsidR="00F80588">
        <w:rPr>
          <w:color w:val="000000" w:themeColor="text1"/>
        </w:rPr>
        <w:t xml:space="preserve">studied, </w:t>
      </w:r>
      <w:r w:rsidR="00734500" w:rsidRPr="00730468">
        <w:rPr>
          <w:color w:val="000000" w:themeColor="text1"/>
        </w:rPr>
        <w:t xml:space="preserve">I </w:t>
      </w:r>
      <w:r w:rsidR="00011FAF">
        <w:rPr>
          <w:color w:val="000000" w:themeColor="text1"/>
        </w:rPr>
        <w:t xml:space="preserve">therefore </w:t>
      </w:r>
      <w:r w:rsidR="00734500" w:rsidRPr="00730468">
        <w:rPr>
          <w:color w:val="000000" w:themeColor="text1"/>
        </w:rPr>
        <w:t xml:space="preserve">would like to use </w:t>
      </w:r>
      <w:r w:rsidR="00D710FA" w:rsidRPr="00730468">
        <w:rPr>
          <w:color w:val="000000" w:themeColor="text1"/>
        </w:rPr>
        <w:t xml:space="preserve">some </w:t>
      </w:r>
      <w:r w:rsidR="00734500" w:rsidRPr="00730468">
        <w:rPr>
          <w:color w:val="000000" w:themeColor="text1"/>
        </w:rPr>
        <w:t xml:space="preserve">formal institutional literature to </w:t>
      </w:r>
      <w:r w:rsidR="00D710FA" w:rsidRPr="00730468">
        <w:rPr>
          <w:color w:val="000000" w:themeColor="text1"/>
        </w:rPr>
        <w:t xml:space="preserve">help to </w:t>
      </w:r>
      <w:r w:rsidR="00734500" w:rsidRPr="00730468">
        <w:rPr>
          <w:color w:val="000000" w:themeColor="text1"/>
        </w:rPr>
        <w:t>predict the impact of governance</w:t>
      </w:r>
      <w:r w:rsidR="00520865">
        <w:rPr>
          <w:color w:val="000000" w:themeColor="text1"/>
        </w:rPr>
        <w:t xml:space="preserve"> distance on entry mode choices.</w:t>
      </w:r>
    </w:p>
    <w:p w:rsidR="00B707C6" w:rsidRPr="00730468" w:rsidRDefault="00B16529" w:rsidP="00DF3F76">
      <w:pPr>
        <w:spacing w:line="360" w:lineRule="auto"/>
        <w:jc w:val="both"/>
        <w:rPr>
          <w:color w:val="000000" w:themeColor="text1"/>
        </w:rPr>
      </w:pPr>
      <w:r w:rsidRPr="00243B8C">
        <w:rPr>
          <w:color w:val="000000" w:themeColor="text1"/>
        </w:rPr>
        <w:lastRenderedPageBreak/>
        <w:t xml:space="preserve">Institutional theory </w:t>
      </w:r>
      <w:r w:rsidR="00354F42" w:rsidRPr="00243B8C">
        <w:rPr>
          <w:color w:val="000000" w:themeColor="text1"/>
        </w:rPr>
        <w:t>argues</w:t>
      </w:r>
      <w:r w:rsidRPr="00243B8C">
        <w:rPr>
          <w:color w:val="000000" w:themeColor="text1"/>
        </w:rPr>
        <w:t xml:space="preserve"> that </w:t>
      </w:r>
      <w:r w:rsidR="00354F42" w:rsidRPr="00243B8C">
        <w:rPr>
          <w:color w:val="000000" w:themeColor="text1"/>
        </w:rPr>
        <w:t>MNEs</w:t>
      </w:r>
      <w:r w:rsidRPr="00730468">
        <w:rPr>
          <w:color w:val="000000" w:themeColor="text1"/>
        </w:rPr>
        <w:t xml:space="preserve"> </w:t>
      </w:r>
      <w:r w:rsidR="00354F42" w:rsidRPr="00730468">
        <w:rPr>
          <w:color w:val="000000" w:themeColor="text1"/>
        </w:rPr>
        <w:t>have to adapt and</w:t>
      </w:r>
      <w:r w:rsidRPr="00730468">
        <w:rPr>
          <w:color w:val="000000" w:themeColor="text1"/>
        </w:rPr>
        <w:t xml:space="preserve"> </w:t>
      </w:r>
      <w:r w:rsidR="00354F42" w:rsidRPr="00730468">
        <w:rPr>
          <w:color w:val="000000" w:themeColor="text1"/>
        </w:rPr>
        <w:t>conform themselves to</w:t>
      </w:r>
      <w:r w:rsidRPr="00730468">
        <w:rPr>
          <w:color w:val="000000" w:themeColor="text1"/>
        </w:rPr>
        <w:t xml:space="preserve"> </w:t>
      </w:r>
      <w:r w:rsidR="00354F42" w:rsidRPr="00730468">
        <w:rPr>
          <w:color w:val="000000" w:themeColor="text1"/>
        </w:rPr>
        <w:t>many different</w:t>
      </w:r>
      <w:r w:rsidRPr="00730468">
        <w:rPr>
          <w:color w:val="000000" w:themeColor="text1"/>
        </w:rPr>
        <w:t xml:space="preserve"> pillars of the</w:t>
      </w:r>
      <w:r w:rsidR="00354F42" w:rsidRPr="00730468">
        <w:rPr>
          <w:color w:val="000000" w:themeColor="text1"/>
        </w:rPr>
        <w:t xml:space="preserve"> home country’s</w:t>
      </w:r>
      <w:r w:rsidRPr="00730468">
        <w:rPr>
          <w:color w:val="000000" w:themeColor="text1"/>
        </w:rPr>
        <w:t xml:space="preserve"> institutional environment to establish legitimacy, which </w:t>
      </w:r>
      <w:r w:rsidR="00354F42" w:rsidRPr="00730468">
        <w:rPr>
          <w:color w:val="000000" w:themeColor="text1"/>
        </w:rPr>
        <w:t>enables them</w:t>
      </w:r>
      <w:r w:rsidRPr="00730468">
        <w:rPr>
          <w:color w:val="000000" w:themeColor="text1"/>
        </w:rPr>
        <w:t xml:space="preserve"> to ensure subsequent business success (Dikova, Sahib</w:t>
      </w:r>
      <w:r w:rsidR="00354F42" w:rsidRPr="00730468">
        <w:rPr>
          <w:color w:val="000000" w:themeColor="text1"/>
        </w:rPr>
        <w:t>,</w:t>
      </w:r>
      <w:r w:rsidRPr="00730468">
        <w:rPr>
          <w:color w:val="000000" w:themeColor="text1"/>
        </w:rPr>
        <w:t xml:space="preserve"> &amp; Witteloostuijn, 2010).</w:t>
      </w:r>
      <w:r w:rsidRPr="00730468">
        <w:t xml:space="preserve"> </w:t>
      </w:r>
      <w:r w:rsidRPr="00730468">
        <w:rPr>
          <w:color w:val="000000" w:themeColor="text1"/>
        </w:rPr>
        <w:t xml:space="preserve">A </w:t>
      </w:r>
      <w:r w:rsidR="00354F42" w:rsidRPr="00730468">
        <w:rPr>
          <w:color w:val="000000" w:themeColor="text1"/>
        </w:rPr>
        <w:t>larger governance distance between MNE’s home country and the host country might lead to greater risk due t</w:t>
      </w:r>
      <w:r w:rsidR="00F548BA">
        <w:rPr>
          <w:color w:val="000000" w:themeColor="text1"/>
        </w:rPr>
        <w:t>o the lack of local institutional</w:t>
      </w:r>
      <w:r w:rsidR="00354F42" w:rsidRPr="00730468">
        <w:rPr>
          <w:color w:val="000000" w:themeColor="text1"/>
        </w:rPr>
        <w:t xml:space="preserve"> knowledge and business establishments. </w:t>
      </w:r>
      <w:r w:rsidR="00053A47" w:rsidRPr="00730468">
        <w:rPr>
          <w:color w:val="000000" w:themeColor="text1"/>
        </w:rPr>
        <w:t xml:space="preserve">Some studies found that establishing legitimacy in the host country is more complicated and time-consuming if MNEs coming from institutionally distant countries (Dikova et al., 2010; Peng, Wang, &amp; Jiang, 2008). </w:t>
      </w:r>
      <w:r w:rsidR="00354F42" w:rsidRPr="00730468">
        <w:rPr>
          <w:color w:val="000000" w:themeColor="text1"/>
        </w:rPr>
        <w:t>Moreover, institutional distance amplifies the difficulty of effective transferring home-based internal resources, procedures, and management practices to the host country (Chen &amp; Hennart, 2004; Demirbag</w:t>
      </w:r>
      <w:r w:rsidR="008E5D05" w:rsidRPr="00730468">
        <w:rPr>
          <w:color w:val="000000" w:themeColor="text1"/>
        </w:rPr>
        <w:t xml:space="preserve">, </w:t>
      </w:r>
      <w:r w:rsidR="008E5D05" w:rsidRPr="00730468">
        <w:t>Glaister, &amp; Tatoglu</w:t>
      </w:r>
      <w:r w:rsidR="00354F42" w:rsidRPr="00730468">
        <w:rPr>
          <w:color w:val="000000" w:themeColor="text1"/>
        </w:rPr>
        <w:t>, 2007).</w:t>
      </w:r>
      <w:r w:rsidR="00354F42" w:rsidRPr="00730468">
        <w:t xml:space="preserve"> </w:t>
      </w:r>
      <w:r w:rsidR="00477C4C" w:rsidRPr="00730468">
        <w:rPr>
          <w:color w:val="000000" w:themeColor="text1"/>
        </w:rPr>
        <w:t xml:space="preserve">It is also difficult for MNEs to build and maintain relations with stakeholders in far different governance system countries since it requires a unique management approach which multinational enterprises are generally not familiar with (Beamish &amp; Inkpen, 1995). </w:t>
      </w:r>
      <w:r w:rsidR="00D710FA" w:rsidRPr="00730468">
        <w:rPr>
          <w:color w:val="000000" w:themeColor="text1"/>
        </w:rPr>
        <w:t>As such</w:t>
      </w:r>
      <w:r w:rsidR="00B707C6" w:rsidRPr="00730468">
        <w:rPr>
          <w:color w:val="000000" w:themeColor="text1"/>
        </w:rPr>
        <w:t>, high formal institutional distance between the home and host country results in high level of unce</w:t>
      </w:r>
      <w:r w:rsidR="00F548BA">
        <w:rPr>
          <w:color w:val="000000" w:themeColor="text1"/>
        </w:rPr>
        <w:t>rtainty. That leads MNEs to opt for JV</w:t>
      </w:r>
      <w:r w:rsidR="00D710FA" w:rsidRPr="00730468">
        <w:rPr>
          <w:color w:val="000000" w:themeColor="text1"/>
        </w:rPr>
        <w:t xml:space="preserve">. </w:t>
      </w:r>
      <w:r w:rsidR="00F548BA">
        <w:rPr>
          <w:color w:val="000000" w:themeColor="text1"/>
        </w:rPr>
        <w:t xml:space="preserve">The underlying </w:t>
      </w:r>
      <w:r w:rsidR="00B707C6" w:rsidRPr="00730468">
        <w:rPr>
          <w:color w:val="000000" w:themeColor="text1"/>
        </w:rPr>
        <w:t>reason is that local partner</w:t>
      </w:r>
      <w:r w:rsidR="00F548BA">
        <w:rPr>
          <w:color w:val="000000" w:themeColor="text1"/>
        </w:rPr>
        <w:t>s</w:t>
      </w:r>
      <w:r w:rsidR="00B707C6" w:rsidRPr="00730468">
        <w:rPr>
          <w:color w:val="000000" w:themeColor="text1"/>
        </w:rPr>
        <w:t xml:space="preserve"> already ha</w:t>
      </w:r>
      <w:r w:rsidR="00F548BA">
        <w:rPr>
          <w:color w:val="000000" w:themeColor="text1"/>
        </w:rPr>
        <w:t>ve</w:t>
      </w:r>
      <w:r w:rsidR="00B707C6" w:rsidRPr="00730468">
        <w:rPr>
          <w:color w:val="000000" w:themeColor="text1"/>
        </w:rPr>
        <w:t xml:space="preserve"> experience, knowledge and skills which are necessary to drive their business well in their governance system (Franko, 1973; Yiu &amp; Makino, 2002). </w:t>
      </w:r>
      <w:r w:rsidR="00477C4C" w:rsidRPr="00730468">
        <w:rPr>
          <w:color w:val="000000" w:themeColor="text1"/>
        </w:rPr>
        <w:t xml:space="preserve">The </w:t>
      </w:r>
      <w:r w:rsidR="00B707C6" w:rsidRPr="00730468">
        <w:rPr>
          <w:color w:val="000000" w:themeColor="text1"/>
        </w:rPr>
        <w:t xml:space="preserve">leaders of host companies better know how to </w:t>
      </w:r>
      <w:r w:rsidR="00477C4C" w:rsidRPr="00730468">
        <w:rPr>
          <w:color w:val="000000" w:themeColor="text1"/>
        </w:rPr>
        <w:t>cope</w:t>
      </w:r>
      <w:r w:rsidR="00B707C6" w:rsidRPr="00730468">
        <w:rPr>
          <w:color w:val="000000" w:themeColor="text1"/>
        </w:rPr>
        <w:t xml:space="preserve"> with corrupt government ofﬁcials, political issues and institutional voids (Rodriguez, Uhlenbruck &amp; Eden, 2005). </w:t>
      </w:r>
      <w:r w:rsidR="00D710FA" w:rsidRPr="00730468">
        <w:rPr>
          <w:color w:val="000000" w:themeColor="text1"/>
        </w:rPr>
        <w:t>Additionally</w:t>
      </w:r>
      <w:r w:rsidR="00B707C6" w:rsidRPr="00730468">
        <w:rPr>
          <w:color w:val="000000" w:themeColor="text1"/>
        </w:rPr>
        <w:t xml:space="preserve">, due to the fact that JV somewhat requires fewer resources, it is easier for MNEs to withdraw from the investment than wholly owned subsidies </w:t>
      </w:r>
      <w:r w:rsidR="00F548BA">
        <w:rPr>
          <w:color w:val="000000" w:themeColor="text1"/>
        </w:rPr>
        <w:t>with</w:t>
      </w:r>
      <w:r w:rsidR="00B707C6" w:rsidRPr="00730468">
        <w:rPr>
          <w:color w:val="000000" w:themeColor="text1"/>
        </w:rPr>
        <w:t xml:space="preserve"> exit cost </w:t>
      </w:r>
      <w:r w:rsidR="00F548BA">
        <w:rPr>
          <w:color w:val="000000" w:themeColor="text1"/>
        </w:rPr>
        <w:t>being</w:t>
      </w:r>
      <w:r w:rsidR="00B707C6" w:rsidRPr="00730468">
        <w:rPr>
          <w:color w:val="000000" w:themeColor="text1"/>
        </w:rPr>
        <w:t xml:space="preserve"> lower (Kogut, 1991, Delios &amp; Henisz, 2000).</w:t>
      </w:r>
      <w:r w:rsidR="00F548BA" w:rsidRPr="00F548BA">
        <w:rPr>
          <w:color w:val="000000" w:themeColor="text1"/>
        </w:rPr>
        <w:t xml:space="preserve"> </w:t>
      </w:r>
      <w:r w:rsidR="00F548BA" w:rsidRPr="00730468">
        <w:rPr>
          <w:color w:val="000000" w:themeColor="text1"/>
        </w:rPr>
        <w:t xml:space="preserve">In </w:t>
      </w:r>
      <w:r w:rsidR="00F548BA">
        <w:rPr>
          <w:color w:val="000000" w:themeColor="text1"/>
        </w:rPr>
        <w:t>sum</w:t>
      </w:r>
      <w:r w:rsidR="00F548BA" w:rsidRPr="00730468">
        <w:rPr>
          <w:color w:val="000000" w:themeColor="text1"/>
        </w:rPr>
        <w:t>, increasing governance distance is expected to have higher propensity of JV</w:t>
      </w:r>
      <w:r w:rsidR="00F548BA">
        <w:rPr>
          <w:color w:val="000000" w:themeColor="text1"/>
        </w:rPr>
        <w:t>.</w:t>
      </w:r>
    </w:p>
    <w:p w:rsidR="00B16529" w:rsidRPr="00730468" w:rsidRDefault="00B16529" w:rsidP="00DF3F76">
      <w:pPr>
        <w:spacing w:line="360" w:lineRule="auto"/>
        <w:jc w:val="both"/>
        <w:rPr>
          <w:color w:val="000000" w:themeColor="text1"/>
        </w:rPr>
      </w:pPr>
    </w:p>
    <w:p w:rsidR="00FC4BA1" w:rsidRPr="00730468" w:rsidRDefault="001A2391" w:rsidP="00DF3F76">
      <w:pPr>
        <w:spacing w:line="360" w:lineRule="auto"/>
        <w:jc w:val="both"/>
        <w:rPr>
          <w:color w:val="000000" w:themeColor="text1"/>
        </w:rPr>
      </w:pPr>
      <w:r w:rsidRPr="00730468">
        <w:rPr>
          <w:color w:val="000000" w:themeColor="text1"/>
        </w:rPr>
        <w:t xml:space="preserve">Multiple </w:t>
      </w:r>
      <w:r w:rsidR="00734500" w:rsidRPr="00730468">
        <w:rPr>
          <w:color w:val="000000" w:themeColor="text1"/>
        </w:rPr>
        <w:t xml:space="preserve">empirical </w:t>
      </w:r>
      <w:r w:rsidRPr="00730468">
        <w:rPr>
          <w:color w:val="000000" w:themeColor="text1"/>
        </w:rPr>
        <w:t>researches have studied how formal institutional distance affects entry mode decision.</w:t>
      </w:r>
      <w:r w:rsidR="00C310D5" w:rsidRPr="00730468">
        <w:rPr>
          <w:color w:val="000000" w:themeColor="text1"/>
        </w:rPr>
        <w:t xml:space="preserve"> </w:t>
      </w:r>
      <w:r w:rsidRPr="00730468">
        <w:rPr>
          <w:color w:val="000000" w:themeColor="text1"/>
        </w:rPr>
        <w:t xml:space="preserve">Xu, Pan, and Beamish (2004) found that </w:t>
      </w:r>
      <w:r w:rsidR="00C310D5" w:rsidRPr="00730468">
        <w:rPr>
          <w:color w:val="000000" w:themeColor="text1"/>
        </w:rPr>
        <w:t>the larger the</w:t>
      </w:r>
      <w:r w:rsidRPr="00730468">
        <w:rPr>
          <w:color w:val="000000" w:themeColor="text1"/>
        </w:rPr>
        <w:t xml:space="preserve"> institutional distance (regulative and normative) </w:t>
      </w:r>
      <w:r w:rsidR="00C310D5" w:rsidRPr="00730468">
        <w:rPr>
          <w:color w:val="000000" w:themeColor="text1"/>
        </w:rPr>
        <w:t xml:space="preserve">between countries, the higher the likelihood of </w:t>
      </w:r>
      <w:r w:rsidR="00F37386">
        <w:rPr>
          <w:color w:val="000000" w:themeColor="text1"/>
        </w:rPr>
        <w:t xml:space="preserve">lower </w:t>
      </w:r>
      <w:r w:rsidRPr="00730468">
        <w:rPr>
          <w:color w:val="000000" w:themeColor="text1"/>
        </w:rPr>
        <w:t>ownership</w:t>
      </w:r>
      <w:r w:rsidR="00C310D5" w:rsidRPr="00730468">
        <w:rPr>
          <w:color w:val="000000" w:themeColor="text1"/>
        </w:rPr>
        <w:t xml:space="preserve"> entry mode. Similarly, </w:t>
      </w:r>
      <w:r w:rsidRPr="00730468">
        <w:rPr>
          <w:color w:val="000000" w:themeColor="text1"/>
        </w:rPr>
        <w:t xml:space="preserve">corruption </w:t>
      </w:r>
      <w:r w:rsidR="00C310D5" w:rsidRPr="00730468">
        <w:rPr>
          <w:color w:val="000000" w:themeColor="text1"/>
        </w:rPr>
        <w:t>distance</w:t>
      </w:r>
      <w:r w:rsidRPr="00730468">
        <w:rPr>
          <w:color w:val="000000" w:themeColor="text1"/>
        </w:rPr>
        <w:t xml:space="preserve"> between </w:t>
      </w:r>
      <w:r w:rsidR="00C310D5" w:rsidRPr="00730468">
        <w:rPr>
          <w:color w:val="000000" w:themeColor="text1"/>
        </w:rPr>
        <w:t>countries</w:t>
      </w:r>
      <w:r w:rsidRPr="00730468">
        <w:rPr>
          <w:color w:val="000000" w:themeColor="text1"/>
        </w:rPr>
        <w:t xml:space="preserve"> </w:t>
      </w:r>
      <w:r w:rsidR="00C310D5" w:rsidRPr="00730468">
        <w:rPr>
          <w:color w:val="000000" w:themeColor="text1"/>
        </w:rPr>
        <w:t>is found to have positive correlation with JV</w:t>
      </w:r>
      <w:r w:rsidRPr="00730468">
        <w:rPr>
          <w:color w:val="000000" w:themeColor="text1"/>
        </w:rPr>
        <w:t xml:space="preserve"> (</w:t>
      </w:r>
      <w:r w:rsidR="008E5D05" w:rsidRPr="00730468">
        <w:rPr>
          <w:color w:val="000000" w:themeColor="text1"/>
        </w:rPr>
        <w:t xml:space="preserve">Demirbag, </w:t>
      </w:r>
      <w:r w:rsidR="008E5D05" w:rsidRPr="00730468">
        <w:t>Glaister, &amp; Tatoglu</w:t>
      </w:r>
      <w:r w:rsidRPr="00730468">
        <w:rPr>
          <w:color w:val="000000" w:themeColor="text1"/>
        </w:rPr>
        <w:t>, 2007)</w:t>
      </w:r>
      <w:r w:rsidR="00477C4C" w:rsidRPr="00730468">
        <w:rPr>
          <w:color w:val="000000" w:themeColor="text1"/>
        </w:rPr>
        <w:t>, given that corruption distance is one dimension of governance distance</w:t>
      </w:r>
      <w:r w:rsidRPr="00730468">
        <w:rPr>
          <w:color w:val="000000" w:themeColor="text1"/>
        </w:rPr>
        <w:t>.</w:t>
      </w:r>
      <w:r w:rsidR="00D710FA" w:rsidRPr="00730468">
        <w:rPr>
          <w:color w:val="000000" w:themeColor="text1"/>
        </w:rPr>
        <w:t xml:space="preserve"> </w:t>
      </w:r>
      <w:r w:rsidR="00BC54AB" w:rsidRPr="00730468">
        <w:rPr>
          <w:color w:val="000000" w:themeColor="text1"/>
        </w:rPr>
        <w:t>Therefore, governance distance is expected to</w:t>
      </w:r>
      <w:r w:rsidR="00B10579" w:rsidRPr="00730468">
        <w:rPr>
          <w:color w:val="000000" w:themeColor="text1"/>
        </w:rPr>
        <w:t xml:space="preserve"> witness the same trend,</w:t>
      </w:r>
      <w:r w:rsidR="00BC54AB" w:rsidRPr="00730468">
        <w:rPr>
          <w:color w:val="000000" w:themeColor="text1"/>
        </w:rPr>
        <w:t xml:space="preserve"> increas</w:t>
      </w:r>
      <w:r w:rsidR="00B10579" w:rsidRPr="00730468">
        <w:rPr>
          <w:color w:val="000000" w:themeColor="text1"/>
        </w:rPr>
        <w:t>ing</w:t>
      </w:r>
      <w:r w:rsidR="00BC54AB" w:rsidRPr="00730468">
        <w:rPr>
          <w:color w:val="000000" w:themeColor="text1"/>
        </w:rPr>
        <w:t xml:space="preserve"> the likelihood of JV.</w:t>
      </w:r>
    </w:p>
    <w:p w:rsidR="00D710FA" w:rsidRPr="00730468" w:rsidRDefault="00D710FA" w:rsidP="00DF3F76">
      <w:pPr>
        <w:spacing w:line="360" w:lineRule="auto"/>
        <w:jc w:val="both"/>
        <w:rPr>
          <w:bCs/>
          <w:color w:val="000000" w:themeColor="text1"/>
        </w:rPr>
      </w:pPr>
    </w:p>
    <w:p w:rsidR="00892F42" w:rsidRPr="00730468" w:rsidRDefault="002A7707" w:rsidP="00DF3F76">
      <w:pPr>
        <w:spacing w:line="360" w:lineRule="auto"/>
        <w:jc w:val="both"/>
        <w:rPr>
          <w:color w:val="000000" w:themeColor="text1"/>
        </w:rPr>
      </w:pPr>
      <w:r w:rsidRPr="00730468">
        <w:rPr>
          <w:color w:val="000000" w:themeColor="text1"/>
        </w:rPr>
        <w:lastRenderedPageBreak/>
        <w:t>H</w:t>
      </w:r>
      <w:r w:rsidR="00B04085" w:rsidRPr="00730468">
        <w:rPr>
          <w:color w:val="000000" w:themeColor="text1"/>
        </w:rPr>
        <w:t xml:space="preserve">ypothesis </w:t>
      </w:r>
      <w:r w:rsidRPr="00730468">
        <w:rPr>
          <w:color w:val="000000" w:themeColor="text1"/>
        </w:rPr>
        <w:t>4:</w:t>
      </w:r>
      <w:r w:rsidR="00963EF0" w:rsidRPr="00730468">
        <w:rPr>
          <w:color w:val="000000" w:themeColor="text1"/>
        </w:rPr>
        <w:t xml:space="preserve"> </w:t>
      </w:r>
      <w:r w:rsidR="00892F42" w:rsidRPr="00730468">
        <w:rPr>
          <w:color w:val="000000" w:themeColor="text1"/>
        </w:rPr>
        <w:t xml:space="preserve">the increase in the governance </w:t>
      </w:r>
      <w:r w:rsidR="004D2B24" w:rsidRPr="00730468">
        <w:rPr>
          <w:color w:val="000000" w:themeColor="text1"/>
        </w:rPr>
        <w:t>distance between home and host country</w:t>
      </w:r>
      <w:r w:rsidR="00892F42" w:rsidRPr="00730468">
        <w:rPr>
          <w:color w:val="000000" w:themeColor="text1"/>
        </w:rPr>
        <w:t xml:space="preserve">, the increase in the probability that enterprise choose to enter the market through </w:t>
      </w:r>
      <w:r w:rsidR="004D2B24" w:rsidRPr="00730468">
        <w:rPr>
          <w:color w:val="000000" w:themeColor="text1"/>
        </w:rPr>
        <w:t>JV</w:t>
      </w:r>
      <w:r w:rsidR="00892F42" w:rsidRPr="00730468">
        <w:rPr>
          <w:color w:val="000000" w:themeColor="text1"/>
        </w:rPr>
        <w:t xml:space="preserve"> and the decrease to enter through </w:t>
      </w:r>
      <w:r w:rsidR="004D2B24" w:rsidRPr="00730468">
        <w:rPr>
          <w:color w:val="000000" w:themeColor="text1"/>
        </w:rPr>
        <w:t>WOS</w:t>
      </w:r>
      <w:r w:rsidR="00892F42" w:rsidRPr="00730468">
        <w:rPr>
          <w:color w:val="000000" w:themeColor="text1"/>
        </w:rPr>
        <w:t>.</w:t>
      </w:r>
    </w:p>
    <w:p w:rsidR="0028286A" w:rsidRPr="00730468" w:rsidRDefault="0028286A" w:rsidP="00DF3F76">
      <w:pPr>
        <w:spacing w:line="360" w:lineRule="auto"/>
        <w:jc w:val="both"/>
        <w:rPr>
          <w:color w:val="000000" w:themeColor="text1"/>
        </w:rPr>
      </w:pPr>
    </w:p>
    <w:p w:rsidR="00FF39BA" w:rsidRPr="00730468" w:rsidRDefault="00F7094D" w:rsidP="00DF3F76">
      <w:pPr>
        <w:pStyle w:val="Heading3"/>
        <w:spacing w:line="360" w:lineRule="auto"/>
      </w:pPr>
      <w:bookmarkStart w:id="28" w:name="_Toc487572207"/>
      <w:bookmarkStart w:id="29" w:name="_Toc487707047"/>
      <w:bookmarkStart w:id="30" w:name="_Toc489287937"/>
      <w:r w:rsidRPr="00730468">
        <w:t xml:space="preserve">2.3.5. </w:t>
      </w:r>
      <w:r w:rsidR="00F80BFD">
        <w:t>H</w:t>
      </w:r>
      <w:r w:rsidR="00C03129" w:rsidRPr="00730468">
        <w:t>ost country experience</w:t>
      </w:r>
      <w:r w:rsidR="00F80BFD">
        <w:t>/</w:t>
      </w:r>
      <w:r w:rsidR="00F80BFD" w:rsidRPr="00F80BFD">
        <w:t xml:space="preserve"> </w:t>
      </w:r>
      <w:r w:rsidR="00F80BFD" w:rsidRPr="00730468">
        <w:t>India experience</w:t>
      </w:r>
      <w:r w:rsidR="00C113C6" w:rsidRPr="00730468">
        <w:t xml:space="preserve"> (IE)</w:t>
      </w:r>
      <w:bookmarkEnd w:id="28"/>
      <w:bookmarkEnd w:id="29"/>
      <w:bookmarkEnd w:id="30"/>
    </w:p>
    <w:p w:rsidR="004D17F4" w:rsidRDefault="00521850" w:rsidP="00DF3F76">
      <w:pPr>
        <w:spacing w:line="360" w:lineRule="auto"/>
        <w:jc w:val="both"/>
      </w:pPr>
      <w:r w:rsidRPr="00730468">
        <w:t>Host country experience refers to question as to whether an MNE has prior experience in the host country or not. MNE</w:t>
      </w:r>
      <w:r w:rsidR="00D21041" w:rsidRPr="00730468">
        <w:rPr>
          <w:color w:val="000000" w:themeColor="text1"/>
        </w:rPr>
        <w:t xml:space="preserve">s that </w:t>
      </w:r>
      <w:r w:rsidRPr="00730468">
        <w:rPr>
          <w:color w:val="000000" w:themeColor="text1"/>
        </w:rPr>
        <w:t xml:space="preserve">penetrate foreign markets need to cope with </w:t>
      </w:r>
      <w:r w:rsidR="00D21041" w:rsidRPr="00730468">
        <w:rPr>
          <w:color w:val="000000" w:themeColor="text1"/>
        </w:rPr>
        <w:t xml:space="preserve">many difficulties in </w:t>
      </w:r>
      <w:r w:rsidRPr="00730468">
        <w:rPr>
          <w:color w:val="000000" w:themeColor="text1"/>
        </w:rPr>
        <w:t>the</w:t>
      </w:r>
      <w:r w:rsidR="004E4670" w:rsidRPr="00730468">
        <w:rPr>
          <w:color w:val="000000" w:themeColor="text1"/>
        </w:rPr>
        <w:t>ir</w:t>
      </w:r>
      <w:r w:rsidRPr="00730468">
        <w:rPr>
          <w:color w:val="000000" w:themeColor="text1"/>
        </w:rPr>
        <w:t xml:space="preserve"> initial investment in the target country</w:t>
      </w:r>
      <w:r w:rsidR="002C250B">
        <w:rPr>
          <w:color w:val="000000" w:themeColor="text1"/>
        </w:rPr>
        <w:t xml:space="preserve"> </w:t>
      </w:r>
      <w:r w:rsidR="004D17F4" w:rsidRPr="00730468">
        <w:t xml:space="preserve">and the difficulties are even more severe for MNEs without previous host country experience. </w:t>
      </w:r>
      <w:r w:rsidR="00CA018F" w:rsidRPr="00730468">
        <w:rPr>
          <w:color w:val="000000" w:themeColor="text1"/>
        </w:rPr>
        <w:t>The explanation is that enterprises with their first investment probably suffer harder from a lack of knowledge on the local market and it is also more difficult for them when they set a first step on their way building a business network. Initial investments in foreign countries then will result in higher transaction costs</w:t>
      </w:r>
      <w:r w:rsidR="00722CE8" w:rsidRPr="00722CE8">
        <w:rPr>
          <w:color w:val="000000" w:themeColor="text1"/>
        </w:rPr>
        <w:t xml:space="preserve"> </w:t>
      </w:r>
      <w:r w:rsidR="00722CE8">
        <w:rPr>
          <w:color w:val="000000" w:themeColor="text1"/>
        </w:rPr>
        <w:t xml:space="preserve">(Erramilli, </w:t>
      </w:r>
      <w:r w:rsidR="00722CE8" w:rsidRPr="00730468">
        <w:rPr>
          <w:color w:val="000000" w:themeColor="text1"/>
        </w:rPr>
        <w:t>1991)</w:t>
      </w:r>
      <w:r w:rsidR="00722CE8">
        <w:rPr>
          <w:color w:val="000000" w:themeColor="text1"/>
        </w:rPr>
        <w:t xml:space="preserve">. </w:t>
      </w:r>
      <w:r w:rsidR="004D17F4" w:rsidRPr="00730468">
        <w:t xml:space="preserve">Using collaborative mode of entry can offset the host-country inexperience. Local firms with their extensive knowledge and existing network can help MNEs get along well with the local market and environment, reducing risk and uncertainty. That is why MNEs have the preference for JV when they do not have prior experience in the host country. </w:t>
      </w:r>
    </w:p>
    <w:p w:rsidR="004D17F4" w:rsidRDefault="004D17F4" w:rsidP="00DF3F76">
      <w:pPr>
        <w:spacing w:line="360" w:lineRule="auto"/>
        <w:jc w:val="both"/>
        <w:rPr>
          <w:color w:val="000000" w:themeColor="text1"/>
        </w:rPr>
      </w:pPr>
    </w:p>
    <w:p w:rsidR="00615D29" w:rsidRPr="00730468" w:rsidRDefault="00D91CA5" w:rsidP="00DF3F76">
      <w:pPr>
        <w:spacing w:line="360" w:lineRule="auto"/>
        <w:jc w:val="both"/>
        <w:rPr>
          <w:color w:val="000000" w:themeColor="text1"/>
        </w:rPr>
      </w:pPr>
      <w:r w:rsidRPr="00730468">
        <w:rPr>
          <w:color w:val="000000" w:themeColor="text1"/>
        </w:rPr>
        <w:t xml:space="preserve">However, once the MNE has experience with the local market, </w:t>
      </w:r>
      <w:r w:rsidR="002B7F11" w:rsidRPr="00730468">
        <w:rPr>
          <w:color w:val="000000" w:themeColor="text1"/>
        </w:rPr>
        <w:t xml:space="preserve">subsequent entry </w:t>
      </w:r>
      <w:r w:rsidRPr="00730468">
        <w:rPr>
          <w:color w:val="000000" w:themeColor="text1"/>
        </w:rPr>
        <w:t xml:space="preserve">mode </w:t>
      </w:r>
      <w:r w:rsidR="002B7F11" w:rsidRPr="00730468">
        <w:rPr>
          <w:color w:val="000000" w:themeColor="text1"/>
        </w:rPr>
        <w:t xml:space="preserve">decisions are likely to be </w:t>
      </w:r>
      <w:r w:rsidRPr="00730468">
        <w:rPr>
          <w:color w:val="000000" w:themeColor="text1"/>
        </w:rPr>
        <w:t>conducted</w:t>
      </w:r>
      <w:r w:rsidR="002B7F11" w:rsidRPr="00730468">
        <w:rPr>
          <w:color w:val="000000" w:themeColor="text1"/>
        </w:rPr>
        <w:t xml:space="preserve"> with more intelligence and skill</w:t>
      </w:r>
      <w:r w:rsidRPr="00730468">
        <w:rPr>
          <w:color w:val="000000" w:themeColor="text1"/>
        </w:rPr>
        <w:t>s</w:t>
      </w:r>
      <w:r w:rsidR="002B7F11" w:rsidRPr="00730468">
        <w:rPr>
          <w:color w:val="000000" w:themeColor="text1"/>
        </w:rPr>
        <w:t xml:space="preserve"> than the </w:t>
      </w:r>
      <w:r w:rsidRPr="00730468">
        <w:rPr>
          <w:color w:val="000000" w:themeColor="text1"/>
        </w:rPr>
        <w:t>initial time,</w:t>
      </w:r>
      <w:r w:rsidR="002B7F11" w:rsidRPr="00730468">
        <w:rPr>
          <w:color w:val="000000" w:themeColor="text1"/>
        </w:rPr>
        <w:t xml:space="preserve"> making the</w:t>
      </w:r>
      <w:r w:rsidRPr="00730468">
        <w:rPr>
          <w:color w:val="000000" w:themeColor="text1"/>
        </w:rPr>
        <w:t xml:space="preserve"> subsequent investments</w:t>
      </w:r>
      <w:r w:rsidR="002B7F11" w:rsidRPr="00730468">
        <w:rPr>
          <w:color w:val="000000" w:themeColor="text1"/>
        </w:rPr>
        <w:t xml:space="preserve"> less risky (Root, 1987)</w:t>
      </w:r>
      <w:r w:rsidRPr="00730468">
        <w:rPr>
          <w:color w:val="000000" w:themeColor="text1"/>
        </w:rPr>
        <w:t>. Additionally,</w:t>
      </w:r>
      <w:r w:rsidR="002B7F11" w:rsidRPr="00730468">
        <w:t xml:space="preserve"> </w:t>
      </w:r>
      <w:r w:rsidR="002B7F11" w:rsidRPr="00730468">
        <w:rPr>
          <w:color w:val="000000" w:themeColor="text1"/>
        </w:rPr>
        <w:t>the dependence</w:t>
      </w:r>
      <w:r w:rsidRPr="00730468">
        <w:rPr>
          <w:color w:val="000000" w:themeColor="text1"/>
        </w:rPr>
        <w:t xml:space="preserve"> of MNEs</w:t>
      </w:r>
      <w:r w:rsidR="002B7F11" w:rsidRPr="00730468">
        <w:rPr>
          <w:color w:val="000000" w:themeColor="text1"/>
        </w:rPr>
        <w:t xml:space="preserve"> on local partners </w:t>
      </w:r>
      <w:r w:rsidRPr="00730468">
        <w:rPr>
          <w:color w:val="000000" w:themeColor="text1"/>
        </w:rPr>
        <w:t>then are</w:t>
      </w:r>
      <w:r w:rsidR="002B7F11" w:rsidRPr="00730468">
        <w:rPr>
          <w:color w:val="000000" w:themeColor="text1"/>
        </w:rPr>
        <w:t xml:space="preserve"> less needed</w:t>
      </w:r>
      <w:r w:rsidRPr="00730468">
        <w:t xml:space="preserve">, </w:t>
      </w:r>
      <w:r w:rsidR="00615D29" w:rsidRPr="00730468">
        <w:rPr>
          <w:color w:val="000000" w:themeColor="text1"/>
        </w:rPr>
        <w:t>lessening</w:t>
      </w:r>
      <w:r w:rsidR="002B7F11" w:rsidRPr="00730468">
        <w:rPr>
          <w:color w:val="000000" w:themeColor="text1"/>
        </w:rPr>
        <w:t xml:space="preserve"> the necessity for collaborating with a local </w:t>
      </w:r>
      <w:r w:rsidR="00615D29" w:rsidRPr="00730468">
        <w:rPr>
          <w:color w:val="000000" w:themeColor="text1"/>
        </w:rPr>
        <w:t>firms</w:t>
      </w:r>
      <w:r w:rsidR="002B7F11" w:rsidRPr="00730468">
        <w:rPr>
          <w:color w:val="000000" w:themeColor="text1"/>
        </w:rPr>
        <w:t xml:space="preserve">, and </w:t>
      </w:r>
      <w:r w:rsidR="00615D29" w:rsidRPr="00730468">
        <w:rPr>
          <w:color w:val="000000" w:themeColor="text1"/>
        </w:rPr>
        <w:t>thus MNEs are more inclined to opt for</w:t>
      </w:r>
      <w:r w:rsidR="002B7F11" w:rsidRPr="00730468">
        <w:rPr>
          <w:color w:val="000000" w:themeColor="text1"/>
        </w:rPr>
        <w:t xml:space="preserve"> WOS</w:t>
      </w:r>
      <w:r w:rsidR="00D21041" w:rsidRPr="00730468">
        <w:rPr>
          <w:color w:val="000000" w:themeColor="text1"/>
        </w:rPr>
        <w:t xml:space="preserve">. </w:t>
      </w:r>
    </w:p>
    <w:p w:rsidR="00615D29" w:rsidRPr="00730468" w:rsidRDefault="00615D29" w:rsidP="00DF3F76">
      <w:pPr>
        <w:spacing w:line="360" w:lineRule="auto"/>
        <w:jc w:val="both"/>
        <w:rPr>
          <w:color w:val="000000" w:themeColor="text1"/>
        </w:rPr>
      </w:pPr>
    </w:p>
    <w:p w:rsidR="00D21041" w:rsidRPr="00730468" w:rsidRDefault="006424F4" w:rsidP="00DF3F76">
      <w:pPr>
        <w:spacing w:line="360" w:lineRule="auto"/>
        <w:jc w:val="both"/>
        <w:rPr>
          <w:color w:val="000000" w:themeColor="text1"/>
        </w:rPr>
      </w:pPr>
      <w:r w:rsidRPr="00730468">
        <w:rPr>
          <w:color w:val="000000" w:themeColor="text1"/>
        </w:rPr>
        <w:t xml:space="preserve">The more experienced </w:t>
      </w:r>
      <w:r w:rsidR="00615D29" w:rsidRPr="00730468">
        <w:rPr>
          <w:color w:val="000000" w:themeColor="text1"/>
        </w:rPr>
        <w:t>MNE</w:t>
      </w:r>
      <w:r w:rsidRPr="00730468">
        <w:rPr>
          <w:color w:val="000000" w:themeColor="text1"/>
        </w:rPr>
        <w:t>s</w:t>
      </w:r>
      <w:r w:rsidR="00615D29" w:rsidRPr="00730468">
        <w:rPr>
          <w:color w:val="000000" w:themeColor="text1"/>
        </w:rPr>
        <w:t xml:space="preserve"> </w:t>
      </w:r>
      <w:r w:rsidRPr="00730468">
        <w:rPr>
          <w:color w:val="000000" w:themeColor="text1"/>
        </w:rPr>
        <w:t>become</w:t>
      </w:r>
      <w:r w:rsidR="00D21041" w:rsidRPr="00730468">
        <w:rPr>
          <w:color w:val="000000" w:themeColor="text1"/>
        </w:rPr>
        <w:t xml:space="preserve"> in a </w:t>
      </w:r>
      <w:r w:rsidR="00615D29" w:rsidRPr="00730468">
        <w:rPr>
          <w:color w:val="000000" w:themeColor="text1"/>
        </w:rPr>
        <w:t>particular</w:t>
      </w:r>
      <w:r w:rsidR="00D21041" w:rsidRPr="00730468">
        <w:rPr>
          <w:color w:val="000000" w:themeColor="text1"/>
        </w:rPr>
        <w:t xml:space="preserve"> foreign market, </w:t>
      </w:r>
      <w:r w:rsidRPr="00730468">
        <w:rPr>
          <w:color w:val="000000" w:themeColor="text1"/>
        </w:rPr>
        <w:t xml:space="preserve">the less the level of </w:t>
      </w:r>
      <w:r w:rsidR="002B7F11" w:rsidRPr="00730468">
        <w:rPr>
          <w:color w:val="000000" w:themeColor="text1"/>
        </w:rPr>
        <w:t>uncertainty</w:t>
      </w:r>
      <w:r w:rsidRPr="00730468">
        <w:rPr>
          <w:color w:val="000000" w:themeColor="text1"/>
        </w:rPr>
        <w:t xml:space="preserve"> they have to deal with since MNEs </w:t>
      </w:r>
      <w:r w:rsidR="004610E0" w:rsidRPr="00730468">
        <w:rPr>
          <w:color w:val="000000" w:themeColor="text1"/>
        </w:rPr>
        <w:t xml:space="preserve">are already in the local market, which lets them </w:t>
      </w:r>
      <w:r w:rsidRPr="00730468">
        <w:rPr>
          <w:color w:val="000000" w:themeColor="text1"/>
        </w:rPr>
        <w:t xml:space="preserve">have better insights to assess the </w:t>
      </w:r>
      <w:r w:rsidR="00932F90" w:rsidRPr="00730468">
        <w:rPr>
          <w:color w:val="000000" w:themeColor="text1"/>
        </w:rPr>
        <w:t xml:space="preserve">volatility of the </w:t>
      </w:r>
      <w:r w:rsidRPr="00730468">
        <w:rPr>
          <w:color w:val="000000" w:themeColor="text1"/>
        </w:rPr>
        <w:t xml:space="preserve">legal, economic and cultural environment </w:t>
      </w:r>
      <w:r w:rsidR="00932F90" w:rsidRPr="00730468">
        <w:rPr>
          <w:color w:val="000000" w:themeColor="text1"/>
        </w:rPr>
        <w:t>in</w:t>
      </w:r>
      <w:r w:rsidRPr="00730468">
        <w:rPr>
          <w:color w:val="000000" w:themeColor="text1"/>
        </w:rPr>
        <w:t xml:space="preserve"> the host country</w:t>
      </w:r>
      <w:r w:rsidR="008F2D2D" w:rsidRPr="00730468">
        <w:rPr>
          <w:color w:val="000000" w:themeColor="text1"/>
        </w:rPr>
        <w:t xml:space="preserve"> (Luo, 2001)</w:t>
      </w:r>
      <w:r w:rsidRPr="00730468">
        <w:rPr>
          <w:color w:val="000000" w:themeColor="text1"/>
        </w:rPr>
        <w:t>.</w:t>
      </w:r>
      <w:r w:rsidR="002B7F11" w:rsidRPr="00730468">
        <w:rPr>
          <w:color w:val="000000" w:themeColor="text1"/>
        </w:rPr>
        <w:t xml:space="preserve"> </w:t>
      </w:r>
      <w:r w:rsidR="00932F90" w:rsidRPr="00730468">
        <w:rPr>
          <w:color w:val="000000" w:themeColor="text1"/>
        </w:rPr>
        <w:t>Thanks to the understanding of the existing country specific knowledge such as networking tactics, commercial practices, and business culture, prior experience also help to</w:t>
      </w:r>
      <w:r w:rsidR="002B7F11" w:rsidRPr="00730468">
        <w:rPr>
          <w:color w:val="000000" w:themeColor="text1"/>
        </w:rPr>
        <w:t xml:space="preserve"> strengthen the </w:t>
      </w:r>
      <w:r w:rsidR="00932F90" w:rsidRPr="00730468">
        <w:rPr>
          <w:color w:val="000000" w:themeColor="text1"/>
        </w:rPr>
        <w:t>MNE</w:t>
      </w:r>
      <w:r w:rsidR="002B7F11" w:rsidRPr="00730468">
        <w:rPr>
          <w:color w:val="000000" w:themeColor="text1"/>
        </w:rPr>
        <w:t xml:space="preserve">’s ability to stabilize </w:t>
      </w:r>
      <w:r w:rsidR="00932F90" w:rsidRPr="00730468">
        <w:rPr>
          <w:color w:val="000000" w:themeColor="text1"/>
        </w:rPr>
        <w:t>their</w:t>
      </w:r>
      <w:r w:rsidR="002B7F11" w:rsidRPr="00730468">
        <w:rPr>
          <w:color w:val="000000" w:themeColor="text1"/>
        </w:rPr>
        <w:t xml:space="preserve"> </w:t>
      </w:r>
      <w:r w:rsidR="00932F90" w:rsidRPr="00730468">
        <w:rPr>
          <w:color w:val="000000" w:themeColor="text1"/>
        </w:rPr>
        <w:t>subsidiaries</w:t>
      </w:r>
      <w:r w:rsidR="002B7F11" w:rsidRPr="00730468">
        <w:rPr>
          <w:color w:val="000000" w:themeColor="text1"/>
        </w:rPr>
        <w:t xml:space="preserve"> in the host country environment </w:t>
      </w:r>
      <w:r w:rsidR="008F2D2D" w:rsidRPr="00730468">
        <w:rPr>
          <w:color w:val="000000" w:themeColor="text1"/>
        </w:rPr>
        <w:t>(Luo, 2001; Dow &amp; Larimo, 2009</w:t>
      </w:r>
      <w:r w:rsidR="002B7F11" w:rsidRPr="00730468">
        <w:rPr>
          <w:color w:val="000000" w:themeColor="text1"/>
        </w:rPr>
        <w:t>)</w:t>
      </w:r>
      <w:r w:rsidR="00D21041" w:rsidRPr="00730468">
        <w:rPr>
          <w:color w:val="000000" w:themeColor="text1"/>
        </w:rPr>
        <w:t xml:space="preserve">. </w:t>
      </w:r>
      <w:r w:rsidRPr="00730468">
        <w:rPr>
          <w:color w:val="000000" w:themeColor="text1"/>
        </w:rPr>
        <w:t xml:space="preserve">To sum up, </w:t>
      </w:r>
      <w:r w:rsidR="00D21041" w:rsidRPr="00730468">
        <w:rPr>
          <w:color w:val="000000" w:themeColor="text1"/>
        </w:rPr>
        <w:t xml:space="preserve">experienced </w:t>
      </w:r>
      <w:r w:rsidRPr="00730468">
        <w:rPr>
          <w:color w:val="000000" w:themeColor="text1"/>
        </w:rPr>
        <w:t>MNEs</w:t>
      </w:r>
      <w:r w:rsidR="00D21041" w:rsidRPr="00730468">
        <w:rPr>
          <w:color w:val="000000" w:themeColor="text1"/>
        </w:rPr>
        <w:t xml:space="preserve"> </w:t>
      </w:r>
      <w:r w:rsidRPr="00730468">
        <w:rPr>
          <w:color w:val="000000" w:themeColor="text1"/>
        </w:rPr>
        <w:t xml:space="preserve">deal </w:t>
      </w:r>
      <w:r w:rsidR="00D21041" w:rsidRPr="00730468">
        <w:rPr>
          <w:color w:val="000000" w:themeColor="text1"/>
        </w:rPr>
        <w:lastRenderedPageBreak/>
        <w:t>with less uncertainty and are</w:t>
      </w:r>
      <w:r w:rsidRPr="00730468">
        <w:rPr>
          <w:color w:val="000000" w:themeColor="text1"/>
        </w:rPr>
        <w:t xml:space="preserve"> more</w:t>
      </w:r>
      <w:r w:rsidR="00D21041" w:rsidRPr="00730468">
        <w:rPr>
          <w:color w:val="000000" w:themeColor="text1"/>
        </w:rPr>
        <w:t xml:space="preserve"> confident to </w:t>
      </w:r>
      <w:r w:rsidR="00CC3B84" w:rsidRPr="00730468">
        <w:rPr>
          <w:color w:val="000000" w:themeColor="text1"/>
        </w:rPr>
        <w:t>penetrate the existing foreign market via the mode of WOS rather</w:t>
      </w:r>
      <w:r w:rsidR="00D21041" w:rsidRPr="00730468">
        <w:rPr>
          <w:color w:val="000000" w:themeColor="text1"/>
        </w:rPr>
        <w:t xml:space="preserve"> than </w:t>
      </w:r>
      <w:r w:rsidR="00CC3B84" w:rsidRPr="00730468">
        <w:rPr>
          <w:color w:val="000000" w:themeColor="text1"/>
        </w:rPr>
        <w:t>JV</w:t>
      </w:r>
      <w:r w:rsidR="00D21041" w:rsidRPr="00730468">
        <w:rPr>
          <w:color w:val="000000" w:themeColor="text1"/>
        </w:rPr>
        <w:t xml:space="preserve"> (Chang &amp; Rosenzweig, 2001).</w:t>
      </w:r>
    </w:p>
    <w:p w:rsidR="00D21041" w:rsidRPr="00730468" w:rsidRDefault="00D21041" w:rsidP="00DF3F76">
      <w:pPr>
        <w:spacing w:line="360" w:lineRule="auto"/>
        <w:jc w:val="both"/>
        <w:rPr>
          <w:color w:val="000000" w:themeColor="text1"/>
        </w:rPr>
      </w:pPr>
    </w:p>
    <w:p w:rsidR="002B7F11" w:rsidRPr="00730468" w:rsidRDefault="00C40966" w:rsidP="00DF3F76">
      <w:pPr>
        <w:spacing w:line="360" w:lineRule="auto"/>
        <w:jc w:val="both"/>
        <w:rPr>
          <w:color w:val="000000" w:themeColor="text1"/>
        </w:rPr>
      </w:pPr>
      <w:r w:rsidRPr="00730468">
        <w:rPr>
          <w:color w:val="000000" w:themeColor="text1"/>
        </w:rPr>
        <w:t>Also, many previous empirical studies</w:t>
      </w:r>
      <w:r w:rsidR="002B4B9B" w:rsidRPr="00730468">
        <w:rPr>
          <w:color w:val="000000" w:themeColor="text1"/>
        </w:rPr>
        <w:t xml:space="preserve">, for example the studies of Erramilli (1991), Andersson &amp; Svensson (1994) and Luo (2001), </w:t>
      </w:r>
      <w:r w:rsidRPr="00730468">
        <w:rPr>
          <w:color w:val="000000" w:themeColor="text1"/>
        </w:rPr>
        <w:t>have</w:t>
      </w:r>
      <w:r w:rsidR="00FF39BA" w:rsidRPr="00730468">
        <w:rPr>
          <w:color w:val="000000" w:themeColor="text1"/>
        </w:rPr>
        <w:t xml:space="preserve"> </w:t>
      </w:r>
      <w:r w:rsidRPr="00730468">
        <w:rPr>
          <w:color w:val="000000" w:themeColor="text1"/>
        </w:rPr>
        <w:t>supported evidence</w:t>
      </w:r>
      <w:r w:rsidR="002B4B9B" w:rsidRPr="00730468">
        <w:rPr>
          <w:color w:val="000000" w:themeColor="text1"/>
        </w:rPr>
        <w:t>s</w:t>
      </w:r>
      <w:r w:rsidRPr="00730468">
        <w:rPr>
          <w:color w:val="000000" w:themeColor="text1"/>
        </w:rPr>
        <w:t xml:space="preserve"> for the stat</w:t>
      </w:r>
      <w:r w:rsidR="002B4B9B" w:rsidRPr="00730468">
        <w:rPr>
          <w:color w:val="000000" w:themeColor="text1"/>
        </w:rPr>
        <w:t>ement</w:t>
      </w:r>
      <w:r w:rsidRPr="00730468">
        <w:rPr>
          <w:color w:val="000000" w:themeColor="text1"/>
        </w:rPr>
        <w:t xml:space="preserve"> that</w:t>
      </w:r>
      <w:r w:rsidR="00FF39BA" w:rsidRPr="00730468">
        <w:rPr>
          <w:color w:val="000000" w:themeColor="text1"/>
        </w:rPr>
        <w:t xml:space="preserve"> host country experience</w:t>
      </w:r>
      <w:r w:rsidRPr="00730468">
        <w:rPr>
          <w:color w:val="000000" w:themeColor="text1"/>
        </w:rPr>
        <w:t xml:space="preserve"> has the positive correlation with WOS</w:t>
      </w:r>
      <w:r w:rsidR="00FF39BA" w:rsidRPr="00730468">
        <w:rPr>
          <w:color w:val="000000" w:themeColor="text1"/>
        </w:rPr>
        <w:t xml:space="preserve">. </w:t>
      </w:r>
      <w:r w:rsidRPr="00730468">
        <w:rPr>
          <w:color w:val="000000" w:themeColor="text1"/>
        </w:rPr>
        <w:t>Thus, hypothesis 5 is stated as below:</w:t>
      </w:r>
    </w:p>
    <w:p w:rsidR="002B7F11" w:rsidRPr="00730468" w:rsidRDefault="002B7F11" w:rsidP="00DF3F76">
      <w:pPr>
        <w:spacing w:line="360" w:lineRule="auto"/>
        <w:jc w:val="both"/>
        <w:rPr>
          <w:color w:val="000000" w:themeColor="text1"/>
        </w:rPr>
      </w:pPr>
    </w:p>
    <w:p w:rsidR="00962EDA" w:rsidRDefault="00FF39BA" w:rsidP="00DF3F76">
      <w:pPr>
        <w:spacing w:line="360" w:lineRule="auto"/>
        <w:jc w:val="both"/>
        <w:rPr>
          <w:color w:val="000000" w:themeColor="text1"/>
        </w:rPr>
      </w:pPr>
      <w:r w:rsidRPr="00730468">
        <w:rPr>
          <w:color w:val="000000" w:themeColor="text1"/>
        </w:rPr>
        <w:t xml:space="preserve">Hypothesis 5: </w:t>
      </w:r>
      <w:r w:rsidR="00C40966" w:rsidRPr="00730468">
        <w:rPr>
          <w:color w:val="000000" w:themeColor="text1"/>
        </w:rPr>
        <w:t xml:space="preserve">the increase in the </w:t>
      </w:r>
      <w:r w:rsidR="00C40966" w:rsidRPr="00730468">
        <w:t xml:space="preserve">host country experience </w:t>
      </w:r>
      <w:r w:rsidR="00C40966" w:rsidRPr="00730468">
        <w:rPr>
          <w:color w:val="000000" w:themeColor="text1"/>
        </w:rPr>
        <w:t>of MNE</w:t>
      </w:r>
      <w:r w:rsidR="008F2D2D" w:rsidRPr="00730468">
        <w:rPr>
          <w:color w:val="000000" w:themeColor="text1"/>
        </w:rPr>
        <w:t>s</w:t>
      </w:r>
      <w:r w:rsidR="00C40966" w:rsidRPr="00730468">
        <w:rPr>
          <w:color w:val="000000" w:themeColor="text1"/>
        </w:rPr>
        <w:t xml:space="preserve">, the </w:t>
      </w:r>
      <w:r w:rsidR="008F2D2D" w:rsidRPr="00730468">
        <w:rPr>
          <w:color w:val="000000" w:themeColor="text1"/>
        </w:rPr>
        <w:t>de</w:t>
      </w:r>
      <w:r w:rsidR="00C40966" w:rsidRPr="00730468">
        <w:rPr>
          <w:color w:val="000000" w:themeColor="text1"/>
        </w:rPr>
        <w:t xml:space="preserve">crease in the probability that </w:t>
      </w:r>
      <w:r w:rsidR="008F2D2D" w:rsidRPr="00730468">
        <w:rPr>
          <w:color w:val="000000" w:themeColor="text1"/>
        </w:rPr>
        <w:t>they</w:t>
      </w:r>
      <w:r w:rsidR="00C40966" w:rsidRPr="00730468">
        <w:rPr>
          <w:color w:val="000000" w:themeColor="text1"/>
        </w:rPr>
        <w:t xml:space="preserve"> choose to enter the market through JV and the </w:t>
      </w:r>
      <w:r w:rsidR="008F2D2D" w:rsidRPr="00730468">
        <w:rPr>
          <w:color w:val="000000" w:themeColor="text1"/>
        </w:rPr>
        <w:t>in</w:t>
      </w:r>
      <w:r w:rsidR="00C40966" w:rsidRPr="00730468">
        <w:rPr>
          <w:color w:val="000000" w:themeColor="text1"/>
        </w:rPr>
        <w:t>crease to enter through WOS</w:t>
      </w:r>
      <w:r w:rsidRPr="00730468">
        <w:rPr>
          <w:color w:val="000000" w:themeColor="text1"/>
        </w:rPr>
        <w:t xml:space="preserve">.  </w:t>
      </w:r>
    </w:p>
    <w:p w:rsidR="00FF39BA" w:rsidRPr="00730468" w:rsidRDefault="00FF39BA" w:rsidP="00DF3F76">
      <w:pPr>
        <w:spacing w:line="360" w:lineRule="auto"/>
        <w:jc w:val="both"/>
        <w:rPr>
          <w:color w:val="000000" w:themeColor="text1"/>
        </w:rPr>
      </w:pPr>
      <w:r w:rsidRPr="00730468">
        <w:rPr>
          <w:color w:val="000000" w:themeColor="text1"/>
        </w:rPr>
        <w:t xml:space="preserve"> </w:t>
      </w:r>
    </w:p>
    <w:p w:rsidR="00C03129" w:rsidRPr="00730468" w:rsidRDefault="00F7094D" w:rsidP="00DF3F76">
      <w:pPr>
        <w:pStyle w:val="Heading3"/>
        <w:spacing w:line="360" w:lineRule="auto"/>
      </w:pPr>
      <w:bookmarkStart w:id="31" w:name="_Toc487572208"/>
      <w:bookmarkStart w:id="32" w:name="_Toc487707048"/>
      <w:bookmarkStart w:id="33" w:name="_Toc489287938"/>
      <w:r w:rsidRPr="00730468">
        <w:t xml:space="preserve">2.3.6. </w:t>
      </w:r>
      <w:r w:rsidR="00C113C6" w:rsidRPr="00730468">
        <w:t>Firm size (SIZE)</w:t>
      </w:r>
      <w:bookmarkEnd w:id="31"/>
      <w:bookmarkEnd w:id="32"/>
      <w:bookmarkEnd w:id="33"/>
    </w:p>
    <w:p w:rsidR="00C03129" w:rsidRPr="00730468" w:rsidRDefault="00A910A7" w:rsidP="00DF3F76">
      <w:pPr>
        <w:spacing w:line="360" w:lineRule="auto"/>
        <w:jc w:val="both"/>
        <w:rPr>
          <w:color w:val="000000" w:themeColor="text1"/>
        </w:rPr>
      </w:pPr>
      <w:r w:rsidRPr="00730468">
        <w:rPr>
          <w:color w:val="000000" w:themeColor="text1"/>
        </w:rPr>
        <w:t>F</w:t>
      </w:r>
      <w:r w:rsidR="00C03129" w:rsidRPr="00730468">
        <w:rPr>
          <w:color w:val="000000" w:themeColor="text1"/>
        </w:rPr>
        <w:t>irm’s size</w:t>
      </w:r>
      <w:r w:rsidRPr="00730468">
        <w:rPr>
          <w:color w:val="000000" w:themeColor="text1"/>
        </w:rPr>
        <w:t xml:space="preserve"> refers to</w:t>
      </w:r>
      <w:r w:rsidR="00C03129" w:rsidRPr="00730468">
        <w:rPr>
          <w:color w:val="000000" w:themeColor="text1"/>
        </w:rPr>
        <w:t xml:space="preserve"> managerial and financial</w:t>
      </w:r>
      <w:r w:rsidRPr="00730468">
        <w:rPr>
          <w:color w:val="000000" w:themeColor="text1"/>
        </w:rPr>
        <w:t xml:space="preserve"> resources</w:t>
      </w:r>
      <w:r w:rsidR="00C03129" w:rsidRPr="00730468">
        <w:rPr>
          <w:color w:val="000000" w:themeColor="text1"/>
        </w:rPr>
        <w:t xml:space="preserve"> that the firm </w:t>
      </w:r>
      <w:r w:rsidRPr="00730468">
        <w:rPr>
          <w:color w:val="000000" w:themeColor="text1"/>
        </w:rPr>
        <w:t>possesses</w:t>
      </w:r>
      <w:r w:rsidR="00C03129" w:rsidRPr="00730468">
        <w:rPr>
          <w:color w:val="000000" w:themeColor="text1"/>
        </w:rPr>
        <w:t xml:space="preserve"> (Nakos &amp; Brouthers, 2002). </w:t>
      </w:r>
      <w:r w:rsidR="001941C4" w:rsidRPr="00730468">
        <w:rPr>
          <w:color w:val="000000" w:themeColor="text1"/>
        </w:rPr>
        <w:t xml:space="preserve">Thus, </w:t>
      </w:r>
      <w:r w:rsidR="00C35698" w:rsidRPr="00730468">
        <w:rPr>
          <w:color w:val="000000" w:themeColor="text1"/>
        </w:rPr>
        <w:t xml:space="preserve">in other words, </w:t>
      </w:r>
      <w:r w:rsidR="001941C4" w:rsidRPr="00730468">
        <w:rPr>
          <w:color w:val="000000" w:themeColor="text1"/>
        </w:rPr>
        <w:t xml:space="preserve">the set of superior resources, assets and skills could be represented by a firm’s size (Agarwal &amp; Ramaswami, 1992). </w:t>
      </w:r>
      <w:r w:rsidR="00C35698" w:rsidRPr="00730468">
        <w:rPr>
          <w:color w:val="000000" w:themeColor="text1"/>
        </w:rPr>
        <w:t>The</w:t>
      </w:r>
      <w:r w:rsidR="000B6128" w:rsidRPr="00730468">
        <w:rPr>
          <w:color w:val="000000" w:themeColor="text1"/>
        </w:rPr>
        <w:t xml:space="preserve"> superior resources ownership is found to play a vital role to obtain high enough benefits to off</w:t>
      </w:r>
      <w:r w:rsidR="005C6680" w:rsidRPr="00730468">
        <w:rPr>
          <w:color w:val="000000" w:themeColor="text1"/>
        </w:rPr>
        <w:t>set</w:t>
      </w:r>
      <w:r w:rsidR="000B6128" w:rsidRPr="00730468">
        <w:rPr>
          <w:color w:val="000000" w:themeColor="text1"/>
        </w:rPr>
        <w:t xml:space="preserve"> the high costs of conducting international operations, which strengthens the MNE’s ability to compete with other firms in the host countries. </w:t>
      </w:r>
      <w:r w:rsidR="001941C4" w:rsidRPr="00730468">
        <w:rPr>
          <w:color w:val="000000" w:themeColor="text1"/>
        </w:rPr>
        <w:t>Furthermore,</w:t>
      </w:r>
      <w:r w:rsidR="002A3EB2" w:rsidRPr="00730468">
        <w:rPr>
          <w:color w:val="000000" w:themeColor="text1"/>
        </w:rPr>
        <w:t xml:space="preserve"> large size</w:t>
      </w:r>
      <w:r w:rsidR="00F7655C" w:rsidRPr="00730468">
        <w:rPr>
          <w:color w:val="000000" w:themeColor="text1"/>
        </w:rPr>
        <w:t xml:space="preserve"> MNEs</w:t>
      </w:r>
      <w:r w:rsidR="00C03129" w:rsidRPr="00730468">
        <w:rPr>
          <w:color w:val="000000" w:themeColor="text1"/>
        </w:rPr>
        <w:t xml:space="preserve"> </w:t>
      </w:r>
      <w:r w:rsidR="002A3EB2" w:rsidRPr="00730468">
        <w:rPr>
          <w:color w:val="000000" w:themeColor="text1"/>
        </w:rPr>
        <w:t xml:space="preserve">are supposed to </w:t>
      </w:r>
      <w:r w:rsidR="00C03129" w:rsidRPr="00730468">
        <w:rPr>
          <w:color w:val="000000" w:themeColor="text1"/>
        </w:rPr>
        <w:t xml:space="preserve">better </w:t>
      </w:r>
      <w:r w:rsidR="002A3EB2" w:rsidRPr="00730468">
        <w:rPr>
          <w:color w:val="000000" w:themeColor="text1"/>
        </w:rPr>
        <w:t>deal</w:t>
      </w:r>
      <w:r w:rsidR="00C03129" w:rsidRPr="00730468">
        <w:rPr>
          <w:color w:val="000000" w:themeColor="text1"/>
        </w:rPr>
        <w:t xml:space="preserve"> w</w:t>
      </w:r>
      <w:r w:rsidR="002A3EB2" w:rsidRPr="00730468">
        <w:rPr>
          <w:color w:val="000000" w:themeColor="text1"/>
        </w:rPr>
        <w:t>ith the high costs and risks</w:t>
      </w:r>
      <w:r w:rsidR="001941C4" w:rsidRPr="00730468">
        <w:rPr>
          <w:color w:val="000000" w:themeColor="text1"/>
        </w:rPr>
        <w:t>, which</w:t>
      </w:r>
      <w:r w:rsidR="002A3EB2" w:rsidRPr="00730468">
        <w:rPr>
          <w:color w:val="000000" w:themeColor="text1"/>
        </w:rPr>
        <w:t xml:space="preserve"> may</w:t>
      </w:r>
      <w:r w:rsidR="001941C4" w:rsidRPr="00730468">
        <w:rPr>
          <w:color w:val="000000" w:themeColor="text1"/>
        </w:rPr>
        <w:t xml:space="preserve"> again</w:t>
      </w:r>
      <w:r w:rsidR="002A3EB2" w:rsidRPr="00730468">
        <w:rPr>
          <w:color w:val="000000" w:themeColor="text1"/>
        </w:rPr>
        <w:t xml:space="preserve"> improve </w:t>
      </w:r>
      <w:r w:rsidR="001941C4" w:rsidRPr="00730468">
        <w:rPr>
          <w:color w:val="000000" w:themeColor="text1"/>
        </w:rPr>
        <w:t>their</w:t>
      </w:r>
      <w:r w:rsidR="002A3EB2" w:rsidRPr="00730468">
        <w:rPr>
          <w:color w:val="000000" w:themeColor="text1"/>
        </w:rPr>
        <w:t xml:space="preserve"> possibility to be a competitive member </w:t>
      </w:r>
      <w:r w:rsidR="001941C4" w:rsidRPr="00730468">
        <w:rPr>
          <w:color w:val="000000" w:themeColor="text1"/>
        </w:rPr>
        <w:t>in the foreign market</w:t>
      </w:r>
      <w:r w:rsidR="002A3EB2" w:rsidRPr="00730468">
        <w:rPr>
          <w:color w:val="000000" w:themeColor="text1"/>
        </w:rPr>
        <w:t xml:space="preserve"> </w:t>
      </w:r>
      <w:r w:rsidR="00C03129" w:rsidRPr="00730468">
        <w:rPr>
          <w:color w:val="000000" w:themeColor="text1"/>
        </w:rPr>
        <w:t xml:space="preserve">(Rienda, Quer, &amp; Claver, 2012).  </w:t>
      </w:r>
    </w:p>
    <w:p w:rsidR="001941C4" w:rsidRPr="00730468" w:rsidRDefault="001941C4" w:rsidP="00DF3F76">
      <w:pPr>
        <w:spacing w:line="360" w:lineRule="auto"/>
        <w:jc w:val="both"/>
        <w:rPr>
          <w:color w:val="000000" w:themeColor="text1"/>
        </w:rPr>
      </w:pPr>
    </w:p>
    <w:p w:rsidR="00C03129" w:rsidRPr="00730468" w:rsidRDefault="00463BB5" w:rsidP="00DF3F76">
      <w:pPr>
        <w:spacing w:line="360" w:lineRule="auto"/>
        <w:jc w:val="both"/>
        <w:rPr>
          <w:color w:val="000000" w:themeColor="text1"/>
        </w:rPr>
      </w:pPr>
      <w:r w:rsidRPr="00730468">
        <w:rPr>
          <w:color w:val="000000" w:themeColor="text1"/>
        </w:rPr>
        <w:t>Another point is that</w:t>
      </w:r>
      <w:r w:rsidR="00C03129" w:rsidRPr="00730468">
        <w:rPr>
          <w:color w:val="000000" w:themeColor="text1"/>
        </w:rPr>
        <w:t xml:space="preserve"> larger </w:t>
      </w:r>
      <w:r w:rsidRPr="00730468">
        <w:rPr>
          <w:color w:val="000000" w:themeColor="text1"/>
        </w:rPr>
        <w:t>MNEs</w:t>
      </w:r>
      <w:r w:rsidR="00C03129" w:rsidRPr="00730468">
        <w:rPr>
          <w:color w:val="000000" w:themeColor="text1"/>
        </w:rPr>
        <w:t xml:space="preserve"> have an </w:t>
      </w:r>
      <w:r w:rsidRPr="00730468">
        <w:rPr>
          <w:color w:val="000000" w:themeColor="text1"/>
        </w:rPr>
        <w:t xml:space="preserve">abundant </w:t>
      </w:r>
      <w:r w:rsidR="00C03129" w:rsidRPr="00730468">
        <w:rPr>
          <w:color w:val="000000" w:themeColor="text1"/>
        </w:rPr>
        <w:t xml:space="preserve">set of resources and superior management </w:t>
      </w:r>
      <w:r w:rsidRPr="00730468">
        <w:rPr>
          <w:color w:val="000000" w:themeColor="text1"/>
        </w:rPr>
        <w:t>skills</w:t>
      </w:r>
      <w:r w:rsidR="00C03129" w:rsidRPr="00730468">
        <w:rPr>
          <w:color w:val="000000" w:themeColor="text1"/>
        </w:rPr>
        <w:t xml:space="preserve">, </w:t>
      </w:r>
      <w:r w:rsidRPr="00730468">
        <w:rPr>
          <w:color w:val="000000" w:themeColor="text1"/>
        </w:rPr>
        <w:t xml:space="preserve">making them less demanding to pool their </w:t>
      </w:r>
      <w:r w:rsidR="00C03129" w:rsidRPr="00730468">
        <w:rPr>
          <w:color w:val="000000" w:themeColor="text1"/>
        </w:rPr>
        <w:t xml:space="preserve">resources with local </w:t>
      </w:r>
      <w:r w:rsidRPr="00730468">
        <w:rPr>
          <w:color w:val="000000" w:themeColor="text1"/>
        </w:rPr>
        <w:t>firms to set up a JV (</w:t>
      </w:r>
      <w:r w:rsidR="002E14D8" w:rsidRPr="00730468">
        <w:rPr>
          <w:color w:val="000000" w:themeColor="text1"/>
        </w:rPr>
        <w:t>Kuo</w:t>
      </w:r>
      <w:r w:rsidR="008E5D05" w:rsidRPr="00730468">
        <w:rPr>
          <w:color w:val="000000" w:themeColor="text1"/>
        </w:rPr>
        <w:t>, Kao, Chang, &amp; Chiu</w:t>
      </w:r>
      <w:r w:rsidRPr="00730468">
        <w:rPr>
          <w:color w:val="000000" w:themeColor="text1"/>
        </w:rPr>
        <w:t>, 2012).</w:t>
      </w:r>
      <w:r w:rsidR="00722CE8">
        <w:rPr>
          <w:color w:val="000000" w:themeColor="text1"/>
        </w:rPr>
        <w:t xml:space="preserve"> Following</w:t>
      </w:r>
      <w:r w:rsidR="00C35698" w:rsidRPr="00730468">
        <w:rPr>
          <w:color w:val="000000" w:themeColor="text1"/>
        </w:rPr>
        <w:t xml:space="preserve"> </w:t>
      </w:r>
      <w:r w:rsidR="005C5528">
        <w:rPr>
          <w:color w:val="000000" w:themeColor="text1"/>
        </w:rPr>
        <w:t>t</w:t>
      </w:r>
      <w:r w:rsidR="005C5528" w:rsidRPr="005C5528">
        <w:rPr>
          <w:color w:val="000000" w:themeColor="text1"/>
        </w:rPr>
        <w:t>ransaction cost economics</w:t>
      </w:r>
      <w:r w:rsidR="00C35698" w:rsidRPr="00730468">
        <w:rPr>
          <w:color w:val="000000" w:themeColor="text1"/>
        </w:rPr>
        <w:t>, MNEs do not want to share their superior knowledge and tech</w:t>
      </w:r>
      <w:r w:rsidR="00403B63" w:rsidRPr="00730468">
        <w:rPr>
          <w:color w:val="000000" w:themeColor="text1"/>
        </w:rPr>
        <w:t xml:space="preserve">nology since </w:t>
      </w:r>
      <w:r w:rsidR="00403B63" w:rsidRPr="00577913">
        <w:t xml:space="preserve">they </w:t>
      </w:r>
      <w:r w:rsidR="00577913">
        <w:rPr>
          <w:noProof/>
        </w:rPr>
        <w:t>do not want to be negatively affected by</w:t>
      </w:r>
      <w:r w:rsidR="00577913" w:rsidRPr="00577913">
        <w:rPr>
          <w:noProof/>
        </w:rPr>
        <w:t xml:space="preserve"> </w:t>
      </w:r>
      <w:r w:rsidR="00403B63" w:rsidRPr="00577913">
        <w:rPr>
          <w:noProof/>
        </w:rPr>
        <w:t>the opportunistic behavior of their</w:t>
      </w:r>
      <w:r w:rsidR="00403B63" w:rsidRPr="00577913">
        <w:t xml:space="preserve"> partners, </w:t>
      </w:r>
      <w:r w:rsidR="00403B63" w:rsidRPr="00730468">
        <w:rPr>
          <w:color w:val="000000" w:themeColor="text1"/>
        </w:rPr>
        <w:t xml:space="preserve">they do not want </w:t>
      </w:r>
      <w:r w:rsidR="00577913">
        <w:rPr>
          <w:color w:val="000000" w:themeColor="text1"/>
        </w:rPr>
        <w:t>their</w:t>
      </w:r>
      <w:r w:rsidR="00403B63" w:rsidRPr="00730468">
        <w:rPr>
          <w:color w:val="000000" w:themeColor="text1"/>
        </w:rPr>
        <w:t xml:space="preserve"> invaluable assets are stolen. </w:t>
      </w:r>
      <w:r w:rsidR="00B85229" w:rsidRPr="00730468">
        <w:rPr>
          <w:color w:val="000000" w:themeColor="text1"/>
        </w:rPr>
        <w:t xml:space="preserve">Thus, the larger its size, the better the ability that an MNE can deal with opportunism and the higher the probability that the costs are minimized, and as a consequence, the larger the likelihood of full control (Anderson &amp; Gatignon, 1986). </w:t>
      </w:r>
      <w:r w:rsidR="00CB6615" w:rsidRPr="00730468">
        <w:rPr>
          <w:color w:val="000000" w:themeColor="text1"/>
        </w:rPr>
        <w:t xml:space="preserve">Another reason why </w:t>
      </w:r>
      <w:r w:rsidR="006836F8" w:rsidRPr="00730468">
        <w:rPr>
          <w:color w:val="000000" w:themeColor="text1"/>
        </w:rPr>
        <w:t xml:space="preserve">WOS </w:t>
      </w:r>
      <w:r w:rsidR="00CB6615" w:rsidRPr="00730468">
        <w:rPr>
          <w:color w:val="000000" w:themeColor="text1"/>
        </w:rPr>
        <w:t>is</w:t>
      </w:r>
      <w:r w:rsidR="006836F8" w:rsidRPr="00730468">
        <w:rPr>
          <w:color w:val="000000" w:themeColor="text1"/>
        </w:rPr>
        <w:t xml:space="preserve"> a preferred entry mode </w:t>
      </w:r>
      <w:r w:rsidR="00CB6615" w:rsidRPr="00730468">
        <w:rPr>
          <w:color w:val="000000" w:themeColor="text1"/>
        </w:rPr>
        <w:t xml:space="preserve">is that larger MNEs are more likely to </w:t>
      </w:r>
      <w:r w:rsidR="006836F8" w:rsidRPr="00730468">
        <w:rPr>
          <w:color w:val="000000" w:themeColor="text1"/>
        </w:rPr>
        <w:t xml:space="preserve">have </w:t>
      </w:r>
      <w:r w:rsidR="00CB6615" w:rsidRPr="00730468">
        <w:rPr>
          <w:color w:val="000000" w:themeColor="text1"/>
        </w:rPr>
        <w:t>diverse</w:t>
      </w:r>
      <w:r w:rsidR="006836F8" w:rsidRPr="00730468">
        <w:rPr>
          <w:color w:val="000000" w:themeColor="text1"/>
        </w:rPr>
        <w:t xml:space="preserve"> resources which can be applied </w:t>
      </w:r>
      <w:r w:rsidR="00CB6615" w:rsidRPr="00730468">
        <w:rPr>
          <w:color w:val="000000" w:themeColor="text1"/>
        </w:rPr>
        <w:t xml:space="preserve">effectively </w:t>
      </w:r>
      <w:r w:rsidR="006836F8" w:rsidRPr="00730468">
        <w:rPr>
          <w:color w:val="000000" w:themeColor="text1"/>
        </w:rPr>
        <w:t xml:space="preserve">to </w:t>
      </w:r>
      <w:r w:rsidR="006836F8" w:rsidRPr="00730468">
        <w:rPr>
          <w:color w:val="000000" w:themeColor="text1"/>
        </w:rPr>
        <w:lastRenderedPageBreak/>
        <w:t xml:space="preserve">new market entry. </w:t>
      </w:r>
      <w:r w:rsidR="00B85229" w:rsidRPr="00730468">
        <w:rPr>
          <w:color w:val="000000" w:themeColor="text1"/>
        </w:rPr>
        <w:t xml:space="preserve">In the similar vibe, </w:t>
      </w:r>
      <w:r w:rsidRPr="00730468">
        <w:rPr>
          <w:color w:val="000000" w:themeColor="text1"/>
        </w:rPr>
        <w:t>Erramilli &amp; Rao (1993)</w:t>
      </w:r>
      <w:r w:rsidR="00B85229" w:rsidRPr="00730468">
        <w:rPr>
          <w:color w:val="000000" w:themeColor="text1"/>
        </w:rPr>
        <w:t xml:space="preserve"> also suggest that </w:t>
      </w:r>
      <w:r w:rsidR="00C03129" w:rsidRPr="00730468">
        <w:rPr>
          <w:color w:val="000000" w:themeColor="text1"/>
        </w:rPr>
        <w:t xml:space="preserve">larger firms have a greater </w:t>
      </w:r>
      <w:r w:rsidRPr="00730468">
        <w:rPr>
          <w:color w:val="000000" w:themeColor="text1"/>
        </w:rPr>
        <w:t>capacity</w:t>
      </w:r>
      <w:r w:rsidR="00C03129" w:rsidRPr="00730468">
        <w:rPr>
          <w:color w:val="000000" w:themeColor="text1"/>
        </w:rPr>
        <w:t xml:space="preserve"> in </w:t>
      </w:r>
      <w:r w:rsidRPr="00730468">
        <w:rPr>
          <w:color w:val="000000" w:themeColor="text1"/>
        </w:rPr>
        <w:t xml:space="preserve">establishing </w:t>
      </w:r>
      <w:r w:rsidR="00C03129" w:rsidRPr="00730468">
        <w:rPr>
          <w:color w:val="000000" w:themeColor="text1"/>
        </w:rPr>
        <w:t xml:space="preserve">their own </w:t>
      </w:r>
      <w:r w:rsidRPr="00730468">
        <w:rPr>
          <w:color w:val="000000" w:themeColor="text1"/>
        </w:rPr>
        <w:t>operational business</w:t>
      </w:r>
      <w:r w:rsidR="00C03129" w:rsidRPr="00730468">
        <w:rPr>
          <w:color w:val="000000" w:themeColor="text1"/>
        </w:rPr>
        <w:t xml:space="preserve"> in foreign </w:t>
      </w:r>
      <w:r w:rsidRPr="00730468">
        <w:rPr>
          <w:color w:val="000000" w:themeColor="text1"/>
        </w:rPr>
        <w:t>country</w:t>
      </w:r>
      <w:r w:rsidR="00C03129" w:rsidRPr="00730468">
        <w:rPr>
          <w:color w:val="000000" w:themeColor="text1"/>
        </w:rPr>
        <w:t xml:space="preserve">.  </w:t>
      </w:r>
    </w:p>
    <w:p w:rsidR="00C113C6" w:rsidRPr="00730468" w:rsidRDefault="00C113C6" w:rsidP="00DF3F76">
      <w:pPr>
        <w:spacing w:line="360" w:lineRule="auto"/>
        <w:jc w:val="both"/>
        <w:rPr>
          <w:color w:val="000000" w:themeColor="text1"/>
        </w:rPr>
      </w:pPr>
    </w:p>
    <w:p w:rsidR="00463BB5" w:rsidRPr="00730468" w:rsidRDefault="00A35EE1" w:rsidP="00DF3F76">
      <w:pPr>
        <w:spacing w:line="360" w:lineRule="auto"/>
        <w:jc w:val="both"/>
        <w:rPr>
          <w:color w:val="000000" w:themeColor="text1"/>
        </w:rPr>
      </w:pPr>
      <w:r w:rsidRPr="00730468">
        <w:rPr>
          <w:color w:val="000000" w:themeColor="text1"/>
        </w:rPr>
        <w:t xml:space="preserve">The entry mode via </w:t>
      </w:r>
      <w:r w:rsidR="00463BB5" w:rsidRPr="00730468">
        <w:rPr>
          <w:color w:val="000000" w:themeColor="text1"/>
        </w:rPr>
        <w:t xml:space="preserve">WOS is found to have a positive relationship with firm size </w:t>
      </w:r>
      <w:r w:rsidRPr="00730468">
        <w:rPr>
          <w:color w:val="000000" w:themeColor="text1"/>
        </w:rPr>
        <w:t>in numerous previous empirical studies</w:t>
      </w:r>
      <w:r w:rsidR="00463BB5" w:rsidRPr="00730468">
        <w:rPr>
          <w:color w:val="000000" w:themeColor="text1"/>
        </w:rPr>
        <w:t xml:space="preserve"> (Agarwal &amp; Ramaswami, 1992; Brouthers et al., 1999).  </w:t>
      </w:r>
    </w:p>
    <w:p w:rsidR="00463BB5" w:rsidRPr="00730468" w:rsidRDefault="00463BB5" w:rsidP="00DF3F76">
      <w:pPr>
        <w:spacing w:line="360" w:lineRule="auto"/>
        <w:jc w:val="both"/>
        <w:rPr>
          <w:color w:val="000000" w:themeColor="text1"/>
        </w:rPr>
      </w:pPr>
    </w:p>
    <w:p w:rsidR="00C03129" w:rsidRPr="00730468" w:rsidRDefault="00914FF6" w:rsidP="00DF3F76">
      <w:pPr>
        <w:spacing w:line="360" w:lineRule="auto"/>
        <w:jc w:val="both"/>
        <w:rPr>
          <w:color w:val="000000" w:themeColor="text1"/>
        </w:rPr>
      </w:pPr>
      <w:r w:rsidRPr="00730468">
        <w:rPr>
          <w:color w:val="000000" w:themeColor="text1"/>
        </w:rPr>
        <w:t>Hypothesis 6</w:t>
      </w:r>
      <w:r w:rsidR="009C7459" w:rsidRPr="00730468">
        <w:rPr>
          <w:color w:val="000000" w:themeColor="text1"/>
        </w:rPr>
        <w:t xml:space="preserve">: </w:t>
      </w:r>
      <w:r w:rsidR="00B85229" w:rsidRPr="00730468">
        <w:rPr>
          <w:color w:val="000000" w:themeColor="text1"/>
        </w:rPr>
        <w:t xml:space="preserve">the increase in the </w:t>
      </w:r>
      <w:r w:rsidR="00206E86" w:rsidRPr="00730468">
        <w:t>size</w:t>
      </w:r>
      <w:r w:rsidR="00B85229" w:rsidRPr="00730468">
        <w:t xml:space="preserve"> </w:t>
      </w:r>
      <w:r w:rsidR="00B85229" w:rsidRPr="00730468">
        <w:rPr>
          <w:color w:val="000000" w:themeColor="text1"/>
        </w:rPr>
        <w:t>of MNEs, the decrease in the probability that they choose to enter the market through JV and the increase to enter through WOS.</w:t>
      </w:r>
    </w:p>
    <w:p w:rsidR="00C113C6" w:rsidRPr="00730468" w:rsidRDefault="00C113C6" w:rsidP="00DF3F76">
      <w:pPr>
        <w:spacing w:line="360" w:lineRule="auto"/>
        <w:jc w:val="both"/>
        <w:rPr>
          <w:color w:val="000000" w:themeColor="text1"/>
        </w:rPr>
      </w:pPr>
    </w:p>
    <w:p w:rsidR="000D0776" w:rsidRPr="00730468" w:rsidRDefault="000D0776" w:rsidP="00DF3F76">
      <w:pPr>
        <w:spacing w:after="200" w:line="360" w:lineRule="auto"/>
        <w:rPr>
          <w:color w:val="000000" w:themeColor="text1"/>
        </w:rPr>
      </w:pPr>
      <w:r w:rsidRPr="00730468">
        <w:rPr>
          <w:color w:val="000000" w:themeColor="text1"/>
        </w:rPr>
        <w:br w:type="page"/>
      </w:r>
    </w:p>
    <w:p w:rsidR="000D4929" w:rsidRPr="00730468" w:rsidRDefault="000D4929" w:rsidP="00DF3F76">
      <w:pPr>
        <w:pStyle w:val="Heading1"/>
        <w:numPr>
          <w:ilvl w:val="0"/>
          <w:numId w:val="11"/>
        </w:numPr>
        <w:spacing w:line="360" w:lineRule="auto"/>
        <w:jc w:val="both"/>
        <w:rPr>
          <w:rFonts w:ascii="Times New Roman" w:hAnsi="Times New Roman" w:cs="Times New Roman"/>
          <w:b w:val="0"/>
          <w:sz w:val="24"/>
          <w:szCs w:val="24"/>
        </w:rPr>
      </w:pPr>
      <w:bookmarkStart w:id="34" w:name="_Toc487572209"/>
      <w:bookmarkStart w:id="35" w:name="_Toc487707049"/>
      <w:bookmarkStart w:id="36" w:name="_Toc489287939"/>
      <w:r w:rsidRPr="00730468">
        <w:rPr>
          <w:rStyle w:val="Style1Char"/>
          <w:rFonts w:eastAsiaTheme="majorEastAsia"/>
          <w:b/>
          <w:color w:val="365F91" w:themeColor="accent1" w:themeShade="BF"/>
        </w:rPr>
        <w:lastRenderedPageBreak/>
        <w:t>Methodology</w:t>
      </w:r>
      <w:r w:rsidRPr="00730468">
        <w:rPr>
          <w:rFonts w:ascii="Times New Roman" w:hAnsi="Times New Roman" w:cs="Times New Roman"/>
          <w:b w:val="0"/>
          <w:sz w:val="24"/>
          <w:szCs w:val="24"/>
        </w:rPr>
        <w:t>:</w:t>
      </w:r>
      <w:bookmarkEnd w:id="34"/>
      <w:bookmarkEnd w:id="35"/>
      <w:bookmarkEnd w:id="36"/>
    </w:p>
    <w:p w:rsidR="00F83BD9" w:rsidRPr="00730468" w:rsidRDefault="000D4929" w:rsidP="00DF3F76">
      <w:pPr>
        <w:spacing w:line="360" w:lineRule="auto"/>
        <w:jc w:val="both"/>
        <w:rPr>
          <w:color w:val="000000" w:themeColor="text1"/>
        </w:rPr>
      </w:pPr>
      <w:r w:rsidRPr="00730468">
        <w:rPr>
          <w:color w:val="000000" w:themeColor="text1"/>
        </w:rPr>
        <w:t xml:space="preserve">In this paper, </w:t>
      </w:r>
      <w:r w:rsidR="00F83BD9" w:rsidRPr="00730468">
        <w:rPr>
          <w:color w:val="000000" w:themeColor="text1"/>
        </w:rPr>
        <w:t>a deductive research approach is chosen</w:t>
      </w:r>
      <w:r w:rsidRPr="00730468">
        <w:rPr>
          <w:color w:val="000000" w:themeColor="text1"/>
        </w:rPr>
        <w:t xml:space="preserve"> that means firstly, </w:t>
      </w:r>
      <w:r w:rsidR="00C15865" w:rsidRPr="00730468">
        <w:rPr>
          <w:color w:val="000000" w:themeColor="text1"/>
        </w:rPr>
        <w:t xml:space="preserve">theory </w:t>
      </w:r>
      <w:r w:rsidRPr="00730468">
        <w:rPr>
          <w:color w:val="000000" w:themeColor="text1"/>
        </w:rPr>
        <w:t xml:space="preserve">is developed then the </w:t>
      </w:r>
      <w:r w:rsidR="00C15865" w:rsidRPr="00730468">
        <w:rPr>
          <w:color w:val="000000" w:themeColor="text1"/>
        </w:rPr>
        <w:t>hypothes</w:t>
      </w:r>
      <w:r w:rsidRPr="00730468">
        <w:rPr>
          <w:color w:val="000000" w:themeColor="text1"/>
        </w:rPr>
        <w:t>e</w:t>
      </w:r>
      <w:r w:rsidR="00C15865" w:rsidRPr="00730468">
        <w:rPr>
          <w:color w:val="000000" w:themeColor="text1"/>
        </w:rPr>
        <w:t>s</w:t>
      </w:r>
      <w:r w:rsidRPr="00730468">
        <w:rPr>
          <w:color w:val="000000" w:themeColor="text1"/>
        </w:rPr>
        <w:t xml:space="preserve"> are generated and</w:t>
      </w:r>
      <w:r w:rsidR="00C15865" w:rsidRPr="00730468">
        <w:rPr>
          <w:color w:val="000000" w:themeColor="text1"/>
        </w:rPr>
        <w:t xml:space="preserve"> tested in accordance with the research strategy designed</w:t>
      </w:r>
      <w:r w:rsidR="00260572" w:rsidRPr="00730468">
        <w:rPr>
          <w:color w:val="000000" w:themeColor="text1"/>
        </w:rPr>
        <w:t>.</w:t>
      </w:r>
    </w:p>
    <w:p w:rsidR="00B92E53" w:rsidRPr="00730468" w:rsidRDefault="00656191" w:rsidP="00DF3F76">
      <w:pPr>
        <w:pStyle w:val="Heading2"/>
        <w:spacing w:line="360" w:lineRule="auto"/>
      </w:pPr>
      <w:r w:rsidRPr="00730468">
        <w:t xml:space="preserve"> </w:t>
      </w:r>
      <w:bookmarkStart w:id="37" w:name="_Toc487572210"/>
      <w:bookmarkStart w:id="38" w:name="_Toc487707050"/>
      <w:bookmarkStart w:id="39" w:name="_Toc489287940"/>
      <w:r w:rsidR="00C15865" w:rsidRPr="00730468">
        <w:t>Data:</w:t>
      </w:r>
      <w:bookmarkEnd w:id="37"/>
      <w:bookmarkEnd w:id="38"/>
      <w:bookmarkEnd w:id="39"/>
    </w:p>
    <w:p w:rsidR="00302AF4" w:rsidRPr="00730468" w:rsidRDefault="00C47737" w:rsidP="00DF3F76">
      <w:pPr>
        <w:spacing w:line="360" w:lineRule="auto"/>
        <w:jc w:val="both"/>
        <w:rPr>
          <w:color w:val="000000" w:themeColor="text1"/>
        </w:rPr>
      </w:pPr>
      <w:r w:rsidRPr="00730468">
        <w:rPr>
          <w:color w:val="000000" w:themeColor="text1"/>
        </w:rPr>
        <w:t>For the analyses, secondary data are used and collected</w:t>
      </w:r>
      <w:r w:rsidR="00231EF0" w:rsidRPr="00730468">
        <w:rPr>
          <w:color w:val="000000" w:themeColor="text1"/>
        </w:rPr>
        <w:t xml:space="preserve"> </w:t>
      </w:r>
      <w:r w:rsidR="009817B6" w:rsidRPr="00730468">
        <w:rPr>
          <w:color w:val="000000" w:themeColor="text1"/>
        </w:rPr>
        <w:t xml:space="preserve">from </w:t>
      </w:r>
      <w:r w:rsidRPr="00730468">
        <w:rPr>
          <w:color w:val="000000" w:themeColor="text1"/>
        </w:rPr>
        <w:t>many sources.</w:t>
      </w:r>
      <w:r w:rsidR="00302AF4" w:rsidRPr="00730468">
        <w:t xml:space="preserve"> </w:t>
      </w:r>
      <w:r w:rsidR="00302AF4" w:rsidRPr="00730468">
        <w:rPr>
          <w:color w:val="000000" w:themeColor="text1"/>
        </w:rPr>
        <w:t xml:space="preserve">To build the </w:t>
      </w:r>
      <w:r w:rsidR="00A565F0" w:rsidRPr="00730468">
        <w:rPr>
          <w:color w:val="000000" w:themeColor="text1"/>
        </w:rPr>
        <w:t xml:space="preserve">aggregate </w:t>
      </w:r>
      <w:r w:rsidR="00302AF4" w:rsidRPr="00730468">
        <w:rPr>
          <w:color w:val="000000" w:themeColor="text1"/>
        </w:rPr>
        <w:t xml:space="preserve">data, the following steps are followed: firstly, data about all the transactions (type of entry mode - JV/WOS) </w:t>
      </w:r>
      <w:r w:rsidR="00937ABF" w:rsidRPr="00730468">
        <w:rPr>
          <w:color w:val="000000" w:themeColor="text1"/>
        </w:rPr>
        <w:t xml:space="preserve">undertaken </w:t>
      </w:r>
      <w:r w:rsidR="00302AF4" w:rsidRPr="00730468">
        <w:rPr>
          <w:color w:val="000000" w:themeColor="text1"/>
        </w:rPr>
        <w:t xml:space="preserve">in India during 1997-2015 is retrieved from Orbis, along with the name and the country code of MNEs and subsidiaries. Following from that, the name of MNEs are used for the second search - batch search where more </w:t>
      </w:r>
      <w:r w:rsidR="00A565F0" w:rsidRPr="00730468">
        <w:rPr>
          <w:color w:val="000000" w:themeColor="text1"/>
        </w:rPr>
        <w:t>further</w:t>
      </w:r>
      <w:r w:rsidR="00302AF4" w:rsidRPr="00730468">
        <w:rPr>
          <w:color w:val="000000" w:themeColor="text1"/>
        </w:rPr>
        <w:t xml:space="preserve"> information about </w:t>
      </w:r>
      <w:r w:rsidR="00A565F0" w:rsidRPr="00730468">
        <w:rPr>
          <w:color w:val="000000" w:themeColor="text1"/>
        </w:rPr>
        <w:t>that MNEs</w:t>
      </w:r>
      <w:r w:rsidR="00302AF4" w:rsidRPr="00730468">
        <w:rPr>
          <w:color w:val="000000" w:themeColor="text1"/>
        </w:rPr>
        <w:t xml:space="preserve"> </w:t>
      </w:r>
      <w:r w:rsidR="00A565F0" w:rsidRPr="00730468">
        <w:rPr>
          <w:color w:val="000000" w:themeColor="text1"/>
        </w:rPr>
        <w:t>are</w:t>
      </w:r>
      <w:r w:rsidR="00302AF4" w:rsidRPr="00730468">
        <w:rPr>
          <w:color w:val="000000" w:themeColor="text1"/>
        </w:rPr>
        <w:t xml:space="preserve"> retrieved. Simultaneously, with the country code of MNEs, </w:t>
      </w:r>
      <w:r w:rsidR="006A59A3" w:rsidRPr="00730468">
        <w:rPr>
          <w:color w:val="000000" w:themeColor="text1"/>
        </w:rPr>
        <w:t>country level data are collected from multiples</w:t>
      </w:r>
      <w:r w:rsidR="00302AF4" w:rsidRPr="00730468">
        <w:rPr>
          <w:color w:val="000000" w:themeColor="text1"/>
        </w:rPr>
        <w:t xml:space="preserve"> sources such as World Bank, Hofstede, Time and Date. Finally, I gather the data from those resources with the data from Orbis to make the complete database. </w:t>
      </w:r>
    </w:p>
    <w:p w:rsidR="00302AF4" w:rsidRPr="00730468" w:rsidRDefault="00302AF4" w:rsidP="00DF3F76">
      <w:pPr>
        <w:spacing w:line="360" w:lineRule="auto"/>
        <w:jc w:val="both"/>
        <w:rPr>
          <w:color w:val="000000" w:themeColor="text1"/>
        </w:rPr>
      </w:pPr>
    </w:p>
    <w:p w:rsidR="00302AF4" w:rsidRPr="00730468" w:rsidRDefault="00302AF4" w:rsidP="00DF3F76">
      <w:pPr>
        <w:spacing w:line="360" w:lineRule="auto"/>
        <w:jc w:val="both"/>
        <w:rPr>
          <w:color w:val="000000" w:themeColor="text1"/>
        </w:rPr>
      </w:pPr>
      <w:r w:rsidRPr="00730468">
        <w:rPr>
          <w:color w:val="000000" w:themeColor="text1"/>
        </w:rPr>
        <w:t xml:space="preserve">To be more specific, separate variable data collection is presented as below: </w:t>
      </w:r>
    </w:p>
    <w:p w:rsidR="00302AF4" w:rsidRPr="00730468" w:rsidRDefault="00302AF4" w:rsidP="00DF3F76">
      <w:pPr>
        <w:spacing w:line="360" w:lineRule="auto"/>
        <w:jc w:val="both"/>
        <w:rPr>
          <w:color w:val="000000" w:themeColor="text1"/>
        </w:rPr>
      </w:pPr>
    </w:p>
    <w:p w:rsidR="009817B6" w:rsidRPr="00730468" w:rsidRDefault="00302AF4" w:rsidP="00DF3F76">
      <w:pPr>
        <w:spacing w:line="360" w:lineRule="auto"/>
        <w:jc w:val="both"/>
        <w:rPr>
          <w:color w:val="000000" w:themeColor="text1"/>
        </w:rPr>
      </w:pPr>
      <w:r w:rsidRPr="00730468">
        <w:rPr>
          <w:color w:val="000000" w:themeColor="text1"/>
        </w:rPr>
        <w:t>First of all</w:t>
      </w:r>
      <w:r w:rsidR="00641746" w:rsidRPr="00730468">
        <w:rPr>
          <w:color w:val="000000" w:themeColor="text1"/>
        </w:rPr>
        <w:t xml:space="preserve">, to analyze the dependent variable (entry mode choices), data are retrieved from </w:t>
      </w:r>
      <w:r w:rsidR="00231EF0" w:rsidRPr="00730468">
        <w:rPr>
          <w:color w:val="000000" w:themeColor="text1"/>
        </w:rPr>
        <w:t xml:space="preserve">Orbis which is </w:t>
      </w:r>
      <w:r w:rsidR="00C8681B" w:rsidRPr="00730468">
        <w:rPr>
          <w:color w:val="000000" w:themeColor="text1"/>
        </w:rPr>
        <w:t>a comprehensive source of firms</w:t>
      </w:r>
      <w:r w:rsidR="00231EF0" w:rsidRPr="00730468">
        <w:rPr>
          <w:color w:val="000000" w:themeColor="text1"/>
        </w:rPr>
        <w:t xml:space="preserve"> and deals activities. The data consist of all</w:t>
      </w:r>
      <w:r w:rsidR="009817B6" w:rsidRPr="00730468">
        <w:rPr>
          <w:color w:val="000000" w:themeColor="text1"/>
        </w:rPr>
        <w:t xml:space="preserve"> </w:t>
      </w:r>
      <w:r w:rsidR="00641746" w:rsidRPr="00730468">
        <w:rPr>
          <w:color w:val="000000" w:themeColor="text1"/>
        </w:rPr>
        <w:t xml:space="preserve">MNEs penetrating Indian market through JV or WO during </w:t>
      </w:r>
      <w:r w:rsidR="009817B6" w:rsidRPr="00730468">
        <w:rPr>
          <w:color w:val="000000" w:themeColor="text1"/>
        </w:rPr>
        <w:t xml:space="preserve">the </w:t>
      </w:r>
      <w:r w:rsidR="005A4C61" w:rsidRPr="00730468">
        <w:rPr>
          <w:color w:val="000000" w:themeColor="text1"/>
        </w:rPr>
        <w:t>period</w:t>
      </w:r>
      <w:r w:rsidR="009817B6" w:rsidRPr="00730468">
        <w:rPr>
          <w:color w:val="000000" w:themeColor="text1"/>
        </w:rPr>
        <w:t xml:space="preserve"> </w:t>
      </w:r>
      <w:r w:rsidR="005A4C61" w:rsidRPr="00730468">
        <w:rPr>
          <w:color w:val="000000" w:themeColor="text1"/>
        </w:rPr>
        <w:t>01/01/</w:t>
      </w:r>
      <w:r w:rsidR="009817B6" w:rsidRPr="00730468">
        <w:rPr>
          <w:color w:val="000000" w:themeColor="text1"/>
        </w:rPr>
        <w:t>199</w:t>
      </w:r>
      <w:r w:rsidR="00231EF0" w:rsidRPr="00730468">
        <w:rPr>
          <w:color w:val="000000" w:themeColor="text1"/>
        </w:rPr>
        <w:t>7</w:t>
      </w:r>
      <w:r w:rsidR="005A4C61" w:rsidRPr="00730468">
        <w:rPr>
          <w:color w:val="000000" w:themeColor="text1"/>
        </w:rPr>
        <w:t xml:space="preserve"> </w:t>
      </w:r>
      <w:r w:rsidR="00231EF0" w:rsidRPr="00730468">
        <w:rPr>
          <w:color w:val="000000" w:themeColor="text1"/>
        </w:rPr>
        <w:t>-</w:t>
      </w:r>
      <w:r w:rsidR="005A4C61" w:rsidRPr="00730468">
        <w:rPr>
          <w:color w:val="000000" w:themeColor="text1"/>
        </w:rPr>
        <w:t xml:space="preserve"> 31/12/</w:t>
      </w:r>
      <w:r w:rsidR="00231EF0" w:rsidRPr="00730468">
        <w:rPr>
          <w:color w:val="000000" w:themeColor="text1"/>
        </w:rPr>
        <w:t>2015</w:t>
      </w:r>
      <w:r w:rsidR="009817B6" w:rsidRPr="00730468">
        <w:rPr>
          <w:color w:val="000000" w:themeColor="text1"/>
        </w:rPr>
        <w:t xml:space="preserve">. </w:t>
      </w:r>
      <w:r w:rsidR="00C47737" w:rsidRPr="00730468">
        <w:rPr>
          <w:color w:val="000000" w:themeColor="text1"/>
        </w:rPr>
        <w:t xml:space="preserve">In order to </w:t>
      </w:r>
      <w:r w:rsidR="005A4C61" w:rsidRPr="00730468">
        <w:rPr>
          <w:color w:val="000000" w:themeColor="text1"/>
        </w:rPr>
        <w:t>make the data more reliable</w:t>
      </w:r>
      <w:r w:rsidR="00C47737" w:rsidRPr="00730468">
        <w:rPr>
          <w:color w:val="000000" w:themeColor="text1"/>
        </w:rPr>
        <w:t xml:space="preserve">, those enterprises which penetrate </w:t>
      </w:r>
      <w:r w:rsidR="005A4C61" w:rsidRPr="00730468">
        <w:rPr>
          <w:color w:val="000000" w:themeColor="text1"/>
        </w:rPr>
        <w:t>Indian</w:t>
      </w:r>
      <w:r w:rsidR="00C47737" w:rsidRPr="00730468">
        <w:rPr>
          <w:color w:val="000000" w:themeColor="text1"/>
        </w:rPr>
        <w:t xml:space="preserve"> market have to </w:t>
      </w:r>
      <w:r w:rsidR="005A4C61" w:rsidRPr="00730468">
        <w:rPr>
          <w:color w:val="000000" w:themeColor="text1"/>
        </w:rPr>
        <w:t>meet some specific requirements below; otherwise they</w:t>
      </w:r>
      <w:r w:rsidR="00C47737" w:rsidRPr="00730468">
        <w:rPr>
          <w:color w:val="000000" w:themeColor="text1"/>
        </w:rPr>
        <w:t xml:space="preserve"> will be deleted from the sample.</w:t>
      </w:r>
    </w:p>
    <w:p w:rsidR="00792827" w:rsidRPr="00730468" w:rsidRDefault="00792827" w:rsidP="00DF3F76">
      <w:pPr>
        <w:spacing w:line="360" w:lineRule="auto"/>
        <w:jc w:val="both"/>
        <w:rPr>
          <w:color w:val="000000" w:themeColor="text1"/>
        </w:rPr>
      </w:pPr>
    </w:p>
    <w:p w:rsidR="00525CDF" w:rsidRPr="00730468" w:rsidRDefault="00792827" w:rsidP="00DF3F76">
      <w:pPr>
        <w:spacing w:line="360" w:lineRule="auto"/>
        <w:jc w:val="both"/>
        <w:rPr>
          <w:color w:val="000000" w:themeColor="text1"/>
        </w:rPr>
      </w:pPr>
      <w:r w:rsidRPr="00730468">
        <w:rPr>
          <w:color w:val="000000" w:themeColor="text1"/>
        </w:rPr>
        <w:t xml:space="preserve">Such criteria include: </w:t>
      </w:r>
      <w:r w:rsidR="00953392" w:rsidRPr="00730468">
        <w:rPr>
          <w:color w:val="000000" w:themeColor="text1"/>
        </w:rPr>
        <w:t>(a) the target country code is ID which means t</w:t>
      </w:r>
      <w:r w:rsidRPr="00730468">
        <w:rPr>
          <w:color w:val="000000" w:themeColor="text1"/>
        </w:rPr>
        <w:t xml:space="preserve">arget companies are from India, </w:t>
      </w:r>
      <w:r w:rsidR="00953392" w:rsidRPr="00730468">
        <w:rPr>
          <w:color w:val="000000" w:themeColor="text1"/>
        </w:rPr>
        <w:t>(b) acquirer country code is not India which implies MNEs are from the rest of the world, (c) deal status is completed</w:t>
      </w:r>
      <w:r w:rsidR="00117A76" w:rsidRPr="00730468">
        <w:rPr>
          <w:color w:val="000000" w:themeColor="text1"/>
        </w:rPr>
        <w:t xml:space="preserve"> which indicates the transactions are already made, not just </w:t>
      </w:r>
      <w:r w:rsidR="00876AF1" w:rsidRPr="00730468">
        <w:rPr>
          <w:color w:val="000000" w:themeColor="text1"/>
        </w:rPr>
        <w:t xml:space="preserve">a </w:t>
      </w:r>
      <w:r w:rsidR="00117A76" w:rsidRPr="00730468">
        <w:rPr>
          <w:color w:val="000000" w:themeColor="text1"/>
        </w:rPr>
        <w:t>rumor or pending</w:t>
      </w:r>
      <w:r w:rsidR="00876AF1" w:rsidRPr="00730468">
        <w:rPr>
          <w:color w:val="000000" w:themeColor="text1"/>
        </w:rPr>
        <w:t>. Moreover, a</w:t>
      </w:r>
      <w:r w:rsidR="00525CDF" w:rsidRPr="00730468">
        <w:rPr>
          <w:color w:val="000000" w:themeColor="text1"/>
        </w:rPr>
        <w:t>ll transactions in which</w:t>
      </w:r>
      <w:r w:rsidR="00231EF0" w:rsidRPr="00730468">
        <w:rPr>
          <w:color w:val="000000" w:themeColor="text1"/>
        </w:rPr>
        <w:t xml:space="preserve"> the deal number, the country code of target company, the country code of </w:t>
      </w:r>
      <w:r w:rsidR="00876AF1" w:rsidRPr="00730468">
        <w:rPr>
          <w:color w:val="000000" w:themeColor="text1"/>
        </w:rPr>
        <w:t xml:space="preserve">MNEs, the acquirer name, the target name </w:t>
      </w:r>
      <w:r w:rsidR="00C8681B" w:rsidRPr="00730468">
        <w:rPr>
          <w:color w:val="000000" w:themeColor="text1"/>
        </w:rPr>
        <w:t>being</w:t>
      </w:r>
      <w:r w:rsidR="00876AF1" w:rsidRPr="00730468">
        <w:rPr>
          <w:color w:val="000000" w:themeColor="text1"/>
        </w:rPr>
        <w:t xml:space="preserve"> not available </w:t>
      </w:r>
      <w:r w:rsidR="00231EF0" w:rsidRPr="00730468">
        <w:rPr>
          <w:color w:val="000000" w:themeColor="text1"/>
        </w:rPr>
        <w:t>are excluded</w:t>
      </w:r>
      <w:r w:rsidR="00876AF1" w:rsidRPr="00730468">
        <w:rPr>
          <w:color w:val="000000" w:themeColor="text1"/>
        </w:rPr>
        <w:t>.</w:t>
      </w:r>
    </w:p>
    <w:p w:rsidR="00B50581" w:rsidRPr="00730468" w:rsidRDefault="00B50581" w:rsidP="00DF3F76">
      <w:pPr>
        <w:spacing w:line="360" w:lineRule="auto"/>
        <w:jc w:val="both"/>
        <w:rPr>
          <w:color w:val="000000" w:themeColor="text1"/>
        </w:rPr>
      </w:pPr>
    </w:p>
    <w:p w:rsidR="00C47737" w:rsidRPr="00730468" w:rsidRDefault="00113D11" w:rsidP="00DF3F76">
      <w:pPr>
        <w:spacing w:line="360" w:lineRule="auto"/>
        <w:jc w:val="both"/>
        <w:rPr>
          <w:color w:val="000000" w:themeColor="text1"/>
        </w:rPr>
      </w:pPr>
      <w:r w:rsidRPr="00730468">
        <w:rPr>
          <w:color w:val="000000" w:themeColor="text1"/>
        </w:rPr>
        <w:t>In terms of independent variables, the data from ‘World Bank’ are used for economic distance and governance distance, the data from</w:t>
      </w:r>
      <w:r w:rsidRPr="00730468">
        <w:t xml:space="preserve"> ‘</w:t>
      </w:r>
      <w:r w:rsidRPr="00730468">
        <w:rPr>
          <w:color w:val="000000" w:themeColor="text1"/>
        </w:rPr>
        <w:t xml:space="preserve">Geert-Hofstede’ and ‘time and date’ are used for </w:t>
      </w:r>
      <w:r w:rsidRPr="00730468">
        <w:rPr>
          <w:color w:val="000000" w:themeColor="text1"/>
        </w:rPr>
        <w:lastRenderedPageBreak/>
        <w:t>cultural distance and geographic distance respectively</w:t>
      </w:r>
      <w:r w:rsidR="00A565F0" w:rsidRPr="00730468">
        <w:rPr>
          <w:color w:val="000000" w:themeColor="text1"/>
        </w:rPr>
        <w:t xml:space="preserve"> while the data from Orbis are used to analyze India experience, and the size of MNEs</w:t>
      </w:r>
      <w:r w:rsidRPr="00730468">
        <w:rPr>
          <w:color w:val="000000" w:themeColor="text1"/>
        </w:rPr>
        <w:t xml:space="preserve">. </w:t>
      </w:r>
    </w:p>
    <w:p w:rsidR="00113D11" w:rsidRPr="00730468" w:rsidRDefault="00113D11" w:rsidP="00DF3F76">
      <w:pPr>
        <w:spacing w:line="360" w:lineRule="auto"/>
        <w:jc w:val="both"/>
        <w:rPr>
          <w:color w:val="000000" w:themeColor="text1"/>
        </w:rPr>
      </w:pPr>
    </w:p>
    <w:p w:rsidR="00113D11" w:rsidRPr="00730468" w:rsidRDefault="00113D11" w:rsidP="00DF3F76">
      <w:pPr>
        <w:spacing w:line="360" w:lineRule="auto"/>
        <w:jc w:val="both"/>
        <w:rPr>
          <w:color w:val="000000" w:themeColor="text1"/>
        </w:rPr>
      </w:pPr>
      <w:r w:rsidRPr="00730468">
        <w:rPr>
          <w:color w:val="000000" w:themeColor="text1"/>
        </w:rPr>
        <w:t xml:space="preserve">Concerning control variable, the data from Orbis again are used to analyze </w:t>
      </w:r>
      <w:r w:rsidR="003E265D" w:rsidRPr="00730468">
        <w:rPr>
          <w:color w:val="000000" w:themeColor="text1"/>
        </w:rPr>
        <w:t>sector type</w:t>
      </w:r>
      <w:r w:rsidRPr="00730468">
        <w:rPr>
          <w:color w:val="000000" w:themeColor="text1"/>
        </w:rPr>
        <w:t>.</w:t>
      </w:r>
      <w:r w:rsidR="003E265D" w:rsidRPr="00730468">
        <w:rPr>
          <w:color w:val="000000" w:themeColor="text1"/>
        </w:rPr>
        <w:t xml:space="preserve"> Data for rule of law and political risk are collected from World Bank.</w:t>
      </w:r>
    </w:p>
    <w:p w:rsidR="00113D11" w:rsidRPr="00730468" w:rsidRDefault="00113D11" w:rsidP="00DF3F76">
      <w:pPr>
        <w:spacing w:line="360" w:lineRule="auto"/>
        <w:jc w:val="both"/>
        <w:rPr>
          <w:color w:val="000000" w:themeColor="text1"/>
        </w:rPr>
      </w:pPr>
    </w:p>
    <w:p w:rsidR="00C47737" w:rsidRPr="00730468" w:rsidRDefault="00876AF1" w:rsidP="00DF3F76">
      <w:pPr>
        <w:spacing w:line="360" w:lineRule="auto"/>
        <w:jc w:val="both"/>
        <w:rPr>
          <w:color w:val="000000" w:themeColor="text1"/>
        </w:rPr>
      </w:pPr>
      <w:r w:rsidRPr="00730468">
        <w:rPr>
          <w:color w:val="000000" w:themeColor="text1"/>
        </w:rPr>
        <w:t>Finally</w:t>
      </w:r>
      <w:r w:rsidR="00C47737" w:rsidRPr="00730468">
        <w:rPr>
          <w:color w:val="000000" w:themeColor="text1"/>
        </w:rPr>
        <w:t>, the sample c</w:t>
      </w:r>
      <w:r w:rsidR="00946007" w:rsidRPr="00730468">
        <w:rPr>
          <w:color w:val="000000" w:themeColor="text1"/>
        </w:rPr>
        <w:t>onsists of</w:t>
      </w:r>
      <w:r w:rsidR="00C47737" w:rsidRPr="00730468">
        <w:rPr>
          <w:color w:val="000000" w:themeColor="text1"/>
        </w:rPr>
        <w:t xml:space="preserve"> </w:t>
      </w:r>
      <w:r w:rsidR="00946007" w:rsidRPr="00730468">
        <w:rPr>
          <w:color w:val="000000" w:themeColor="text1"/>
        </w:rPr>
        <w:t>769</w:t>
      </w:r>
      <w:r w:rsidR="00C47737" w:rsidRPr="00730468">
        <w:rPr>
          <w:color w:val="000000" w:themeColor="text1"/>
        </w:rPr>
        <w:t xml:space="preserve"> deals</w:t>
      </w:r>
      <w:r w:rsidR="00946007" w:rsidRPr="00730468">
        <w:rPr>
          <w:color w:val="000000" w:themeColor="text1"/>
        </w:rPr>
        <w:t xml:space="preserve"> with</w:t>
      </w:r>
      <w:r w:rsidR="00C47737" w:rsidRPr="00730468">
        <w:rPr>
          <w:color w:val="000000" w:themeColor="text1"/>
        </w:rPr>
        <w:t xml:space="preserve"> </w:t>
      </w:r>
      <w:r w:rsidR="00946007" w:rsidRPr="00730468">
        <w:rPr>
          <w:color w:val="000000" w:themeColor="text1"/>
        </w:rPr>
        <w:t>MNEs</w:t>
      </w:r>
      <w:r w:rsidR="00C47737" w:rsidRPr="00730468">
        <w:rPr>
          <w:color w:val="000000" w:themeColor="text1"/>
        </w:rPr>
        <w:t xml:space="preserve"> from </w:t>
      </w:r>
      <w:r w:rsidR="00946007" w:rsidRPr="00730468">
        <w:rPr>
          <w:color w:val="000000" w:themeColor="text1"/>
        </w:rPr>
        <w:t>45</w:t>
      </w:r>
      <w:r w:rsidR="00C47737" w:rsidRPr="00730468">
        <w:rPr>
          <w:color w:val="000000" w:themeColor="text1"/>
        </w:rPr>
        <w:t xml:space="preserve"> different countries, where </w:t>
      </w:r>
      <w:r w:rsidR="00641746" w:rsidRPr="00730468">
        <w:rPr>
          <w:color w:val="000000" w:themeColor="text1"/>
        </w:rPr>
        <w:t>248</w:t>
      </w:r>
      <w:r w:rsidR="00C47737" w:rsidRPr="00730468">
        <w:rPr>
          <w:color w:val="000000" w:themeColor="text1"/>
        </w:rPr>
        <w:t xml:space="preserve"> deals are JVs and the remainder 5</w:t>
      </w:r>
      <w:r w:rsidR="00641746" w:rsidRPr="00730468">
        <w:rPr>
          <w:color w:val="000000" w:themeColor="text1"/>
        </w:rPr>
        <w:t>21 deals are WOS.</w:t>
      </w:r>
    </w:p>
    <w:p w:rsidR="00113D11" w:rsidRPr="00730468" w:rsidRDefault="00113D11" w:rsidP="00DF3F76">
      <w:pPr>
        <w:spacing w:line="360" w:lineRule="auto"/>
        <w:jc w:val="both"/>
        <w:rPr>
          <w:color w:val="000000" w:themeColor="text1"/>
        </w:rPr>
      </w:pPr>
    </w:p>
    <w:p w:rsidR="00B92E53" w:rsidRPr="00730468" w:rsidRDefault="00656191" w:rsidP="00DF3F76">
      <w:pPr>
        <w:pStyle w:val="Heading2"/>
        <w:spacing w:line="360" w:lineRule="auto"/>
      </w:pPr>
      <w:r w:rsidRPr="00730468">
        <w:t xml:space="preserve"> </w:t>
      </w:r>
      <w:bookmarkStart w:id="40" w:name="_Toc487572211"/>
      <w:bookmarkStart w:id="41" w:name="_Toc487707051"/>
      <w:bookmarkStart w:id="42" w:name="_Toc489287941"/>
      <w:r w:rsidR="00B92E53" w:rsidRPr="00730468">
        <w:t xml:space="preserve">Dependent variable </w:t>
      </w:r>
      <w:r w:rsidR="00B400EC" w:rsidRPr="00730468">
        <w:t>– Entry Mode (MODE)</w:t>
      </w:r>
      <w:bookmarkEnd w:id="40"/>
      <w:bookmarkEnd w:id="41"/>
      <w:bookmarkEnd w:id="42"/>
    </w:p>
    <w:p w:rsidR="00B92E53" w:rsidRDefault="00B92E53" w:rsidP="00DF3F76">
      <w:pPr>
        <w:spacing w:line="360" w:lineRule="auto"/>
        <w:jc w:val="both"/>
        <w:rPr>
          <w:color w:val="000000" w:themeColor="text1"/>
        </w:rPr>
      </w:pPr>
      <w:r w:rsidRPr="00730468">
        <w:rPr>
          <w:color w:val="000000" w:themeColor="text1"/>
        </w:rPr>
        <w:t>The dependent variable – entry mode - corresponds to the choice of an investment model in</w:t>
      </w:r>
      <w:r w:rsidR="00AC4D00" w:rsidRPr="00730468">
        <w:rPr>
          <w:color w:val="000000" w:themeColor="text1"/>
        </w:rPr>
        <w:t xml:space="preserve"> </w:t>
      </w:r>
      <w:r w:rsidR="00B50C67" w:rsidRPr="00730468">
        <w:rPr>
          <w:color w:val="000000" w:themeColor="text1"/>
        </w:rPr>
        <w:t>India</w:t>
      </w:r>
      <w:r w:rsidRPr="00730468">
        <w:rPr>
          <w:color w:val="000000" w:themeColor="text1"/>
        </w:rPr>
        <w:t xml:space="preserve">. It encodes by the binary system and is defined as a dummy variable, taking the value of 0 </w:t>
      </w:r>
      <w:r w:rsidR="00B50581" w:rsidRPr="00730468">
        <w:rPr>
          <w:color w:val="000000" w:themeColor="text1"/>
        </w:rPr>
        <w:t xml:space="preserve">when an investment has been carried out through </w:t>
      </w:r>
      <w:r w:rsidRPr="00730468">
        <w:rPr>
          <w:color w:val="000000" w:themeColor="text1"/>
        </w:rPr>
        <w:t xml:space="preserve">a </w:t>
      </w:r>
      <w:r w:rsidR="00B50C67" w:rsidRPr="00730468">
        <w:rPr>
          <w:color w:val="000000" w:themeColor="text1"/>
        </w:rPr>
        <w:t>joint venture</w:t>
      </w:r>
      <w:r w:rsidRPr="00730468">
        <w:rPr>
          <w:color w:val="000000" w:themeColor="text1"/>
        </w:rPr>
        <w:t xml:space="preserve"> and 1 to represent a </w:t>
      </w:r>
      <w:r w:rsidR="00B50C67" w:rsidRPr="00730468">
        <w:rPr>
          <w:color w:val="000000" w:themeColor="text1"/>
        </w:rPr>
        <w:t>wholly owned subsidiary</w:t>
      </w:r>
      <w:r w:rsidRPr="00730468">
        <w:rPr>
          <w:color w:val="000000" w:themeColor="text1"/>
        </w:rPr>
        <w:t>.</w:t>
      </w:r>
      <w:r w:rsidR="0049209A" w:rsidRPr="00730468">
        <w:rPr>
          <w:color w:val="000000" w:themeColor="text1"/>
        </w:rPr>
        <w:t xml:space="preserve"> This binary selection is the most common approach in the study field of entry mode (K. D. Brouthers &amp; Hennart, 2007; Canabal &amp; White, 2008).</w:t>
      </w:r>
    </w:p>
    <w:p w:rsidR="00D8339A" w:rsidRPr="00730468" w:rsidRDefault="00D8339A" w:rsidP="00DF3F76">
      <w:pPr>
        <w:spacing w:line="360" w:lineRule="auto"/>
        <w:jc w:val="both"/>
        <w:rPr>
          <w:color w:val="000000" w:themeColor="text1"/>
        </w:rPr>
      </w:pPr>
    </w:p>
    <w:p w:rsidR="00B400EC" w:rsidRPr="00730468" w:rsidRDefault="00656191" w:rsidP="00DF3F76">
      <w:pPr>
        <w:pStyle w:val="Heading2"/>
        <w:spacing w:line="360" w:lineRule="auto"/>
      </w:pPr>
      <w:r w:rsidRPr="00730468">
        <w:t xml:space="preserve"> </w:t>
      </w:r>
      <w:bookmarkStart w:id="43" w:name="_Toc487572212"/>
      <w:bookmarkStart w:id="44" w:name="_Toc487707052"/>
      <w:bookmarkStart w:id="45" w:name="_Toc489287942"/>
      <w:r w:rsidR="00AC4D00" w:rsidRPr="00730468">
        <w:t>Independent variables:</w:t>
      </w:r>
      <w:bookmarkEnd w:id="43"/>
      <w:bookmarkEnd w:id="44"/>
      <w:bookmarkEnd w:id="45"/>
    </w:p>
    <w:p w:rsidR="00B400EC" w:rsidRPr="00730468" w:rsidRDefault="00F7094D" w:rsidP="00DF3F76">
      <w:pPr>
        <w:pStyle w:val="Heading3"/>
        <w:spacing w:line="360" w:lineRule="auto"/>
      </w:pPr>
      <w:bookmarkStart w:id="46" w:name="_Toc487572213"/>
      <w:bookmarkStart w:id="47" w:name="_Toc487707053"/>
      <w:bookmarkStart w:id="48" w:name="_Toc489287943"/>
      <w:r w:rsidRPr="00730468">
        <w:t xml:space="preserve">3.3.1. </w:t>
      </w:r>
      <w:r w:rsidR="00170BFC" w:rsidRPr="00730468">
        <w:t>Economic distance</w:t>
      </w:r>
      <w:r w:rsidR="00CB0624" w:rsidRPr="00730468">
        <w:t xml:space="preserve"> (ED)</w:t>
      </w:r>
      <w:bookmarkEnd w:id="46"/>
      <w:bookmarkEnd w:id="47"/>
      <w:bookmarkEnd w:id="48"/>
    </w:p>
    <w:p w:rsidR="00D8498C" w:rsidRPr="00730468" w:rsidRDefault="005226D7" w:rsidP="00DF3F76">
      <w:pPr>
        <w:spacing w:line="360" w:lineRule="auto"/>
        <w:jc w:val="both"/>
        <w:rPr>
          <w:color w:val="000000" w:themeColor="text1"/>
        </w:rPr>
      </w:pPr>
      <w:r w:rsidRPr="00730468">
        <w:rPr>
          <w:color w:val="000000" w:themeColor="text1"/>
        </w:rPr>
        <w:t xml:space="preserve">Economic distance is calculated by taking the </w:t>
      </w:r>
      <w:r w:rsidR="00D14E74" w:rsidRPr="00730468">
        <w:rPr>
          <w:color w:val="000000" w:themeColor="text1"/>
        </w:rPr>
        <w:t xml:space="preserve">natural logarithm </w:t>
      </w:r>
      <w:r w:rsidRPr="00730468">
        <w:rPr>
          <w:color w:val="000000" w:themeColor="text1"/>
        </w:rPr>
        <w:t xml:space="preserve">of the absolute difference between GDP per capita </w:t>
      </w:r>
      <w:r w:rsidR="001B7998" w:rsidRPr="00730468">
        <w:rPr>
          <w:color w:val="000000" w:themeColor="text1"/>
        </w:rPr>
        <w:t xml:space="preserve">in US$ </w:t>
      </w:r>
      <w:r w:rsidRPr="00730468">
        <w:rPr>
          <w:color w:val="000000" w:themeColor="text1"/>
        </w:rPr>
        <w:t xml:space="preserve">of India and that of each foreign country. The economic distance between home countries and host country (India) is measured by using yearly GDP per capita values. </w:t>
      </w:r>
      <w:r w:rsidR="00D8498C" w:rsidRPr="00730468">
        <w:rPr>
          <w:color w:val="000000" w:themeColor="text1"/>
        </w:rPr>
        <w:t>The yearly data on this indicator is retrieved from the World Development Indicators database from World Bank</w:t>
      </w:r>
      <w:r w:rsidRPr="00730468">
        <w:rPr>
          <w:color w:val="000000" w:themeColor="text1"/>
        </w:rPr>
        <w:t xml:space="preserve"> Institute</w:t>
      </w:r>
      <w:r w:rsidR="00D8498C" w:rsidRPr="00730468">
        <w:rPr>
          <w:color w:val="000000" w:themeColor="text1"/>
        </w:rPr>
        <w:t xml:space="preserve"> (</w:t>
      </w:r>
      <w:hyperlink r:id="rId11" w:history="1">
        <w:r w:rsidR="006A59A3" w:rsidRPr="00730468">
          <w:rPr>
            <w:rStyle w:val="Hyperlink"/>
          </w:rPr>
          <w:t>http://data.worldbank.org/indicator/NY.GDP.PCAP.CD</w:t>
        </w:r>
      </w:hyperlink>
      <w:r w:rsidR="00D8498C" w:rsidRPr="00730468">
        <w:rPr>
          <w:color w:val="000000" w:themeColor="text1"/>
        </w:rPr>
        <w:t>)</w:t>
      </w:r>
    </w:p>
    <w:p w:rsidR="006A59A3" w:rsidRPr="00730468" w:rsidRDefault="006A59A3" w:rsidP="00DF3F76">
      <w:pPr>
        <w:spacing w:line="360" w:lineRule="auto"/>
        <w:jc w:val="both"/>
        <w:rPr>
          <w:color w:val="000000" w:themeColor="text1"/>
        </w:rPr>
      </w:pPr>
    </w:p>
    <w:p w:rsidR="00170BFC" w:rsidRPr="00730468" w:rsidRDefault="00F7094D" w:rsidP="00DF3F76">
      <w:pPr>
        <w:pStyle w:val="Heading3"/>
        <w:spacing w:line="360" w:lineRule="auto"/>
      </w:pPr>
      <w:bookmarkStart w:id="49" w:name="_Toc487572214"/>
      <w:bookmarkStart w:id="50" w:name="_Toc487707054"/>
      <w:bookmarkStart w:id="51" w:name="_Toc489287944"/>
      <w:r w:rsidRPr="00730468">
        <w:t xml:space="preserve">3.3.2. </w:t>
      </w:r>
      <w:r w:rsidR="00170BFC" w:rsidRPr="00730468">
        <w:t>Geographic distance</w:t>
      </w:r>
      <w:r w:rsidR="00CB0624" w:rsidRPr="00730468">
        <w:t xml:space="preserve"> (GD)</w:t>
      </w:r>
      <w:bookmarkEnd w:id="49"/>
      <w:bookmarkEnd w:id="50"/>
      <w:bookmarkEnd w:id="51"/>
    </w:p>
    <w:p w:rsidR="005226D7" w:rsidRPr="00730468" w:rsidRDefault="005226D7" w:rsidP="00DF3F76">
      <w:pPr>
        <w:spacing w:line="360" w:lineRule="auto"/>
        <w:jc w:val="both"/>
        <w:rPr>
          <w:color w:val="000000" w:themeColor="text1"/>
        </w:rPr>
      </w:pPr>
      <w:r w:rsidRPr="00730468">
        <w:rPr>
          <w:color w:val="000000" w:themeColor="text1"/>
        </w:rPr>
        <w:t xml:space="preserve">Similar to economic distance, geographic distance is </w:t>
      </w:r>
      <w:r w:rsidR="00D14E74" w:rsidRPr="00730468">
        <w:rPr>
          <w:color w:val="000000" w:themeColor="text1"/>
        </w:rPr>
        <w:t>measured as</w:t>
      </w:r>
      <w:r w:rsidRPr="00730468">
        <w:rPr>
          <w:color w:val="000000" w:themeColor="text1"/>
        </w:rPr>
        <w:t xml:space="preserve"> by taking the natural log of</w:t>
      </w:r>
      <w:r w:rsidR="00D14E74" w:rsidRPr="00730468">
        <w:rPr>
          <w:color w:val="000000" w:themeColor="text1"/>
        </w:rPr>
        <w:t xml:space="preserve"> the </w:t>
      </w:r>
      <w:r w:rsidR="00C879F8" w:rsidRPr="00730468">
        <w:rPr>
          <w:color w:val="000000" w:themeColor="text1"/>
        </w:rPr>
        <w:t>straight line or air distance</w:t>
      </w:r>
      <w:r w:rsidR="00D14E74" w:rsidRPr="00730468">
        <w:rPr>
          <w:color w:val="000000" w:themeColor="text1"/>
        </w:rPr>
        <w:t xml:space="preserve"> in kilometers</w:t>
      </w:r>
      <w:r w:rsidRPr="00730468">
        <w:rPr>
          <w:color w:val="000000" w:themeColor="text1"/>
        </w:rPr>
        <w:t xml:space="preserve"> between New Delhi – the capital of India and the capital of each MNE’s home country. </w:t>
      </w:r>
      <w:r w:rsidR="00C879F8" w:rsidRPr="00730468">
        <w:rPr>
          <w:color w:val="000000" w:themeColor="text1"/>
        </w:rPr>
        <w:t xml:space="preserve">The </w:t>
      </w:r>
      <w:r w:rsidR="00D14E74" w:rsidRPr="00730468">
        <w:rPr>
          <w:color w:val="000000" w:themeColor="text1"/>
        </w:rPr>
        <w:t xml:space="preserve">air distance between two </w:t>
      </w:r>
      <w:r w:rsidR="00C879F8" w:rsidRPr="00730468">
        <w:rPr>
          <w:color w:val="000000" w:themeColor="text1"/>
        </w:rPr>
        <w:t>capitals</w:t>
      </w:r>
      <w:r w:rsidR="00D14E74" w:rsidRPr="00730468">
        <w:rPr>
          <w:color w:val="000000" w:themeColor="text1"/>
        </w:rPr>
        <w:t xml:space="preserve"> is calculated</w:t>
      </w:r>
      <w:r w:rsidR="00C879F8" w:rsidRPr="00730468">
        <w:rPr>
          <w:color w:val="000000" w:themeColor="text1"/>
        </w:rPr>
        <w:t xml:space="preserve"> by</w:t>
      </w:r>
      <w:r w:rsidR="00D14E74" w:rsidRPr="00730468">
        <w:rPr>
          <w:color w:val="000000" w:themeColor="text1"/>
        </w:rPr>
        <w:t xml:space="preserve"> using the </w:t>
      </w:r>
      <w:r w:rsidR="00C879F8" w:rsidRPr="00730468">
        <w:rPr>
          <w:color w:val="000000" w:themeColor="text1"/>
        </w:rPr>
        <w:t>great circle</w:t>
      </w:r>
      <w:r w:rsidR="00D14E74" w:rsidRPr="00730468">
        <w:rPr>
          <w:color w:val="000000" w:themeColor="text1"/>
        </w:rPr>
        <w:t xml:space="preserve"> distance formula</w:t>
      </w:r>
      <w:r w:rsidR="00C879F8" w:rsidRPr="00730468">
        <w:rPr>
          <w:color w:val="000000" w:themeColor="text1"/>
        </w:rPr>
        <w:t xml:space="preserve">. This way of measurement is in accordant with the study of </w:t>
      </w:r>
      <w:r w:rsidR="00D14E74" w:rsidRPr="00730468">
        <w:rPr>
          <w:color w:val="000000" w:themeColor="text1"/>
        </w:rPr>
        <w:t>Ragozzino (2009)</w:t>
      </w:r>
      <w:r w:rsidR="00C879F8" w:rsidRPr="00730468">
        <w:rPr>
          <w:color w:val="000000" w:themeColor="text1"/>
        </w:rPr>
        <w:t>. The data for great circle distance is available on ‘Time and Date’ (</w:t>
      </w:r>
      <w:hyperlink r:id="rId12" w:history="1">
        <w:r w:rsidRPr="00730468">
          <w:rPr>
            <w:rStyle w:val="Hyperlink"/>
          </w:rPr>
          <w:t>https://www.timeanddate.com/worldclock/distanceresult.html?p1=16&amp;p2=95</w:t>
        </w:r>
      </w:hyperlink>
      <w:r w:rsidR="00C879F8" w:rsidRPr="00730468">
        <w:rPr>
          <w:color w:val="000000" w:themeColor="text1"/>
        </w:rPr>
        <w:t>).</w:t>
      </w:r>
    </w:p>
    <w:p w:rsidR="00170BFC" w:rsidRPr="00730468" w:rsidRDefault="00F7094D" w:rsidP="00DF3F76">
      <w:pPr>
        <w:pStyle w:val="Heading3"/>
        <w:spacing w:line="360" w:lineRule="auto"/>
      </w:pPr>
      <w:bookmarkStart w:id="52" w:name="_Toc487572215"/>
      <w:bookmarkStart w:id="53" w:name="_Toc487707055"/>
      <w:bookmarkStart w:id="54" w:name="_Toc489287945"/>
      <w:r w:rsidRPr="00730468">
        <w:lastRenderedPageBreak/>
        <w:t xml:space="preserve">3.3.3. </w:t>
      </w:r>
      <w:r w:rsidR="00170BFC" w:rsidRPr="00730468">
        <w:t>Cultural distance</w:t>
      </w:r>
      <w:r w:rsidR="00CB0624" w:rsidRPr="00730468">
        <w:t xml:space="preserve"> (CD)</w:t>
      </w:r>
      <w:bookmarkEnd w:id="52"/>
      <w:bookmarkEnd w:id="53"/>
      <w:bookmarkEnd w:id="54"/>
    </w:p>
    <w:p w:rsidR="00BD14BF" w:rsidRPr="00730468" w:rsidRDefault="0045298A" w:rsidP="00DF3F76">
      <w:pPr>
        <w:pStyle w:val="NormalWeb"/>
        <w:shd w:val="clear" w:color="auto" w:fill="FFFFFF"/>
        <w:spacing w:line="360" w:lineRule="auto"/>
        <w:jc w:val="both"/>
        <w:textAlignment w:val="baseline"/>
        <w:rPr>
          <w:color w:val="000000" w:themeColor="text1"/>
        </w:rPr>
      </w:pPr>
      <w:r w:rsidRPr="00730468">
        <w:rPr>
          <w:color w:val="000000" w:themeColor="text1"/>
        </w:rPr>
        <w:t>To be consistent with the literature (Barkema &amp; Vermeulen,</w:t>
      </w:r>
      <w:r w:rsidR="002E14D8" w:rsidRPr="00730468">
        <w:rPr>
          <w:color w:val="000000" w:themeColor="text1"/>
        </w:rPr>
        <w:t xml:space="preserve"> </w:t>
      </w:r>
      <w:r w:rsidRPr="00730468">
        <w:rPr>
          <w:color w:val="000000" w:themeColor="text1"/>
        </w:rPr>
        <w:t>1997;</w:t>
      </w:r>
      <w:r w:rsidR="002E14D8" w:rsidRPr="00730468">
        <w:rPr>
          <w:color w:val="000000" w:themeColor="text1"/>
        </w:rPr>
        <w:t xml:space="preserve"> Barkema &amp; Vermeulen, 2001; </w:t>
      </w:r>
      <w:r w:rsidRPr="00730468">
        <w:rPr>
          <w:color w:val="000000" w:themeColor="text1"/>
        </w:rPr>
        <w:t>Brouthers &amp; Brouthers,</w:t>
      </w:r>
      <w:r w:rsidR="002E14D8" w:rsidRPr="00730468">
        <w:rPr>
          <w:color w:val="000000" w:themeColor="text1"/>
        </w:rPr>
        <w:t xml:space="preserve"> </w:t>
      </w:r>
      <w:r w:rsidRPr="00730468">
        <w:rPr>
          <w:color w:val="000000" w:themeColor="text1"/>
        </w:rPr>
        <w:t>2001; Chang &amp; Rosenzweig, 2001; Drogendijk &amp; Slangen, 2</w:t>
      </w:r>
      <w:r w:rsidR="002E14D8" w:rsidRPr="00730468">
        <w:rPr>
          <w:color w:val="000000" w:themeColor="text1"/>
        </w:rPr>
        <w:t>006</w:t>
      </w:r>
      <w:r w:rsidRPr="00730468">
        <w:rPr>
          <w:color w:val="000000" w:themeColor="text1"/>
        </w:rPr>
        <w:t>), t</w:t>
      </w:r>
      <w:r w:rsidR="00605B7A" w:rsidRPr="00730468">
        <w:rPr>
          <w:color w:val="000000" w:themeColor="text1"/>
        </w:rPr>
        <w:t xml:space="preserve">he cultural distance between India and each home country is </w:t>
      </w:r>
      <w:r w:rsidR="00605B7A" w:rsidRPr="004A4238">
        <w:t xml:space="preserve">measured </w:t>
      </w:r>
      <w:r w:rsidR="00605B7A" w:rsidRPr="004A4238">
        <w:rPr>
          <w:noProof/>
        </w:rPr>
        <w:t>through a Euclidean distance version of the Kogut and Singh (1988) index</w:t>
      </w:r>
      <w:r w:rsidRPr="004A4238">
        <w:rPr>
          <w:noProof/>
        </w:rPr>
        <w:t>.</w:t>
      </w:r>
      <w:r w:rsidRPr="004A4238">
        <w:t xml:space="preserve"> </w:t>
      </w:r>
      <w:r w:rsidR="00E73045" w:rsidRPr="004A4238">
        <w:t>S</w:t>
      </w:r>
      <w:r w:rsidR="00E73045" w:rsidRPr="00730468">
        <w:rPr>
          <w:color w:val="000000" w:themeColor="text1"/>
        </w:rPr>
        <w:t>imilar to</w:t>
      </w:r>
      <w:r w:rsidR="00605B7A" w:rsidRPr="00730468">
        <w:rPr>
          <w:color w:val="000000" w:themeColor="text1"/>
        </w:rPr>
        <w:t xml:space="preserve"> the Kogut and Singh index, this Euclidean distance is </w:t>
      </w:r>
      <w:r w:rsidR="00175BC4" w:rsidRPr="00730468">
        <w:rPr>
          <w:color w:val="000000" w:themeColor="text1"/>
        </w:rPr>
        <w:t xml:space="preserve">calculated </w:t>
      </w:r>
      <w:r w:rsidR="00605B7A" w:rsidRPr="00730468">
        <w:rPr>
          <w:color w:val="000000" w:themeColor="text1"/>
        </w:rPr>
        <w:t xml:space="preserve">based on the scores of India and each home country on </w:t>
      </w:r>
      <w:r w:rsidR="00E73045" w:rsidRPr="00730468">
        <w:rPr>
          <w:color w:val="000000" w:themeColor="text1"/>
        </w:rPr>
        <w:t>4</w:t>
      </w:r>
      <w:r w:rsidR="00605B7A" w:rsidRPr="00730468">
        <w:rPr>
          <w:color w:val="000000" w:themeColor="text1"/>
        </w:rPr>
        <w:t xml:space="preserve"> dimensions of na</w:t>
      </w:r>
      <w:r w:rsidR="00E73045" w:rsidRPr="00730468">
        <w:rPr>
          <w:color w:val="000000" w:themeColor="text1"/>
        </w:rPr>
        <w:t>tional culture</w:t>
      </w:r>
      <w:r w:rsidR="00592827" w:rsidRPr="00730468">
        <w:rPr>
          <w:color w:val="000000" w:themeColor="text1"/>
        </w:rPr>
        <w:t xml:space="preserve"> identified by Hofstede (1980)</w:t>
      </w:r>
      <w:r w:rsidR="00E73045" w:rsidRPr="00730468">
        <w:rPr>
          <w:color w:val="000000" w:themeColor="text1"/>
        </w:rPr>
        <w:t xml:space="preserve">: power distance, individualism, </w:t>
      </w:r>
      <w:r w:rsidR="00605B7A" w:rsidRPr="00730468">
        <w:rPr>
          <w:color w:val="000000" w:themeColor="text1"/>
        </w:rPr>
        <w:t>masculinity</w:t>
      </w:r>
      <w:r w:rsidR="00E73045" w:rsidRPr="00730468">
        <w:rPr>
          <w:color w:val="000000" w:themeColor="text1"/>
        </w:rPr>
        <w:t xml:space="preserve"> and uncertainty avoidance</w:t>
      </w:r>
      <w:r w:rsidR="00605B7A" w:rsidRPr="00730468">
        <w:rPr>
          <w:color w:val="000000" w:themeColor="text1"/>
        </w:rPr>
        <w:t>.</w:t>
      </w:r>
    </w:p>
    <w:p w:rsidR="00BD14BF" w:rsidRPr="004A4238" w:rsidRDefault="00BD14BF" w:rsidP="00DF3F76">
      <w:pPr>
        <w:pStyle w:val="NormalWeb"/>
        <w:shd w:val="clear" w:color="auto" w:fill="FFFFFF"/>
        <w:spacing w:line="360" w:lineRule="auto"/>
        <w:jc w:val="both"/>
        <w:textAlignment w:val="baseline"/>
      </w:pPr>
      <w:r w:rsidRPr="00730468">
        <w:rPr>
          <w:color w:val="000000" w:themeColor="text1"/>
        </w:rPr>
        <w:t xml:space="preserve">(1) </w:t>
      </w:r>
      <w:r w:rsidR="009D245E" w:rsidRPr="00730468">
        <w:rPr>
          <w:color w:val="000000" w:themeColor="text1"/>
        </w:rPr>
        <w:t xml:space="preserve">Power Distance refers to the level </w:t>
      </w:r>
      <w:r w:rsidR="004A4238">
        <w:rPr>
          <w:color w:val="000000" w:themeColor="text1"/>
        </w:rPr>
        <w:t xml:space="preserve">by </w:t>
      </w:r>
      <w:r w:rsidR="004A4238" w:rsidRPr="004A4238">
        <w:t>which</w:t>
      </w:r>
      <w:r w:rsidRPr="004A4238">
        <w:t xml:space="preserve"> </w:t>
      </w:r>
      <w:r w:rsidR="009D245E" w:rsidRPr="004A4238">
        <w:rPr>
          <w:noProof/>
        </w:rPr>
        <w:t xml:space="preserve">less powerful </w:t>
      </w:r>
      <w:r w:rsidR="004A4238" w:rsidRPr="004A4238">
        <w:rPr>
          <w:noProof/>
        </w:rPr>
        <w:t xml:space="preserve">people in the country </w:t>
      </w:r>
      <w:r w:rsidRPr="004A4238">
        <w:rPr>
          <w:noProof/>
        </w:rPr>
        <w:t>accept that power is</w:t>
      </w:r>
      <w:r w:rsidRPr="004A4238">
        <w:t xml:space="preserve"> distributed unequally.</w:t>
      </w:r>
    </w:p>
    <w:p w:rsidR="00BD14BF" w:rsidRPr="00730468" w:rsidRDefault="00BD14BF" w:rsidP="00DF3F76">
      <w:pPr>
        <w:pStyle w:val="NormalWeb"/>
        <w:shd w:val="clear" w:color="auto" w:fill="FFFFFF"/>
        <w:spacing w:line="360" w:lineRule="auto"/>
        <w:jc w:val="both"/>
        <w:textAlignment w:val="baseline"/>
        <w:rPr>
          <w:color w:val="000000" w:themeColor="text1"/>
        </w:rPr>
      </w:pPr>
      <w:r w:rsidRPr="00730468">
        <w:rPr>
          <w:color w:val="000000" w:themeColor="text1"/>
        </w:rPr>
        <w:t xml:space="preserve">(2) Individualism is </w:t>
      </w:r>
      <w:r w:rsidR="009D245E" w:rsidRPr="00730468">
        <w:rPr>
          <w:color w:val="000000" w:themeColor="text1"/>
        </w:rPr>
        <w:t xml:space="preserve">defined as </w:t>
      </w:r>
      <w:r w:rsidRPr="00730468">
        <w:rPr>
          <w:color w:val="000000" w:themeColor="text1"/>
        </w:rPr>
        <w:t>the degree of interdependence a society maintains among its members.</w:t>
      </w:r>
    </w:p>
    <w:p w:rsidR="009D245E" w:rsidRPr="00730468" w:rsidRDefault="00BD14BF" w:rsidP="00DF3F76">
      <w:pPr>
        <w:pStyle w:val="NormalWeb"/>
        <w:shd w:val="clear" w:color="auto" w:fill="FFFFFF"/>
        <w:spacing w:line="360" w:lineRule="auto"/>
        <w:jc w:val="both"/>
        <w:textAlignment w:val="baseline"/>
        <w:rPr>
          <w:color w:val="FF0000"/>
        </w:rPr>
      </w:pPr>
      <w:r w:rsidRPr="00730468">
        <w:rPr>
          <w:color w:val="000000" w:themeColor="text1"/>
        </w:rPr>
        <w:t xml:space="preserve">(3) Masculinity: refers to what motivates people, wanting to be the best (Masculine) or liking what you do (Feminine). </w:t>
      </w:r>
      <w:r w:rsidR="009D245E" w:rsidRPr="00730468">
        <w:rPr>
          <w:color w:val="000000" w:themeColor="text1"/>
        </w:rPr>
        <w:t>The extent to which</w:t>
      </w:r>
      <w:r w:rsidRPr="00730468">
        <w:rPr>
          <w:color w:val="000000" w:themeColor="text1"/>
        </w:rPr>
        <w:t xml:space="preserve"> the society </w:t>
      </w:r>
      <w:r w:rsidR="009D245E" w:rsidRPr="00730468">
        <w:rPr>
          <w:color w:val="000000" w:themeColor="text1"/>
        </w:rPr>
        <w:t xml:space="preserve">is </w:t>
      </w:r>
      <w:r w:rsidRPr="00730468">
        <w:rPr>
          <w:color w:val="000000" w:themeColor="text1"/>
        </w:rPr>
        <w:t>driven by competition, achievement and success</w:t>
      </w:r>
      <w:r w:rsidR="00D8498C" w:rsidRPr="00730468">
        <w:rPr>
          <w:color w:val="000000" w:themeColor="text1"/>
        </w:rPr>
        <w:t xml:space="preserve"> is considered as m</w:t>
      </w:r>
      <w:r w:rsidR="009D245E" w:rsidRPr="00730468">
        <w:rPr>
          <w:color w:val="000000" w:themeColor="text1"/>
        </w:rPr>
        <w:t xml:space="preserve">asculine (a high score). Meanwhile, a society is considered as feminine (low score) when the dominant </w:t>
      </w:r>
      <w:r w:rsidR="009D245E" w:rsidRPr="004A4238">
        <w:t xml:space="preserve">values </w:t>
      </w:r>
      <w:r w:rsidR="009D245E" w:rsidRPr="004A4238">
        <w:rPr>
          <w:noProof/>
        </w:rPr>
        <w:t>are life</w:t>
      </w:r>
      <w:r w:rsidR="004A4238">
        <w:rPr>
          <w:noProof/>
        </w:rPr>
        <w:t xml:space="preserve"> quality</w:t>
      </w:r>
      <w:r w:rsidR="004A4238" w:rsidRPr="004A4238">
        <w:rPr>
          <w:noProof/>
        </w:rPr>
        <w:t xml:space="preserve"> and caring for others</w:t>
      </w:r>
      <w:r w:rsidR="009D245E" w:rsidRPr="004A4238">
        <w:rPr>
          <w:noProof/>
        </w:rPr>
        <w:t>.</w:t>
      </w:r>
    </w:p>
    <w:p w:rsidR="00BD14BF" w:rsidRPr="00730468" w:rsidRDefault="00BD14BF" w:rsidP="00DF3F76">
      <w:pPr>
        <w:pStyle w:val="NormalWeb"/>
        <w:shd w:val="clear" w:color="auto" w:fill="FFFFFF"/>
        <w:spacing w:line="360" w:lineRule="auto"/>
        <w:jc w:val="both"/>
        <w:textAlignment w:val="baseline"/>
        <w:rPr>
          <w:color w:val="000000" w:themeColor="text1"/>
        </w:rPr>
      </w:pPr>
      <w:r w:rsidRPr="00730468">
        <w:rPr>
          <w:color w:val="000000" w:themeColor="text1"/>
        </w:rPr>
        <w:t xml:space="preserve">(4) Uncertainty Avoidance </w:t>
      </w:r>
      <w:r w:rsidR="00832CD8" w:rsidRPr="00730468">
        <w:rPr>
          <w:color w:val="000000" w:themeColor="text1"/>
        </w:rPr>
        <w:t>refers to t</w:t>
      </w:r>
      <w:r w:rsidRPr="00730468">
        <w:rPr>
          <w:color w:val="000000" w:themeColor="text1"/>
        </w:rPr>
        <w:t xml:space="preserve">he </w:t>
      </w:r>
      <w:r w:rsidR="004A4238">
        <w:rPr>
          <w:color w:val="000000" w:themeColor="text1"/>
        </w:rPr>
        <w:t xml:space="preserve">degree by </w:t>
      </w:r>
      <w:r w:rsidR="004A4238" w:rsidRPr="00B7592D">
        <w:t>which</w:t>
      </w:r>
      <w:r w:rsidRPr="00B7592D">
        <w:t xml:space="preserve"> </w:t>
      </w:r>
      <w:r w:rsidRPr="00B7592D">
        <w:rPr>
          <w:noProof/>
        </w:rPr>
        <w:t>ambiguous or unknown situations</w:t>
      </w:r>
      <w:r w:rsidR="00B7592D" w:rsidRPr="00B7592D">
        <w:rPr>
          <w:noProof/>
        </w:rPr>
        <w:t xml:space="preserve"> make people feel threatened,</w:t>
      </w:r>
      <w:r w:rsidRPr="00B7592D">
        <w:rPr>
          <w:noProof/>
        </w:rPr>
        <w:t xml:space="preserve"> and beliefs and institutions </w:t>
      </w:r>
      <w:r w:rsidR="00B7592D" w:rsidRPr="00B7592D">
        <w:rPr>
          <w:noProof/>
        </w:rPr>
        <w:t xml:space="preserve">are created </w:t>
      </w:r>
      <w:r w:rsidRPr="00B7592D">
        <w:rPr>
          <w:noProof/>
        </w:rPr>
        <w:t>to avoid these</w:t>
      </w:r>
      <w:r w:rsidR="00832CD8" w:rsidRPr="00B7592D">
        <w:t xml:space="preserve"> things</w:t>
      </w:r>
      <w:r w:rsidR="00832CD8" w:rsidRPr="00730468">
        <w:rPr>
          <w:color w:val="000000" w:themeColor="text1"/>
        </w:rPr>
        <w:t>.</w:t>
      </w:r>
    </w:p>
    <w:p w:rsidR="00605B7A" w:rsidRPr="00730468" w:rsidRDefault="00D5023F" w:rsidP="00225262">
      <w:pPr>
        <w:pStyle w:val="NormalWeb"/>
        <w:shd w:val="clear" w:color="auto" w:fill="FFFFFF"/>
        <w:spacing w:line="360" w:lineRule="auto"/>
        <w:jc w:val="both"/>
        <w:textAlignment w:val="baseline"/>
        <w:rPr>
          <w:color w:val="000000" w:themeColor="text1"/>
        </w:rPr>
      </w:pPr>
      <w:r>
        <w:rPr>
          <w:color w:val="000000" w:themeColor="text1"/>
        </w:rPr>
        <w:t>The point is that</w:t>
      </w:r>
      <w:r w:rsidR="00605B7A" w:rsidRPr="00730468">
        <w:rPr>
          <w:color w:val="000000" w:themeColor="text1"/>
        </w:rPr>
        <w:t xml:space="preserve"> </w:t>
      </w:r>
      <w:r w:rsidR="00175BC4" w:rsidRPr="00730468">
        <w:rPr>
          <w:color w:val="000000" w:themeColor="text1"/>
        </w:rPr>
        <w:t xml:space="preserve">instead of </w:t>
      </w:r>
      <w:r w:rsidR="00605B7A" w:rsidRPr="00730468">
        <w:rPr>
          <w:color w:val="000000" w:themeColor="text1"/>
        </w:rPr>
        <w:t>divid</w:t>
      </w:r>
      <w:r w:rsidR="00175BC4" w:rsidRPr="00730468">
        <w:rPr>
          <w:color w:val="000000" w:themeColor="text1"/>
        </w:rPr>
        <w:t>ing</w:t>
      </w:r>
      <w:r w:rsidR="00605B7A" w:rsidRPr="00730468">
        <w:rPr>
          <w:color w:val="000000" w:themeColor="text1"/>
        </w:rPr>
        <w:t xml:space="preserve"> the sum of the squared differences in the scores on each dimension by </w:t>
      </w:r>
      <w:r w:rsidR="00175BC4" w:rsidRPr="00730468">
        <w:rPr>
          <w:color w:val="000000" w:themeColor="text1"/>
        </w:rPr>
        <w:t>4</w:t>
      </w:r>
      <w:r w:rsidRPr="00D5023F">
        <w:rPr>
          <w:color w:val="000000" w:themeColor="text1"/>
        </w:rPr>
        <w:t xml:space="preserve"> </w:t>
      </w:r>
      <w:r>
        <w:rPr>
          <w:color w:val="000000" w:themeColor="text1"/>
        </w:rPr>
        <w:t xml:space="preserve">like </w:t>
      </w:r>
      <w:r w:rsidRPr="00730468">
        <w:rPr>
          <w:color w:val="000000" w:themeColor="text1"/>
        </w:rPr>
        <w:t>Kogut and Singh index</w:t>
      </w:r>
      <w:r w:rsidR="00605B7A" w:rsidRPr="00730468">
        <w:rPr>
          <w:color w:val="000000" w:themeColor="text1"/>
        </w:rPr>
        <w:t>, the Euclidean distance version takes the square root of this sum.</w:t>
      </w:r>
    </w:p>
    <w:p w:rsidR="00605B7A" w:rsidRDefault="00605B7A" w:rsidP="00DF3F76">
      <w:pPr>
        <w:pStyle w:val="NormalWeb"/>
        <w:shd w:val="clear" w:color="auto" w:fill="FFFFFF"/>
        <w:spacing w:before="0" w:beforeAutospacing="0" w:after="0" w:afterAutospacing="0" w:line="360" w:lineRule="auto"/>
        <w:jc w:val="both"/>
        <w:textAlignment w:val="baseline"/>
        <w:rPr>
          <w:b/>
        </w:rPr>
      </w:pPr>
      <w:r w:rsidRPr="00730468">
        <w:rPr>
          <w:b/>
        </w:rPr>
        <w:t>CD</w:t>
      </w:r>
      <w:r w:rsidRPr="00730468">
        <w:rPr>
          <w:b/>
          <w:vertAlign w:val="subscript"/>
        </w:rPr>
        <w:t>j</w:t>
      </w:r>
      <w:r w:rsidRPr="00730468">
        <w:rPr>
          <w:b/>
        </w:rPr>
        <w:t xml:space="preserve"> =</w:t>
      </w:r>
      <m:oMath>
        <m:rad>
          <m:radPr>
            <m:degHide m:val="1"/>
            <m:ctrlPr>
              <w:rPr>
                <w:rFonts w:ascii="Cambria Math" w:hAnsi="Cambria Math"/>
                <w:b/>
                <w:i/>
              </w:rPr>
            </m:ctrlPr>
          </m:radPr>
          <m:deg/>
          <m:e>
            <m:nary>
              <m:naryPr>
                <m:chr m:val="∑"/>
                <m:limLoc m:val="undOvr"/>
                <m:ctrlPr>
                  <w:rPr>
                    <w:rFonts w:ascii="Cambria Math" w:hAnsi="Cambria Math"/>
                    <w:b/>
                    <w:i/>
                  </w:rPr>
                </m:ctrlPr>
              </m:naryPr>
              <m:sub>
                <m:r>
                  <m:rPr>
                    <m:sty m:val="bi"/>
                  </m:rPr>
                  <w:rPr>
                    <w:rFonts w:ascii="Cambria Math" w:hAnsi="Cambria Math"/>
                  </w:rPr>
                  <m:t>i=1</m:t>
                </m:r>
              </m:sub>
              <m:sup>
                <m:r>
                  <m:rPr>
                    <m:sty m:val="bi"/>
                  </m:rPr>
                  <w:rPr>
                    <w:rFonts w:ascii="Cambria Math" w:hAnsi="Cambria Math"/>
                  </w:rPr>
                  <m:t>4</m:t>
                </m:r>
              </m:sup>
              <m:e>
                <m:f>
                  <m:fPr>
                    <m:ctrlPr>
                      <w:rPr>
                        <w:rFonts w:ascii="Cambria Math" w:hAnsi="Cambria Math"/>
                        <w:b/>
                        <w:i/>
                      </w:rPr>
                    </m:ctrlPr>
                  </m:fPr>
                  <m:num>
                    <m:d>
                      <m:dPr>
                        <m:ctrlPr>
                          <w:rPr>
                            <w:rFonts w:ascii="Cambria Math" w:hAnsi="Cambria Math"/>
                            <w:b/>
                            <w:i/>
                          </w:rPr>
                        </m:ctrlPr>
                      </m:dPr>
                      <m:e>
                        <m:r>
                          <m:rPr>
                            <m:sty m:val="b"/>
                          </m:rPr>
                          <w:rPr>
                            <w:rFonts w:ascii="Cambria Math" w:hAnsi="Cambria Math"/>
                          </w:rPr>
                          <m:t>I</m:t>
                        </m:r>
                        <m:r>
                          <m:rPr>
                            <m:sty m:val="b"/>
                          </m:rPr>
                          <w:rPr>
                            <w:rFonts w:ascii="Cambria Math" w:hAnsi="Cambria Math"/>
                            <w:vertAlign w:val="subscript"/>
                          </w:rPr>
                          <m:t xml:space="preserve">ij- </m:t>
                        </m:r>
                        <m:r>
                          <m:rPr>
                            <m:sty m:val="b"/>
                          </m:rPr>
                          <w:rPr>
                            <w:rFonts w:ascii="Cambria Math" w:hAnsi="Cambria Math"/>
                          </w:rPr>
                          <m:t>I</m:t>
                        </m:r>
                        <m:r>
                          <m:rPr>
                            <m:sty m:val="b"/>
                          </m:rPr>
                          <w:rPr>
                            <w:rFonts w:ascii="Cambria Math" w:hAnsi="Cambria Math"/>
                            <w:vertAlign w:val="subscript"/>
                          </w:rPr>
                          <m:t>iI</m:t>
                        </m:r>
                        <m:ctrlPr>
                          <w:rPr>
                            <w:rFonts w:ascii="Cambria Math" w:hAnsi="Cambria Math"/>
                            <w:b/>
                            <w:vertAlign w:val="subscript"/>
                          </w:rPr>
                        </m:ctrlPr>
                      </m:e>
                    </m:d>
                    <m:r>
                      <m:rPr>
                        <m:sty m:val="b"/>
                      </m:rPr>
                      <w:rPr>
                        <w:rFonts w:ascii="Cambria Math" w:hAnsi="Cambria Math"/>
                        <w:vertAlign w:val="subscript"/>
                      </w:rPr>
                      <m:t>^2</m:t>
                    </m:r>
                  </m:num>
                  <m:den>
                    <m:r>
                      <m:rPr>
                        <m:sty m:val="bi"/>
                      </m:rPr>
                      <w:rPr>
                        <w:rFonts w:ascii="Cambria Math" w:hAnsi="Cambria Math"/>
                      </w:rPr>
                      <m:t>Vi</m:t>
                    </m:r>
                  </m:den>
                </m:f>
              </m:e>
            </m:nary>
          </m:e>
        </m:rad>
      </m:oMath>
    </w:p>
    <w:p w:rsidR="00605B7A" w:rsidRPr="00730468" w:rsidRDefault="00605B7A" w:rsidP="00DF3F76">
      <w:pPr>
        <w:pStyle w:val="NormalWeb"/>
        <w:shd w:val="clear" w:color="auto" w:fill="FFFFFF"/>
        <w:spacing w:before="0" w:beforeAutospacing="0" w:after="0" w:afterAutospacing="0" w:line="360" w:lineRule="auto"/>
        <w:jc w:val="both"/>
        <w:textAlignment w:val="baseline"/>
      </w:pPr>
      <w:r w:rsidRPr="00730468">
        <w:t>where CD</w:t>
      </w:r>
      <w:r w:rsidRPr="00730468">
        <w:rPr>
          <w:vertAlign w:val="subscript"/>
        </w:rPr>
        <w:t>j</w:t>
      </w:r>
      <w:r w:rsidRPr="00730468">
        <w:t xml:space="preserve"> is the cultural distance between home country j and </w:t>
      </w:r>
      <w:r w:rsidR="00400B56" w:rsidRPr="00730468">
        <w:t>India</w:t>
      </w:r>
      <w:r w:rsidRPr="00730468">
        <w:t>, I</w:t>
      </w:r>
      <w:r w:rsidRPr="00730468">
        <w:rPr>
          <w:vertAlign w:val="subscript"/>
        </w:rPr>
        <w:t>ij</w:t>
      </w:r>
      <w:r w:rsidRPr="00730468">
        <w:t xml:space="preserve"> is country j’s score on the ith cultural dimension, I</w:t>
      </w:r>
      <w:r w:rsidR="00D8498C" w:rsidRPr="00730468">
        <w:rPr>
          <w:vertAlign w:val="subscript"/>
        </w:rPr>
        <w:t>iI</w:t>
      </w:r>
      <w:r w:rsidRPr="00730468">
        <w:t xml:space="preserve"> is the score of </w:t>
      </w:r>
      <w:r w:rsidR="00400B56" w:rsidRPr="00730468">
        <w:t>India</w:t>
      </w:r>
      <w:r w:rsidRPr="00730468">
        <w:t xml:space="preserve"> on this dimension, and V</w:t>
      </w:r>
      <w:r w:rsidRPr="00730468">
        <w:rPr>
          <w:vertAlign w:val="subscript"/>
        </w:rPr>
        <w:t>i</w:t>
      </w:r>
      <w:r w:rsidRPr="00730468">
        <w:t xml:space="preserve"> is the variance of the dimension. The </w:t>
      </w:r>
      <w:r w:rsidR="00400B56" w:rsidRPr="00730468">
        <w:t>4 dimensions of cultural distance</w:t>
      </w:r>
      <w:r w:rsidR="0045298A" w:rsidRPr="00730468">
        <w:t xml:space="preserve"> </w:t>
      </w:r>
      <w:r w:rsidR="00BD14BF" w:rsidRPr="00730468">
        <w:t>are</w:t>
      </w:r>
      <w:r w:rsidR="0045298A" w:rsidRPr="00730468">
        <w:t xml:space="preserve"> collected </w:t>
      </w:r>
      <w:r w:rsidRPr="00730468">
        <w:t xml:space="preserve">from geert-hofstede </w:t>
      </w:r>
      <w:r w:rsidR="0045298A" w:rsidRPr="00730468">
        <w:t xml:space="preserve">website </w:t>
      </w:r>
      <w:r w:rsidRPr="00730468">
        <w:lastRenderedPageBreak/>
        <w:t>(</w:t>
      </w:r>
      <w:hyperlink r:id="rId13" w:history="1">
        <w:r w:rsidRPr="00730468">
          <w:rPr>
            <w:rStyle w:val="Hyperlink"/>
            <w:color w:val="auto"/>
          </w:rPr>
          <w:t>https://geert-hofstede.com/</w:t>
        </w:r>
        <w:r w:rsidR="00400B56" w:rsidRPr="00730468">
          <w:rPr>
            <w:rStyle w:val="Hyperlink"/>
            <w:color w:val="auto"/>
          </w:rPr>
          <w:t>India</w:t>
        </w:r>
        <w:r w:rsidRPr="00730468">
          <w:rPr>
            <w:rStyle w:val="Hyperlink"/>
            <w:color w:val="auto"/>
          </w:rPr>
          <w:t>.html</w:t>
        </w:r>
      </w:hyperlink>
      <w:r w:rsidRPr="00730468">
        <w:t>)</w:t>
      </w:r>
      <w:r w:rsidR="00400B56" w:rsidRPr="00730468">
        <w:t xml:space="preserve"> which each dimension’s score is ranging from 0 to 100</w:t>
      </w:r>
      <w:r w:rsidRPr="00730468">
        <w:t>.</w:t>
      </w:r>
      <w:r w:rsidR="00973D6D" w:rsidRPr="00730468">
        <w:t xml:space="preserve"> Since the culture is changing extremely slow</w:t>
      </w:r>
      <w:r w:rsidR="00C74D19" w:rsidRPr="00730468">
        <w:t>ly</w:t>
      </w:r>
      <w:r w:rsidR="00973D6D" w:rsidRPr="00730468">
        <w:t xml:space="preserve">, the data for each country </w:t>
      </w:r>
      <w:r w:rsidR="00C74D19" w:rsidRPr="00730468">
        <w:t>are supposed</w:t>
      </w:r>
      <w:r w:rsidR="00973D6D" w:rsidRPr="00730468">
        <w:t xml:space="preserve"> to remain unchanged over time.</w:t>
      </w:r>
    </w:p>
    <w:p w:rsidR="00605B7A" w:rsidRPr="00730468" w:rsidRDefault="00605B7A" w:rsidP="00DF3F76">
      <w:pPr>
        <w:pStyle w:val="NormalWeb"/>
        <w:shd w:val="clear" w:color="auto" w:fill="FFFFFF"/>
        <w:spacing w:before="0" w:beforeAutospacing="0" w:after="0" w:afterAutospacing="0" w:line="360" w:lineRule="auto"/>
        <w:jc w:val="both"/>
        <w:textAlignment w:val="baseline"/>
        <w:rPr>
          <w:color w:val="000000" w:themeColor="text1"/>
        </w:rPr>
      </w:pPr>
    </w:p>
    <w:p w:rsidR="00170BFC" w:rsidRPr="00730468" w:rsidRDefault="00F7094D" w:rsidP="00DF3F76">
      <w:pPr>
        <w:pStyle w:val="Heading3"/>
        <w:spacing w:line="360" w:lineRule="auto"/>
      </w:pPr>
      <w:bookmarkStart w:id="55" w:name="_Toc487572216"/>
      <w:bookmarkStart w:id="56" w:name="_Toc487707056"/>
      <w:bookmarkStart w:id="57" w:name="_Toc489287946"/>
      <w:r w:rsidRPr="00730468">
        <w:t xml:space="preserve">3.3.4. </w:t>
      </w:r>
      <w:r w:rsidR="00170BFC" w:rsidRPr="00730468">
        <w:t>Governance distance</w:t>
      </w:r>
      <w:r w:rsidR="00CB0624" w:rsidRPr="00730468">
        <w:t xml:space="preserve"> (GoD)</w:t>
      </w:r>
      <w:bookmarkEnd w:id="55"/>
      <w:bookmarkEnd w:id="56"/>
      <w:bookmarkEnd w:id="57"/>
    </w:p>
    <w:p w:rsidR="00C93D0E" w:rsidRPr="00730468" w:rsidRDefault="00354559" w:rsidP="00DF3F76">
      <w:pPr>
        <w:spacing w:line="360" w:lineRule="auto"/>
        <w:jc w:val="both"/>
        <w:rPr>
          <w:color w:val="000000" w:themeColor="text1"/>
        </w:rPr>
      </w:pPr>
      <w:r>
        <w:rPr>
          <w:color w:val="000000" w:themeColor="text1"/>
        </w:rPr>
        <w:t>To estimate governance distance, the six</w:t>
      </w:r>
      <w:r w:rsidRPr="00730468">
        <w:rPr>
          <w:color w:val="000000" w:themeColor="text1"/>
        </w:rPr>
        <w:t xml:space="preserve"> Governance Indicators (WGI) from World</w:t>
      </w:r>
      <w:r>
        <w:rPr>
          <w:color w:val="000000" w:themeColor="text1"/>
        </w:rPr>
        <w:t xml:space="preserve"> Bank </w:t>
      </w:r>
      <w:r w:rsidR="00C93D0E" w:rsidRPr="00730468">
        <w:rPr>
          <w:color w:val="000000" w:themeColor="text1"/>
        </w:rPr>
        <w:t xml:space="preserve">– </w:t>
      </w:r>
      <w:r w:rsidR="00C93D0E" w:rsidRPr="006A0B43">
        <w:rPr>
          <w:noProof/>
          <w:color w:val="000000" w:themeColor="text1"/>
        </w:rPr>
        <w:t>Voice and Accountability, Political Stability and Absence of Violence, Government Effectiveness, Regulatory Quality, Rule of Law, Control of Corruption</w:t>
      </w:r>
      <w:r w:rsidRPr="006A0B43">
        <w:rPr>
          <w:noProof/>
          <w:color w:val="000000" w:themeColor="text1"/>
        </w:rPr>
        <w:t>,</w:t>
      </w:r>
      <w:r>
        <w:rPr>
          <w:color w:val="000000" w:themeColor="text1"/>
        </w:rPr>
        <w:t xml:space="preserve"> are used </w:t>
      </w:r>
      <w:r w:rsidRPr="00354559">
        <w:rPr>
          <w:color w:val="000000" w:themeColor="text1"/>
        </w:rPr>
        <w:t>(Kaufmann, Kraay, &amp; Mastruzzi, 2009)</w:t>
      </w:r>
      <w:r>
        <w:rPr>
          <w:color w:val="000000" w:themeColor="text1"/>
        </w:rPr>
        <w:t>.</w:t>
      </w:r>
    </w:p>
    <w:p w:rsidR="00C93D0E" w:rsidRPr="00730468" w:rsidRDefault="00C93D0E" w:rsidP="00DF3F76">
      <w:pPr>
        <w:spacing w:line="360" w:lineRule="auto"/>
        <w:jc w:val="both"/>
        <w:rPr>
          <w:color w:val="000000" w:themeColor="text1"/>
        </w:rPr>
      </w:pPr>
    </w:p>
    <w:p w:rsidR="00C93D0E" w:rsidRPr="00666751" w:rsidRDefault="00C93D0E" w:rsidP="00DF3F76">
      <w:pPr>
        <w:spacing w:line="360" w:lineRule="auto"/>
        <w:jc w:val="both"/>
        <w:rPr>
          <w:noProof/>
        </w:rPr>
      </w:pPr>
      <w:r w:rsidRPr="00730468">
        <w:rPr>
          <w:color w:val="000000" w:themeColor="text1"/>
        </w:rPr>
        <w:t xml:space="preserve">1. </w:t>
      </w:r>
      <w:r w:rsidR="00666751">
        <w:rPr>
          <w:color w:val="000000" w:themeColor="text1"/>
        </w:rPr>
        <w:t>Voice and accountability</w:t>
      </w:r>
      <w:r w:rsidR="00A73761">
        <w:t xml:space="preserve"> </w:t>
      </w:r>
      <w:r w:rsidR="00666751" w:rsidRPr="00666751">
        <w:rPr>
          <w:noProof/>
        </w:rPr>
        <w:t xml:space="preserve">measures the level by which inhabitants in a country can be engaged in </w:t>
      </w:r>
      <w:r w:rsidRPr="00666751">
        <w:rPr>
          <w:noProof/>
        </w:rPr>
        <w:t>government</w:t>
      </w:r>
      <w:r w:rsidR="00666751" w:rsidRPr="00666751">
        <w:rPr>
          <w:noProof/>
        </w:rPr>
        <w:t xml:space="preserve"> selection</w:t>
      </w:r>
      <w:r w:rsidRPr="00666751">
        <w:rPr>
          <w:noProof/>
        </w:rPr>
        <w:t xml:space="preserve">, and </w:t>
      </w:r>
      <w:r w:rsidR="00666751" w:rsidRPr="00666751">
        <w:rPr>
          <w:noProof/>
        </w:rPr>
        <w:t>the degree</w:t>
      </w:r>
      <w:r w:rsidRPr="00666751">
        <w:rPr>
          <w:noProof/>
        </w:rPr>
        <w:t xml:space="preserve"> governments are monitored and held accountable for their actions.</w:t>
      </w:r>
    </w:p>
    <w:p w:rsidR="00C93D0E" w:rsidRPr="00730468" w:rsidRDefault="00C93D0E" w:rsidP="00DF3F76">
      <w:pPr>
        <w:spacing w:line="360" w:lineRule="auto"/>
        <w:jc w:val="both"/>
        <w:rPr>
          <w:noProof/>
          <w:color w:val="000000" w:themeColor="text1"/>
        </w:rPr>
      </w:pPr>
    </w:p>
    <w:p w:rsidR="00C93D0E" w:rsidRPr="00730468" w:rsidRDefault="00C93D0E" w:rsidP="00DF3F76">
      <w:pPr>
        <w:spacing w:line="360" w:lineRule="auto"/>
        <w:jc w:val="both"/>
        <w:rPr>
          <w:noProof/>
          <w:color w:val="000000" w:themeColor="text1"/>
        </w:rPr>
      </w:pPr>
      <w:r w:rsidRPr="00730468">
        <w:rPr>
          <w:noProof/>
          <w:color w:val="000000" w:themeColor="text1"/>
        </w:rPr>
        <w:t>2</w:t>
      </w:r>
      <w:r w:rsidRPr="00950264">
        <w:rPr>
          <w:noProof/>
        </w:rPr>
        <w:t>. Political stability</w:t>
      </w:r>
      <w:r w:rsidR="00A73761">
        <w:rPr>
          <w:noProof/>
        </w:rPr>
        <w:t xml:space="preserve"> </w:t>
      </w:r>
      <w:r w:rsidR="00A73761" w:rsidRPr="00730468">
        <w:rPr>
          <w:color w:val="000000" w:themeColor="text1"/>
        </w:rPr>
        <w:t>an</w:t>
      </w:r>
      <w:r w:rsidR="00A73761">
        <w:rPr>
          <w:color w:val="000000" w:themeColor="text1"/>
        </w:rPr>
        <w:t>d absence of v</w:t>
      </w:r>
      <w:r w:rsidR="00A73761" w:rsidRPr="00730468">
        <w:rPr>
          <w:color w:val="000000" w:themeColor="text1"/>
        </w:rPr>
        <w:t>iolence</w:t>
      </w:r>
      <w:r w:rsidR="00A73761">
        <w:rPr>
          <w:noProof/>
        </w:rPr>
        <w:t xml:space="preserve"> </w:t>
      </w:r>
      <w:r w:rsidR="00950264" w:rsidRPr="00950264">
        <w:rPr>
          <w:noProof/>
        </w:rPr>
        <w:t>refers to the extent by which</w:t>
      </w:r>
      <w:r w:rsidRPr="00950264">
        <w:rPr>
          <w:noProof/>
        </w:rPr>
        <w:t xml:space="preserve"> </w:t>
      </w:r>
      <w:r w:rsidR="00950264" w:rsidRPr="00950264">
        <w:rPr>
          <w:noProof/>
        </w:rPr>
        <w:t>violent means (</w:t>
      </w:r>
      <w:r w:rsidRPr="00950264">
        <w:rPr>
          <w:noProof/>
        </w:rPr>
        <w:t>political violence or terrorism</w:t>
      </w:r>
      <w:r w:rsidR="00950264" w:rsidRPr="00950264">
        <w:rPr>
          <w:noProof/>
        </w:rPr>
        <w:t>) destabilize or ruin the government of a country</w:t>
      </w:r>
      <w:r w:rsidRPr="00950264">
        <w:rPr>
          <w:noProof/>
        </w:rPr>
        <w:t xml:space="preserve">. </w:t>
      </w:r>
    </w:p>
    <w:p w:rsidR="00C93D0E" w:rsidRPr="00730468" w:rsidRDefault="00C93D0E" w:rsidP="00DF3F76">
      <w:pPr>
        <w:spacing w:line="360" w:lineRule="auto"/>
        <w:jc w:val="both"/>
        <w:rPr>
          <w:noProof/>
          <w:color w:val="000000" w:themeColor="text1"/>
        </w:rPr>
      </w:pPr>
    </w:p>
    <w:p w:rsidR="00C93D0E" w:rsidRPr="00950264" w:rsidRDefault="00697321" w:rsidP="00DF3F76">
      <w:pPr>
        <w:spacing w:line="360" w:lineRule="auto"/>
        <w:jc w:val="both"/>
        <w:rPr>
          <w:noProof/>
        </w:rPr>
      </w:pPr>
      <w:r w:rsidRPr="00950264">
        <w:rPr>
          <w:noProof/>
        </w:rPr>
        <w:t xml:space="preserve">3. </w:t>
      </w:r>
      <w:r w:rsidR="00C93D0E" w:rsidRPr="00950264">
        <w:rPr>
          <w:noProof/>
        </w:rPr>
        <w:t>Government effectiveness</w:t>
      </w:r>
      <w:r w:rsidR="00950264" w:rsidRPr="00950264">
        <w:rPr>
          <w:noProof/>
        </w:rPr>
        <w:t xml:space="preserve"> reflects the credibility of the government’s commitment to policies, the quality </w:t>
      </w:r>
      <w:r w:rsidR="00C93D0E" w:rsidRPr="00950264">
        <w:rPr>
          <w:noProof/>
        </w:rPr>
        <w:t>of the bureaucracy</w:t>
      </w:r>
      <w:r w:rsidR="00C93D0E" w:rsidRPr="00705E75">
        <w:rPr>
          <w:noProof/>
          <w:color w:val="000000" w:themeColor="text1"/>
        </w:rPr>
        <w:t>, the competence of civil servants</w:t>
      </w:r>
      <w:r w:rsidR="00705E75" w:rsidRPr="00705E75">
        <w:rPr>
          <w:noProof/>
          <w:color w:val="000000" w:themeColor="text1"/>
        </w:rPr>
        <w:t xml:space="preserve"> and public service provision.</w:t>
      </w:r>
    </w:p>
    <w:p w:rsidR="00C93D0E" w:rsidRPr="00730468" w:rsidRDefault="00C93D0E" w:rsidP="00DF3F76">
      <w:pPr>
        <w:spacing w:line="360" w:lineRule="auto"/>
        <w:jc w:val="both"/>
        <w:rPr>
          <w:noProof/>
          <w:color w:val="000000" w:themeColor="text1"/>
        </w:rPr>
      </w:pPr>
    </w:p>
    <w:p w:rsidR="00C93D0E" w:rsidRPr="00730468" w:rsidRDefault="00C93D0E" w:rsidP="00DF3F76">
      <w:pPr>
        <w:spacing w:line="360" w:lineRule="auto"/>
        <w:jc w:val="both"/>
        <w:rPr>
          <w:noProof/>
          <w:color w:val="000000" w:themeColor="text1"/>
        </w:rPr>
      </w:pPr>
      <w:r w:rsidRPr="00730468">
        <w:rPr>
          <w:noProof/>
          <w:color w:val="000000" w:themeColor="text1"/>
        </w:rPr>
        <w:t>4. Regulatory quality</w:t>
      </w:r>
      <w:r w:rsidR="00A73761">
        <w:rPr>
          <w:noProof/>
          <w:color w:val="000000" w:themeColor="text1"/>
        </w:rPr>
        <w:t xml:space="preserve"> </w:t>
      </w:r>
      <w:r w:rsidRPr="00730468">
        <w:rPr>
          <w:noProof/>
          <w:color w:val="000000" w:themeColor="text1"/>
        </w:rPr>
        <w:t>which measures the quality of the actual government policies, such as the degree of regulation of foreign trade and the incidence of market-unfriendly policies.</w:t>
      </w:r>
    </w:p>
    <w:p w:rsidR="00C93D0E" w:rsidRPr="00730468" w:rsidRDefault="00C93D0E" w:rsidP="00DF3F76">
      <w:pPr>
        <w:spacing w:line="360" w:lineRule="auto"/>
        <w:jc w:val="both"/>
        <w:rPr>
          <w:color w:val="000000" w:themeColor="text1"/>
        </w:rPr>
      </w:pPr>
    </w:p>
    <w:p w:rsidR="00C93D0E" w:rsidRPr="00730468" w:rsidRDefault="00C93D0E" w:rsidP="00DF3F76">
      <w:pPr>
        <w:spacing w:line="360" w:lineRule="auto"/>
        <w:jc w:val="both"/>
        <w:rPr>
          <w:color w:val="000000" w:themeColor="text1"/>
        </w:rPr>
      </w:pPr>
      <w:r w:rsidRPr="00730468">
        <w:rPr>
          <w:color w:val="000000" w:themeColor="text1"/>
        </w:rPr>
        <w:t>5.</w:t>
      </w:r>
      <w:r w:rsidR="00697321" w:rsidRPr="00730468">
        <w:rPr>
          <w:color w:val="000000" w:themeColor="text1"/>
        </w:rPr>
        <w:t xml:space="preserve"> </w:t>
      </w:r>
      <w:r w:rsidRPr="00730468">
        <w:rPr>
          <w:color w:val="000000" w:themeColor="text1"/>
        </w:rPr>
        <w:t xml:space="preserve">Rule of </w:t>
      </w:r>
      <w:r w:rsidR="00D5023F">
        <w:rPr>
          <w:color w:val="000000" w:themeColor="text1"/>
        </w:rPr>
        <w:t>law refers</w:t>
      </w:r>
      <w:r w:rsidR="00D5023F" w:rsidRPr="00D5023F">
        <w:t xml:space="preserve"> to</w:t>
      </w:r>
      <w:r w:rsidRPr="00D5023F">
        <w:rPr>
          <w:noProof/>
        </w:rPr>
        <w:t xml:space="preserve"> the </w:t>
      </w:r>
      <w:r w:rsidR="00D5023F" w:rsidRPr="00D5023F">
        <w:rPr>
          <w:noProof/>
        </w:rPr>
        <w:t>level</w:t>
      </w:r>
      <w:r w:rsidRPr="00D5023F">
        <w:rPr>
          <w:noProof/>
        </w:rPr>
        <w:t xml:space="preserve"> </w:t>
      </w:r>
      <w:r w:rsidR="00D5023F" w:rsidRPr="00D5023F">
        <w:rPr>
          <w:noProof/>
        </w:rPr>
        <w:t>by</w:t>
      </w:r>
      <w:r w:rsidRPr="00D5023F">
        <w:rPr>
          <w:noProof/>
        </w:rPr>
        <w:t xml:space="preserve"> which </w:t>
      </w:r>
      <w:r w:rsidR="00D5023F" w:rsidRPr="00D5023F">
        <w:rPr>
          <w:noProof/>
        </w:rPr>
        <w:t>civilians</w:t>
      </w:r>
      <w:r w:rsidRPr="00D5023F">
        <w:rPr>
          <w:noProof/>
        </w:rPr>
        <w:t xml:space="preserve"> </w:t>
      </w:r>
      <w:r w:rsidR="00D5023F" w:rsidRPr="00D5023F">
        <w:rPr>
          <w:noProof/>
        </w:rPr>
        <w:t>are</w:t>
      </w:r>
      <w:r w:rsidRPr="00D5023F">
        <w:t xml:space="preserve"> conﬁdence in the law and comply with the rules of </w:t>
      </w:r>
      <w:r w:rsidR="00D5023F" w:rsidRPr="00D5023F">
        <w:t xml:space="preserve">their </w:t>
      </w:r>
      <w:r w:rsidRPr="00D5023F">
        <w:t>society. It concentrates on the quality of the legal system and the enforceability of contracts.</w:t>
      </w:r>
    </w:p>
    <w:p w:rsidR="00C93D0E" w:rsidRPr="00730468" w:rsidRDefault="00C93D0E" w:rsidP="00DF3F76">
      <w:pPr>
        <w:spacing w:line="360" w:lineRule="auto"/>
        <w:jc w:val="both"/>
        <w:rPr>
          <w:color w:val="000000" w:themeColor="text1"/>
        </w:rPr>
      </w:pPr>
    </w:p>
    <w:p w:rsidR="00271A85" w:rsidRDefault="00C93D0E" w:rsidP="00DF3F76">
      <w:pPr>
        <w:spacing w:line="360" w:lineRule="auto"/>
        <w:jc w:val="both"/>
        <w:rPr>
          <w:color w:val="000000" w:themeColor="text1"/>
        </w:rPr>
      </w:pPr>
      <w:r w:rsidRPr="00730468">
        <w:rPr>
          <w:color w:val="000000" w:themeColor="text1"/>
        </w:rPr>
        <w:t>6. Control of corruption, which reﬂects the degree to which public power is exercised for private gain.</w:t>
      </w:r>
    </w:p>
    <w:p w:rsidR="00A340E2" w:rsidRPr="00730468" w:rsidRDefault="005A33C7" w:rsidP="00DF3F76">
      <w:pPr>
        <w:spacing w:line="360" w:lineRule="auto"/>
        <w:jc w:val="both"/>
        <w:rPr>
          <w:color w:val="000000" w:themeColor="text1"/>
        </w:rPr>
      </w:pPr>
      <w:r>
        <w:rPr>
          <w:color w:val="000000" w:themeColor="text1"/>
        </w:rPr>
        <w:lastRenderedPageBreak/>
        <w:t>Six</w:t>
      </w:r>
      <w:r w:rsidR="00697321" w:rsidRPr="00730468">
        <w:rPr>
          <w:color w:val="000000" w:themeColor="text1"/>
        </w:rPr>
        <w:t xml:space="preserve"> components gets a score from -2.5</w:t>
      </w:r>
      <w:r w:rsidR="00170BFC" w:rsidRPr="00730468">
        <w:rPr>
          <w:color w:val="000000" w:themeColor="text1"/>
        </w:rPr>
        <w:t xml:space="preserve"> to </w:t>
      </w:r>
      <w:r w:rsidR="00697321" w:rsidRPr="00730468">
        <w:rPr>
          <w:color w:val="000000" w:themeColor="text1"/>
        </w:rPr>
        <w:t>2.5</w:t>
      </w:r>
      <w:r w:rsidR="00DB58DA" w:rsidRPr="00730468">
        <w:t xml:space="preserve"> </w:t>
      </w:r>
      <w:r w:rsidR="00DB58DA" w:rsidRPr="00730468">
        <w:rPr>
          <w:color w:val="000000" w:themeColor="text1"/>
        </w:rPr>
        <w:t>with higher scores representing advanced institutional setups</w:t>
      </w:r>
      <w:r w:rsidR="00697321" w:rsidRPr="00730468">
        <w:rPr>
          <w:color w:val="000000" w:themeColor="text1"/>
        </w:rPr>
        <w:t xml:space="preserve">. </w:t>
      </w:r>
      <w:r w:rsidR="00A340E2" w:rsidRPr="00730468">
        <w:rPr>
          <w:color w:val="000000" w:themeColor="text1"/>
        </w:rPr>
        <w:t>In contrast with the data collected to measure cultural distance, the data retrieved in order to measure governance distance is yearly data.</w:t>
      </w:r>
    </w:p>
    <w:p w:rsidR="00A340E2" w:rsidRPr="00730468" w:rsidRDefault="00A340E2" w:rsidP="00DF3F76">
      <w:pPr>
        <w:spacing w:line="360" w:lineRule="auto"/>
        <w:jc w:val="both"/>
        <w:rPr>
          <w:color w:val="000000" w:themeColor="text1"/>
        </w:rPr>
      </w:pPr>
    </w:p>
    <w:p w:rsidR="00170BFC" w:rsidRPr="00730468" w:rsidRDefault="00697321" w:rsidP="00DF3F76">
      <w:pPr>
        <w:spacing w:line="360" w:lineRule="auto"/>
        <w:jc w:val="both"/>
        <w:rPr>
          <w:color w:val="000000" w:themeColor="text1"/>
        </w:rPr>
      </w:pPr>
      <w:r w:rsidRPr="00730468">
        <w:rPr>
          <w:color w:val="000000" w:themeColor="text1"/>
        </w:rPr>
        <w:t xml:space="preserve">The governance distance then is measured by </w:t>
      </w:r>
      <w:r w:rsidR="00A340E2" w:rsidRPr="00730468">
        <w:rPr>
          <w:color w:val="000000" w:themeColor="text1"/>
        </w:rPr>
        <w:t>using</w:t>
      </w:r>
      <w:r w:rsidRPr="00730468">
        <w:rPr>
          <w:color w:val="000000" w:themeColor="text1"/>
        </w:rPr>
        <w:t xml:space="preserve"> the Euclidean distance</w:t>
      </w:r>
      <w:r w:rsidR="00A340E2" w:rsidRPr="00730468">
        <w:rPr>
          <w:color w:val="000000" w:themeColor="text1"/>
        </w:rPr>
        <w:t xml:space="preserve"> formula</w:t>
      </w:r>
      <w:r w:rsidRPr="00730468">
        <w:rPr>
          <w:color w:val="000000" w:themeColor="text1"/>
        </w:rPr>
        <w:t xml:space="preserve"> of the 6 dimensions </w:t>
      </w:r>
      <w:r w:rsidR="00A340E2" w:rsidRPr="00730468">
        <w:rPr>
          <w:color w:val="000000" w:themeColor="text1"/>
        </w:rPr>
        <w:t>for each pair of countries. The value of governance distance is ranging from 0 to 12.25 with the maximum value is never reached in practice.</w:t>
      </w:r>
    </w:p>
    <w:p w:rsidR="0008340C" w:rsidRDefault="0008340C" w:rsidP="00DF3F76">
      <w:pPr>
        <w:pStyle w:val="NormalWeb"/>
        <w:shd w:val="clear" w:color="auto" w:fill="FFFFFF"/>
        <w:spacing w:before="0" w:beforeAutospacing="0" w:after="0" w:afterAutospacing="0" w:line="360" w:lineRule="auto"/>
        <w:jc w:val="both"/>
        <w:textAlignment w:val="baseline"/>
        <w:rPr>
          <w:b/>
        </w:rPr>
      </w:pPr>
      <w:r w:rsidRPr="00730468">
        <w:rPr>
          <w:b/>
        </w:rPr>
        <w:t>GoD</w:t>
      </w:r>
      <w:r w:rsidRPr="00730468">
        <w:rPr>
          <w:b/>
          <w:vertAlign w:val="subscript"/>
        </w:rPr>
        <w:t>j</w:t>
      </w:r>
      <w:r w:rsidRPr="00730468">
        <w:rPr>
          <w:b/>
        </w:rPr>
        <w:t xml:space="preserve"> =</w:t>
      </w:r>
      <m:oMath>
        <m:rad>
          <m:radPr>
            <m:degHide m:val="1"/>
            <m:ctrlPr>
              <w:rPr>
                <w:rFonts w:ascii="Cambria Math" w:hAnsi="Cambria Math"/>
                <w:b/>
                <w:i/>
              </w:rPr>
            </m:ctrlPr>
          </m:radPr>
          <m:deg/>
          <m:e>
            <m:nary>
              <m:naryPr>
                <m:chr m:val="∑"/>
                <m:limLoc m:val="undOvr"/>
                <m:ctrlPr>
                  <w:rPr>
                    <w:rFonts w:ascii="Cambria Math" w:hAnsi="Cambria Math"/>
                    <w:b/>
                    <w:i/>
                  </w:rPr>
                </m:ctrlPr>
              </m:naryPr>
              <m:sub>
                <m:r>
                  <m:rPr>
                    <m:sty m:val="bi"/>
                  </m:rPr>
                  <w:rPr>
                    <w:rFonts w:ascii="Cambria Math" w:hAnsi="Cambria Math"/>
                  </w:rPr>
                  <m:t>i=1</m:t>
                </m:r>
              </m:sub>
              <m:sup>
                <m:r>
                  <m:rPr>
                    <m:sty m:val="bi"/>
                  </m:rPr>
                  <w:rPr>
                    <w:rFonts w:ascii="Cambria Math" w:hAnsi="Cambria Math"/>
                  </w:rPr>
                  <m:t>6</m:t>
                </m:r>
              </m:sup>
              <m:e>
                <m:f>
                  <m:fPr>
                    <m:ctrlPr>
                      <w:rPr>
                        <w:rFonts w:ascii="Cambria Math" w:hAnsi="Cambria Math"/>
                        <w:b/>
                        <w:i/>
                      </w:rPr>
                    </m:ctrlPr>
                  </m:fPr>
                  <m:num>
                    <m:d>
                      <m:dPr>
                        <m:ctrlPr>
                          <w:rPr>
                            <w:rFonts w:ascii="Cambria Math" w:hAnsi="Cambria Math"/>
                            <w:b/>
                            <w:i/>
                          </w:rPr>
                        </m:ctrlPr>
                      </m:dPr>
                      <m:e>
                        <m:r>
                          <m:rPr>
                            <m:sty m:val="b"/>
                          </m:rPr>
                          <w:rPr>
                            <w:rFonts w:ascii="Cambria Math" w:hAnsi="Cambria Math"/>
                          </w:rPr>
                          <m:t>I</m:t>
                        </m:r>
                        <m:r>
                          <m:rPr>
                            <m:sty m:val="b"/>
                          </m:rPr>
                          <w:rPr>
                            <w:rFonts w:ascii="Cambria Math" w:hAnsi="Cambria Math"/>
                            <w:vertAlign w:val="subscript"/>
                          </w:rPr>
                          <m:t xml:space="preserve">ij- </m:t>
                        </m:r>
                        <m:r>
                          <m:rPr>
                            <m:sty m:val="b"/>
                          </m:rPr>
                          <w:rPr>
                            <w:rFonts w:ascii="Cambria Math" w:hAnsi="Cambria Math"/>
                          </w:rPr>
                          <m:t>I</m:t>
                        </m:r>
                        <m:r>
                          <m:rPr>
                            <m:sty m:val="b"/>
                          </m:rPr>
                          <w:rPr>
                            <w:rFonts w:ascii="Cambria Math" w:hAnsi="Cambria Math"/>
                            <w:vertAlign w:val="subscript"/>
                          </w:rPr>
                          <m:t>iI</m:t>
                        </m:r>
                        <m:ctrlPr>
                          <w:rPr>
                            <w:rFonts w:ascii="Cambria Math" w:hAnsi="Cambria Math"/>
                            <w:b/>
                            <w:vertAlign w:val="subscript"/>
                          </w:rPr>
                        </m:ctrlPr>
                      </m:e>
                    </m:d>
                    <m:r>
                      <m:rPr>
                        <m:sty m:val="b"/>
                      </m:rPr>
                      <w:rPr>
                        <w:rFonts w:ascii="Cambria Math" w:hAnsi="Cambria Math"/>
                        <w:vertAlign w:val="subscript"/>
                      </w:rPr>
                      <m:t>^2</m:t>
                    </m:r>
                  </m:num>
                  <m:den>
                    <m:r>
                      <m:rPr>
                        <m:sty m:val="bi"/>
                      </m:rPr>
                      <w:rPr>
                        <w:rFonts w:ascii="Cambria Math" w:hAnsi="Cambria Math"/>
                      </w:rPr>
                      <m:t>Vi</m:t>
                    </m:r>
                  </m:den>
                </m:f>
              </m:e>
            </m:nary>
          </m:e>
        </m:rad>
      </m:oMath>
    </w:p>
    <w:p w:rsidR="00271A85" w:rsidRPr="00730468" w:rsidRDefault="00271A85" w:rsidP="00DF3F76">
      <w:pPr>
        <w:pStyle w:val="NormalWeb"/>
        <w:shd w:val="clear" w:color="auto" w:fill="FFFFFF"/>
        <w:spacing w:before="0" w:beforeAutospacing="0" w:after="0" w:afterAutospacing="0" w:line="360" w:lineRule="auto"/>
        <w:jc w:val="both"/>
        <w:textAlignment w:val="baseline"/>
        <w:rPr>
          <w:b/>
        </w:rPr>
      </w:pPr>
    </w:p>
    <w:p w:rsidR="00BC063A" w:rsidRPr="00730468" w:rsidRDefault="0008340C" w:rsidP="00DF3F76">
      <w:pPr>
        <w:spacing w:line="360" w:lineRule="auto"/>
        <w:jc w:val="both"/>
        <w:rPr>
          <w:color w:val="000000" w:themeColor="text1"/>
        </w:rPr>
      </w:pPr>
      <w:r w:rsidRPr="00730468">
        <w:rPr>
          <w:color w:val="000000" w:themeColor="text1"/>
        </w:rPr>
        <w:t xml:space="preserve">where GoDj is the governance distance between home country j and India, </w:t>
      </w:r>
      <w:r w:rsidR="00D8498C" w:rsidRPr="00730468">
        <w:t>I</w:t>
      </w:r>
      <w:r w:rsidR="00D8498C" w:rsidRPr="00730468">
        <w:rPr>
          <w:vertAlign w:val="subscript"/>
        </w:rPr>
        <w:t>ij</w:t>
      </w:r>
      <w:r w:rsidR="00D8498C" w:rsidRPr="00730468">
        <w:t xml:space="preserve"> is country j’s score on the ith governance dimension, I</w:t>
      </w:r>
      <w:r w:rsidR="00D8498C" w:rsidRPr="00730468">
        <w:rPr>
          <w:vertAlign w:val="subscript"/>
        </w:rPr>
        <w:t>iI</w:t>
      </w:r>
      <w:r w:rsidR="00D8498C" w:rsidRPr="00730468">
        <w:t xml:space="preserve"> is the score of India on this dimension, and V</w:t>
      </w:r>
      <w:r w:rsidR="00D8498C" w:rsidRPr="00730468">
        <w:rPr>
          <w:vertAlign w:val="subscript"/>
        </w:rPr>
        <w:t>i</w:t>
      </w:r>
      <w:r w:rsidR="00D8498C" w:rsidRPr="00730468">
        <w:t xml:space="preserve"> is the variance of the dimension</w:t>
      </w:r>
    </w:p>
    <w:p w:rsidR="00656191" w:rsidRPr="00730468" w:rsidRDefault="00656191" w:rsidP="00DF3F76">
      <w:pPr>
        <w:spacing w:line="360" w:lineRule="auto"/>
        <w:jc w:val="both"/>
        <w:rPr>
          <w:b/>
          <w:color w:val="000000" w:themeColor="text1"/>
        </w:rPr>
      </w:pPr>
    </w:p>
    <w:p w:rsidR="00656191" w:rsidRPr="00730468" w:rsidRDefault="00F7094D" w:rsidP="00DF3F76">
      <w:pPr>
        <w:pStyle w:val="Heading3"/>
        <w:spacing w:line="360" w:lineRule="auto"/>
      </w:pPr>
      <w:bookmarkStart w:id="58" w:name="_Toc487572217"/>
      <w:bookmarkStart w:id="59" w:name="_Toc487707057"/>
      <w:bookmarkStart w:id="60" w:name="_Toc489287947"/>
      <w:r w:rsidRPr="00730468">
        <w:t xml:space="preserve">3.3.5. </w:t>
      </w:r>
      <w:r w:rsidR="00F80BFD">
        <w:t xml:space="preserve">Host country experience/ </w:t>
      </w:r>
      <w:r w:rsidR="00656191" w:rsidRPr="00730468">
        <w:t>India experience (IE)</w:t>
      </w:r>
      <w:bookmarkEnd w:id="58"/>
      <w:bookmarkEnd w:id="59"/>
      <w:bookmarkEnd w:id="60"/>
    </w:p>
    <w:p w:rsidR="00656191" w:rsidRPr="00730468" w:rsidRDefault="00656191" w:rsidP="00DF3F76">
      <w:pPr>
        <w:spacing w:line="360" w:lineRule="auto"/>
        <w:jc w:val="both"/>
        <w:rPr>
          <w:color w:val="000000" w:themeColor="text1"/>
        </w:rPr>
      </w:pPr>
      <w:r w:rsidRPr="00730468">
        <w:rPr>
          <w:color w:val="000000" w:themeColor="text1"/>
        </w:rPr>
        <w:t>I also control for an India experience, since MNEs might lack the skills to operate on their own in the host country where they have little experience, making them to choose JV with local companies (Hennart, 1991). To estimate the India experience, data from Orbis is retrieved. The India experience is coded as 1, indicating that an MNE already has experience of India which means they already set up a subsidiary in India before. Otherwise, it is coded as 0 if this is the first time they create a subsidiary business in I</w:t>
      </w:r>
      <w:r w:rsidR="00375B8D">
        <w:rPr>
          <w:color w:val="000000" w:themeColor="text1"/>
        </w:rPr>
        <w:t>n</w:t>
      </w:r>
      <w:r w:rsidRPr="00730468">
        <w:rPr>
          <w:color w:val="000000" w:themeColor="text1"/>
        </w:rPr>
        <w:t xml:space="preserve">dia. </w:t>
      </w:r>
    </w:p>
    <w:p w:rsidR="00C06CF7" w:rsidRPr="00730468" w:rsidRDefault="00C06CF7" w:rsidP="00DF3F76">
      <w:pPr>
        <w:spacing w:line="360" w:lineRule="auto"/>
        <w:jc w:val="both"/>
        <w:rPr>
          <w:color w:val="000000" w:themeColor="text1"/>
        </w:rPr>
      </w:pPr>
    </w:p>
    <w:p w:rsidR="00C567B2" w:rsidRPr="00730468" w:rsidRDefault="00F7094D" w:rsidP="00DF3F76">
      <w:pPr>
        <w:pStyle w:val="Heading3"/>
        <w:spacing w:line="360" w:lineRule="auto"/>
      </w:pPr>
      <w:bookmarkStart w:id="61" w:name="_Toc487572218"/>
      <w:bookmarkStart w:id="62" w:name="_Toc487707058"/>
      <w:bookmarkStart w:id="63" w:name="_Toc489287948"/>
      <w:r w:rsidRPr="00730468">
        <w:t xml:space="preserve">3.3.6. </w:t>
      </w:r>
      <w:r w:rsidR="00656191" w:rsidRPr="00730468">
        <w:t>Firm s</w:t>
      </w:r>
      <w:r w:rsidR="00C567B2" w:rsidRPr="00730468">
        <w:t>ize</w:t>
      </w:r>
      <w:r w:rsidR="00CB0624" w:rsidRPr="00730468">
        <w:t xml:space="preserve"> (SIZE)</w:t>
      </w:r>
      <w:bookmarkEnd w:id="61"/>
      <w:bookmarkEnd w:id="62"/>
      <w:bookmarkEnd w:id="63"/>
    </w:p>
    <w:p w:rsidR="00C554D2" w:rsidRPr="00730468" w:rsidRDefault="00415580" w:rsidP="00DF3F76">
      <w:pPr>
        <w:spacing w:line="360" w:lineRule="auto"/>
        <w:jc w:val="both"/>
        <w:rPr>
          <w:color w:val="000000" w:themeColor="text1"/>
        </w:rPr>
      </w:pPr>
      <w:r w:rsidRPr="00730468">
        <w:rPr>
          <w:color w:val="000000" w:themeColor="text1"/>
        </w:rPr>
        <w:t xml:space="preserve">The size of an enterprise </w:t>
      </w:r>
      <w:r w:rsidR="00E02953" w:rsidRPr="00730468">
        <w:rPr>
          <w:color w:val="000000" w:themeColor="text1"/>
        </w:rPr>
        <w:t>implies</w:t>
      </w:r>
      <w:r w:rsidRPr="00730468">
        <w:rPr>
          <w:color w:val="000000" w:themeColor="text1"/>
        </w:rPr>
        <w:t xml:space="preserve"> the level of financial and managerial resources of that enterprise (Nakos &amp; Brouthers, 2002). </w:t>
      </w:r>
      <w:r w:rsidR="00C554D2" w:rsidRPr="00730468">
        <w:rPr>
          <w:color w:val="000000" w:themeColor="text1"/>
        </w:rPr>
        <w:t xml:space="preserve">Larger firms </w:t>
      </w:r>
      <w:r w:rsidR="005E35BB" w:rsidRPr="00730468">
        <w:rPr>
          <w:color w:val="000000" w:themeColor="text1"/>
        </w:rPr>
        <w:t>might</w:t>
      </w:r>
      <w:r w:rsidR="00C554D2" w:rsidRPr="00730468">
        <w:rPr>
          <w:color w:val="000000" w:themeColor="text1"/>
        </w:rPr>
        <w:t xml:space="preserve"> prefer </w:t>
      </w:r>
      <w:r w:rsidR="00E02953" w:rsidRPr="00730468">
        <w:rPr>
          <w:color w:val="000000" w:themeColor="text1"/>
        </w:rPr>
        <w:t>higher commitment and thus higher ownership entry modes</w:t>
      </w:r>
      <w:r w:rsidR="00C554D2" w:rsidRPr="00730468">
        <w:rPr>
          <w:color w:val="000000" w:themeColor="text1"/>
        </w:rPr>
        <w:t>, since WOS generally requires more resources</w:t>
      </w:r>
      <w:r w:rsidR="005E35BB" w:rsidRPr="00730468">
        <w:rPr>
          <w:color w:val="000000" w:themeColor="text1"/>
        </w:rPr>
        <w:t xml:space="preserve"> </w:t>
      </w:r>
      <w:r w:rsidR="00C554D2" w:rsidRPr="00730468">
        <w:rPr>
          <w:color w:val="000000" w:themeColor="text1"/>
        </w:rPr>
        <w:t xml:space="preserve">than JV, which </w:t>
      </w:r>
      <w:r w:rsidR="005E35BB" w:rsidRPr="00730468">
        <w:rPr>
          <w:color w:val="000000" w:themeColor="text1"/>
        </w:rPr>
        <w:t>larger fi</w:t>
      </w:r>
      <w:r w:rsidR="00E02953" w:rsidRPr="00730468">
        <w:rPr>
          <w:color w:val="000000" w:themeColor="text1"/>
        </w:rPr>
        <w:t>r</w:t>
      </w:r>
      <w:r w:rsidR="005E35BB" w:rsidRPr="00730468">
        <w:rPr>
          <w:color w:val="000000" w:themeColor="text1"/>
        </w:rPr>
        <w:t>ms</w:t>
      </w:r>
      <w:r w:rsidR="00C554D2" w:rsidRPr="00730468">
        <w:rPr>
          <w:color w:val="000000" w:themeColor="text1"/>
        </w:rPr>
        <w:t xml:space="preserve"> can access easier than small</w:t>
      </w:r>
      <w:r w:rsidR="005E35BB" w:rsidRPr="00730468">
        <w:rPr>
          <w:color w:val="000000" w:themeColor="text1"/>
        </w:rPr>
        <w:t>er</w:t>
      </w:r>
      <w:r w:rsidR="00C554D2" w:rsidRPr="00730468">
        <w:rPr>
          <w:color w:val="000000" w:themeColor="text1"/>
        </w:rPr>
        <w:t xml:space="preserve"> </w:t>
      </w:r>
      <w:r w:rsidR="005E35BB" w:rsidRPr="00730468">
        <w:rPr>
          <w:color w:val="000000" w:themeColor="text1"/>
        </w:rPr>
        <w:t>firms</w:t>
      </w:r>
      <w:r w:rsidR="00C554D2" w:rsidRPr="00730468">
        <w:rPr>
          <w:color w:val="000000" w:themeColor="text1"/>
        </w:rPr>
        <w:t xml:space="preserve"> (Hennart, 1982</w:t>
      </w:r>
      <w:r w:rsidR="00E02953" w:rsidRPr="00730468">
        <w:rPr>
          <w:color w:val="000000" w:themeColor="text1"/>
        </w:rPr>
        <w:t>; Claver &amp; Quer, 2005</w:t>
      </w:r>
      <w:r w:rsidR="00C554D2" w:rsidRPr="00730468">
        <w:rPr>
          <w:color w:val="000000" w:themeColor="text1"/>
        </w:rPr>
        <w:t xml:space="preserve">). </w:t>
      </w:r>
      <w:r w:rsidR="000A6A8C" w:rsidRPr="00730468">
        <w:rPr>
          <w:color w:val="000000" w:themeColor="text1"/>
        </w:rPr>
        <w:t xml:space="preserve">Thus, I control for potential differences in the entry mode decision of firm size. </w:t>
      </w:r>
      <w:r w:rsidR="00C554D2" w:rsidRPr="00730468">
        <w:rPr>
          <w:color w:val="000000" w:themeColor="text1"/>
        </w:rPr>
        <w:t>Data on firm size are obtained from Orbis with large and very large firms are coded as 1 while small and medium firms are coded as 0.</w:t>
      </w:r>
      <w:r w:rsidR="005E35BB" w:rsidRPr="00730468">
        <w:rPr>
          <w:color w:val="000000" w:themeColor="text1"/>
        </w:rPr>
        <w:t xml:space="preserve"> </w:t>
      </w:r>
      <w:r w:rsidR="007435E3" w:rsidRPr="00730468">
        <w:rPr>
          <w:color w:val="000000" w:themeColor="text1"/>
        </w:rPr>
        <w:t>That leads to</w:t>
      </w:r>
      <w:r w:rsidR="005E35BB" w:rsidRPr="00730468">
        <w:rPr>
          <w:color w:val="000000" w:themeColor="text1"/>
        </w:rPr>
        <w:t xml:space="preserve"> 222 small and medium companies and 547 large and very large companies in the sample.</w:t>
      </w:r>
    </w:p>
    <w:p w:rsidR="00381799" w:rsidRPr="00730468" w:rsidRDefault="00381799" w:rsidP="00DF3F76">
      <w:pPr>
        <w:pStyle w:val="Heading2"/>
        <w:spacing w:line="360" w:lineRule="auto"/>
      </w:pPr>
      <w:bookmarkStart w:id="64" w:name="_Toc487572219"/>
      <w:bookmarkStart w:id="65" w:name="_Toc487707059"/>
      <w:bookmarkStart w:id="66" w:name="_Toc489287949"/>
      <w:r w:rsidRPr="00730468">
        <w:lastRenderedPageBreak/>
        <w:t>Control variable:</w:t>
      </w:r>
      <w:bookmarkEnd w:id="64"/>
      <w:bookmarkEnd w:id="65"/>
      <w:bookmarkEnd w:id="66"/>
    </w:p>
    <w:p w:rsidR="00656191" w:rsidRPr="00730468" w:rsidRDefault="00F7094D" w:rsidP="00DF3F76">
      <w:pPr>
        <w:pStyle w:val="Heading3"/>
        <w:spacing w:line="360" w:lineRule="auto"/>
      </w:pPr>
      <w:bookmarkStart w:id="67" w:name="_Toc489287950"/>
      <w:r w:rsidRPr="00730468">
        <w:t xml:space="preserve">3.4.1. </w:t>
      </w:r>
      <w:bookmarkStart w:id="68" w:name="_Toc487572220"/>
      <w:bookmarkStart w:id="69" w:name="_Toc487707060"/>
      <w:r w:rsidR="00656191" w:rsidRPr="00730468">
        <w:t>Sector type (ST)</w:t>
      </w:r>
      <w:bookmarkEnd w:id="67"/>
      <w:bookmarkEnd w:id="68"/>
      <w:bookmarkEnd w:id="69"/>
    </w:p>
    <w:p w:rsidR="00077A36" w:rsidRDefault="00F3465A" w:rsidP="00225262">
      <w:pPr>
        <w:spacing w:line="360" w:lineRule="auto"/>
        <w:jc w:val="both"/>
        <w:rPr>
          <w:color w:val="000000" w:themeColor="text1"/>
        </w:rPr>
      </w:pPr>
      <w:r w:rsidRPr="00730468">
        <w:rPr>
          <w:color w:val="000000" w:themeColor="text1"/>
        </w:rPr>
        <w:t xml:space="preserve">Sector type or industrial type refers to the industry that MNEs enter in the host country. </w:t>
      </w:r>
      <w:r w:rsidR="00656191" w:rsidRPr="00730468">
        <w:rPr>
          <w:color w:val="000000" w:themeColor="text1"/>
        </w:rPr>
        <w:t>According to previous studies (Brouthers &amp; Brouthers, 2003; Ekeledo &amp; Sivakumar, 2004), the selection of entry mode might be different, depending o</w:t>
      </w:r>
      <w:r w:rsidRPr="00730468">
        <w:rPr>
          <w:color w:val="000000" w:themeColor="text1"/>
        </w:rPr>
        <w:t>n the industrial sectors the subsidiaries are joining in. There are classified as</w:t>
      </w:r>
      <w:r w:rsidR="00656191" w:rsidRPr="00730468">
        <w:rPr>
          <w:color w:val="000000" w:themeColor="text1"/>
        </w:rPr>
        <w:t xml:space="preserve"> services and manufacturing</w:t>
      </w:r>
      <w:r w:rsidRPr="00730468">
        <w:rPr>
          <w:color w:val="000000" w:themeColor="text1"/>
        </w:rPr>
        <w:t xml:space="preserve"> companies</w:t>
      </w:r>
      <w:r w:rsidR="00656191" w:rsidRPr="00730468">
        <w:rPr>
          <w:color w:val="000000" w:themeColor="text1"/>
        </w:rPr>
        <w:t xml:space="preserve">. The data on this variable is obtained from Orbis and the classiﬁcation is based on the </w:t>
      </w:r>
      <w:r w:rsidR="00F67A08">
        <w:rPr>
          <w:color w:val="000000" w:themeColor="text1"/>
        </w:rPr>
        <w:t>target US SIC code(s)</w:t>
      </w:r>
      <w:r w:rsidR="00656191" w:rsidRPr="00730468">
        <w:rPr>
          <w:color w:val="000000" w:themeColor="text1"/>
        </w:rPr>
        <w:t xml:space="preserve">. As a result, there are 505 service sector transactions are coded as 1 and 264 manufacturing sector transactions are coded as 0. </w:t>
      </w:r>
    </w:p>
    <w:p w:rsidR="00225262" w:rsidRPr="00730468" w:rsidRDefault="00225262" w:rsidP="00225262">
      <w:pPr>
        <w:spacing w:line="360" w:lineRule="auto"/>
        <w:jc w:val="both"/>
        <w:rPr>
          <w:b/>
          <w:color w:val="000000" w:themeColor="text1"/>
        </w:rPr>
      </w:pPr>
    </w:p>
    <w:p w:rsidR="00CE33A4" w:rsidRPr="00730468" w:rsidRDefault="00F7094D" w:rsidP="00DF3F76">
      <w:pPr>
        <w:pStyle w:val="Heading3"/>
        <w:spacing w:line="360" w:lineRule="auto"/>
      </w:pPr>
      <w:bookmarkStart w:id="70" w:name="_Toc487572221"/>
      <w:bookmarkStart w:id="71" w:name="_Toc487707061"/>
      <w:bookmarkStart w:id="72" w:name="_Toc489287951"/>
      <w:r w:rsidRPr="00730468">
        <w:t xml:space="preserve">3.4.2. </w:t>
      </w:r>
      <w:r w:rsidR="00CE33A4" w:rsidRPr="00730468">
        <w:t>Rule of law</w:t>
      </w:r>
      <w:r w:rsidR="00CB0624" w:rsidRPr="00730468">
        <w:t xml:space="preserve"> (ROL)</w:t>
      </w:r>
      <w:bookmarkEnd w:id="70"/>
      <w:bookmarkEnd w:id="71"/>
      <w:bookmarkEnd w:id="72"/>
    </w:p>
    <w:p w:rsidR="00CE33A4" w:rsidRPr="00730468" w:rsidRDefault="002F5532" w:rsidP="00DF3F76">
      <w:pPr>
        <w:spacing w:line="360" w:lineRule="auto"/>
        <w:jc w:val="both"/>
      </w:pPr>
      <w:r w:rsidRPr="00730468">
        <w:t xml:space="preserve">In the study </w:t>
      </w:r>
      <w:r w:rsidR="00375B8D">
        <w:t>by</w:t>
      </w:r>
      <w:r w:rsidRPr="00730468">
        <w:t xml:space="preserve"> Duanmu (2011), the results suggest that the home country's rule of law affect its MNEs choice in terms of entry mode. </w:t>
      </w:r>
      <w:r w:rsidR="007435E3" w:rsidRPr="00730468">
        <w:t>Specifically, t</w:t>
      </w:r>
      <w:r w:rsidR="00CE33A4" w:rsidRPr="00730468">
        <w:t xml:space="preserve">he better rule of law </w:t>
      </w:r>
      <w:r w:rsidRPr="00730468">
        <w:t>of the MNE’ home country</w:t>
      </w:r>
      <w:r w:rsidR="00CE33A4" w:rsidRPr="00730468">
        <w:t xml:space="preserve">, the more likely </w:t>
      </w:r>
      <w:r w:rsidRPr="00730468">
        <w:t>MNE</w:t>
      </w:r>
      <w:r w:rsidR="00CE33A4" w:rsidRPr="00730468">
        <w:t xml:space="preserve"> choose</w:t>
      </w:r>
      <w:r w:rsidRPr="00730468">
        <w:t>s</w:t>
      </w:r>
      <w:r w:rsidR="00CE33A4" w:rsidRPr="00730468">
        <w:t xml:space="preserve"> JV over WOS. </w:t>
      </w:r>
      <w:r w:rsidRPr="00730468">
        <w:t xml:space="preserve">Similar as that study </w:t>
      </w:r>
      <w:r w:rsidR="00375B8D">
        <w:t>by</w:t>
      </w:r>
      <w:r w:rsidRPr="00730468">
        <w:t xml:space="preserve"> Duanmu (2011), data of rule of law</w:t>
      </w:r>
      <w:r w:rsidR="007435E3" w:rsidRPr="00730468">
        <w:t xml:space="preserve"> in this study</w:t>
      </w:r>
      <w:r w:rsidRPr="00730468">
        <w:t xml:space="preserve"> is collected from World Governance Indicators by World Bank.</w:t>
      </w:r>
      <w:r w:rsidR="007435E3" w:rsidRPr="00730468">
        <w:t xml:space="preserve"> Rule of law of each MNE’s home country scores from − 2 to 2, higher values indicate better rule of law system in that country</w:t>
      </w:r>
    </w:p>
    <w:p w:rsidR="00CE33A4" w:rsidRPr="00730468" w:rsidRDefault="00CE33A4" w:rsidP="00DF3F76">
      <w:pPr>
        <w:spacing w:line="360" w:lineRule="auto"/>
        <w:jc w:val="both"/>
      </w:pPr>
    </w:p>
    <w:p w:rsidR="00CE33A4" w:rsidRPr="00730468" w:rsidRDefault="00F7094D" w:rsidP="00DF3F76">
      <w:pPr>
        <w:pStyle w:val="Heading3"/>
        <w:spacing w:line="360" w:lineRule="auto"/>
      </w:pPr>
      <w:bookmarkStart w:id="73" w:name="_Toc487572222"/>
      <w:bookmarkStart w:id="74" w:name="_Toc487707062"/>
      <w:bookmarkStart w:id="75" w:name="_Toc489287952"/>
      <w:r w:rsidRPr="00730468">
        <w:t xml:space="preserve">3.4.3. </w:t>
      </w:r>
      <w:r w:rsidR="007435E3" w:rsidRPr="00730468">
        <w:t>Political r</w:t>
      </w:r>
      <w:r w:rsidR="00CE33A4" w:rsidRPr="00730468">
        <w:t>isk</w:t>
      </w:r>
      <w:r w:rsidR="00CB0624" w:rsidRPr="00730468">
        <w:t xml:space="preserve"> (PR)</w:t>
      </w:r>
      <w:bookmarkEnd w:id="73"/>
      <w:bookmarkEnd w:id="74"/>
      <w:bookmarkEnd w:id="75"/>
    </w:p>
    <w:p w:rsidR="00CE33A4" w:rsidRPr="00730468" w:rsidRDefault="00D8339A" w:rsidP="00DF3F76">
      <w:pPr>
        <w:spacing w:line="360" w:lineRule="auto"/>
        <w:jc w:val="both"/>
      </w:pPr>
      <w:r>
        <w:t xml:space="preserve">In entry mode choices literature, political risk </w:t>
      </w:r>
      <w:r w:rsidR="00375B8D">
        <w:t>is</w:t>
      </w:r>
      <w:r>
        <w:t xml:space="preserve"> used in many previous studies (e.g., Kobrin, 1983; </w:t>
      </w:r>
      <w:r w:rsidRPr="00D8339A">
        <w:t>Akhter &amp; Lusch, 1988; Delios &amp; Henisz, 2</w:t>
      </w:r>
      <w:r>
        <w:t xml:space="preserve">000; Henisz, 2000). </w:t>
      </w:r>
      <w:r w:rsidR="007435E3" w:rsidRPr="00730468">
        <w:t>Similar to rule of law, t</w:t>
      </w:r>
      <w:r w:rsidR="00233256" w:rsidRPr="00730468">
        <w:t>he political risk of the MNE’s home country is measured by using the political stability index which</w:t>
      </w:r>
      <w:r w:rsidR="00EB435B" w:rsidRPr="00730468">
        <w:t xml:space="preserve"> is </w:t>
      </w:r>
      <w:r w:rsidR="00BA2739" w:rsidRPr="00730468">
        <w:t>drawn from World Bank</w:t>
      </w:r>
      <w:r w:rsidR="006A59A3" w:rsidRPr="00730468">
        <w:t xml:space="preserve">. </w:t>
      </w:r>
      <w:r w:rsidR="007435E3" w:rsidRPr="00730468">
        <w:t>The index varies</w:t>
      </w:r>
      <w:r w:rsidR="006A59A3" w:rsidRPr="00730468">
        <w:t xml:space="preserve"> from</w:t>
      </w:r>
      <w:r w:rsidR="00BA2739" w:rsidRPr="00730468">
        <w:t xml:space="preserve"> − 2 to 2, higher values indicate more stable system in MNE’s home country.</w:t>
      </w:r>
      <w:r w:rsidRPr="00D8339A">
        <w:t xml:space="preserve"> </w:t>
      </w:r>
    </w:p>
    <w:p w:rsidR="00CB0624" w:rsidRPr="00730468" w:rsidRDefault="00CB0624" w:rsidP="00DF3F76">
      <w:pPr>
        <w:spacing w:line="360" w:lineRule="auto"/>
        <w:jc w:val="both"/>
      </w:pPr>
    </w:p>
    <w:p w:rsidR="00CB0624" w:rsidRPr="00730468" w:rsidRDefault="00F7094D" w:rsidP="00DF3F76">
      <w:pPr>
        <w:pStyle w:val="Heading3"/>
        <w:spacing w:line="360" w:lineRule="auto"/>
      </w:pPr>
      <w:bookmarkStart w:id="76" w:name="_Toc487572223"/>
      <w:bookmarkStart w:id="77" w:name="_Toc487707063"/>
      <w:bookmarkStart w:id="78" w:name="_Toc489287953"/>
      <w:r w:rsidRPr="00730468">
        <w:t xml:space="preserve">3.4.4. </w:t>
      </w:r>
      <w:r w:rsidR="00CB0624" w:rsidRPr="00730468">
        <w:t>Year (YEAR)</w:t>
      </w:r>
      <w:bookmarkEnd w:id="76"/>
      <w:bookmarkEnd w:id="77"/>
      <w:bookmarkEnd w:id="78"/>
    </w:p>
    <w:p w:rsidR="00CB0624" w:rsidRPr="00730468" w:rsidRDefault="00771452" w:rsidP="00DF3F76">
      <w:pPr>
        <w:spacing w:line="360" w:lineRule="auto"/>
        <w:jc w:val="both"/>
      </w:pPr>
      <w:r w:rsidRPr="00730468">
        <w:t xml:space="preserve">This variable implies the year of incorporation of the subsidiary. It is necessary to include a variable for year </w:t>
      </w:r>
      <w:r w:rsidR="00CB0624" w:rsidRPr="00730468">
        <w:t xml:space="preserve">to control for fluctuations in macroeconomic conditions or industry trends toward or against particular </w:t>
      </w:r>
      <w:r w:rsidRPr="00730468">
        <w:t>selection of entry mode</w:t>
      </w:r>
      <w:r w:rsidR="00CB0624" w:rsidRPr="00730468">
        <w:t xml:space="preserve"> </w:t>
      </w:r>
      <w:r w:rsidRPr="00730468">
        <w:t>during</w:t>
      </w:r>
      <w:r w:rsidR="00CB0624" w:rsidRPr="00730468">
        <w:t xml:space="preserve"> the study period.</w:t>
      </w:r>
    </w:p>
    <w:p w:rsidR="00271A85" w:rsidRDefault="00271A85">
      <w:pPr>
        <w:spacing w:after="200" w:line="276" w:lineRule="auto"/>
      </w:pPr>
      <w:r>
        <w:br w:type="page"/>
      </w:r>
    </w:p>
    <w:p w:rsidR="0029130C" w:rsidRPr="00730468" w:rsidRDefault="0029130C" w:rsidP="00DF3F76">
      <w:pPr>
        <w:spacing w:after="200" w:line="360" w:lineRule="auto"/>
      </w:pPr>
      <w:r w:rsidRPr="00730468">
        <w:lastRenderedPageBreak/>
        <w:t>All variables and its sources are summarized as following:</w:t>
      </w:r>
    </w:p>
    <w:tbl>
      <w:tblPr>
        <w:tblStyle w:val="TableGrid"/>
        <w:tblW w:w="9686" w:type="dxa"/>
        <w:tblLook w:val="04A0" w:firstRow="1" w:lastRow="0" w:firstColumn="1" w:lastColumn="0" w:noHBand="0" w:noVBand="1"/>
      </w:tblPr>
      <w:tblGrid>
        <w:gridCol w:w="2352"/>
        <w:gridCol w:w="4726"/>
        <w:gridCol w:w="2608"/>
      </w:tblGrid>
      <w:tr w:rsidR="002A767A" w:rsidRPr="00730468" w:rsidTr="00271A85">
        <w:trPr>
          <w:trHeight w:val="242"/>
        </w:trPr>
        <w:tc>
          <w:tcPr>
            <w:tcW w:w="2352" w:type="dxa"/>
            <w:hideMark/>
          </w:tcPr>
          <w:p w:rsidR="002A767A" w:rsidRPr="00730468" w:rsidRDefault="002A767A" w:rsidP="00DF3F76">
            <w:pPr>
              <w:spacing w:line="360" w:lineRule="auto"/>
              <w:rPr>
                <w:b/>
                <w:bCs/>
              </w:rPr>
            </w:pPr>
            <w:r w:rsidRPr="00730468">
              <w:rPr>
                <w:b/>
                <w:bCs/>
              </w:rPr>
              <w:t>Variable</w:t>
            </w:r>
          </w:p>
        </w:tc>
        <w:tc>
          <w:tcPr>
            <w:tcW w:w="4726" w:type="dxa"/>
            <w:hideMark/>
          </w:tcPr>
          <w:p w:rsidR="002A767A" w:rsidRPr="00730468" w:rsidRDefault="002A767A" w:rsidP="00DF3F76">
            <w:pPr>
              <w:spacing w:line="360" w:lineRule="auto"/>
              <w:rPr>
                <w:b/>
                <w:bCs/>
              </w:rPr>
            </w:pPr>
            <w:r w:rsidRPr="00730468">
              <w:rPr>
                <w:b/>
                <w:bCs/>
              </w:rPr>
              <w:t>Definition</w:t>
            </w:r>
          </w:p>
        </w:tc>
        <w:tc>
          <w:tcPr>
            <w:tcW w:w="2608" w:type="dxa"/>
            <w:hideMark/>
          </w:tcPr>
          <w:p w:rsidR="002A767A" w:rsidRPr="00730468" w:rsidRDefault="002A767A" w:rsidP="00DF3F76">
            <w:pPr>
              <w:spacing w:line="360" w:lineRule="auto"/>
              <w:rPr>
                <w:b/>
                <w:bCs/>
              </w:rPr>
            </w:pPr>
            <w:r w:rsidRPr="00730468">
              <w:rPr>
                <w:b/>
                <w:bCs/>
              </w:rPr>
              <w:t>Source</w:t>
            </w:r>
          </w:p>
        </w:tc>
      </w:tr>
      <w:tr w:rsidR="002A767A" w:rsidRPr="00730468" w:rsidTr="00271A85">
        <w:trPr>
          <w:trHeight w:val="260"/>
        </w:trPr>
        <w:tc>
          <w:tcPr>
            <w:tcW w:w="9686" w:type="dxa"/>
            <w:gridSpan w:val="3"/>
            <w:hideMark/>
          </w:tcPr>
          <w:p w:rsidR="002A767A" w:rsidRPr="00730468" w:rsidRDefault="002A767A" w:rsidP="00DF3F76">
            <w:pPr>
              <w:spacing w:line="360" w:lineRule="auto"/>
            </w:pPr>
            <w:r w:rsidRPr="00730468">
              <w:rPr>
                <w:i/>
                <w:iCs/>
              </w:rPr>
              <w:t>Dependent</w:t>
            </w:r>
          </w:p>
        </w:tc>
      </w:tr>
      <w:tr w:rsidR="002A767A" w:rsidRPr="00730468" w:rsidTr="00271A85">
        <w:trPr>
          <w:trHeight w:val="746"/>
        </w:trPr>
        <w:tc>
          <w:tcPr>
            <w:tcW w:w="2352" w:type="dxa"/>
            <w:hideMark/>
          </w:tcPr>
          <w:p w:rsidR="002A767A" w:rsidRPr="00730468" w:rsidRDefault="002A767A" w:rsidP="00DF3F76">
            <w:pPr>
              <w:spacing w:line="360" w:lineRule="auto"/>
            </w:pPr>
            <w:r w:rsidRPr="00730468">
              <w:t>Ownership choice (MODE)</w:t>
            </w:r>
          </w:p>
        </w:tc>
        <w:tc>
          <w:tcPr>
            <w:tcW w:w="4726" w:type="dxa"/>
            <w:hideMark/>
          </w:tcPr>
          <w:p w:rsidR="002A767A" w:rsidRPr="00730468" w:rsidRDefault="002A767A" w:rsidP="00DF3F76">
            <w:pPr>
              <w:spacing w:line="360" w:lineRule="auto"/>
            </w:pPr>
            <w:r w:rsidRPr="00730468">
              <w:rPr>
                <w:iCs/>
              </w:rPr>
              <w:t>MNE enters Indian market via full ownership mode - WOS</w:t>
            </w:r>
            <w:r w:rsidRPr="00730468">
              <w:t xml:space="preserve"> (coded 1) or shared-ownership mode - JV (coded 0)</w:t>
            </w:r>
          </w:p>
        </w:tc>
        <w:tc>
          <w:tcPr>
            <w:tcW w:w="2608" w:type="dxa"/>
            <w:hideMark/>
          </w:tcPr>
          <w:p w:rsidR="002A767A" w:rsidRPr="00730468" w:rsidRDefault="002A767A" w:rsidP="00DF3F76">
            <w:pPr>
              <w:spacing w:line="360" w:lineRule="auto"/>
            </w:pPr>
            <w:r w:rsidRPr="00730468">
              <w:t>Orbis</w:t>
            </w:r>
          </w:p>
        </w:tc>
      </w:tr>
      <w:tr w:rsidR="002A767A" w:rsidRPr="00730468" w:rsidTr="00F65E94">
        <w:trPr>
          <w:trHeight w:val="64"/>
        </w:trPr>
        <w:tc>
          <w:tcPr>
            <w:tcW w:w="9686" w:type="dxa"/>
            <w:gridSpan w:val="3"/>
            <w:hideMark/>
          </w:tcPr>
          <w:p w:rsidR="002A767A" w:rsidRPr="00730468" w:rsidRDefault="002A767A" w:rsidP="00DF3F76">
            <w:pPr>
              <w:spacing w:line="360" w:lineRule="auto"/>
            </w:pPr>
          </w:p>
        </w:tc>
      </w:tr>
      <w:tr w:rsidR="002A767A" w:rsidRPr="00730468" w:rsidTr="00F65E94">
        <w:trPr>
          <w:trHeight w:val="64"/>
        </w:trPr>
        <w:tc>
          <w:tcPr>
            <w:tcW w:w="9686" w:type="dxa"/>
            <w:gridSpan w:val="3"/>
            <w:hideMark/>
          </w:tcPr>
          <w:p w:rsidR="002A767A" w:rsidRPr="00730468" w:rsidRDefault="002A767A" w:rsidP="00DF3F76">
            <w:pPr>
              <w:spacing w:line="360" w:lineRule="auto"/>
            </w:pPr>
            <w:r w:rsidRPr="00730468">
              <w:rPr>
                <w:i/>
                <w:iCs/>
              </w:rPr>
              <w:t>Independent</w:t>
            </w:r>
          </w:p>
        </w:tc>
      </w:tr>
      <w:tr w:rsidR="002A767A" w:rsidRPr="00730468" w:rsidTr="00F65E94">
        <w:trPr>
          <w:trHeight w:val="64"/>
        </w:trPr>
        <w:tc>
          <w:tcPr>
            <w:tcW w:w="2352" w:type="dxa"/>
          </w:tcPr>
          <w:p w:rsidR="002A767A" w:rsidRPr="00730468" w:rsidRDefault="002A767A" w:rsidP="00DF3F76">
            <w:pPr>
              <w:spacing w:line="360" w:lineRule="auto"/>
            </w:pPr>
            <w:r w:rsidRPr="00730468">
              <w:t>Economic distance (ED)</w:t>
            </w:r>
          </w:p>
        </w:tc>
        <w:tc>
          <w:tcPr>
            <w:tcW w:w="4726" w:type="dxa"/>
          </w:tcPr>
          <w:p w:rsidR="002A767A" w:rsidRPr="00730468" w:rsidRDefault="002A767A" w:rsidP="00DF3F76">
            <w:pPr>
              <w:spacing w:line="360" w:lineRule="auto"/>
            </w:pPr>
            <w:r w:rsidRPr="00730468">
              <w:t xml:space="preserve">Natural </w:t>
            </w:r>
            <w:r w:rsidR="00D5023F" w:rsidRPr="00D5023F">
              <w:rPr>
                <w:noProof/>
              </w:rPr>
              <w:t xml:space="preserve">logarithm </w:t>
            </w:r>
            <w:r w:rsidRPr="00730468">
              <w:t>of absolute difference in GDP per capita index between investor (home) country and India</w:t>
            </w:r>
          </w:p>
        </w:tc>
        <w:tc>
          <w:tcPr>
            <w:tcW w:w="2608" w:type="dxa"/>
          </w:tcPr>
          <w:p w:rsidR="002A767A" w:rsidRPr="00730468" w:rsidRDefault="002A767A" w:rsidP="00DF3F76">
            <w:pPr>
              <w:spacing w:line="360" w:lineRule="auto"/>
            </w:pPr>
            <w:r w:rsidRPr="00730468">
              <w:t>World Bank</w:t>
            </w:r>
          </w:p>
        </w:tc>
      </w:tr>
      <w:tr w:rsidR="002A767A" w:rsidRPr="00730468" w:rsidTr="00F65E94">
        <w:trPr>
          <w:trHeight w:val="64"/>
        </w:trPr>
        <w:tc>
          <w:tcPr>
            <w:tcW w:w="2352" w:type="dxa"/>
          </w:tcPr>
          <w:p w:rsidR="002A767A" w:rsidRPr="00730468" w:rsidRDefault="002A767A" w:rsidP="00DF3F76">
            <w:pPr>
              <w:spacing w:line="360" w:lineRule="auto"/>
            </w:pPr>
            <w:r w:rsidRPr="00730468">
              <w:t>Geographic distance (GD)</w:t>
            </w:r>
          </w:p>
        </w:tc>
        <w:tc>
          <w:tcPr>
            <w:tcW w:w="4726" w:type="dxa"/>
          </w:tcPr>
          <w:p w:rsidR="002A767A" w:rsidRPr="00730468" w:rsidRDefault="002A767A" w:rsidP="00DF3F76">
            <w:pPr>
              <w:spacing w:line="360" w:lineRule="auto"/>
            </w:pPr>
            <w:r w:rsidRPr="00D5023F">
              <w:rPr>
                <w:noProof/>
              </w:rPr>
              <w:t>Natural log</w:t>
            </w:r>
            <w:r w:rsidR="00D5023F" w:rsidRPr="00D5023F">
              <w:rPr>
                <w:noProof/>
              </w:rPr>
              <w:t>arithm</w:t>
            </w:r>
            <w:r w:rsidRPr="00D5023F">
              <w:rPr>
                <w:noProof/>
              </w:rPr>
              <w:t xml:space="preserve"> of great circle distance </w:t>
            </w:r>
            <w:r w:rsidRPr="00D5023F">
              <w:t xml:space="preserve">between New Delhi and the capital city of MNE’s home country </w:t>
            </w:r>
            <w:r w:rsidR="00D5023F" w:rsidRPr="00D5023F">
              <w:rPr>
                <w:noProof/>
              </w:rPr>
              <w:t>in kilometers</w:t>
            </w:r>
          </w:p>
        </w:tc>
        <w:tc>
          <w:tcPr>
            <w:tcW w:w="2608" w:type="dxa"/>
          </w:tcPr>
          <w:p w:rsidR="002A767A" w:rsidRPr="00730468" w:rsidRDefault="002A767A" w:rsidP="00DF3F76">
            <w:pPr>
              <w:spacing w:line="360" w:lineRule="auto"/>
            </w:pPr>
            <w:r w:rsidRPr="00730468">
              <w:t>www.timeanddate.com</w:t>
            </w:r>
          </w:p>
        </w:tc>
      </w:tr>
      <w:tr w:rsidR="002A767A" w:rsidRPr="00730468" w:rsidTr="00F65E94">
        <w:trPr>
          <w:trHeight w:val="64"/>
        </w:trPr>
        <w:tc>
          <w:tcPr>
            <w:tcW w:w="2352" w:type="dxa"/>
          </w:tcPr>
          <w:p w:rsidR="002A767A" w:rsidRPr="00730468" w:rsidRDefault="002A767A" w:rsidP="00DF3F76">
            <w:pPr>
              <w:spacing w:line="360" w:lineRule="auto"/>
            </w:pPr>
            <w:r w:rsidRPr="00730468">
              <w:t xml:space="preserve">Cultural distance </w:t>
            </w:r>
          </w:p>
          <w:p w:rsidR="002A767A" w:rsidRPr="00730468" w:rsidRDefault="002A767A" w:rsidP="00DF3F76">
            <w:pPr>
              <w:spacing w:line="360" w:lineRule="auto"/>
            </w:pPr>
            <w:r w:rsidRPr="00730468">
              <w:t>(CD)</w:t>
            </w:r>
          </w:p>
        </w:tc>
        <w:tc>
          <w:tcPr>
            <w:tcW w:w="4726" w:type="dxa"/>
          </w:tcPr>
          <w:p w:rsidR="002A767A" w:rsidRPr="00730468" w:rsidRDefault="002A767A" w:rsidP="00DF3F76">
            <w:pPr>
              <w:spacing w:line="360" w:lineRule="auto"/>
            </w:pPr>
            <w:r w:rsidRPr="00730468">
              <w:t>Distance between the MNE’s home country and India across the four cultural dimensions of </w:t>
            </w:r>
            <w:r w:rsidRPr="00730468">
              <w:rPr>
                <w:color w:val="000000" w:themeColor="text1"/>
              </w:rPr>
              <w:t xml:space="preserve"> </w:t>
            </w:r>
            <w:r w:rsidRPr="00730468">
              <w:t>Hofstede’s (1980), computation based on Euclidean measure</w:t>
            </w:r>
          </w:p>
        </w:tc>
        <w:tc>
          <w:tcPr>
            <w:tcW w:w="2608" w:type="dxa"/>
          </w:tcPr>
          <w:p w:rsidR="002A767A" w:rsidRPr="00730468" w:rsidRDefault="002A767A" w:rsidP="00DF3F76">
            <w:pPr>
              <w:spacing w:line="360" w:lineRule="auto"/>
            </w:pPr>
            <w:r w:rsidRPr="00730468">
              <w:t>Hofstede (</w:t>
            </w:r>
            <w:hyperlink r:id="rId14" w:tgtFrame="_blank" w:history="1">
              <w:r w:rsidRPr="00730468">
                <w:t>www.geert-hofstede.com</w:t>
              </w:r>
            </w:hyperlink>
            <w:r w:rsidRPr="00730468">
              <w:t>)</w:t>
            </w:r>
          </w:p>
        </w:tc>
      </w:tr>
      <w:tr w:rsidR="002A767A" w:rsidRPr="00730468" w:rsidTr="00F65E94">
        <w:trPr>
          <w:trHeight w:val="64"/>
        </w:trPr>
        <w:tc>
          <w:tcPr>
            <w:tcW w:w="2352" w:type="dxa"/>
            <w:hideMark/>
          </w:tcPr>
          <w:p w:rsidR="002A767A" w:rsidRPr="00730468" w:rsidRDefault="002A767A" w:rsidP="00DF3F76">
            <w:pPr>
              <w:spacing w:line="360" w:lineRule="auto"/>
            </w:pPr>
            <w:r w:rsidRPr="00730468">
              <w:t>Governance distance (GoD)</w:t>
            </w:r>
          </w:p>
        </w:tc>
        <w:tc>
          <w:tcPr>
            <w:tcW w:w="4726" w:type="dxa"/>
            <w:hideMark/>
          </w:tcPr>
          <w:p w:rsidR="002A767A" w:rsidRPr="00730468" w:rsidRDefault="002A767A" w:rsidP="00DF3F76">
            <w:pPr>
              <w:spacing w:line="360" w:lineRule="auto"/>
            </w:pPr>
            <w:r w:rsidRPr="00730468">
              <w:t>Distance between the MNE’s home country and India across the six governance quality dimensions of </w:t>
            </w:r>
            <w:bookmarkStart w:id="79" w:name="bbib0195"/>
            <w:r w:rsidRPr="00730468">
              <w:t>Kaufmann et al. (2009)</w:t>
            </w:r>
            <w:bookmarkEnd w:id="79"/>
            <w:r w:rsidRPr="00730468">
              <w:t>, computation based on Euclidean measure</w:t>
            </w:r>
          </w:p>
        </w:tc>
        <w:tc>
          <w:tcPr>
            <w:tcW w:w="2608" w:type="dxa"/>
            <w:hideMark/>
          </w:tcPr>
          <w:p w:rsidR="002A767A" w:rsidRPr="00730468" w:rsidRDefault="002A767A" w:rsidP="00DF3F76">
            <w:pPr>
              <w:spacing w:line="360" w:lineRule="auto"/>
            </w:pPr>
            <w:r w:rsidRPr="00730468">
              <w:t>World Bank</w:t>
            </w:r>
          </w:p>
        </w:tc>
      </w:tr>
      <w:tr w:rsidR="00C519AA" w:rsidRPr="00730468" w:rsidTr="00F65E94">
        <w:trPr>
          <w:trHeight w:val="64"/>
        </w:trPr>
        <w:tc>
          <w:tcPr>
            <w:tcW w:w="2352" w:type="dxa"/>
          </w:tcPr>
          <w:p w:rsidR="00C519AA" w:rsidRPr="00730468" w:rsidRDefault="00C519AA" w:rsidP="00DF3F76">
            <w:pPr>
              <w:spacing w:line="360" w:lineRule="auto"/>
            </w:pPr>
            <w:r w:rsidRPr="00730468">
              <w:t>India experience</w:t>
            </w:r>
          </w:p>
          <w:p w:rsidR="00C519AA" w:rsidRPr="00730468" w:rsidRDefault="00C519AA" w:rsidP="00DF3F76">
            <w:pPr>
              <w:spacing w:line="360" w:lineRule="auto"/>
            </w:pPr>
            <w:r w:rsidRPr="00730468">
              <w:t>(IE)</w:t>
            </w:r>
          </w:p>
        </w:tc>
        <w:tc>
          <w:tcPr>
            <w:tcW w:w="4726" w:type="dxa"/>
          </w:tcPr>
          <w:p w:rsidR="00C519AA" w:rsidRPr="00730468" w:rsidRDefault="00C519AA" w:rsidP="00DF3F76">
            <w:pPr>
              <w:spacing w:line="360" w:lineRule="auto"/>
            </w:pPr>
            <w:r w:rsidRPr="00730468">
              <w:t>Measure if an MNE has experience in Indian market yet, coded 1 if for those already have, and 0 for those enterprises do not have experience yet</w:t>
            </w:r>
          </w:p>
        </w:tc>
        <w:tc>
          <w:tcPr>
            <w:tcW w:w="2608" w:type="dxa"/>
          </w:tcPr>
          <w:p w:rsidR="00C519AA" w:rsidRPr="00730468" w:rsidRDefault="00C519AA" w:rsidP="00DF3F76">
            <w:pPr>
              <w:spacing w:line="360" w:lineRule="auto"/>
            </w:pPr>
            <w:r w:rsidRPr="00730468">
              <w:t>Orbis</w:t>
            </w:r>
          </w:p>
        </w:tc>
      </w:tr>
      <w:tr w:rsidR="00C519AA" w:rsidRPr="00730468" w:rsidTr="00F65E94">
        <w:trPr>
          <w:trHeight w:val="64"/>
        </w:trPr>
        <w:tc>
          <w:tcPr>
            <w:tcW w:w="2352" w:type="dxa"/>
          </w:tcPr>
          <w:p w:rsidR="00C519AA" w:rsidRPr="00730468" w:rsidRDefault="00C519AA" w:rsidP="00DF3F76">
            <w:pPr>
              <w:spacing w:line="360" w:lineRule="auto"/>
            </w:pPr>
            <w:r w:rsidRPr="00730468">
              <w:t xml:space="preserve">Size </w:t>
            </w:r>
          </w:p>
          <w:p w:rsidR="00C519AA" w:rsidRPr="00730468" w:rsidRDefault="00C519AA" w:rsidP="00DF3F76">
            <w:pPr>
              <w:spacing w:line="360" w:lineRule="auto"/>
            </w:pPr>
            <w:r w:rsidRPr="00730468">
              <w:t>(SIZE)</w:t>
            </w:r>
          </w:p>
        </w:tc>
        <w:tc>
          <w:tcPr>
            <w:tcW w:w="4726" w:type="dxa"/>
          </w:tcPr>
          <w:p w:rsidR="00C519AA" w:rsidRPr="00730468" w:rsidRDefault="00C519AA" w:rsidP="00DF3F76">
            <w:pPr>
              <w:spacing w:line="360" w:lineRule="auto"/>
            </w:pPr>
            <w:r w:rsidRPr="00730468">
              <w:t>Small and medium enterprises are coded as 0, large and very large companies are coded as 1</w:t>
            </w:r>
          </w:p>
        </w:tc>
        <w:tc>
          <w:tcPr>
            <w:tcW w:w="2608" w:type="dxa"/>
          </w:tcPr>
          <w:p w:rsidR="00C519AA" w:rsidRPr="00730468" w:rsidRDefault="00C519AA" w:rsidP="00DF3F76">
            <w:pPr>
              <w:spacing w:line="360" w:lineRule="auto"/>
            </w:pPr>
            <w:r w:rsidRPr="00730468">
              <w:t>Orbis</w:t>
            </w:r>
          </w:p>
        </w:tc>
      </w:tr>
      <w:tr w:rsidR="00C519AA" w:rsidRPr="00730468" w:rsidTr="00F65E94">
        <w:trPr>
          <w:trHeight w:val="64"/>
        </w:trPr>
        <w:tc>
          <w:tcPr>
            <w:tcW w:w="9686" w:type="dxa"/>
            <w:gridSpan w:val="3"/>
            <w:hideMark/>
          </w:tcPr>
          <w:p w:rsidR="00C519AA" w:rsidRPr="00730468" w:rsidRDefault="00C519AA" w:rsidP="00DF3F76">
            <w:pPr>
              <w:spacing w:line="360" w:lineRule="auto"/>
            </w:pPr>
          </w:p>
        </w:tc>
      </w:tr>
      <w:tr w:rsidR="00C519AA" w:rsidRPr="00730468" w:rsidTr="00F65E94">
        <w:trPr>
          <w:trHeight w:val="64"/>
        </w:trPr>
        <w:tc>
          <w:tcPr>
            <w:tcW w:w="9686" w:type="dxa"/>
            <w:gridSpan w:val="3"/>
            <w:hideMark/>
          </w:tcPr>
          <w:p w:rsidR="00C519AA" w:rsidRPr="00730468" w:rsidRDefault="00C519AA" w:rsidP="00DF3F76">
            <w:pPr>
              <w:spacing w:line="360" w:lineRule="auto"/>
            </w:pPr>
            <w:r w:rsidRPr="00730468">
              <w:rPr>
                <w:i/>
                <w:iCs/>
              </w:rPr>
              <w:t>Control</w:t>
            </w:r>
          </w:p>
        </w:tc>
      </w:tr>
      <w:tr w:rsidR="00C519AA" w:rsidRPr="00730468" w:rsidTr="00F65E94">
        <w:trPr>
          <w:trHeight w:val="64"/>
        </w:trPr>
        <w:tc>
          <w:tcPr>
            <w:tcW w:w="2352" w:type="dxa"/>
            <w:hideMark/>
          </w:tcPr>
          <w:p w:rsidR="00C519AA" w:rsidRPr="00730468" w:rsidRDefault="00C519AA" w:rsidP="00DF3F76">
            <w:pPr>
              <w:spacing w:line="360" w:lineRule="auto"/>
            </w:pPr>
            <w:r w:rsidRPr="00730468">
              <w:t>Political risk</w:t>
            </w:r>
          </w:p>
          <w:p w:rsidR="00C519AA" w:rsidRPr="00730468" w:rsidRDefault="00C519AA" w:rsidP="00DF3F76">
            <w:pPr>
              <w:spacing w:line="360" w:lineRule="auto"/>
            </w:pPr>
            <w:r w:rsidRPr="00730468">
              <w:lastRenderedPageBreak/>
              <w:t>(PR)</w:t>
            </w:r>
          </w:p>
        </w:tc>
        <w:tc>
          <w:tcPr>
            <w:tcW w:w="4726" w:type="dxa"/>
            <w:hideMark/>
          </w:tcPr>
          <w:p w:rsidR="00C519AA" w:rsidRPr="00730468" w:rsidRDefault="00C519AA" w:rsidP="00DF3F76">
            <w:pPr>
              <w:spacing w:line="360" w:lineRule="auto"/>
            </w:pPr>
            <w:r w:rsidRPr="00730468">
              <w:lastRenderedPageBreak/>
              <w:t xml:space="preserve">Score − 2 to 2, higher values indicate more </w:t>
            </w:r>
            <w:r w:rsidRPr="00730468">
              <w:lastRenderedPageBreak/>
              <w:t>stable system in MNE’s home country.</w:t>
            </w:r>
          </w:p>
        </w:tc>
        <w:tc>
          <w:tcPr>
            <w:tcW w:w="2608" w:type="dxa"/>
            <w:hideMark/>
          </w:tcPr>
          <w:p w:rsidR="00C519AA" w:rsidRPr="00730468" w:rsidRDefault="00C519AA" w:rsidP="00DF3F76">
            <w:pPr>
              <w:spacing w:line="360" w:lineRule="auto"/>
            </w:pPr>
            <w:r w:rsidRPr="00730468">
              <w:lastRenderedPageBreak/>
              <w:t>World Bank</w:t>
            </w:r>
          </w:p>
        </w:tc>
      </w:tr>
      <w:tr w:rsidR="00C519AA" w:rsidRPr="00730468" w:rsidTr="00F65E94">
        <w:trPr>
          <w:trHeight w:val="64"/>
        </w:trPr>
        <w:tc>
          <w:tcPr>
            <w:tcW w:w="2352" w:type="dxa"/>
            <w:hideMark/>
          </w:tcPr>
          <w:p w:rsidR="00C519AA" w:rsidRPr="00730468" w:rsidRDefault="00C519AA" w:rsidP="00DF3F76">
            <w:pPr>
              <w:spacing w:line="360" w:lineRule="auto"/>
            </w:pPr>
            <w:r w:rsidRPr="00730468">
              <w:lastRenderedPageBreak/>
              <w:t>Rule of law</w:t>
            </w:r>
          </w:p>
          <w:p w:rsidR="00C519AA" w:rsidRPr="00730468" w:rsidRDefault="00C519AA" w:rsidP="00DF3F76">
            <w:pPr>
              <w:spacing w:line="360" w:lineRule="auto"/>
            </w:pPr>
            <w:r w:rsidRPr="00730468">
              <w:t>(ROL)</w:t>
            </w:r>
          </w:p>
        </w:tc>
        <w:tc>
          <w:tcPr>
            <w:tcW w:w="4726" w:type="dxa"/>
            <w:hideMark/>
          </w:tcPr>
          <w:p w:rsidR="00C519AA" w:rsidRPr="00730468" w:rsidRDefault="00C519AA" w:rsidP="00DF3F76">
            <w:pPr>
              <w:spacing w:line="360" w:lineRule="auto"/>
            </w:pPr>
            <w:r w:rsidRPr="00730468">
              <w:t>Score − 2 to 2, higher values indicate better law system in MNE’s home country.</w:t>
            </w:r>
          </w:p>
        </w:tc>
        <w:tc>
          <w:tcPr>
            <w:tcW w:w="2608" w:type="dxa"/>
            <w:hideMark/>
          </w:tcPr>
          <w:p w:rsidR="00C519AA" w:rsidRPr="00730468" w:rsidRDefault="00C519AA" w:rsidP="00DF3F76">
            <w:pPr>
              <w:spacing w:line="360" w:lineRule="auto"/>
            </w:pPr>
            <w:r w:rsidRPr="00730468">
              <w:t>World Bank</w:t>
            </w:r>
          </w:p>
        </w:tc>
      </w:tr>
      <w:tr w:rsidR="00C519AA" w:rsidRPr="00730468" w:rsidTr="00F65E94">
        <w:trPr>
          <w:trHeight w:val="64"/>
        </w:trPr>
        <w:tc>
          <w:tcPr>
            <w:tcW w:w="2352" w:type="dxa"/>
            <w:hideMark/>
          </w:tcPr>
          <w:p w:rsidR="00C519AA" w:rsidRPr="00730468" w:rsidRDefault="00C519AA" w:rsidP="00DF3F76">
            <w:pPr>
              <w:spacing w:line="360" w:lineRule="auto"/>
            </w:pPr>
            <w:r w:rsidRPr="00730468">
              <w:t xml:space="preserve">Sector type (manufacturing/non-manufacturing) </w:t>
            </w:r>
          </w:p>
          <w:p w:rsidR="00C519AA" w:rsidRPr="00730468" w:rsidRDefault="00C519AA" w:rsidP="00DF3F76">
            <w:pPr>
              <w:spacing w:line="360" w:lineRule="auto"/>
            </w:pPr>
            <w:r w:rsidRPr="00730468">
              <w:t>(ST)</w:t>
            </w:r>
          </w:p>
        </w:tc>
        <w:tc>
          <w:tcPr>
            <w:tcW w:w="4726" w:type="dxa"/>
            <w:hideMark/>
          </w:tcPr>
          <w:p w:rsidR="00C519AA" w:rsidRPr="00730468" w:rsidRDefault="00C519AA" w:rsidP="00DF3F76">
            <w:pPr>
              <w:spacing w:line="360" w:lineRule="auto"/>
            </w:pPr>
            <w:r w:rsidRPr="00730468">
              <w:t>Measured if a subsidiary was executed in the manufacturing sector or not. Service sector (coded 1), manufacturing sector (coded 0).</w:t>
            </w:r>
          </w:p>
        </w:tc>
        <w:tc>
          <w:tcPr>
            <w:tcW w:w="2608" w:type="dxa"/>
            <w:hideMark/>
          </w:tcPr>
          <w:p w:rsidR="00C519AA" w:rsidRPr="00730468" w:rsidRDefault="00C519AA" w:rsidP="00DF3F76">
            <w:pPr>
              <w:spacing w:line="360" w:lineRule="auto"/>
            </w:pPr>
            <w:r w:rsidRPr="00730468">
              <w:t>Orbis</w:t>
            </w:r>
          </w:p>
        </w:tc>
      </w:tr>
      <w:tr w:rsidR="00C519AA" w:rsidRPr="00730468" w:rsidTr="00F65E94">
        <w:trPr>
          <w:trHeight w:val="64"/>
        </w:trPr>
        <w:tc>
          <w:tcPr>
            <w:tcW w:w="2352" w:type="dxa"/>
          </w:tcPr>
          <w:p w:rsidR="00C519AA" w:rsidRPr="00730468" w:rsidRDefault="00C519AA" w:rsidP="00DF3F76">
            <w:pPr>
              <w:spacing w:line="360" w:lineRule="auto"/>
            </w:pPr>
            <w:r w:rsidRPr="00730468">
              <w:t xml:space="preserve">Year </w:t>
            </w:r>
          </w:p>
          <w:p w:rsidR="00C519AA" w:rsidRPr="00730468" w:rsidRDefault="00C519AA" w:rsidP="00DF3F76">
            <w:pPr>
              <w:spacing w:line="360" w:lineRule="auto"/>
            </w:pPr>
            <w:r w:rsidRPr="00730468">
              <w:t>(YEAR)</w:t>
            </w:r>
          </w:p>
        </w:tc>
        <w:tc>
          <w:tcPr>
            <w:tcW w:w="4726" w:type="dxa"/>
          </w:tcPr>
          <w:p w:rsidR="00C519AA" w:rsidRPr="00730468" w:rsidRDefault="00C519AA" w:rsidP="00DF3F76">
            <w:pPr>
              <w:spacing w:line="360" w:lineRule="auto"/>
            </w:pPr>
            <w:r w:rsidRPr="00730468">
              <w:t>Indicating year of incorporation of the subsidiary</w:t>
            </w:r>
          </w:p>
        </w:tc>
        <w:tc>
          <w:tcPr>
            <w:tcW w:w="2608" w:type="dxa"/>
          </w:tcPr>
          <w:p w:rsidR="00C519AA" w:rsidRPr="00730468" w:rsidRDefault="00C519AA" w:rsidP="00DF3F76">
            <w:pPr>
              <w:spacing w:line="360" w:lineRule="auto"/>
            </w:pPr>
            <w:r w:rsidRPr="00730468">
              <w:t>Orbis</w:t>
            </w:r>
          </w:p>
        </w:tc>
      </w:tr>
    </w:tbl>
    <w:p w:rsidR="002A767A" w:rsidRDefault="002A767A" w:rsidP="00DF3F76">
      <w:pPr>
        <w:spacing w:line="360" w:lineRule="auto"/>
        <w:jc w:val="center"/>
      </w:pPr>
      <w:r w:rsidRPr="00730468">
        <w:t>Table 1. Variables, measure</w:t>
      </w:r>
      <w:r w:rsidR="0029130C" w:rsidRPr="00730468">
        <w:t>ments</w:t>
      </w:r>
      <w:r w:rsidRPr="00730468">
        <w:t xml:space="preserve"> and data sources.</w:t>
      </w:r>
    </w:p>
    <w:p w:rsidR="00271A85" w:rsidRPr="00730468" w:rsidRDefault="00271A85" w:rsidP="00DF3F76">
      <w:pPr>
        <w:spacing w:line="360" w:lineRule="auto"/>
        <w:jc w:val="center"/>
      </w:pPr>
    </w:p>
    <w:p w:rsidR="001054A0" w:rsidRPr="00730468" w:rsidRDefault="00656191" w:rsidP="00DF3F76">
      <w:pPr>
        <w:pStyle w:val="Heading2"/>
        <w:spacing w:line="360" w:lineRule="auto"/>
      </w:pPr>
      <w:r w:rsidRPr="00730468">
        <w:rPr>
          <w:rStyle w:val="Heading2Char"/>
        </w:rPr>
        <w:t xml:space="preserve"> </w:t>
      </w:r>
      <w:bookmarkStart w:id="80" w:name="_Toc487572224"/>
      <w:bookmarkStart w:id="81" w:name="_Toc487707064"/>
      <w:bookmarkStart w:id="82" w:name="_Toc489287954"/>
      <w:r w:rsidR="001054A0" w:rsidRPr="00730468">
        <w:rPr>
          <w:rStyle w:val="Heading2Char"/>
          <w:b/>
        </w:rPr>
        <w:t>Method</w:t>
      </w:r>
      <w:r w:rsidR="00442C3C" w:rsidRPr="00730468">
        <w:t>:</w:t>
      </w:r>
      <w:bookmarkEnd w:id="80"/>
      <w:bookmarkEnd w:id="81"/>
      <w:bookmarkEnd w:id="82"/>
    </w:p>
    <w:p w:rsidR="001054A0" w:rsidRDefault="0029130C" w:rsidP="00B35C5F">
      <w:pPr>
        <w:spacing w:line="360" w:lineRule="auto"/>
        <w:jc w:val="both"/>
        <w:rPr>
          <w:color w:val="000000" w:themeColor="text1"/>
        </w:rPr>
      </w:pPr>
      <w:r w:rsidRPr="006A0B43">
        <w:rPr>
          <w:noProof/>
          <w:color w:val="000000" w:themeColor="text1"/>
        </w:rPr>
        <w:t>Since</w:t>
      </w:r>
      <w:r w:rsidR="00442C3C" w:rsidRPr="006A0B43">
        <w:rPr>
          <w:noProof/>
          <w:color w:val="000000" w:themeColor="text1"/>
        </w:rPr>
        <w:t xml:space="preserve"> the dep</w:t>
      </w:r>
      <w:r w:rsidR="004459A3" w:rsidRPr="006A0B43">
        <w:rPr>
          <w:noProof/>
          <w:color w:val="000000" w:themeColor="text1"/>
        </w:rPr>
        <w:t xml:space="preserve">endent variable is </w:t>
      </w:r>
      <w:r w:rsidR="00B50BD9" w:rsidRPr="006A0B43">
        <w:rPr>
          <w:noProof/>
          <w:color w:val="000000" w:themeColor="text1"/>
        </w:rPr>
        <w:t>binary</w:t>
      </w:r>
      <w:r w:rsidR="004459A3" w:rsidRPr="006A0B43">
        <w:rPr>
          <w:noProof/>
          <w:color w:val="000000" w:themeColor="text1"/>
        </w:rPr>
        <w:t xml:space="preserve">, </w:t>
      </w:r>
      <w:r w:rsidR="00442C3C" w:rsidRPr="006A0B43">
        <w:rPr>
          <w:noProof/>
          <w:color w:val="000000" w:themeColor="text1"/>
        </w:rPr>
        <w:t>logistic reg</w:t>
      </w:r>
      <w:r w:rsidR="003C6518" w:rsidRPr="006A0B43">
        <w:rPr>
          <w:noProof/>
          <w:color w:val="000000" w:themeColor="text1"/>
        </w:rPr>
        <w:t>ression</w:t>
      </w:r>
      <w:r w:rsidR="003C6518" w:rsidRPr="00730468">
        <w:rPr>
          <w:color w:val="000000" w:themeColor="text1"/>
        </w:rPr>
        <w:t xml:space="preserve"> </w:t>
      </w:r>
      <w:r w:rsidRPr="00730468">
        <w:rPr>
          <w:color w:val="000000" w:themeColor="text1"/>
        </w:rPr>
        <w:t xml:space="preserve">model </w:t>
      </w:r>
      <w:r w:rsidR="00B50BD9" w:rsidRPr="00730468">
        <w:rPr>
          <w:color w:val="000000" w:themeColor="text1"/>
        </w:rPr>
        <w:t>is utilized</w:t>
      </w:r>
      <w:r w:rsidRPr="00730468">
        <w:rPr>
          <w:color w:val="000000" w:themeColor="text1"/>
        </w:rPr>
        <w:t xml:space="preserve"> </w:t>
      </w:r>
      <w:r w:rsidR="003C6518" w:rsidRPr="00730468">
        <w:rPr>
          <w:color w:val="000000" w:themeColor="text1"/>
        </w:rPr>
        <w:t xml:space="preserve">to test </w:t>
      </w:r>
      <w:r w:rsidRPr="00730468">
        <w:rPr>
          <w:color w:val="000000" w:themeColor="text1"/>
        </w:rPr>
        <w:t>the hypothese</w:t>
      </w:r>
      <w:r w:rsidR="003C6518" w:rsidRPr="00730468">
        <w:rPr>
          <w:color w:val="000000" w:themeColor="text1"/>
        </w:rPr>
        <w:t>s</w:t>
      </w:r>
      <w:r w:rsidR="00B50BD9" w:rsidRPr="00730468">
        <w:rPr>
          <w:color w:val="000000" w:themeColor="text1"/>
        </w:rPr>
        <w:t xml:space="preserve"> </w:t>
      </w:r>
      <w:r w:rsidR="00B50BD9" w:rsidRPr="00730468">
        <w:t>(Fidell &amp; Tabachnik, 2007)</w:t>
      </w:r>
      <w:r w:rsidR="003C6518" w:rsidRPr="00730468">
        <w:rPr>
          <w:color w:val="000000" w:themeColor="text1"/>
        </w:rPr>
        <w:t xml:space="preserve">. </w:t>
      </w:r>
      <w:r w:rsidR="00B50BD9" w:rsidRPr="00730468">
        <w:rPr>
          <w:color w:val="000000" w:themeColor="text1"/>
        </w:rPr>
        <w:t>Logistic regression approach is very common in entry mode research (Canabal &amp; White, 2008), which allows to examine the influence of many independent variables in the same time. T</w:t>
      </w:r>
      <w:r w:rsidRPr="00730468">
        <w:rPr>
          <w:color w:val="000000" w:themeColor="text1"/>
        </w:rPr>
        <w:t xml:space="preserve">he </w:t>
      </w:r>
      <w:r w:rsidR="003C6518" w:rsidRPr="00730468">
        <w:rPr>
          <w:color w:val="000000" w:themeColor="text1"/>
        </w:rPr>
        <w:t>logistic regression models are expressed as below:</w:t>
      </w:r>
    </w:p>
    <w:p w:rsidR="00B75C91" w:rsidRPr="00730468" w:rsidRDefault="00B75C91" w:rsidP="00B35C5F">
      <w:pPr>
        <w:spacing w:line="360" w:lineRule="auto"/>
        <w:jc w:val="both"/>
        <w:rPr>
          <w:color w:val="000000" w:themeColor="text1"/>
        </w:rPr>
      </w:pPr>
    </w:p>
    <w:p w:rsidR="00F6723D" w:rsidRPr="00730468" w:rsidRDefault="008C673D" w:rsidP="00B35C5F">
      <w:pPr>
        <w:spacing w:line="360" w:lineRule="auto"/>
        <w:jc w:val="both"/>
        <w:rPr>
          <w:color w:val="000000" w:themeColor="text1"/>
        </w:rPr>
      </w:pPr>
      <w:r w:rsidRPr="00730468">
        <w:rPr>
          <w:color w:val="000000" w:themeColor="text1"/>
        </w:rPr>
        <w:t xml:space="preserve">Logit </w:t>
      </w:r>
      <w:r w:rsidR="001054A0" w:rsidRPr="00730468">
        <w:rPr>
          <w:color w:val="000000" w:themeColor="text1"/>
        </w:rPr>
        <w:t>(</w:t>
      </w:r>
      <w:r w:rsidR="00AF50B7" w:rsidRPr="00730468">
        <w:rPr>
          <w:color w:val="000000" w:themeColor="text1"/>
        </w:rPr>
        <w:t>MODE</w:t>
      </w:r>
      <w:r w:rsidR="001054A0" w:rsidRPr="00730468">
        <w:rPr>
          <w:color w:val="000000" w:themeColor="text1"/>
        </w:rPr>
        <w:t xml:space="preserve">) = </w:t>
      </w:r>
      <w:r w:rsidRPr="00730468">
        <w:rPr>
          <w:color w:val="000000" w:themeColor="text1"/>
        </w:rPr>
        <w:t>α</w:t>
      </w:r>
      <w:r w:rsidRPr="00730468">
        <w:rPr>
          <w:color w:val="000000" w:themeColor="text1"/>
          <w:vertAlign w:val="subscript"/>
        </w:rPr>
        <w:t>1</w:t>
      </w:r>
      <w:r w:rsidR="001054A0" w:rsidRPr="00730468">
        <w:rPr>
          <w:color w:val="000000" w:themeColor="text1"/>
        </w:rPr>
        <w:t xml:space="preserve"> </w:t>
      </w:r>
      <w:r w:rsidR="001054A0" w:rsidRPr="00730468">
        <w:rPr>
          <w:rFonts w:ascii="Cambria Math" w:hAnsi="Cambria Math" w:cs="Cambria Math"/>
          <w:color w:val="000000" w:themeColor="text1"/>
        </w:rPr>
        <w:t>∗</w:t>
      </w:r>
      <w:r w:rsidR="001054A0" w:rsidRPr="00730468">
        <w:rPr>
          <w:color w:val="000000" w:themeColor="text1"/>
        </w:rPr>
        <w:t xml:space="preserve"> </w:t>
      </w:r>
      <w:r w:rsidRPr="00730468">
        <w:rPr>
          <w:color w:val="000000" w:themeColor="text1"/>
        </w:rPr>
        <w:t>ED</w:t>
      </w:r>
      <w:r w:rsidR="001054A0" w:rsidRPr="00730468">
        <w:rPr>
          <w:color w:val="000000" w:themeColor="text1"/>
        </w:rPr>
        <w:t xml:space="preserve"> + </w:t>
      </w:r>
      <w:r w:rsidRPr="00730468">
        <w:rPr>
          <w:color w:val="000000" w:themeColor="text1"/>
        </w:rPr>
        <w:t>α</w:t>
      </w:r>
      <w:r w:rsidRPr="00730468">
        <w:rPr>
          <w:color w:val="000000" w:themeColor="text1"/>
          <w:vertAlign w:val="subscript"/>
        </w:rPr>
        <w:t>2</w:t>
      </w:r>
      <w:r w:rsidR="001054A0" w:rsidRPr="00730468">
        <w:rPr>
          <w:color w:val="000000" w:themeColor="text1"/>
        </w:rPr>
        <w:t xml:space="preserve"> </w:t>
      </w:r>
      <w:r w:rsidR="001054A0" w:rsidRPr="00730468">
        <w:rPr>
          <w:rFonts w:ascii="Cambria Math" w:hAnsi="Cambria Math" w:cs="Cambria Math"/>
          <w:color w:val="000000" w:themeColor="text1"/>
        </w:rPr>
        <w:t>∗</w:t>
      </w:r>
      <w:r w:rsidR="001054A0" w:rsidRPr="00730468">
        <w:rPr>
          <w:color w:val="000000" w:themeColor="text1"/>
        </w:rPr>
        <w:t xml:space="preserve"> </w:t>
      </w:r>
      <w:r w:rsidRPr="00730468">
        <w:rPr>
          <w:color w:val="000000" w:themeColor="text1"/>
        </w:rPr>
        <w:t>GD</w:t>
      </w:r>
      <w:r w:rsidR="001054A0" w:rsidRPr="00730468">
        <w:rPr>
          <w:color w:val="000000" w:themeColor="text1"/>
        </w:rPr>
        <w:t xml:space="preserve"> + </w:t>
      </w:r>
      <w:r w:rsidRPr="00730468">
        <w:rPr>
          <w:color w:val="000000" w:themeColor="text1"/>
        </w:rPr>
        <w:t>α</w:t>
      </w:r>
      <w:r w:rsidRPr="00730468">
        <w:rPr>
          <w:color w:val="000000" w:themeColor="text1"/>
          <w:vertAlign w:val="subscript"/>
        </w:rPr>
        <w:t>3</w:t>
      </w:r>
      <w:r w:rsidR="001054A0" w:rsidRPr="00730468">
        <w:rPr>
          <w:color w:val="000000" w:themeColor="text1"/>
        </w:rPr>
        <w:t xml:space="preserve"> </w:t>
      </w:r>
      <w:r w:rsidR="001054A0" w:rsidRPr="00730468">
        <w:rPr>
          <w:rFonts w:ascii="Cambria Math" w:hAnsi="Cambria Math" w:cs="Cambria Math"/>
          <w:color w:val="000000" w:themeColor="text1"/>
        </w:rPr>
        <w:t>∗</w:t>
      </w:r>
      <w:r w:rsidR="001054A0" w:rsidRPr="00730468">
        <w:rPr>
          <w:color w:val="000000" w:themeColor="text1"/>
        </w:rPr>
        <w:t xml:space="preserve"> </w:t>
      </w:r>
      <w:r w:rsidRPr="00730468">
        <w:rPr>
          <w:color w:val="000000" w:themeColor="text1"/>
        </w:rPr>
        <w:t>CD</w:t>
      </w:r>
      <w:r w:rsidR="001054A0" w:rsidRPr="00730468">
        <w:rPr>
          <w:color w:val="000000" w:themeColor="text1"/>
        </w:rPr>
        <w:t xml:space="preserve"> + </w:t>
      </w:r>
      <w:r w:rsidR="00F6723D" w:rsidRPr="00730468">
        <w:rPr>
          <w:color w:val="000000" w:themeColor="text1"/>
        </w:rPr>
        <w:t>α</w:t>
      </w:r>
      <w:r w:rsidR="00F6723D" w:rsidRPr="00730468">
        <w:rPr>
          <w:color w:val="000000" w:themeColor="text1"/>
          <w:vertAlign w:val="subscript"/>
        </w:rPr>
        <w:t>4</w:t>
      </w:r>
      <w:r w:rsidR="00F6723D" w:rsidRPr="00730468">
        <w:rPr>
          <w:color w:val="000000" w:themeColor="text1"/>
        </w:rPr>
        <w:t xml:space="preserve"> </w:t>
      </w:r>
      <w:r w:rsidR="00F6723D" w:rsidRPr="00730468">
        <w:rPr>
          <w:rFonts w:ascii="Cambria Math" w:hAnsi="Cambria Math" w:cs="Cambria Math"/>
          <w:color w:val="000000" w:themeColor="text1"/>
        </w:rPr>
        <w:t>∗</w:t>
      </w:r>
      <w:r w:rsidR="004279BA">
        <w:rPr>
          <w:color w:val="000000" w:themeColor="text1"/>
        </w:rPr>
        <w:t xml:space="preserve"> GoD</w:t>
      </w:r>
      <w:r w:rsidR="004279BA">
        <w:rPr>
          <w:color w:val="000000" w:themeColor="text1"/>
          <w:vertAlign w:val="subscript"/>
        </w:rPr>
        <w:t xml:space="preserve"> </w:t>
      </w:r>
      <w:r w:rsidR="00F6723D" w:rsidRPr="00730468">
        <w:rPr>
          <w:color w:val="000000" w:themeColor="text1"/>
        </w:rPr>
        <w:t>+</w:t>
      </w:r>
      <w:r w:rsidR="004279BA">
        <w:rPr>
          <w:color w:val="000000" w:themeColor="text1"/>
        </w:rPr>
        <w:t xml:space="preserve"> </w:t>
      </w:r>
      <w:r w:rsidR="00F6723D" w:rsidRPr="00730468">
        <w:rPr>
          <w:color w:val="000000" w:themeColor="text1"/>
        </w:rPr>
        <w:t>α</w:t>
      </w:r>
      <w:r w:rsidR="00F6723D" w:rsidRPr="00730468">
        <w:rPr>
          <w:color w:val="000000" w:themeColor="text1"/>
          <w:vertAlign w:val="subscript"/>
        </w:rPr>
        <w:t>5</w:t>
      </w:r>
      <w:r w:rsidR="00F6723D" w:rsidRPr="00730468">
        <w:rPr>
          <w:color w:val="000000" w:themeColor="text1"/>
        </w:rPr>
        <w:t xml:space="preserve"> </w:t>
      </w:r>
      <w:r w:rsidR="00F6723D" w:rsidRPr="00730468">
        <w:rPr>
          <w:rFonts w:ascii="Cambria Math" w:hAnsi="Cambria Math" w:cs="Cambria Math"/>
          <w:color w:val="000000" w:themeColor="text1"/>
        </w:rPr>
        <w:t>∗</w:t>
      </w:r>
      <w:r w:rsidR="00F6723D" w:rsidRPr="00730468">
        <w:rPr>
          <w:color w:val="000000" w:themeColor="text1"/>
        </w:rPr>
        <w:t xml:space="preserve"> IE + α</w:t>
      </w:r>
      <w:r w:rsidR="00F6723D" w:rsidRPr="00730468">
        <w:rPr>
          <w:color w:val="000000" w:themeColor="text1"/>
          <w:vertAlign w:val="subscript"/>
        </w:rPr>
        <w:t>6</w:t>
      </w:r>
      <w:r w:rsidR="00F6723D" w:rsidRPr="00730468">
        <w:rPr>
          <w:color w:val="000000" w:themeColor="text1"/>
        </w:rPr>
        <w:t xml:space="preserve"> </w:t>
      </w:r>
      <w:r w:rsidR="00F6723D" w:rsidRPr="00730468">
        <w:rPr>
          <w:rFonts w:ascii="Cambria Math" w:hAnsi="Cambria Math" w:cs="Cambria Math"/>
          <w:color w:val="000000" w:themeColor="text1"/>
        </w:rPr>
        <w:t>∗</w:t>
      </w:r>
      <w:r w:rsidR="00F6723D" w:rsidRPr="00730468">
        <w:rPr>
          <w:color w:val="000000" w:themeColor="text1"/>
        </w:rPr>
        <w:t xml:space="preserve"> SIZE + </w:t>
      </w:r>
    </w:p>
    <w:p w:rsidR="001054A0" w:rsidRDefault="00F6723D" w:rsidP="00B35C5F">
      <w:pPr>
        <w:spacing w:line="360" w:lineRule="auto"/>
        <w:jc w:val="both"/>
        <w:rPr>
          <w:color w:val="000000" w:themeColor="text1"/>
        </w:rPr>
      </w:pPr>
      <w:r w:rsidRPr="00730468">
        <w:rPr>
          <w:color w:val="000000" w:themeColor="text1"/>
        </w:rPr>
        <w:t>α</w:t>
      </w:r>
      <w:r w:rsidRPr="00730468">
        <w:rPr>
          <w:color w:val="000000" w:themeColor="text1"/>
          <w:vertAlign w:val="subscript"/>
        </w:rPr>
        <w:t>7</w:t>
      </w:r>
      <w:r w:rsidRPr="00730468">
        <w:rPr>
          <w:color w:val="000000" w:themeColor="text1"/>
        </w:rPr>
        <w:t xml:space="preserve"> </w:t>
      </w:r>
      <w:r w:rsidRPr="00730468">
        <w:rPr>
          <w:rFonts w:ascii="Cambria Math" w:hAnsi="Cambria Math" w:cs="Cambria Math"/>
          <w:color w:val="000000" w:themeColor="text1"/>
        </w:rPr>
        <w:t xml:space="preserve">∗ </w:t>
      </w:r>
      <w:r w:rsidRPr="00730468">
        <w:rPr>
          <w:color w:val="000000" w:themeColor="text1"/>
        </w:rPr>
        <w:t>ST + α</w:t>
      </w:r>
      <w:r w:rsidRPr="00730468">
        <w:rPr>
          <w:color w:val="000000" w:themeColor="text1"/>
          <w:vertAlign w:val="subscript"/>
        </w:rPr>
        <w:t>8</w:t>
      </w:r>
      <w:r w:rsidRPr="00730468">
        <w:rPr>
          <w:color w:val="000000" w:themeColor="text1"/>
        </w:rPr>
        <w:t xml:space="preserve"> </w:t>
      </w:r>
      <w:r w:rsidRPr="00730468">
        <w:rPr>
          <w:rFonts w:ascii="Cambria Math" w:hAnsi="Cambria Math" w:cs="Cambria Math"/>
          <w:color w:val="000000" w:themeColor="text1"/>
        </w:rPr>
        <w:t>∗</w:t>
      </w:r>
      <w:r w:rsidRPr="00730468">
        <w:rPr>
          <w:color w:val="000000" w:themeColor="text1"/>
        </w:rPr>
        <w:t xml:space="preserve"> ROL + α</w:t>
      </w:r>
      <w:r w:rsidRPr="00730468">
        <w:rPr>
          <w:color w:val="000000" w:themeColor="text1"/>
          <w:vertAlign w:val="subscript"/>
        </w:rPr>
        <w:t>9</w:t>
      </w:r>
      <w:r w:rsidRPr="00730468">
        <w:rPr>
          <w:color w:val="000000" w:themeColor="text1"/>
        </w:rPr>
        <w:t xml:space="preserve"> </w:t>
      </w:r>
      <w:r w:rsidRPr="00730468">
        <w:rPr>
          <w:rFonts w:ascii="Cambria Math" w:hAnsi="Cambria Math" w:cs="Cambria Math"/>
          <w:color w:val="000000" w:themeColor="text1"/>
        </w:rPr>
        <w:t>∗</w:t>
      </w:r>
      <w:r w:rsidRPr="00730468">
        <w:rPr>
          <w:color w:val="000000" w:themeColor="text1"/>
        </w:rPr>
        <w:t xml:space="preserve"> PR + α</w:t>
      </w:r>
      <w:r w:rsidRPr="00730468">
        <w:rPr>
          <w:color w:val="000000" w:themeColor="text1"/>
          <w:vertAlign w:val="subscript"/>
        </w:rPr>
        <w:t>10</w:t>
      </w:r>
      <w:r w:rsidRPr="00730468">
        <w:rPr>
          <w:color w:val="000000" w:themeColor="text1"/>
        </w:rPr>
        <w:t xml:space="preserve"> </w:t>
      </w:r>
      <w:r w:rsidRPr="00730468">
        <w:rPr>
          <w:rFonts w:ascii="Cambria Math" w:hAnsi="Cambria Math" w:cs="Cambria Math"/>
          <w:color w:val="000000" w:themeColor="text1"/>
        </w:rPr>
        <w:t>∗</w:t>
      </w:r>
      <w:r w:rsidRPr="00730468">
        <w:rPr>
          <w:color w:val="000000" w:themeColor="text1"/>
        </w:rPr>
        <w:t xml:space="preserve"> YEAR </w:t>
      </w:r>
      <w:r w:rsidR="001054A0" w:rsidRPr="00730468">
        <w:rPr>
          <w:color w:val="000000" w:themeColor="text1"/>
        </w:rPr>
        <w:t xml:space="preserve">+ </w:t>
      </w:r>
      <w:r w:rsidR="008C673D" w:rsidRPr="00730468">
        <w:rPr>
          <w:color w:val="000000" w:themeColor="text1"/>
        </w:rPr>
        <w:t>U</w:t>
      </w:r>
    </w:p>
    <w:p w:rsidR="00B75C91" w:rsidRPr="00730468" w:rsidRDefault="00B75C91" w:rsidP="00B35C5F">
      <w:pPr>
        <w:spacing w:line="360" w:lineRule="auto"/>
        <w:jc w:val="both"/>
        <w:rPr>
          <w:color w:val="000000" w:themeColor="text1"/>
        </w:rPr>
      </w:pPr>
    </w:p>
    <w:p w:rsidR="001C2A97" w:rsidRPr="00730468" w:rsidRDefault="00221C28" w:rsidP="00B35C5F">
      <w:pPr>
        <w:pStyle w:val="Style1"/>
        <w:spacing w:line="360" w:lineRule="auto"/>
        <w:jc w:val="both"/>
        <w:rPr>
          <w:b w:val="0"/>
        </w:rPr>
      </w:pPr>
      <w:r w:rsidRPr="00730468">
        <w:rPr>
          <w:b w:val="0"/>
        </w:rPr>
        <w:t xml:space="preserve">where </w:t>
      </w:r>
      <w:r w:rsidR="00AF50B7" w:rsidRPr="00730468">
        <w:rPr>
          <w:b w:val="0"/>
        </w:rPr>
        <w:t>MODE</w:t>
      </w:r>
      <w:r w:rsidRPr="00730468">
        <w:rPr>
          <w:b w:val="0"/>
        </w:rPr>
        <w:t xml:space="preserve"> </w:t>
      </w:r>
      <w:r w:rsidR="00AF50B7" w:rsidRPr="00730468">
        <w:rPr>
          <w:b w:val="0"/>
        </w:rPr>
        <w:t>implies</w:t>
      </w:r>
      <w:r w:rsidRPr="00730468">
        <w:rPr>
          <w:b w:val="0"/>
        </w:rPr>
        <w:t xml:space="preserve"> the entry mode</w:t>
      </w:r>
      <w:r w:rsidR="00AF50B7" w:rsidRPr="00730468">
        <w:rPr>
          <w:b w:val="0"/>
        </w:rPr>
        <w:t xml:space="preserve"> choice</w:t>
      </w:r>
      <w:r w:rsidRPr="00730468">
        <w:rPr>
          <w:b w:val="0"/>
        </w:rPr>
        <w:t xml:space="preserve">, </w:t>
      </w:r>
      <w:r w:rsidR="001C2A97" w:rsidRPr="00730468">
        <w:rPr>
          <w:b w:val="0"/>
        </w:rPr>
        <w:t>the parameters α</w:t>
      </w:r>
      <w:r w:rsidR="001C2A97" w:rsidRPr="00730468">
        <w:rPr>
          <w:b w:val="0"/>
          <w:vertAlign w:val="subscript"/>
        </w:rPr>
        <w:t>i</w:t>
      </w:r>
      <w:r w:rsidR="001C2A97" w:rsidRPr="00730468">
        <w:rPr>
          <w:b w:val="0"/>
        </w:rPr>
        <w:t xml:space="preserve"> for all i = 0, 1, 2, ..., 10 are all estimated; ED, GD, CD, GoD, IE, SIZE, ST, ROL, PR, and YEAR are economic distance, geographic distance, cultural distance, governance distance, India experience, firm’s size, sector type, rule of law, political risk and year variables respectively, and U is the constant.</w:t>
      </w:r>
    </w:p>
    <w:p w:rsidR="00B75C91" w:rsidRDefault="00271A85">
      <w:pPr>
        <w:spacing w:after="200" w:line="276" w:lineRule="auto"/>
        <w:rPr>
          <w:color w:val="000000" w:themeColor="text1"/>
        </w:rPr>
      </w:pPr>
      <w:r>
        <w:rPr>
          <w:b/>
        </w:rPr>
        <w:br w:type="page"/>
      </w:r>
    </w:p>
    <w:p w:rsidR="00BD4EFC" w:rsidRDefault="00BD4EFC" w:rsidP="00DF3F76">
      <w:pPr>
        <w:pStyle w:val="Heading1"/>
        <w:numPr>
          <w:ilvl w:val="0"/>
          <w:numId w:val="11"/>
        </w:numPr>
        <w:spacing w:line="360" w:lineRule="auto"/>
        <w:jc w:val="both"/>
        <w:rPr>
          <w:rFonts w:ascii="Times New Roman" w:hAnsi="Times New Roman" w:cs="Times New Roman"/>
          <w:sz w:val="24"/>
          <w:szCs w:val="24"/>
        </w:rPr>
      </w:pPr>
      <w:bookmarkStart w:id="83" w:name="_Toc487572225"/>
      <w:bookmarkStart w:id="84" w:name="_Toc487707065"/>
      <w:bookmarkStart w:id="85" w:name="_Toc489287955"/>
      <w:r w:rsidRPr="00730468">
        <w:rPr>
          <w:rFonts w:ascii="Times New Roman" w:hAnsi="Times New Roman" w:cs="Times New Roman"/>
          <w:sz w:val="24"/>
          <w:szCs w:val="24"/>
        </w:rPr>
        <w:lastRenderedPageBreak/>
        <w:t>Empirical results</w:t>
      </w:r>
      <w:bookmarkEnd w:id="83"/>
      <w:bookmarkEnd w:id="84"/>
      <w:r w:rsidRPr="00730468">
        <w:rPr>
          <w:rFonts w:ascii="Times New Roman" w:hAnsi="Times New Roman" w:cs="Times New Roman"/>
          <w:sz w:val="24"/>
          <w:szCs w:val="24"/>
        </w:rPr>
        <w:t xml:space="preserve"> </w:t>
      </w:r>
      <w:bookmarkStart w:id="86" w:name="_Toc487572226"/>
      <w:bookmarkStart w:id="87" w:name="_Toc487707066"/>
      <w:r w:rsidR="00EB2A9E">
        <w:rPr>
          <w:rFonts w:ascii="Times New Roman" w:hAnsi="Times New Roman" w:cs="Times New Roman"/>
          <w:sz w:val="24"/>
          <w:szCs w:val="24"/>
        </w:rPr>
        <w:t>and d</w:t>
      </w:r>
      <w:r w:rsidR="00EB2A9E" w:rsidRPr="00730468">
        <w:rPr>
          <w:rFonts w:ascii="Times New Roman" w:hAnsi="Times New Roman" w:cs="Times New Roman"/>
          <w:sz w:val="24"/>
          <w:szCs w:val="24"/>
        </w:rPr>
        <w:t>iscussion</w:t>
      </w:r>
      <w:bookmarkEnd w:id="85"/>
      <w:bookmarkEnd w:id="86"/>
      <w:bookmarkEnd w:id="87"/>
    </w:p>
    <w:p w:rsidR="00EB2A9E" w:rsidRPr="00EB2A9E" w:rsidRDefault="00EB2A9E" w:rsidP="00EB2A9E"/>
    <w:p w:rsidR="00814BA9" w:rsidRDefault="00814BA9" w:rsidP="00814BA9">
      <w:r>
        <w:t xml:space="preserve">Iteration 0:   log likelihood = -483.49885  </w:t>
      </w:r>
    </w:p>
    <w:p w:rsidR="00814BA9" w:rsidRDefault="00814BA9" w:rsidP="00814BA9">
      <w:r>
        <w:t xml:space="preserve">Iteration 1:   log likelihood = -440.18614  </w:t>
      </w:r>
    </w:p>
    <w:p w:rsidR="00814BA9" w:rsidRDefault="00814BA9" w:rsidP="00814BA9">
      <w:r>
        <w:t xml:space="preserve">Iteration 2:   log likelihood = -439.33317  </w:t>
      </w:r>
    </w:p>
    <w:p w:rsidR="00814BA9" w:rsidRDefault="00814BA9" w:rsidP="00814BA9">
      <w:r>
        <w:t xml:space="preserve">Iteration 3:   log likelihood = -439.33214  </w:t>
      </w:r>
    </w:p>
    <w:p w:rsidR="00814BA9" w:rsidRDefault="00814BA9" w:rsidP="00814BA9">
      <w:r>
        <w:t>Iteration 4:   log likelihood = -439.33214</w:t>
      </w:r>
    </w:p>
    <w:tbl>
      <w:tblPr>
        <w:tblW w:w="9187" w:type="dxa"/>
        <w:tblCellSpacing w:w="15" w:type="dxa"/>
        <w:tblCellMar>
          <w:top w:w="15" w:type="dxa"/>
          <w:left w:w="15" w:type="dxa"/>
          <w:bottom w:w="15" w:type="dxa"/>
          <w:right w:w="15" w:type="dxa"/>
        </w:tblCellMar>
        <w:tblLook w:val="04A0" w:firstRow="1" w:lastRow="0" w:firstColumn="1" w:lastColumn="0" w:noHBand="0" w:noVBand="1"/>
      </w:tblPr>
      <w:tblGrid>
        <w:gridCol w:w="4986"/>
        <w:gridCol w:w="2619"/>
        <w:gridCol w:w="322"/>
        <w:gridCol w:w="1260"/>
      </w:tblGrid>
      <w:tr w:rsidR="00814BA9" w:rsidRPr="00814BA9" w:rsidTr="00814BA9">
        <w:trPr>
          <w:trHeight w:val="282"/>
          <w:tblCellSpacing w:w="15" w:type="dxa"/>
        </w:trPr>
        <w:tc>
          <w:tcPr>
            <w:tcW w:w="0" w:type="auto"/>
            <w:vAlign w:val="center"/>
            <w:hideMark/>
          </w:tcPr>
          <w:p w:rsidR="00814BA9" w:rsidRPr="00814BA9" w:rsidRDefault="00814BA9" w:rsidP="00814BA9">
            <w:r w:rsidRPr="00814BA9">
              <w:t>Logistic regression</w:t>
            </w:r>
          </w:p>
        </w:tc>
        <w:tc>
          <w:tcPr>
            <w:tcW w:w="0" w:type="auto"/>
            <w:vAlign w:val="center"/>
            <w:hideMark/>
          </w:tcPr>
          <w:p w:rsidR="00814BA9" w:rsidRPr="00814BA9" w:rsidRDefault="00814BA9" w:rsidP="00814BA9">
            <w:r w:rsidRPr="00814BA9">
              <w:t>Number of obs</w:t>
            </w:r>
          </w:p>
        </w:tc>
        <w:tc>
          <w:tcPr>
            <w:tcW w:w="0" w:type="auto"/>
            <w:vAlign w:val="center"/>
            <w:hideMark/>
          </w:tcPr>
          <w:p w:rsidR="00814BA9" w:rsidRPr="00814BA9" w:rsidRDefault="00814BA9" w:rsidP="00814BA9">
            <w:r w:rsidRPr="00814BA9">
              <w:t>=</w:t>
            </w:r>
          </w:p>
        </w:tc>
        <w:tc>
          <w:tcPr>
            <w:tcW w:w="0" w:type="auto"/>
            <w:vAlign w:val="center"/>
            <w:hideMark/>
          </w:tcPr>
          <w:p w:rsidR="00814BA9" w:rsidRPr="00814BA9" w:rsidRDefault="00814BA9" w:rsidP="00814BA9">
            <w:r w:rsidRPr="00814BA9">
              <w:t>769</w:t>
            </w:r>
          </w:p>
        </w:tc>
      </w:tr>
      <w:tr w:rsidR="00814BA9" w:rsidRPr="00814BA9" w:rsidTr="00814BA9">
        <w:trPr>
          <w:trHeight w:val="268"/>
          <w:tblCellSpacing w:w="15" w:type="dxa"/>
        </w:trPr>
        <w:tc>
          <w:tcPr>
            <w:tcW w:w="0" w:type="auto"/>
            <w:vAlign w:val="center"/>
            <w:hideMark/>
          </w:tcPr>
          <w:p w:rsidR="00814BA9" w:rsidRPr="00814BA9" w:rsidRDefault="00814BA9" w:rsidP="00814BA9"/>
        </w:tc>
        <w:tc>
          <w:tcPr>
            <w:tcW w:w="0" w:type="auto"/>
            <w:vAlign w:val="center"/>
            <w:hideMark/>
          </w:tcPr>
          <w:p w:rsidR="00814BA9" w:rsidRPr="00814BA9" w:rsidRDefault="00814BA9" w:rsidP="00814BA9">
            <w:r w:rsidRPr="00814BA9">
              <w:t>LR chi2(10)</w:t>
            </w:r>
          </w:p>
        </w:tc>
        <w:tc>
          <w:tcPr>
            <w:tcW w:w="0" w:type="auto"/>
            <w:vAlign w:val="center"/>
            <w:hideMark/>
          </w:tcPr>
          <w:p w:rsidR="00814BA9" w:rsidRPr="00814BA9" w:rsidRDefault="00814BA9" w:rsidP="00814BA9">
            <w:r w:rsidRPr="00814BA9">
              <w:t>=</w:t>
            </w:r>
          </w:p>
        </w:tc>
        <w:tc>
          <w:tcPr>
            <w:tcW w:w="0" w:type="auto"/>
            <w:vAlign w:val="center"/>
            <w:hideMark/>
          </w:tcPr>
          <w:p w:rsidR="00814BA9" w:rsidRPr="00814BA9" w:rsidRDefault="00814BA9" w:rsidP="00814BA9">
            <w:pPr>
              <w:rPr>
                <w:sz w:val="20"/>
                <w:szCs w:val="20"/>
              </w:rPr>
            </w:pPr>
            <w:r w:rsidRPr="00814BA9">
              <w:t>88.33</w:t>
            </w:r>
          </w:p>
        </w:tc>
      </w:tr>
      <w:tr w:rsidR="00814BA9" w:rsidRPr="00814BA9" w:rsidTr="00814BA9">
        <w:trPr>
          <w:trHeight w:val="282"/>
          <w:tblCellSpacing w:w="15" w:type="dxa"/>
        </w:trPr>
        <w:tc>
          <w:tcPr>
            <w:tcW w:w="0" w:type="auto"/>
            <w:vAlign w:val="center"/>
            <w:hideMark/>
          </w:tcPr>
          <w:p w:rsidR="00814BA9" w:rsidRPr="00814BA9" w:rsidRDefault="00814BA9" w:rsidP="00814BA9"/>
        </w:tc>
        <w:tc>
          <w:tcPr>
            <w:tcW w:w="0" w:type="auto"/>
            <w:vAlign w:val="center"/>
            <w:hideMark/>
          </w:tcPr>
          <w:p w:rsidR="00814BA9" w:rsidRPr="00814BA9" w:rsidRDefault="00814BA9" w:rsidP="00814BA9">
            <w:r w:rsidRPr="00814BA9">
              <w:t>Prob &gt; chi2</w:t>
            </w:r>
          </w:p>
        </w:tc>
        <w:tc>
          <w:tcPr>
            <w:tcW w:w="0" w:type="auto"/>
            <w:vAlign w:val="center"/>
            <w:hideMark/>
          </w:tcPr>
          <w:p w:rsidR="00814BA9" w:rsidRPr="00814BA9" w:rsidRDefault="00814BA9" w:rsidP="00814BA9">
            <w:r w:rsidRPr="00814BA9">
              <w:t>=</w:t>
            </w:r>
          </w:p>
        </w:tc>
        <w:tc>
          <w:tcPr>
            <w:tcW w:w="0" w:type="auto"/>
            <w:vAlign w:val="center"/>
            <w:hideMark/>
          </w:tcPr>
          <w:p w:rsidR="00814BA9" w:rsidRPr="00814BA9" w:rsidRDefault="00814BA9" w:rsidP="00864846">
            <w:r w:rsidRPr="00814BA9">
              <w:t>0.0000</w:t>
            </w:r>
          </w:p>
        </w:tc>
      </w:tr>
      <w:tr w:rsidR="00814BA9" w:rsidRPr="00814BA9" w:rsidTr="00814BA9">
        <w:trPr>
          <w:trHeight w:val="282"/>
          <w:tblCellSpacing w:w="15" w:type="dxa"/>
        </w:trPr>
        <w:tc>
          <w:tcPr>
            <w:tcW w:w="0" w:type="auto"/>
            <w:vAlign w:val="center"/>
            <w:hideMark/>
          </w:tcPr>
          <w:p w:rsidR="00814BA9" w:rsidRPr="00814BA9" w:rsidRDefault="00814BA9" w:rsidP="003837FA">
            <w:pPr>
              <w:keepLines/>
            </w:pPr>
            <w:r w:rsidRPr="00814BA9">
              <w:t>Log likelihood = -439.33214</w:t>
            </w:r>
          </w:p>
        </w:tc>
        <w:tc>
          <w:tcPr>
            <w:tcW w:w="0" w:type="auto"/>
            <w:vAlign w:val="center"/>
            <w:hideMark/>
          </w:tcPr>
          <w:p w:rsidR="00814BA9" w:rsidRPr="00814BA9" w:rsidRDefault="00814BA9" w:rsidP="003837FA">
            <w:pPr>
              <w:keepLines/>
            </w:pPr>
            <w:r w:rsidRPr="00814BA9">
              <w:t>Pseudo R2</w:t>
            </w:r>
          </w:p>
        </w:tc>
        <w:tc>
          <w:tcPr>
            <w:tcW w:w="0" w:type="auto"/>
            <w:vAlign w:val="center"/>
            <w:hideMark/>
          </w:tcPr>
          <w:p w:rsidR="00814BA9" w:rsidRPr="00814BA9" w:rsidRDefault="00814BA9" w:rsidP="003837FA">
            <w:pPr>
              <w:keepLines/>
            </w:pPr>
            <w:r w:rsidRPr="00814BA9">
              <w:t>=</w:t>
            </w:r>
          </w:p>
        </w:tc>
        <w:tc>
          <w:tcPr>
            <w:tcW w:w="0" w:type="auto"/>
            <w:vAlign w:val="center"/>
            <w:hideMark/>
          </w:tcPr>
          <w:p w:rsidR="00814BA9" w:rsidRPr="00814BA9" w:rsidRDefault="00814BA9" w:rsidP="003837FA">
            <w:pPr>
              <w:keepLines/>
            </w:pPr>
            <w:r w:rsidRPr="00814BA9">
              <w:t>0.0913</w:t>
            </w:r>
          </w:p>
        </w:tc>
      </w:tr>
    </w:tbl>
    <w:tbl>
      <w:tblPr>
        <w:tblStyle w:val="TableGrid1"/>
        <w:tblW w:w="9235" w:type="dxa"/>
        <w:tblLook w:val="04A0" w:firstRow="1" w:lastRow="0" w:firstColumn="1" w:lastColumn="0" w:noHBand="0" w:noVBand="1"/>
      </w:tblPr>
      <w:tblGrid>
        <w:gridCol w:w="2269"/>
        <w:gridCol w:w="1425"/>
        <w:gridCol w:w="1208"/>
        <w:gridCol w:w="775"/>
        <w:gridCol w:w="818"/>
        <w:gridCol w:w="1446"/>
        <w:gridCol w:w="1294"/>
      </w:tblGrid>
      <w:tr w:rsidR="00CB0694" w:rsidRPr="00814BA9" w:rsidTr="00CB0694">
        <w:trPr>
          <w:trHeight w:val="336"/>
        </w:trPr>
        <w:tc>
          <w:tcPr>
            <w:tcW w:w="2270" w:type="dxa"/>
            <w:tcBorders>
              <w:top w:val="single" w:sz="4" w:space="0" w:color="auto"/>
              <w:left w:val="nil"/>
              <w:bottom w:val="single" w:sz="4" w:space="0" w:color="auto"/>
              <w:right w:val="single" w:sz="4" w:space="0" w:color="auto"/>
            </w:tcBorders>
            <w:hideMark/>
          </w:tcPr>
          <w:p w:rsidR="00814BA9" w:rsidRPr="00814BA9" w:rsidRDefault="00814BA9" w:rsidP="00814BA9">
            <w:r w:rsidRPr="00814BA9">
              <w:t>MODE</w:t>
            </w:r>
          </w:p>
        </w:tc>
        <w:tc>
          <w:tcPr>
            <w:tcW w:w="1425" w:type="dxa"/>
            <w:tcBorders>
              <w:top w:val="single" w:sz="4" w:space="0" w:color="auto"/>
              <w:left w:val="single" w:sz="4" w:space="0" w:color="auto"/>
              <w:bottom w:val="single" w:sz="4" w:space="0" w:color="auto"/>
              <w:right w:val="nil"/>
            </w:tcBorders>
            <w:hideMark/>
          </w:tcPr>
          <w:p w:rsidR="00814BA9" w:rsidRPr="00814BA9" w:rsidRDefault="00814BA9" w:rsidP="00814BA9">
            <w:r w:rsidRPr="00814BA9">
              <w:t>Coef.</w:t>
            </w:r>
          </w:p>
        </w:tc>
        <w:tc>
          <w:tcPr>
            <w:tcW w:w="0" w:type="auto"/>
            <w:tcBorders>
              <w:top w:val="single" w:sz="4" w:space="0" w:color="auto"/>
              <w:left w:val="nil"/>
              <w:bottom w:val="single" w:sz="4" w:space="0" w:color="auto"/>
              <w:right w:val="nil"/>
            </w:tcBorders>
            <w:hideMark/>
          </w:tcPr>
          <w:p w:rsidR="00814BA9" w:rsidRPr="00814BA9" w:rsidRDefault="00814BA9" w:rsidP="00814BA9">
            <w:r w:rsidRPr="00814BA9">
              <w:t>Std. Err.</w:t>
            </w:r>
          </w:p>
        </w:tc>
        <w:tc>
          <w:tcPr>
            <w:tcW w:w="0" w:type="auto"/>
            <w:tcBorders>
              <w:top w:val="single" w:sz="4" w:space="0" w:color="auto"/>
              <w:left w:val="nil"/>
              <w:bottom w:val="single" w:sz="4" w:space="0" w:color="auto"/>
              <w:right w:val="nil"/>
            </w:tcBorders>
            <w:hideMark/>
          </w:tcPr>
          <w:p w:rsidR="00814BA9" w:rsidRPr="00814BA9" w:rsidRDefault="00814BA9" w:rsidP="00814BA9">
            <w:r w:rsidRPr="00814BA9">
              <w:t>z</w:t>
            </w:r>
          </w:p>
        </w:tc>
        <w:tc>
          <w:tcPr>
            <w:tcW w:w="0" w:type="auto"/>
            <w:tcBorders>
              <w:top w:val="single" w:sz="4" w:space="0" w:color="auto"/>
              <w:left w:val="nil"/>
              <w:bottom w:val="single" w:sz="4" w:space="0" w:color="auto"/>
              <w:right w:val="nil"/>
            </w:tcBorders>
            <w:hideMark/>
          </w:tcPr>
          <w:p w:rsidR="00814BA9" w:rsidRPr="00814BA9" w:rsidRDefault="00814BA9" w:rsidP="00814BA9">
            <w:r w:rsidRPr="00814BA9">
              <w:t>P&gt;z</w:t>
            </w:r>
          </w:p>
        </w:tc>
        <w:tc>
          <w:tcPr>
            <w:tcW w:w="0" w:type="auto"/>
            <w:tcBorders>
              <w:top w:val="single" w:sz="4" w:space="0" w:color="auto"/>
              <w:left w:val="nil"/>
              <w:bottom w:val="single" w:sz="4" w:space="0" w:color="auto"/>
              <w:right w:val="nil"/>
            </w:tcBorders>
            <w:hideMark/>
          </w:tcPr>
          <w:p w:rsidR="00814BA9" w:rsidRPr="00814BA9" w:rsidRDefault="00814BA9" w:rsidP="00814BA9">
            <w:r w:rsidRPr="00814BA9">
              <w:t>[95% Conf.</w:t>
            </w:r>
          </w:p>
        </w:tc>
        <w:tc>
          <w:tcPr>
            <w:tcW w:w="0" w:type="auto"/>
            <w:tcBorders>
              <w:top w:val="single" w:sz="4" w:space="0" w:color="auto"/>
              <w:left w:val="nil"/>
              <w:bottom w:val="single" w:sz="4" w:space="0" w:color="auto"/>
              <w:right w:val="nil"/>
            </w:tcBorders>
            <w:hideMark/>
          </w:tcPr>
          <w:p w:rsidR="00814BA9" w:rsidRPr="00814BA9" w:rsidRDefault="00814BA9" w:rsidP="00814BA9">
            <w:r w:rsidRPr="00814BA9">
              <w:t>Interval]</w:t>
            </w:r>
          </w:p>
        </w:tc>
      </w:tr>
      <w:tr w:rsidR="00CB0694" w:rsidRPr="00814BA9" w:rsidTr="00CB0694">
        <w:tc>
          <w:tcPr>
            <w:tcW w:w="2270" w:type="dxa"/>
            <w:tcBorders>
              <w:top w:val="single" w:sz="4" w:space="0" w:color="auto"/>
              <w:bottom w:val="nil"/>
            </w:tcBorders>
            <w:hideMark/>
          </w:tcPr>
          <w:p w:rsidR="00814BA9" w:rsidRPr="00814BA9" w:rsidRDefault="00814BA9" w:rsidP="00814BA9"/>
        </w:tc>
        <w:tc>
          <w:tcPr>
            <w:tcW w:w="1425" w:type="dxa"/>
            <w:tcBorders>
              <w:top w:val="single" w:sz="4" w:space="0" w:color="auto"/>
              <w:bottom w:val="nil"/>
            </w:tcBorders>
            <w:hideMark/>
          </w:tcPr>
          <w:p w:rsidR="00814BA9" w:rsidRPr="00814BA9" w:rsidRDefault="00814BA9" w:rsidP="00814BA9"/>
        </w:tc>
        <w:tc>
          <w:tcPr>
            <w:tcW w:w="0" w:type="auto"/>
            <w:tcBorders>
              <w:top w:val="single" w:sz="4" w:space="0" w:color="auto"/>
              <w:bottom w:val="nil"/>
            </w:tcBorders>
            <w:hideMark/>
          </w:tcPr>
          <w:p w:rsidR="00814BA9" w:rsidRPr="00814BA9" w:rsidRDefault="00814BA9" w:rsidP="00814BA9"/>
        </w:tc>
        <w:tc>
          <w:tcPr>
            <w:tcW w:w="0" w:type="auto"/>
            <w:tcBorders>
              <w:top w:val="single" w:sz="4" w:space="0" w:color="auto"/>
              <w:bottom w:val="nil"/>
            </w:tcBorders>
            <w:hideMark/>
          </w:tcPr>
          <w:p w:rsidR="00814BA9" w:rsidRPr="00814BA9" w:rsidRDefault="00814BA9" w:rsidP="00814BA9">
            <w:pPr>
              <w:rPr>
                <w:sz w:val="20"/>
                <w:szCs w:val="20"/>
              </w:rPr>
            </w:pPr>
          </w:p>
        </w:tc>
        <w:tc>
          <w:tcPr>
            <w:tcW w:w="0" w:type="auto"/>
            <w:tcBorders>
              <w:top w:val="single" w:sz="4" w:space="0" w:color="auto"/>
              <w:bottom w:val="nil"/>
            </w:tcBorders>
            <w:hideMark/>
          </w:tcPr>
          <w:p w:rsidR="00814BA9" w:rsidRPr="00814BA9" w:rsidRDefault="00814BA9" w:rsidP="00814BA9">
            <w:pPr>
              <w:rPr>
                <w:sz w:val="20"/>
                <w:szCs w:val="20"/>
              </w:rPr>
            </w:pPr>
          </w:p>
        </w:tc>
        <w:tc>
          <w:tcPr>
            <w:tcW w:w="0" w:type="auto"/>
            <w:tcBorders>
              <w:top w:val="single" w:sz="4" w:space="0" w:color="auto"/>
              <w:bottom w:val="nil"/>
            </w:tcBorders>
            <w:hideMark/>
          </w:tcPr>
          <w:p w:rsidR="00814BA9" w:rsidRPr="00814BA9" w:rsidRDefault="00814BA9" w:rsidP="00814BA9">
            <w:pPr>
              <w:rPr>
                <w:sz w:val="20"/>
                <w:szCs w:val="20"/>
              </w:rPr>
            </w:pPr>
          </w:p>
        </w:tc>
        <w:tc>
          <w:tcPr>
            <w:tcW w:w="0" w:type="auto"/>
            <w:tcBorders>
              <w:top w:val="single" w:sz="4" w:space="0" w:color="auto"/>
              <w:bottom w:val="nil"/>
            </w:tcBorders>
            <w:hideMark/>
          </w:tcPr>
          <w:p w:rsidR="00814BA9" w:rsidRPr="00814BA9" w:rsidRDefault="00814BA9" w:rsidP="00814BA9">
            <w:pPr>
              <w:rPr>
                <w:sz w:val="20"/>
                <w:szCs w:val="20"/>
              </w:rPr>
            </w:pPr>
          </w:p>
        </w:tc>
      </w:tr>
      <w:tr w:rsidR="00CB0694" w:rsidRPr="00814BA9" w:rsidTr="00CB0694">
        <w:trPr>
          <w:trHeight w:val="358"/>
        </w:trPr>
        <w:tc>
          <w:tcPr>
            <w:tcW w:w="2270" w:type="dxa"/>
            <w:tcBorders>
              <w:top w:val="nil"/>
              <w:left w:val="nil"/>
              <w:bottom w:val="nil"/>
              <w:right w:val="single" w:sz="4" w:space="0" w:color="auto"/>
            </w:tcBorders>
            <w:hideMark/>
          </w:tcPr>
          <w:p w:rsidR="00814BA9" w:rsidRPr="00814BA9" w:rsidRDefault="00CB0694" w:rsidP="00814BA9">
            <w:r>
              <w:t>Economic distance</w:t>
            </w:r>
          </w:p>
        </w:tc>
        <w:tc>
          <w:tcPr>
            <w:tcW w:w="1425" w:type="dxa"/>
            <w:tcBorders>
              <w:top w:val="nil"/>
              <w:left w:val="single" w:sz="4" w:space="0" w:color="auto"/>
              <w:bottom w:val="nil"/>
              <w:right w:val="nil"/>
            </w:tcBorders>
            <w:hideMark/>
          </w:tcPr>
          <w:p w:rsidR="00814BA9" w:rsidRPr="00814BA9" w:rsidRDefault="00814BA9" w:rsidP="00814BA9">
            <w:r w:rsidRPr="00814BA9">
              <w:t>-.4830733</w:t>
            </w:r>
          </w:p>
        </w:tc>
        <w:tc>
          <w:tcPr>
            <w:tcW w:w="0" w:type="auto"/>
            <w:tcBorders>
              <w:top w:val="nil"/>
              <w:left w:val="nil"/>
              <w:bottom w:val="nil"/>
              <w:right w:val="nil"/>
            </w:tcBorders>
            <w:hideMark/>
          </w:tcPr>
          <w:p w:rsidR="00814BA9" w:rsidRPr="00814BA9" w:rsidRDefault="00814BA9" w:rsidP="00814BA9">
            <w:r w:rsidRPr="00814BA9">
              <w:t>.2334542</w:t>
            </w:r>
          </w:p>
        </w:tc>
        <w:tc>
          <w:tcPr>
            <w:tcW w:w="0" w:type="auto"/>
            <w:tcBorders>
              <w:top w:val="nil"/>
              <w:left w:val="nil"/>
              <w:bottom w:val="nil"/>
              <w:right w:val="nil"/>
            </w:tcBorders>
            <w:hideMark/>
          </w:tcPr>
          <w:p w:rsidR="00814BA9" w:rsidRPr="00814BA9" w:rsidRDefault="00814BA9" w:rsidP="00814BA9">
            <w:r w:rsidRPr="00814BA9">
              <w:t>-2.07</w:t>
            </w:r>
          </w:p>
        </w:tc>
        <w:tc>
          <w:tcPr>
            <w:tcW w:w="0" w:type="auto"/>
            <w:tcBorders>
              <w:top w:val="nil"/>
              <w:left w:val="nil"/>
              <w:bottom w:val="nil"/>
              <w:right w:val="nil"/>
            </w:tcBorders>
            <w:hideMark/>
          </w:tcPr>
          <w:p w:rsidR="00814BA9" w:rsidRPr="00814BA9" w:rsidRDefault="00814BA9" w:rsidP="00814BA9">
            <w:r w:rsidRPr="00814BA9">
              <w:t>0.039</w:t>
            </w:r>
          </w:p>
        </w:tc>
        <w:tc>
          <w:tcPr>
            <w:tcW w:w="0" w:type="auto"/>
            <w:tcBorders>
              <w:top w:val="nil"/>
              <w:left w:val="nil"/>
              <w:bottom w:val="nil"/>
              <w:right w:val="nil"/>
            </w:tcBorders>
            <w:hideMark/>
          </w:tcPr>
          <w:p w:rsidR="00814BA9" w:rsidRPr="00814BA9" w:rsidRDefault="00814BA9" w:rsidP="00814BA9">
            <w:r w:rsidRPr="00814BA9">
              <w:t>-.9406351</w:t>
            </w:r>
          </w:p>
        </w:tc>
        <w:tc>
          <w:tcPr>
            <w:tcW w:w="0" w:type="auto"/>
            <w:tcBorders>
              <w:top w:val="nil"/>
              <w:left w:val="nil"/>
              <w:bottom w:val="nil"/>
              <w:right w:val="nil"/>
            </w:tcBorders>
            <w:hideMark/>
          </w:tcPr>
          <w:p w:rsidR="00814BA9" w:rsidRPr="00814BA9" w:rsidRDefault="00814BA9" w:rsidP="00814BA9">
            <w:r w:rsidRPr="00814BA9">
              <w:t>-.0255115</w:t>
            </w:r>
          </w:p>
        </w:tc>
      </w:tr>
      <w:tr w:rsidR="00CB0694" w:rsidRPr="00814BA9" w:rsidTr="00CB0694">
        <w:trPr>
          <w:trHeight w:val="358"/>
        </w:trPr>
        <w:tc>
          <w:tcPr>
            <w:tcW w:w="2270" w:type="dxa"/>
            <w:tcBorders>
              <w:top w:val="nil"/>
              <w:left w:val="nil"/>
              <w:bottom w:val="nil"/>
              <w:right w:val="single" w:sz="4" w:space="0" w:color="auto"/>
            </w:tcBorders>
            <w:hideMark/>
          </w:tcPr>
          <w:p w:rsidR="00814BA9" w:rsidRPr="00814BA9" w:rsidRDefault="00CB0694" w:rsidP="00814BA9">
            <w:r>
              <w:t>Geographic distance</w:t>
            </w:r>
          </w:p>
        </w:tc>
        <w:tc>
          <w:tcPr>
            <w:tcW w:w="1425" w:type="dxa"/>
            <w:tcBorders>
              <w:top w:val="nil"/>
              <w:left w:val="single" w:sz="4" w:space="0" w:color="auto"/>
              <w:bottom w:val="nil"/>
              <w:right w:val="nil"/>
            </w:tcBorders>
            <w:hideMark/>
          </w:tcPr>
          <w:p w:rsidR="00814BA9" w:rsidRPr="00814BA9" w:rsidRDefault="00814BA9" w:rsidP="00814BA9">
            <w:r w:rsidRPr="00814BA9">
              <w:t>1.028186</w:t>
            </w:r>
          </w:p>
        </w:tc>
        <w:tc>
          <w:tcPr>
            <w:tcW w:w="0" w:type="auto"/>
            <w:tcBorders>
              <w:top w:val="nil"/>
              <w:left w:val="nil"/>
              <w:bottom w:val="nil"/>
              <w:right w:val="nil"/>
            </w:tcBorders>
            <w:hideMark/>
          </w:tcPr>
          <w:p w:rsidR="00814BA9" w:rsidRPr="00814BA9" w:rsidRDefault="00814BA9" w:rsidP="00814BA9">
            <w:r w:rsidRPr="00814BA9">
              <w:t>.2298922</w:t>
            </w:r>
          </w:p>
        </w:tc>
        <w:tc>
          <w:tcPr>
            <w:tcW w:w="0" w:type="auto"/>
            <w:tcBorders>
              <w:top w:val="nil"/>
              <w:left w:val="nil"/>
              <w:bottom w:val="nil"/>
              <w:right w:val="nil"/>
            </w:tcBorders>
            <w:hideMark/>
          </w:tcPr>
          <w:p w:rsidR="00814BA9" w:rsidRPr="00814BA9" w:rsidRDefault="00814BA9" w:rsidP="00814BA9">
            <w:r w:rsidRPr="00814BA9">
              <w:t>4.47</w:t>
            </w:r>
          </w:p>
        </w:tc>
        <w:tc>
          <w:tcPr>
            <w:tcW w:w="0" w:type="auto"/>
            <w:tcBorders>
              <w:top w:val="nil"/>
              <w:left w:val="nil"/>
              <w:bottom w:val="nil"/>
              <w:right w:val="nil"/>
            </w:tcBorders>
            <w:hideMark/>
          </w:tcPr>
          <w:p w:rsidR="00814BA9" w:rsidRPr="00814BA9" w:rsidRDefault="00814BA9" w:rsidP="00814BA9">
            <w:r w:rsidRPr="00814BA9">
              <w:t>0.000</w:t>
            </w:r>
          </w:p>
        </w:tc>
        <w:tc>
          <w:tcPr>
            <w:tcW w:w="0" w:type="auto"/>
            <w:tcBorders>
              <w:top w:val="nil"/>
              <w:left w:val="nil"/>
              <w:bottom w:val="nil"/>
              <w:right w:val="nil"/>
            </w:tcBorders>
            <w:hideMark/>
          </w:tcPr>
          <w:p w:rsidR="00814BA9" w:rsidRPr="00814BA9" w:rsidRDefault="00814BA9" w:rsidP="00814BA9">
            <w:r w:rsidRPr="00814BA9">
              <w:t>.5776053</w:t>
            </w:r>
          </w:p>
        </w:tc>
        <w:tc>
          <w:tcPr>
            <w:tcW w:w="0" w:type="auto"/>
            <w:tcBorders>
              <w:top w:val="nil"/>
              <w:left w:val="nil"/>
              <w:bottom w:val="nil"/>
              <w:right w:val="nil"/>
            </w:tcBorders>
            <w:hideMark/>
          </w:tcPr>
          <w:p w:rsidR="00814BA9" w:rsidRPr="00814BA9" w:rsidRDefault="00814BA9" w:rsidP="00814BA9">
            <w:r w:rsidRPr="00814BA9">
              <w:t>1.478766</w:t>
            </w:r>
          </w:p>
        </w:tc>
      </w:tr>
      <w:tr w:rsidR="00CB0694" w:rsidRPr="00814BA9" w:rsidTr="00CB0694">
        <w:trPr>
          <w:trHeight w:val="358"/>
        </w:trPr>
        <w:tc>
          <w:tcPr>
            <w:tcW w:w="2270" w:type="dxa"/>
            <w:tcBorders>
              <w:top w:val="nil"/>
              <w:left w:val="nil"/>
              <w:bottom w:val="nil"/>
              <w:right w:val="single" w:sz="4" w:space="0" w:color="auto"/>
            </w:tcBorders>
            <w:hideMark/>
          </w:tcPr>
          <w:p w:rsidR="00814BA9" w:rsidRPr="00814BA9" w:rsidRDefault="00CB0694" w:rsidP="00814BA9">
            <w:r>
              <w:t>Cultural distance</w:t>
            </w:r>
          </w:p>
        </w:tc>
        <w:tc>
          <w:tcPr>
            <w:tcW w:w="1425" w:type="dxa"/>
            <w:tcBorders>
              <w:top w:val="nil"/>
              <w:left w:val="single" w:sz="4" w:space="0" w:color="auto"/>
              <w:bottom w:val="nil"/>
              <w:right w:val="nil"/>
            </w:tcBorders>
            <w:hideMark/>
          </w:tcPr>
          <w:p w:rsidR="00814BA9" w:rsidRPr="00814BA9" w:rsidRDefault="00814BA9" w:rsidP="00814BA9">
            <w:r w:rsidRPr="00814BA9">
              <w:t>-.670509</w:t>
            </w:r>
          </w:p>
        </w:tc>
        <w:tc>
          <w:tcPr>
            <w:tcW w:w="0" w:type="auto"/>
            <w:tcBorders>
              <w:top w:val="nil"/>
              <w:left w:val="nil"/>
              <w:bottom w:val="nil"/>
              <w:right w:val="nil"/>
            </w:tcBorders>
            <w:hideMark/>
          </w:tcPr>
          <w:p w:rsidR="00814BA9" w:rsidRPr="00814BA9" w:rsidRDefault="00814BA9" w:rsidP="00814BA9">
            <w:r w:rsidRPr="00814BA9">
              <w:t>.2479221</w:t>
            </w:r>
          </w:p>
        </w:tc>
        <w:tc>
          <w:tcPr>
            <w:tcW w:w="0" w:type="auto"/>
            <w:tcBorders>
              <w:top w:val="nil"/>
              <w:left w:val="nil"/>
              <w:bottom w:val="nil"/>
              <w:right w:val="nil"/>
            </w:tcBorders>
            <w:hideMark/>
          </w:tcPr>
          <w:p w:rsidR="00814BA9" w:rsidRPr="00814BA9" w:rsidRDefault="00814BA9" w:rsidP="00814BA9">
            <w:r w:rsidRPr="00814BA9">
              <w:t>-2.70</w:t>
            </w:r>
          </w:p>
        </w:tc>
        <w:tc>
          <w:tcPr>
            <w:tcW w:w="0" w:type="auto"/>
            <w:tcBorders>
              <w:top w:val="nil"/>
              <w:left w:val="nil"/>
              <w:bottom w:val="nil"/>
              <w:right w:val="nil"/>
            </w:tcBorders>
            <w:hideMark/>
          </w:tcPr>
          <w:p w:rsidR="00814BA9" w:rsidRPr="00814BA9" w:rsidRDefault="00814BA9" w:rsidP="00814BA9">
            <w:r w:rsidRPr="00814BA9">
              <w:t>0.007</w:t>
            </w:r>
          </w:p>
        </w:tc>
        <w:tc>
          <w:tcPr>
            <w:tcW w:w="0" w:type="auto"/>
            <w:tcBorders>
              <w:top w:val="nil"/>
              <w:left w:val="nil"/>
              <w:bottom w:val="nil"/>
              <w:right w:val="nil"/>
            </w:tcBorders>
            <w:hideMark/>
          </w:tcPr>
          <w:p w:rsidR="00814BA9" w:rsidRPr="00814BA9" w:rsidRDefault="00814BA9" w:rsidP="00814BA9">
            <w:r w:rsidRPr="00814BA9">
              <w:t>-1.156427</w:t>
            </w:r>
          </w:p>
        </w:tc>
        <w:tc>
          <w:tcPr>
            <w:tcW w:w="0" w:type="auto"/>
            <w:tcBorders>
              <w:top w:val="nil"/>
              <w:left w:val="nil"/>
              <w:bottom w:val="nil"/>
              <w:right w:val="nil"/>
            </w:tcBorders>
            <w:hideMark/>
          </w:tcPr>
          <w:p w:rsidR="00814BA9" w:rsidRPr="00814BA9" w:rsidRDefault="00814BA9" w:rsidP="00814BA9">
            <w:r w:rsidRPr="00814BA9">
              <w:t>-.1845907</w:t>
            </w:r>
          </w:p>
        </w:tc>
      </w:tr>
      <w:tr w:rsidR="00CB0694" w:rsidRPr="00814BA9" w:rsidTr="00CB0694">
        <w:trPr>
          <w:trHeight w:val="358"/>
        </w:trPr>
        <w:tc>
          <w:tcPr>
            <w:tcW w:w="2270" w:type="dxa"/>
            <w:tcBorders>
              <w:top w:val="nil"/>
              <w:left w:val="nil"/>
              <w:bottom w:val="nil"/>
              <w:right w:val="single" w:sz="4" w:space="0" w:color="auto"/>
            </w:tcBorders>
            <w:hideMark/>
          </w:tcPr>
          <w:p w:rsidR="00814BA9" w:rsidRPr="00814BA9" w:rsidRDefault="00CB0694" w:rsidP="00814BA9">
            <w:r>
              <w:t>Governance distance</w:t>
            </w:r>
          </w:p>
        </w:tc>
        <w:tc>
          <w:tcPr>
            <w:tcW w:w="1425" w:type="dxa"/>
            <w:tcBorders>
              <w:top w:val="nil"/>
              <w:left w:val="single" w:sz="4" w:space="0" w:color="auto"/>
              <w:bottom w:val="nil"/>
              <w:right w:val="nil"/>
            </w:tcBorders>
            <w:hideMark/>
          </w:tcPr>
          <w:p w:rsidR="00814BA9" w:rsidRPr="00814BA9" w:rsidRDefault="00814BA9" w:rsidP="00814BA9">
            <w:r w:rsidRPr="00814BA9">
              <w:t>.4697486</w:t>
            </w:r>
          </w:p>
        </w:tc>
        <w:tc>
          <w:tcPr>
            <w:tcW w:w="0" w:type="auto"/>
            <w:tcBorders>
              <w:top w:val="nil"/>
              <w:left w:val="nil"/>
              <w:bottom w:val="nil"/>
              <w:right w:val="nil"/>
            </w:tcBorders>
            <w:hideMark/>
          </w:tcPr>
          <w:p w:rsidR="00814BA9" w:rsidRPr="00814BA9" w:rsidRDefault="00814BA9" w:rsidP="00814BA9">
            <w:r w:rsidRPr="00814BA9">
              <w:t>.0973855</w:t>
            </w:r>
          </w:p>
        </w:tc>
        <w:tc>
          <w:tcPr>
            <w:tcW w:w="0" w:type="auto"/>
            <w:tcBorders>
              <w:top w:val="nil"/>
              <w:left w:val="nil"/>
              <w:bottom w:val="nil"/>
              <w:right w:val="nil"/>
            </w:tcBorders>
            <w:hideMark/>
          </w:tcPr>
          <w:p w:rsidR="00814BA9" w:rsidRPr="00814BA9" w:rsidRDefault="00814BA9" w:rsidP="00814BA9">
            <w:r w:rsidRPr="00814BA9">
              <w:t>4.82</w:t>
            </w:r>
          </w:p>
        </w:tc>
        <w:tc>
          <w:tcPr>
            <w:tcW w:w="0" w:type="auto"/>
            <w:tcBorders>
              <w:top w:val="nil"/>
              <w:left w:val="nil"/>
              <w:bottom w:val="nil"/>
              <w:right w:val="nil"/>
            </w:tcBorders>
            <w:hideMark/>
          </w:tcPr>
          <w:p w:rsidR="00814BA9" w:rsidRPr="00814BA9" w:rsidRDefault="00814BA9" w:rsidP="00814BA9">
            <w:r w:rsidRPr="00814BA9">
              <w:t>0.000</w:t>
            </w:r>
          </w:p>
        </w:tc>
        <w:tc>
          <w:tcPr>
            <w:tcW w:w="0" w:type="auto"/>
            <w:tcBorders>
              <w:top w:val="nil"/>
              <w:left w:val="nil"/>
              <w:bottom w:val="nil"/>
              <w:right w:val="nil"/>
            </w:tcBorders>
            <w:hideMark/>
          </w:tcPr>
          <w:p w:rsidR="00814BA9" w:rsidRPr="00814BA9" w:rsidRDefault="00814BA9" w:rsidP="00814BA9">
            <w:r w:rsidRPr="00814BA9">
              <w:t>.2788765</w:t>
            </w:r>
          </w:p>
        </w:tc>
        <w:tc>
          <w:tcPr>
            <w:tcW w:w="0" w:type="auto"/>
            <w:tcBorders>
              <w:top w:val="nil"/>
              <w:left w:val="nil"/>
              <w:bottom w:val="nil"/>
              <w:right w:val="nil"/>
            </w:tcBorders>
            <w:hideMark/>
          </w:tcPr>
          <w:p w:rsidR="00814BA9" w:rsidRPr="00814BA9" w:rsidRDefault="00814BA9" w:rsidP="00814BA9">
            <w:r w:rsidRPr="00814BA9">
              <w:t>.6606207</w:t>
            </w:r>
          </w:p>
        </w:tc>
      </w:tr>
      <w:tr w:rsidR="00CB0694" w:rsidRPr="00814BA9" w:rsidTr="00CB0694">
        <w:trPr>
          <w:trHeight w:val="358"/>
        </w:trPr>
        <w:tc>
          <w:tcPr>
            <w:tcW w:w="2270" w:type="dxa"/>
            <w:tcBorders>
              <w:top w:val="nil"/>
              <w:left w:val="nil"/>
              <w:bottom w:val="nil"/>
              <w:right w:val="single" w:sz="4" w:space="0" w:color="auto"/>
            </w:tcBorders>
            <w:hideMark/>
          </w:tcPr>
          <w:p w:rsidR="00814BA9" w:rsidRPr="00814BA9" w:rsidRDefault="00CB0694" w:rsidP="00814BA9">
            <w:r>
              <w:t>India experience</w:t>
            </w:r>
          </w:p>
        </w:tc>
        <w:tc>
          <w:tcPr>
            <w:tcW w:w="1425" w:type="dxa"/>
            <w:tcBorders>
              <w:top w:val="nil"/>
              <w:left w:val="single" w:sz="4" w:space="0" w:color="auto"/>
              <w:bottom w:val="nil"/>
              <w:right w:val="nil"/>
            </w:tcBorders>
            <w:hideMark/>
          </w:tcPr>
          <w:p w:rsidR="00814BA9" w:rsidRPr="00814BA9" w:rsidRDefault="00814BA9" w:rsidP="00814BA9">
            <w:r w:rsidRPr="00814BA9">
              <w:t>.9225281</w:t>
            </w:r>
          </w:p>
        </w:tc>
        <w:tc>
          <w:tcPr>
            <w:tcW w:w="0" w:type="auto"/>
            <w:tcBorders>
              <w:top w:val="nil"/>
              <w:left w:val="nil"/>
              <w:bottom w:val="nil"/>
              <w:right w:val="nil"/>
            </w:tcBorders>
            <w:hideMark/>
          </w:tcPr>
          <w:p w:rsidR="00814BA9" w:rsidRPr="00814BA9" w:rsidRDefault="00814BA9" w:rsidP="00814BA9">
            <w:r w:rsidRPr="00814BA9">
              <w:t>.405578</w:t>
            </w:r>
          </w:p>
        </w:tc>
        <w:tc>
          <w:tcPr>
            <w:tcW w:w="0" w:type="auto"/>
            <w:tcBorders>
              <w:top w:val="nil"/>
              <w:left w:val="nil"/>
              <w:bottom w:val="nil"/>
              <w:right w:val="nil"/>
            </w:tcBorders>
            <w:hideMark/>
          </w:tcPr>
          <w:p w:rsidR="00814BA9" w:rsidRPr="00814BA9" w:rsidRDefault="00814BA9" w:rsidP="00814BA9">
            <w:r w:rsidRPr="00814BA9">
              <w:t>2.27</w:t>
            </w:r>
          </w:p>
        </w:tc>
        <w:tc>
          <w:tcPr>
            <w:tcW w:w="0" w:type="auto"/>
            <w:tcBorders>
              <w:top w:val="nil"/>
              <w:left w:val="nil"/>
              <w:bottom w:val="nil"/>
              <w:right w:val="nil"/>
            </w:tcBorders>
            <w:hideMark/>
          </w:tcPr>
          <w:p w:rsidR="00814BA9" w:rsidRPr="00814BA9" w:rsidRDefault="00814BA9" w:rsidP="00814BA9">
            <w:r w:rsidRPr="00814BA9">
              <w:t>0.023</w:t>
            </w:r>
          </w:p>
        </w:tc>
        <w:tc>
          <w:tcPr>
            <w:tcW w:w="0" w:type="auto"/>
            <w:tcBorders>
              <w:top w:val="nil"/>
              <w:left w:val="nil"/>
              <w:bottom w:val="nil"/>
              <w:right w:val="nil"/>
            </w:tcBorders>
            <w:hideMark/>
          </w:tcPr>
          <w:p w:rsidR="00814BA9" w:rsidRPr="00814BA9" w:rsidRDefault="00814BA9" w:rsidP="00814BA9">
            <w:r w:rsidRPr="00814BA9">
              <w:t>.12761</w:t>
            </w:r>
          </w:p>
        </w:tc>
        <w:tc>
          <w:tcPr>
            <w:tcW w:w="0" w:type="auto"/>
            <w:tcBorders>
              <w:top w:val="nil"/>
              <w:left w:val="nil"/>
              <w:bottom w:val="nil"/>
              <w:right w:val="nil"/>
            </w:tcBorders>
            <w:hideMark/>
          </w:tcPr>
          <w:p w:rsidR="00814BA9" w:rsidRPr="00814BA9" w:rsidRDefault="00814BA9" w:rsidP="00814BA9">
            <w:r w:rsidRPr="00814BA9">
              <w:t>1.717446</w:t>
            </w:r>
          </w:p>
        </w:tc>
      </w:tr>
      <w:tr w:rsidR="00CB0694" w:rsidRPr="00814BA9" w:rsidTr="00CB0694">
        <w:trPr>
          <w:trHeight w:val="358"/>
        </w:trPr>
        <w:tc>
          <w:tcPr>
            <w:tcW w:w="2270" w:type="dxa"/>
            <w:tcBorders>
              <w:top w:val="nil"/>
              <w:left w:val="nil"/>
              <w:bottom w:val="nil"/>
              <w:right w:val="single" w:sz="4" w:space="0" w:color="auto"/>
            </w:tcBorders>
            <w:hideMark/>
          </w:tcPr>
          <w:p w:rsidR="00814BA9" w:rsidRPr="00814BA9" w:rsidRDefault="00CB0694" w:rsidP="00814BA9">
            <w:r>
              <w:t>Size</w:t>
            </w:r>
          </w:p>
        </w:tc>
        <w:tc>
          <w:tcPr>
            <w:tcW w:w="1425" w:type="dxa"/>
            <w:tcBorders>
              <w:top w:val="nil"/>
              <w:left w:val="single" w:sz="4" w:space="0" w:color="auto"/>
              <w:bottom w:val="nil"/>
              <w:right w:val="nil"/>
            </w:tcBorders>
            <w:hideMark/>
          </w:tcPr>
          <w:p w:rsidR="00814BA9" w:rsidRPr="00814BA9" w:rsidRDefault="00814BA9" w:rsidP="00814BA9">
            <w:r w:rsidRPr="00814BA9">
              <w:t>-.1885453</w:t>
            </w:r>
          </w:p>
        </w:tc>
        <w:tc>
          <w:tcPr>
            <w:tcW w:w="0" w:type="auto"/>
            <w:tcBorders>
              <w:top w:val="nil"/>
              <w:left w:val="nil"/>
              <w:bottom w:val="nil"/>
              <w:right w:val="nil"/>
            </w:tcBorders>
            <w:hideMark/>
          </w:tcPr>
          <w:p w:rsidR="00814BA9" w:rsidRPr="00814BA9" w:rsidRDefault="00814BA9" w:rsidP="00814BA9">
            <w:r w:rsidRPr="00814BA9">
              <w:t>.1898596</w:t>
            </w:r>
          </w:p>
        </w:tc>
        <w:tc>
          <w:tcPr>
            <w:tcW w:w="0" w:type="auto"/>
            <w:tcBorders>
              <w:top w:val="nil"/>
              <w:left w:val="nil"/>
              <w:bottom w:val="nil"/>
              <w:right w:val="nil"/>
            </w:tcBorders>
            <w:hideMark/>
          </w:tcPr>
          <w:p w:rsidR="00814BA9" w:rsidRPr="00814BA9" w:rsidRDefault="00814BA9" w:rsidP="00814BA9">
            <w:r w:rsidRPr="00814BA9">
              <w:t>-0.99</w:t>
            </w:r>
          </w:p>
        </w:tc>
        <w:tc>
          <w:tcPr>
            <w:tcW w:w="0" w:type="auto"/>
            <w:tcBorders>
              <w:top w:val="nil"/>
              <w:left w:val="nil"/>
              <w:bottom w:val="nil"/>
              <w:right w:val="nil"/>
            </w:tcBorders>
            <w:hideMark/>
          </w:tcPr>
          <w:p w:rsidR="00814BA9" w:rsidRPr="00814BA9" w:rsidRDefault="00814BA9" w:rsidP="00814BA9">
            <w:r w:rsidRPr="00814BA9">
              <w:t>0.321</w:t>
            </w:r>
          </w:p>
        </w:tc>
        <w:tc>
          <w:tcPr>
            <w:tcW w:w="0" w:type="auto"/>
            <w:tcBorders>
              <w:top w:val="nil"/>
              <w:left w:val="nil"/>
              <w:bottom w:val="nil"/>
              <w:right w:val="nil"/>
            </w:tcBorders>
            <w:hideMark/>
          </w:tcPr>
          <w:p w:rsidR="00814BA9" w:rsidRPr="00814BA9" w:rsidRDefault="00814BA9" w:rsidP="00814BA9">
            <w:r w:rsidRPr="00814BA9">
              <w:t>-.5606632</w:t>
            </w:r>
          </w:p>
        </w:tc>
        <w:tc>
          <w:tcPr>
            <w:tcW w:w="0" w:type="auto"/>
            <w:tcBorders>
              <w:top w:val="nil"/>
              <w:left w:val="nil"/>
              <w:bottom w:val="nil"/>
              <w:right w:val="nil"/>
            </w:tcBorders>
            <w:hideMark/>
          </w:tcPr>
          <w:p w:rsidR="00814BA9" w:rsidRPr="00814BA9" w:rsidRDefault="00814BA9" w:rsidP="00814BA9">
            <w:r w:rsidRPr="00814BA9">
              <w:t>.1835727</w:t>
            </w:r>
          </w:p>
        </w:tc>
      </w:tr>
      <w:tr w:rsidR="00CB0694" w:rsidRPr="00814BA9" w:rsidTr="00CB0694">
        <w:trPr>
          <w:trHeight w:val="358"/>
        </w:trPr>
        <w:tc>
          <w:tcPr>
            <w:tcW w:w="2270" w:type="dxa"/>
            <w:tcBorders>
              <w:top w:val="nil"/>
              <w:left w:val="nil"/>
              <w:bottom w:val="nil"/>
              <w:right w:val="single" w:sz="4" w:space="0" w:color="auto"/>
            </w:tcBorders>
            <w:hideMark/>
          </w:tcPr>
          <w:p w:rsidR="00814BA9" w:rsidRPr="00814BA9" w:rsidRDefault="00CB0694" w:rsidP="00814BA9">
            <w:r>
              <w:t>Sector type</w:t>
            </w:r>
          </w:p>
        </w:tc>
        <w:tc>
          <w:tcPr>
            <w:tcW w:w="1425" w:type="dxa"/>
            <w:tcBorders>
              <w:top w:val="nil"/>
              <w:left w:val="single" w:sz="4" w:space="0" w:color="auto"/>
              <w:bottom w:val="nil"/>
              <w:right w:val="nil"/>
            </w:tcBorders>
            <w:hideMark/>
          </w:tcPr>
          <w:p w:rsidR="00814BA9" w:rsidRPr="00814BA9" w:rsidRDefault="00814BA9" w:rsidP="00814BA9">
            <w:r w:rsidRPr="00814BA9">
              <w:t>.3215583</w:t>
            </w:r>
          </w:p>
        </w:tc>
        <w:tc>
          <w:tcPr>
            <w:tcW w:w="0" w:type="auto"/>
            <w:tcBorders>
              <w:top w:val="nil"/>
              <w:left w:val="nil"/>
              <w:bottom w:val="nil"/>
              <w:right w:val="nil"/>
            </w:tcBorders>
            <w:hideMark/>
          </w:tcPr>
          <w:p w:rsidR="00814BA9" w:rsidRPr="00814BA9" w:rsidRDefault="00814BA9" w:rsidP="00814BA9">
            <w:r w:rsidRPr="00814BA9">
              <w:t>.1725551</w:t>
            </w:r>
          </w:p>
        </w:tc>
        <w:tc>
          <w:tcPr>
            <w:tcW w:w="0" w:type="auto"/>
            <w:tcBorders>
              <w:top w:val="nil"/>
              <w:left w:val="nil"/>
              <w:bottom w:val="nil"/>
              <w:right w:val="nil"/>
            </w:tcBorders>
            <w:hideMark/>
          </w:tcPr>
          <w:p w:rsidR="00814BA9" w:rsidRPr="00814BA9" w:rsidRDefault="00814BA9" w:rsidP="00814BA9">
            <w:r w:rsidRPr="00814BA9">
              <w:t>1.86</w:t>
            </w:r>
          </w:p>
        </w:tc>
        <w:tc>
          <w:tcPr>
            <w:tcW w:w="0" w:type="auto"/>
            <w:tcBorders>
              <w:top w:val="nil"/>
              <w:left w:val="nil"/>
              <w:bottom w:val="nil"/>
              <w:right w:val="nil"/>
            </w:tcBorders>
            <w:hideMark/>
          </w:tcPr>
          <w:p w:rsidR="00814BA9" w:rsidRPr="00814BA9" w:rsidRDefault="00814BA9" w:rsidP="00814BA9">
            <w:r w:rsidRPr="00814BA9">
              <w:t>0.062</w:t>
            </w:r>
          </w:p>
        </w:tc>
        <w:tc>
          <w:tcPr>
            <w:tcW w:w="0" w:type="auto"/>
            <w:tcBorders>
              <w:top w:val="nil"/>
              <w:left w:val="nil"/>
              <w:bottom w:val="nil"/>
              <w:right w:val="nil"/>
            </w:tcBorders>
            <w:hideMark/>
          </w:tcPr>
          <w:p w:rsidR="00814BA9" w:rsidRPr="00814BA9" w:rsidRDefault="00814BA9" w:rsidP="00814BA9">
            <w:r w:rsidRPr="00814BA9">
              <w:t>-.0166435</w:t>
            </w:r>
          </w:p>
        </w:tc>
        <w:tc>
          <w:tcPr>
            <w:tcW w:w="0" w:type="auto"/>
            <w:tcBorders>
              <w:top w:val="nil"/>
              <w:left w:val="nil"/>
              <w:bottom w:val="nil"/>
              <w:right w:val="nil"/>
            </w:tcBorders>
            <w:hideMark/>
          </w:tcPr>
          <w:p w:rsidR="00814BA9" w:rsidRPr="00814BA9" w:rsidRDefault="00814BA9" w:rsidP="00814BA9">
            <w:r w:rsidRPr="00814BA9">
              <w:t>.65976</w:t>
            </w:r>
          </w:p>
        </w:tc>
      </w:tr>
      <w:tr w:rsidR="00CB0694" w:rsidRPr="00814BA9" w:rsidTr="00CB0694">
        <w:trPr>
          <w:trHeight w:val="358"/>
        </w:trPr>
        <w:tc>
          <w:tcPr>
            <w:tcW w:w="2270" w:type="dxa"/>
            <w:tcBorders>
              <w:top w:val="nil"/>
              <w:left w:val="nil"/>
              <w:bottom w:val="nil"/>
              <w:right w:val="single" w:sz="4" w:space="0" w:color="auto"/>
            </w:tcBorders>
            <w:hideMark/>
          </w:tcPr>
          <w:p w:rsidR="00814BA9" w:rsidRPr="00814BA9" w:rsidRDefault="00CB0694" w:rsidP="00814BA9">
            <w:r>
              <w:t>Rule of law</w:t>
            </w:r>
          </w:p>
        </w:tc>
        <w:tc>
          <w:tcPr>
            <w:tcW w:w="1425" w:type="dxa"/>
            <w:tcBorders>
              <w:top w:val="nil"/>
              <w:left w:val="single" w:sz="4" w:space="0" w:color="auto"/>
              <w:bottom w:val="nil"/>
              <w:right w:val="nil"/>
            </w:tcBorders>
            <w:hideMark/>
          </w:tcPr>
          <w:p w:rsidR="00814BA9" w:rsidRPr="00814BA9" w:rsidRDefault="00814BA9" w:rsidP="00814BA9">
            <w:r w:rsidRPr="00814BA9">
              <w:t>.2322857</w:t>
            </w:r>
          </w:p>
        </w:tc>
        <w:tc>
          <w:tcPr>
            <w:tcW w:w="0" w:type="auto"/>
            <w:tcBorders>
              <w:top w:val="nil"/>
              <w:left w:val="nil"/>
              <w:bottom w:val="nil"/>
              <w:right w:val="nil"/>
            </w:tcBorders>
            <w:hideMark/>
          </w:tcPr>
          <w:p w:rsidR="00814BA9" w:rsidRPr="00814BA9" w:rsidRDefault="00814BA9" w:rsidP="00814BA9">
            <w:r w:rsidRPr="00814BA9">
              <w:t>.220332</w:t>
            </w:r>
          </w:p>
        </w:tc>
        <w:tc>
          <w:tcPr>
            <w:tcW w:w="0" w:type="auto"/>
            <w:tcBorders>
              <w:top w:val="nil"/>
              <w:left w:val="nil"/>
              <w:bottom w:val="nil"/>
              <w:right w:val="nil"/>
            </w:tcBorders>
            <w:hideMark/>
          </w:tcPr>
          <w:p w:rsidR="00814BA9" w:rsidRPr="00814BA9" w:rsidRDefault="00814BA9" w:rsidP="00814BA9">
            <w:r w:rsidRPr="00814BA9">
              <w:t>1.05</w:t>
            </w:r>
          </w:p>
        </w:tc>
        <w:tc>
          <w:tcPr>
            <w:tcW w:w="0" w:type="auto"/>
            <w:tcBorders>
              <w:top w:val="nil"/>
              <w:left w:val="nil"/>
              <w:bottom w:val="nil"/>
              <w:right w:val="nil"/>
            </w:tcBorders>
            <w:hideMark/>
          </w:tcPr>
          <w:p w:rsidR="00814BA9" w:rsidRPr="00814BA9" w:rsidRDefault="00814BA9" w:rsidP="00814BA9">
            <w:r w:rsidRPr="00814BA9">
              <w:t>0.292</w:t>
            </w:r>
          </w:p>
        </w:tc>
        <w:tc>
          <w:tcPr>
            <w:tcW w:w="0" w:type="auto"/>
            <w:tcBorders>
              <w:top w:val="nil"/>
              <w:left w:val="nil"/>
              <w:bottom w:val="nil"/>
              <w:right w:val="nil"/>
            </w:tcBorders>
            <w:hideMark/>
          </w:tcPr>
          <w:p w:rsidR="00814BA9" w:rsidRPr="00814BA9" w:rsidRDefault="00814BA9" w:rsidP="00814BA9">
            <w:r w:rsidRPr="00814BA9">
              <w:t>-.199557</w:t>
            </w:r>
          </w:p>
        </w:tc>
        <w:tc>
          <w:tcPr>
            <w:tcW w:w="0" w:type="auto"/>
            <w:tcBorders>
              <w:top w:val="nil"/>
              <w:left w:val="nil"/>
              <w:bottom w:val="nil"/>
              <w:right w:val="nil"/>
            </w:tcBorders>
            <w:hideMark/>
          </w:tcPr>
          <w:p w:rsidR="00814BA9" w:rsidRPr="00814BA9" w:rsidRDefault="00814BA9" w:rsidP="00814BA9">
            <w:r w:rsidRPr="00814BA9">
              <w:t>.6641285</w:t>
            </w:r>
          </w:p>
        </w:tc>
      </w:tr>
      <w:tr w:rsidR="00CB0694" w:rsidRPr="00814BA9" w:rsidTr="00CB0694">
        <w:trPr>
          <w:trHeight w:val="358"/>
        </w:trPr>
        <w:tc>
          <w:tcPr>
            <w:tcW w:w="2270" w:type="dxa"/>
            <w:tcBorders>
              <w:top w:val="nil"/>
              <w:left w:val="nil"/>
              <w:bottom w:val="nil"/>
              <w:right w:val="single" w:sz="4" w:space="0" w:color="auto"/>
            </w:tcBorders>
            <w:hideMark/>
          </w:tcPr>
          <w:p w:rsidR="00814BA9" w:rsidRPr="00814BA9" w:rsidRDefault="00CB0694" w:rsidP="00814BA9">
            <w:r>
              <w:t>Political risk</w:t>
            </w:r>
          </w:p>
        </w:tc>
        <w:tc>
          <w:tcPr>
            <w:tcW w:w="1425" w:type="dxa"/>
            <w:tcBorders>
              <w:top w:val="nil"/>
              <w:left w:val="single" w:sz="4" w:space="0" w:color="auto"/>
              <w:bottom w:val="nil"/>
              <w:right w:val="nil"/>
            </w:tcBorders>
            <w:hideMark/>
          </w:tcPr>
          <w:p w:rsidR="00814BA9" w:rsidRPr="00814BA9" w:rsidRDefault="00814BA9" w:rsidP="00814BA9">
            <w:r w:rsidRPr="00814BA9">
              <w:t>.0183462</w:t>
            </w:r>
          </w:p>
        </w:tc>
        <w:tc>
          <w:tcPr>
            <w:tcW w:w="0" w:type="auto"/>
            <w:tcBorders>
              <w:top w:val="nil"/>
              <w:left w:val="nil"/>
              <w:bottom w:val="nil"/>
              <w:right w:val="nil"/>
            </w:tcBorders>
            <w:hideMark/>
          </w:tcPr>
          <w:p w:rsidR="00814BA9" w:rsidRPr="00814BA9" w:rsidRDefault="00814BA9" w:rsidP="00814BA9">
            <w:r w:rsidRPr="00814BA9">
              <w:t>.1946786</w:t>
            </w:r>
          </w:p>
        </w:tc>
        <w:tc>
          <w:tcPr>
            <w:tcW w:w="0" w:type="auto"/>
            <w:tcBorders>
              <w:top w:val="nil"/>
              <w:left w:val="nil"/>
              <w:bottom w:val="nil"/>
              <w:right w:val="nil"/>
            </w:tcBorders>
            <w:hideMark/>
          </w:tcPr>
          <w:p w:rsidR="00814BA9" w:rsidRPr="00814BA9" w:rsidRDefault="00814BA9" w:rsidP="00814BA9">
            <w:r w:rsidRPr="00814BA9">
              <w:t>0.09</w:t>
            </w:r>
          </w:p>
        </w:tc>
        <w:tc>
          <w:tcPr>
            <w:tcW w:w="0" w:type="auto"/>
            <w:tcBorders>
              <w:top w:val="nil"/>
              <w:left w:val="nil"/>
              <w:bottom w:val="nil"/>
              <w:right w:val="nil"/>
            </w:tcBorders>
            <w:hideMark/>
          </w:tcPr>
          <w:p w:rsidR="00814BA9" w:rsidRPr="00814BA9" w:rsidRDefault="00814BA9" w:rsidP="00814BA9">
            <w:r w:rsidRPr="00814BA9">
              <w:t>0.925</w:t>
            </w:r>
          </w:p>
        </w:tc>
        <w:tc>
          <w:tcPr>
            <w:tcW w:w="0" w:type="auto"/>
            <w:tcBorders>
              <w:top w:val="nil"/>
              <w:left w:val="nil"/>
              <w:bottom w:val="nil"/>
              <w:right w:val="nil"/>
            </w:tcBorders>
            <w:hideMark/>
          </w:tcPr>
          <w:p w:rsidR="00814BA9" w:rsidRPr="00814BA9" w:rsidRDefault="00814BA9" w:rsidP="00814BA9">
            <w:r w:rsidRPr="00814BA9">
              <w:t>-.3632168</w:t>
            </w:r>
          </w:p>
        </w:tc>
        <w:tc>
          <w:tcPr>
            <w:tcW w:w="0" w:type="auto"/>
            <w:tcBorders>
              <w:top w:val="nil"/>
              <w:left w:val="nil"/>
              <w:bottom w:val="nil"/>
              <w:right w:val="nil"/>
            </w:tcBorders>
            <w:hideMark/>
          </w:tcPr>
          <w:p w:rsidR="00814BA9" w:rsidRPr="00814BA9" w:rsidRDefault="00814BA9" w:rsidP="00814BA9">
            <w:r w:rsidRPr="00814BA9">
              <w:t>.3999093</w:t>
            </w:r>
          </w:p>
        </w:tc>
      </w:tr>
      <w:tr w:rsidR="00CB0694" w:rsidRPr="00814BA9" w:rsidTr="00CB0694">
        <w:trPr>
          <w:trHeight w:val="358"/>
        </w:trPr>
        <w:tc>
          <w:tcPr>
            <w:tcW w:w="2270" w:type="dxa"/>
            <w:tcBorders>
              <w:top w:val="nil"/>
              <w:left w:val="nil"/>
              <w:bottom w:val="nil"/>
              <w:right w:val="single" w:sz="4" w:space="0" w:color="auto"/>
            </w:tcBorders>
            <w:hideMark/>
          </w:tcPr>
          <w:p w:rsidR="00814BA9" w:rsidRPr="00814BA9" w:rsidRDefault="00CB0694" w:rsidP="00814BA9">
            <w:r>
              <w:t>Year</w:t>
            </w:r>
          </w:p>
        </w:tc>
        <w:tc>
          <w:tcPr>
            <w:tcW w:w="1425" w:type="dxa"/>
            <w:tcBorders>
              <w:top w:val="nil"/>
              <w:left w:val="single" w:sz="4" w:space="0" w:color="auto"/>
              <w:bottom w:val="nil"/>
              <w:right w:val="nil"/>
            </w:tcBorders>
            <w:hideMark/>
          </w:tcPr>
          <w:p w:rsidR="00814BA9" w:rsidRPr="00814BA9" w:rsidRDefault="00814BA9" w:rsidP="00814BA9">
            <w:r w:rsidRPr="00814BA9">
              <w:t>.0854742</w:t>
            </w:r>
          </w:p>
        </w:tc>
        <w:tc>
          <w:tcPr>
            <w:tcW w:w="0" w:type="auto"/>
            <w:tcBorders>
              <w:top w:val="nil"/>
              <w:left w:val="nil"/>
              <w:bottom w:val="nil"/>
              <w:right w:val="nil"/>
            </w:tcBorders>
            <w:hideMark/>
          </w:tcPr>
          <w:p w:rsidR="00814BA9" w:rsidRPr="00814BA9" w:rsidRDefault="00814BA9" w:rsidP="00814BA9">
            <w:r w:rsidRPr="00814BA9">
              <w:t>.021517</w:t>
            </w:r>
          </w:p>
        </w:tc>
        <w:tc>
          <w:tcPr>
            <w:tcW w:w="0" w:type="auto"/>
            <w:tcBorders>
              <w:top w:val="nil"/>
              <w:left w:val="nil"/>
              <w:bottom w:val="nil"/>
              <w:right w:val="nil"/>
            </w:tcBorders>
            <w:hideMark/>
          </w:tcPr>
          <w:p w:rsidR="00814BA9" w:rsidRPr="00814BA9" w:rsidRDefault="00814BA9" w:rsidP="00814BA9">
            <w:r w:rsidRPr="00814BA9">
              <w:t>3.97</w:t>
            </w:r>
          </w:p>
        </w:tc>
        <w:tc>
          <w:tcPr>
            <w:tcW w:w="0" w:type="auto"/>
            <w:tcBorders>
              <w:top w:val="nil"/>
              <w:left w:val="nil"/>
              <w:bottom w:val="nil"/>
              <w:right w:val="nil"/>
            </w:tcBorders>
            <w:hideMark/>
          </w:tcPr>
          <w:p w:rsidR="00814BA9" w:rsidRPr="00814BA9" w:rsidRDefault="00814BA9" w:rsidP="00814BA9">
            <w:r w:rsidRPr="00814BA9">
              <w:t>0.000</w:t>
            </w:r>
          </w:p>
        </w:tc>
        <w:tc>
          <w:tcPr>
            <w:tcW w:w="0" w:type="auto"/>
            <w:tcBorders>
              <w:top w:val="nil"/>
              <w:left w:val="nil"/>
              <w:bottom w:val="nil"/>
              <w:right w:val="nil"/>
            </w:tcBorders>
            <w:hideMark/>
          </w:tcPr>
          <w:p w:rsidR="00814BA9" w:rsidRPr="00814BA9" w:rsidRDefault="00814BA9" w:rsidP="00814BA9">
            <w:r w:rsidRPr="00814BA9">
              <w:t>.0433015</w:t>
            </w:r>
          </w:p>
        </w:tc>
        <w:tc>
          <w:tcPr>
            <w:tcW w:w="0" w:type="auto"/>
            <w:tcBorders>
              <w:top w:val="nil"/>
              <w:left w:val="nil"/>
              <w:bottom w:val="nil"/>
              <w:right w:val="nil"/>
            </w:tcBorders>
            <w:hideMark/>
          </w:tcPr>
          <w:p w:rsidR="00814BA9" w:rsidRPr="00814BA9" w:rsidRDefault="00814BA9" w:rsidP="00814BA9">
            <w:r w:rsidRPr="00814BA9">
              <w:t>.1276468</w:t>
            </w:r>
          </w:p>
        </w:tc>
      </w:tr>
      <w:tr w:rsidR="00CB0694" w:rsidRPr="00814BA9" w:rsidTr="00CB0694">
        <w:trPr>
          <w:trHeight w:val="358"/>
        </w:trPr>
        <w:tc>
          <w:tcPr>
            <w:tcW w:w="2270" w:type="dxa"/>
            <w:tcBorders>
              <w:top w:val="nil"/>
              <w:left w:val="nil"/>
              <w:bottom w:val="nil"/>
              <w:right w:val="single" w:sz="4" w:space="0" w:color="auto"/>
            </w:tcBorders>
            <w:hideMark/>
          </w:tcPr>
          <w:p w:rsidR="00814BA9" w:rsidRPr="00814BA9" w:rsidRDefault="00814BA9" w:rsidP="00814BA9">
            <w:r w:rsidRPr="00814BA9">
              <w:t>_cons</w:t>
            </w:r>
          </w:p>
        </w:tc>
        <w:tc>
          <w:tcPr>
            <w:tcW w:w="1425" w:type="dxa"/>
            <w:tcBorders>
              <w:top w:val="nil"/>
              <w:left w:val="single" w:sz="4" w:space="0" w:color="auto"/>
              <w:bottom w:val="nil"/>
              <w:right w:val="nil"/>
            </w:tcBorders>
            <w:hideMark/>
          </w:tcPr>
          <w:p w:rsidR="00814BA9" w:rsidRPr="00814BA9" w:rsidRDefault="00814BA9" w:rsidP="00814BA9">
            <w:r w:rsidRPr="00814BA9">
              <w:t>-176.3287</w:t>
            </w:r>
          </w:p>
        </w:tc>
        <w:tc>
          <w:tcPr>
            <w:tcW w:w="0" w:type="auto"/>
            <w:tcBorders>
              <w:top w:val="nil"/>
              <w:left w:val="nil"/>
              <w:bottom w:val="nil"/>
              <w:right w:val="nil"/>
            </w:tcBorders>
            <w:hideMark/>
          </w:tcPr>
          <w:p w:rsidR="00814BA9" w:rsidRPr="00814BA9" w:rsidRDefault="00814BA9" w:rsidP="00814BA9">
            <w:r w:rsidRPr="00814BA9">
              <w:t>42.98947</w:t>
            </w:r>
          </w:p>
        </w:tc>
        <w:tc>
          <w:tcPr>
            <w:tcW w:w="0" w:type="auto"/>
            <w:tcBorders>
              <w:top w:val="nil"/>
              <w:left w:val="nil"/>
              <w:bottom w:val="nil"/>
              <w:right w:val="nil"/>
            </w:tcBorders>
            <w:hideMark/>
          </w:tcPr>
          <w:p w:rsidR="00814BA9" w:rsidRPr="00814BA9" w:rsidRDefault="00814BA9" w:rsidP="00814BA9">
            <w:r w:rsidRPr="00814BA9">
              <w:t>-4.10</w:t>
            </w:r>
          </w:p>
        </w:tc>
        <w:tc>
          <w:tcPr>
            <w:tcW w:w="0" w:type="auto"/>
            <w:tcBorders>
              <w:top w:val="nil"/>
              <w:left w:val="nil"/>
              <w:bottom w:val="nil"/>
              <w:right w:val="nil"/>
            </w:tcBorders>
            <w:hideMark/>
          </w:tcPr>
          <w:p w:rsidR="00814BA9" w:rsidRPr="00814BA9" w:rsidRDefault="00814BA9" w:rsidP="00814BA9">
            <w:r w:rsidRPr="00814BA9">
              <w:t>0.000</w:t>
            </w:r>
          </w:p>
        </w:tc>
        <w:tc>
          <w:tcPr>
            <w:tcW w:w="0" w:type="auto"/>
            <w:tcBorders>
              <w:top w:val="nil"/>
              <w:left w:val="nil"/>
              <w:bottom w:val="nil"/>
              <w:right w:val="nil"/>
            </w:tcBorders>
            <w:hideMark/>
          </w:tcPr>
          <w:p w:rsidR="00814BA9" w:rsidRPr="00814BA9" w:rsidRDefault="00814BA9" w:rsidP="00814BA9">
            <w:r w:rsidRPr="00814BA9">
              <w:t>-260.5865</w:t>
            </w:r>
          </w:p>
        </w:tc>
        <w:tc>
          <w:tcPr>
            <w:tcW w:w="0" w:type="auto"/>
            <w:tcBorders>
              <w:top w:val="nil"/>
              <w:left w:val="nil"/>
              <w:bottom w:val="nil"/>
              <w:right w:val="nil"/>
            </w:tcBorders>
            <w:hideMark/>
          </w:tcPr>
          <w:p w:rsidR="00814BA9" w:rsidRPr="00814BA9" w:rsidRDefault="00814BA9" w:rsidP="00814BA9">
            <w:r w:rsidRPr="00814BA9">
              <w:t>-92.07087</w:t>
            </w:r>
          </w:p>
        </w:tc>
      </w:tr>
      <w:tr w:rsidR="00CB0694" w:rsidRPr="00814BA9" w:rsidTr="00CB0694">
        <w:trPr>
          <w:trHeight w:val="20"/>
        </w:trPr>
        <w:tc>
          <w:tcPr>
            <w:tcW w:w="2270" w:type="dxa"/>
            <w:tcBorders>
              <w:top w:val="nil"/>
            </w:tcBorders>
            <w:hideMark/>
          </w:tcPr>
          <w:p w:rsidR="00814BA9" w:rsidRPr="00814BA9" w:rsidRDefault="00814BA9" w:rsidP="00814BA9"/>
        </w:tc>
        <w:tc>
          <w:tcPr>
            <w:tcW w:w="1425" w:type="dxa"/>
            <w:tcBorders>
              <w:top w:val="nil"/>
            </w:tcBorders>
            <w:hideMark/>
          </w:tcPr>
          <w:p w:rsidR="00814BA9" w:rsidRPr="00814BA9" w:rsidRDefault="00814BA9" w:rsidP="00814BA9"/>
        </w:tc>
        <w:tc>
          <w:tcPr>
            <w:tcW w:w="0" w:type="auto"/>
            <w:tcBorders>
              <w:top w:val="nil"/>
            </w:tcBorders>
            <w:hideMark/>
          </w:tcPr>
          <w:p w:rsidR="00814BA9" w:rsidRPr="00814BA9" w:rsidRDefault="00814BA9" w:rsidP="00814BA9"/>
        </w:tc>
        <w:tc>
          <w:tcPr>
            <w:tcW w:w="0" w:type="auto"/>
            <w:tcBorders>
              <w:top w:val="nil"/>
            </w:tcBorders>
            <w:hideMark/>
          </w:tcPr>
          <w:p w:rsidR="00814BA9" w:rsidRPr="00814BA9" w:rsidRDefault="00814BA9" w:rsidP="00814BA9">
            <w:pPr>
              <w:rPr>
                <w:sz w:val="20"/>
                <w:szCs w:val="20"/>
              </w:rPr>
            </w:pPr>
          </w:p>
        </w:tc>
        <w:tc>
          <w:tcPr>
            <w:tcW w:w="0" w:type="auto"/>
            <w:tcBorders>
              <w:top w:val="nil"/>
            </w:tcBorders>
            <w:hideMark/>
          </w:tcPr>
          <w:p w:rsidR="00814BA9" w:rsidRPr="00814BA9" w:rsidRDefault="00814BA9" w:rsidP="00814BA9">
            <w:pPr>
              <w:rPr>
                <w:sz w:val="20"/>
                <w:szCs w:val="20"/>
              </w:rPr>
            </w:pPr>
          </w:p>
        </w:tc>
        <w:tc>
          <w:tcPr>
            <w:tcW w:w="0" w:type="auto"/>
            <w:tcBorders>
              <w:top w:val="nil"/>
            </w:tcBorders>
            <w:hideMark/>
          </w:tcPr>
          <w:p w:rsidR="00814BA9" w:rsidRPr="00814BA9" w:rsidRDefault="00814BA9" w:rsidP="00814BA9">
            <w:pPr>
              <w:rPr>
                <w:sz w:val="20"/>
                <w:szCs w:val="20"/>
              </w:rPr>
            </w:pPr>
          </w:p>
        </w:tc>
        <w:tc>
          <w:tcPr>
            <w:tcW w:w="0" w:type="auto"/>
            <w:tcBorders>
              <w:top w:val="nil"/>
            </w:tcBorders>
            <w:hideMark/>
          </w:tcPr>
          <w:p w:rsidR="00814BA9" w:rsidRPr="00814BA9" w:rsidRDefault="00814BA9" w:rsidP="00814BA9">
            <w:pPr>
              <w:rPr>
                <w:sz w:val="20"/>
                <w:szCs w:val="20"/>
              </w:rPr>
            </w:pPr>
          </w:p>
        </w:tc>
      </w:tr>
    </w:tbl>
    <w:p w:rsidR="0021684F" w:rsidRDefault="00EB2A9E" w:rsidP="00DF3F76">
      <w:pPr>
        <w:spacing w:line="360" w:lineRule="auto"/>
        <w:jc w:val="center"/>
      </w:pPr>
      <w:r>
        <w:t>Table 2</w:t>
      </w:r>
      <w:r w:rsidR="0021684F" w:rsidRPr="00730468">
        <w:t>. Logistic regression results.</w:t>
      </w:r>
    </w:p>
    <w:p w:rsidR="00EB2A9E" w:rsidRPr="00730468" w:rsidRDefault="00EB2A9E" w:rsidP="00DF3F76">
      <w:pPr>
        <w:spacing w:line="360" w:lineRule="auto"/>
        <w:jc w:val="center"/>
      </w:pPr>
    </w:p>
    <w:p w:rsidR="00ED3532" w:rsidRPr="00730468" w:rsidRDefault="00ED3532" w:rsidP="00B35C5F">
      <w:pPr>
        <w:spacing w:line="360" w:lineRule="auto"/>
        <w:jc w:val="both"/>
      </w:pPr>
      <w:r w:rsidRPr="00730468">
        <w:t xml:space="preserve">The likelihood ratio chi-square of 88.33 with a p-value of 0 tells </w:t>
      </w:r>
      <w:r w:rsidRPr="00D5023F">
        <w:t xml:space="preserve">that </w:t>
      </w:r>
      <w:r w:rsidR="0020411D" w:rsidRPr="00D5023F">
        <w:t>the</w:t>
      </w:r>
      <w:r w:rsidRPr="00D5023F">
        <w:t xml:space="preserve"> </w:t>
      </w:r>
      <w:r w:rsidRPr="00D5023F">
        <w:rPr>
          <w:noProof/>
        </w:rPr>
        <w:t xml:space="preserve">model </w:t>
      </w:r>
      <w:r w:rsidR="00D5023F" w:rsidRPr="00D5023F">
        <w:rPr>
          <w:noProof/>
        </w:rPr>
        <w:t xml:space="preserve">is more fitting </w:t>
      </w:r>
      <w:r w:rsidRPr="00D5023F">
        <w:rPr>
          <w:noProof/>
        </w:rPr>
        <w:t>than an empty model</w:t>
      </w:r>
      <w:r w:rsidRPr="00D5023F">
        <w:t xml:space="preserve"> (model </w:t>
      </w:r>
      <w:r w:rsidRPr="00730468">
        <w:t>with no predictors)</w:t>
      </w:r>
      <w:r w:rsidR="00C519AA" w:rsidRPr="00730468">
        <w:t>.</w:t>
      </w:r>
      <w:r w:rsidR="00061143" w:rsidRPr="00730468">
        <w:t xml:space="preserve"> </w:t>
      </w:r>
    </w:p>
    <w:p w:rsidR="00EB2A9E" w:rsidRDefault="00EB2A9E" w:rsidP="00B35C5F">
      <w:pPr>
        <w:spacing w:line="360" w:lineRule="auto"/>
        <w:jc w:val="both"/>
      </w:pPr>
    </w:p>
    <w:p w:rsidR="00077262" w:rsidRDefault="00061143" w:rsidP="00B35C5F">
      <w:pPr>
        <w:spacing w:line="360" w:lineRule="auto"/>
        <w:jc w:val="both"/>
      </w:pPr>
      <w:r w:rsidRPr="00730468">
        <w:t xml:space="preserve">It is clearly seen from </w:t>
      </w:r>
      <w:r w:rsidR="00EC4563">
        <w:t>T</w:t>
      </w:r>
      <w:r w:rsidR="00EB2A9E">
        <w:t>able 2</w:t>
      </w:r>
      <w:r w:rsidRPr="00730468">
        <w:t xml:space="preserve"> that</w:t>
      </w:r>
      <w:r w:rsidR="002F15C0" w:rsidRPr="00730468">
        <w:t xml:space="preserve"> except firm’s size, the rest</w:t>
      </w:r>
      <w:r w:rsidRPr="00730468">
        <w:t xml:space="preserve"> of independent variables are found to have significant impact on entry mode decision</w:t>
      </w:r>
      <w:r w:rsidR="002F15C0" w:rsidRPr="00730468">
        <w:t xml:space="preserve">. However, just three hypotheses are supported, which include the hypotheses of economic distance, cultural distance, and India experience. Meanwhile, although geographic distance and governance distance are found to be statistically significant, they witness an opposite trend with what were anticipated, making the hypotheses not to be supported. </w:t>
      </w:r>
      <w:r w:rsidR="006A4AE1" w:rsidRPr="00730468">
        <w:t xml:space="preserve">The </w:t>
      </w:r>
      <w:r w:rsidR="00DC63DE" w:rsidRPr="00730468">
        <w:t xml:space="preserve">hypotheses’ expectations and </w:t>
      </w:r>
      <w:r w:rsidR="006A4AE1" w:rsidRPr="00730468">
        <w:t xml:space="preserve">empirical </w:t>
      </w:r>
      <w:r w:rsidR="00DC63DE" w:rsidRPr="00730468">
        <w:t>results</w:t>
      </w:r>
      <w:r w:rsidR="006A4AE1" w:rsidRPr="00730468">
        <w:t xml:space="preserve"> of all independent variables </w:t>
      </w:r>
      <w:r w:rsidR="00EB2A9E">
        <w:rPr>
          <w:noProof/>
        </w:rPr>
        <w:t>would be</w:t>
      </w:r>
      <w:r w:rsidR="006A4AE1" w:rsidRPr="00730468">
        <w:rPr>
          <w:noProof/>
        </w:rPr>
        <w:t xml:space="preserve"> summarize</w:t>
      </w:r>
      <w:r w:rsidR="00516892" w:rsidRPr="00730468">
        <w:rPr>
          <w:noProof/>
        </w:rPr>
        <w:t>d</w:t>
      </w:r>
      <w:r w:rsidR="006A4AE1" w:rsidRPr="00730468">
        <w:t xml:space="preserve"> in </w:t>
      </w:r>
      <w:r w:rsidR="00EB2A9E">
        <w:t>T</w:t>
      </w:r>
      <w:r w:rsidR="006A4AE1" w:rsidRPr="00730468">
        <w:rPr>
          <w:noProof/>
        </w:rPr>
        <w:t>able</w:t>
      </w:r>
      <w:r w:rsidR="006A4AE1" w:rsidRPr="00730468">
        <w:t xml:space="preserve"> </w:t>
      </w:r>
      <w:r w:rsidR="00EB2A9E">
        <w:t>3</w:t>
      </w:r>
      <w:r w:rsidR="006A4AE1" w:rsidRPr="00730468">
        <w:t>.</w:t>
      </w:r>
    </w:p>
    <w:p w:rsidR="00EB2A9E" w:rsidRPr="00730468" w:rsidRDefault="00EB2A9E" w:rsidP="00EB2A9E">
      <w:pPr>
        <w:spacing w:line="360" w:lineRule="auto"/>
      </w:pPr>
    </w:p>
    <w:tbl>
      <w:tblPr>
        <w:tblStyle w:val="TableGrid"/>
        <w:tblW w:w="9091" w:type="dxa"/>
        <w:tblLayout w:type="fixed"/>
        <w:tblLook w:val="04A0" w:firstRow="1" w:lastRow="0" w:firstColumn="1" w:lastColumn="0" w:noHBand="0" w:noVBand="1"/>
      </w:tblPr>
      <w:tblGrid>
        <w:gridCol w:w="3190"/>
        <w:gridCol w:w="1812"/>
        <w:gridCol w:w="1631"/>
        <w:gridCol w:w="2458"/>
      </w:tblGrid>
      <w:tr w:rsidR="00C313C1" w:rsidRPr="00730468" w:rsidTr="00417B5A">
        <w:trPr>
          <w:trHeight w:val="344"/>
        </w:trPr>
        <w:tc>
          <w:tcPr>
            <w:tcW w:w="3190" w:type="dxa"/>
          </w:tcPr>
          <w:p w:rsidR="00C313C1" w:rsidRPr="00730468" w:rsidRDefault="00C313C1" w:rsidP="00DF3F76">
            <w:pPr>
              <w:spacing w:line="360" w:lineRule="auto"/>
              <w:jc w:val="both"/>
              <w:rPr>
                <w:b/>
              </w:rPr>
            </w:pPr>
            <w:r w:rsidRPr="00730468">
              <w:rPr>
                <w:b/>
              </w:rPr>
              <w:t>Variables</w:t>
            </w:r>
          </w:p>
        </w:tc>
        <w:tc>
          <w:tcPr>
            <w:tcW w:w="1812" w:type="dxa"/>
          </w:tcPr>
          <w:p w:rsidR="00C313C1" w:rsidRPr="00730468" w:rsidRDefault="00C313C1" w:rsidP="00DF3F76">
            <w:pPr>
              <w:spacing w:line="360" w:lineRule="auto"/>
              <w:jc w:val="both"/>
              <w:rPr>
                <w:b/>
              </w:rPr>
            </w:pPr>
            <w:r w:rsidRPr="00730468">
              <w:rPr>
                <w:b/>
              </w:rPr>
              <w:t>Expectations</w:t>
            </w:r>
          </w:p>
        </w:tc>
        <w:tc>
          <w:tcPr>
            <w:tcW w:w="1631" w:type="dxa"/>
          </w:tcPr>
          <w:p w:rsidR="00C313C1" w:rsidRPr="00730468" w:rsidRDefault="00C313C1" w:rsidP="00DF3F76">
            <w:pPr>
              <w:spacing w:line="360" w:lineRule="auto"/>
              <w:jc w:val="both"/>
              <w:rPr>
                <w:b/>
              </w:rPr>
            </w:pPr>
            <w:r w:rsidRPr="00730468">
              <w:rPr>
                <w:b/>
              </w:rPr>
              <w:t>Results</w:t>
            </w:r>
          </w:p>
        </w:tc>
        <w:tc>
          <w:tcPr>
            <w:tcW w:w="2458" w:type="dxa"/>
          </w:tcPr>
          <w:p w:rsidR="00C313C1" w:rsidRPr="00730468" w:rsidRDefault="00C313C1" w:rsidP="00DF3F76">
            <w:pPr>
              <w:spacing w:line="360" w:lineRule="auto"/>
              <w:jc w:val="both"/>
              <w:rPr>
                <w:b/>
              </w:rPr>
            </w:pPr>
            <w:r w:rsidRPr="00730468">
              <w:rPr>
                <w:b/>
              </w:rPr>
              <w:t>Significant</w:t>
            </w:r>
          </w:p>
        </w:tc>
      </w:tr>
      <w:tr w:rsidR="00C313C1" w:rsidRPr="00730468" w:rsidTr="00417B5A">
        <w:trPr>
          <w:trHeight w:val="503"/>
        </w:trPr>
        <w:tc>
          <w:tcPr>
            <w:tcW w:w="3190" w:type="dxa"/>
          </w:tcPr>
          <w:p w:rsidR="00C313C1" w:rsidRPr="00730468" w:rsidRDefault="00417B5A" w:rsidP="00DF3F76">
            <w:pPr>
              <w:spacing w:line="360" w:lineRule="auto"/>
              <w:jc w:val="both"/>
            </w:pPr>
            <w:r>
              <w:t>Economic distance (ED)</w:t>
            </w:r>
          </w:p>
        </w:tc>
        <w:tc>
          <w:tcPr>
            <w:tcW w:w="1812" w:type="dxa"/>
          </w:tcPr>
          <w:p w:rsidR="00C313C1" w:rsidRPr="00730468" w:rsidRDefault="00C313C1" w:rsidP="00DF3F76">
            <w:pPr>
              <w:spacing w:line="360" w:lineRule="auto"/>
              <w:jc w:val="both"/>
            </w:pPr>
            <w:r w:rsidRPr="00730468">
              <w:t>_</w:t>
            </w:r>
          </w:p>
        </w:tc>
        <w:tc>
          <w:tcPr>
            <w:tcW w:w="1631" w:type="dxa"/>
          </w:tcPr>
          <w:p w:rsidR="00C313C1" w:rsidRPr="00730468" w:rsidRDefault="00C313C1" w:rsidP="00DF3F76">
            <w:pPr>
              <w:spacing w:line="360" w:lineRule="auto"/>
              <w:jc w:val="both"/>
            </w:pPr>
            <w:r w:rsidRPr="00730468">
              <w:t>_</w:t>
            </w:r>
          </w:p>
        </w:tc>
        <w:tc>
          <w:tcPr>
            <w:tcW w:w="2458" w:type="dxa"/>
          </w:tcPr>
          <w:p w:rsidR="00C313C1" w:rsidRPr="00730468" w:rsidRDefault="006913E6" w:rsidP="00DF3F76">
            <w:pPr>
              <w:spacing w:line="360" w:lineRule="auto"/>
              <w:jc w:val="both"/>
            </w:pPr>
            <w:r w:rsidRPr="00730468">
              <w:t>Yes</w:t>
            </w:r>
          </w:p>
        </w:tc>
      </w:tr>
      <w:tr w:rsidR="00C313C1" w:rsidRPr="00730468" w:rsidTr="00417B5A">
        <w:trPr>
          <w:trHeight w:val="467"/>
        </w:trPr>
        <w:tc>
          <w:tcPr>
            <w:tcW w:w="3190" w:type="dxa"/>
          </w:tcPr>
          <w:p w:rsidR="00C313C1" w:rsidRPr="00730468" w:rsidRDefault="00C313C1" w:rsidP="00DF3F76">
            <w:pPr>
              <w:spacing w:line="360" w:lineRule="auto"/>
              <w:jc w:val="both"/>
            </w:pPr>
            <w:r w:rsidRPr="00730468">
              <w:t>Geographic distance (GD)</w:t>
            </w:r>
          </w:p>
        </w:tc>
        <w:tc>
          <w:tcPr>
            <w:tcW w:w="1812" w:type="dxa"/>
          </w:tcPr>
          <w:p w:rsidR="00C313C1" w:rsidRPr="00730468" w:rsidRDefault="00C313C1" w:rsidP="00DF3F76">
            <w:pPr>
              <w:spacing w:line="360" w:lineRule="auto"/>
              <w:jc w:val="both"/>
            </w:pPr>
            <w:r w:rsidRPr="00730468">
              <w:t>_</w:t>
            </w:r>
          </w:p>
        </w:tc>
        <w:tc>
          <w:tcPr>
            <w:tcW w:w="1631" w:type="dxa"/>
          </w:tcPr>
          <w:p w:rsidR="00C313C1" w:rsidRPr="00730468" w:rsidRDefault="00C313C1" w:rsidP="00DF3F76">
            <w:pPr>
              <w:spacing w:line="360" w:lineRule="auto"/>
              <w:jc w:val="both"/>
            </w:pPr>
            <w:r w:rsidRPr="00730468">
              <w:t>+</w:t>
            </w:r>
          </w:p>
        </w:tc>
        <w:tc>
          <w:tcPr>
            <w:tcW w:w="2458" w:type="dxa"/>
          </w:tcPr>
          <w:p w:rsidR="00C313C1" w:rsidRPr="00730468" w:rsidRDefault="00C313C1" w:rsidP="00DF3F76">
            <w:pPr>
              <w:spacing w:line="360" w:lineRule="auto"/>
              <w:jc w:val="both"/>
            </w:pPr>
            <w:r w:rsidRPr="00730468">
              <w:t>Yes</w:t>
            </w:r>
          </w:p>
        </w:tc>
      </w:tr>
      <w:tr w:rsidR="00C313C1" w:rsidRPr="00730468" w:rsidTr="00417B5A">
        <w:trPr>
          <w:trHeight w:val="420"/>
        </w:trPr>
        <w:tc>
          <w:tcPr>
            <w:tcW w:w="3190" w:type="dxa"/>
          </w:tcPr>
          <w:p w:rsidR="00C313C1" w:rsidRPr="00730468" w:rsidRDefault="00C313C1" w:rsidP="00DF3F76">
            <w:pPr>
              <w:spacing w:line="360" w:lineRule="auto"/>
              <w:jc w:val="both"/>
            </w:pPr>
            <w:r w:rsidRPr="00730468">
              <w:t>Cultural distance (CD)</w:t>
            </w:r>
          </w:p>
        </w:tc>
        <w:tc>
          <w:tcPr>
            <w:tcW w:w="1812" w:type="dxa"/>
          </w:tcPr>
          <w:p w:rsidR="00C313C1" w:rsidRPr="00730468" w:rsidRDefault="00C313C1" w:rsidP="00DF3F76">
            <w:pPr>
              <w:spacing w:line="360" w:lineRule="auto"/>
              <w:jc w:val="both"/>
            </w:pPr>
            <w:r w:rsidRPr="00730468">
              <w:t>_</w:t>
            </w:r>
          </w:p>
        </w:tc>
        <w:tc>
          <w:tcPr>
            <w:tcW w:w="1631" w:type="dxa"/>
          </w:tcPr>
          <w:p w:rsidR="00C313C1" w:rsidRPr="00730468" w:rsidRDefault="00C313C1" w:rsidP="00DF3F76">
            <w:pPr>
              <w:spacing w:line="360" w:lineRule="auto"/>
              <w:jc w:val="both"/>
            </w:pPr>
            <w:r w:rsidRPr="00730468">
              <w:t>_</w:t>
            </w:r>
          </w:p>
        </w:tc>
        <w:tc>
          <w:tcPr>
            <w:tcW w:w="2458" w:type="dxa"/>
          </w:tcPr>
          <w:p w:rsidR="00C313C1" w:rsidRPr="00730468" w:rsidRDefault="00C313C1" w:rsidP="00DF3F76">
            <w:pPr>
              <w:spacing w:line="360" w:lineRule="auto"/>
              <w:jc w:val="both"/>
            </w:pPr>
            <w:r w:rsidRPr="00730468">
              <w:t>Yes</w:t>
            </w:r>
          </w:p>
        </w:tc>
      </w:tr>
      <w:tr w:rsidR="00C313C1" w:rsidRPr="00730468" w:rsidTr="00417B5A">
        <w:trPr>
          <w:trHeight w:val="426"/>
        </w:trPr>
        <w:tc>
          <w:tcPr>
            <w:tcW w:w="3190" w:type="dxa"/>
          </w:tcPr>
          <w:p w:rsidR="00C313C1" w:rsidRPr="00730468" w:rsidRDefault="006A4AE1" w:rsidP="00DF3F76">
            <w:pPr>
              <w:spacing w:line="360" w:lineRule="auto"/>
              <w:jc w:val="both"/>
            </w:pPr>
            <w:r w:rsidRPr="00730468">
              <w:t xml:space="preserve">Governance </w:t>
            </w:r>
            <w:r w:rsidR="00C313C1" w:rsidRPr="00730468">
              <w:t>distance (GoD)</w:t>
            </w:r>
          </w:p>
        </w:tc>
        <w:tc>
          <w:tcPr>
            <w:tcW w:w="1812" w:type="dxa"/>
          </w:tcPr>
          <w:p w:rsidR="00C313C1" w:rsidRPr="00730468" w:rsidRDefault="00C313C1" w:rsidP="00DF3F76">
            <w:pPr>
              <w:spacing w:line="360" w:lineRule="auto"/>
              <w:jc w:val="both"/>
            </w:pPr>
            <w:r w:rsidRPr="00730468">
              <w:t>_</w:t>
            </w:r>
          </w:p>
        </w:tc>
        <w:tc>
          <w:tcPr>
            <w:tcW w:w="1631" w:type="dxa"/>
          </w:tcPr>
          <w:p w:rsidR="00C313C1" w:rsidRPr="00730468" w:rsidRDefault="00C313C1" w:rsidP="00DF3F76">
            <w:pPr>
              <w:spacing w:line="360" w:lineRule="auto"/>
              <w:jc w:val="both"/>
            </w:pPr>
            <w:r w:rsidRPr="00730468">
              <w:t>+</w:t>
            </w:r>
          </w:p>
        </w:tc>
        <w:tc>
          <w:tcPr>
            <w:tcW w:w="2458" w:type="dxa"/>
          </w:tcPr>
          <w:p w:rsidR="00C313C1" w:rsidRPr="00730468" w:rsidRDefault="00C313C1" w:rsidP="00DF3F76">
            <w:pPr>
              <w:spacing w:line="360" w:lineRule="auto"/>
              <w:jc w:val="both"/>
            </w:pPr>
            <w:r w:rsidRPr="00730468">
              <w:t>Yes</w:t>
            </w:r>
          </w:p>
        </w:tc>
      </w:tr>
      <w:tr w:rsidR="00C313C1" w:rsidRPr="00730468" w:rsidTr="00417B5A">
        <w:trPr>
          <w:trHeight w:val="462"/>
        </w:trPr>
        <w:tc>
          <w:tcPr>
            <w:tcW w:w="3190" w:type="dxa"/>
          </w:tcPr>
          <w:p w:rsidR="00C313C1" w:rsidRPr="00730468" w:rsidRDefault="00C313C1" w:rsidP="00DF3F76">
            <w:pPr>
              <w:spacing w:line="360" w:lineRule="auto"/>
              <w:jc w:val="both"/>
            </w:pPr>
            <w:r w:rsidRPr="00730468">
              <w:t>India experience (IE)</w:t>
            </w:r>
          </w:p>
        </w:tc>
        <w:tc>
          <w:tcPr>
            <w:tcW w:w="1812" w:type="dxa"/>
          </w:tcPr>
          <w:p w:rsidR="00C313C1" w:rsidRPr="00730468" w:rsidRDefault="00C313C1" w:rsidP="00DF3F76">
            <w:pPr>
              <w:spacing w:line="360" w:lineRule="auto"/>
              <w:jc w:val="both"/>
            </w:pPr>
            <w:r w:rsidRPr="00730468">
              <w:t>+</w:t>
            </w:r>
          </w:p>
        </w:tc>
        <w:tc>
          <w:tcPr>
            <w:tcW w:w="1631" w:type="dxa"/>
          </w:tcPr>
          <w:p w:rsidR="00C313C1" w:rsidRPr="00730468" w:rsidRDefault="00C313C1" w:rsidP="00DF3F76">
            <w:pPr>
              <w:spacing w:line="360" w:lineRule="auto"/>
              <w:jc w:val="both"/>
            </w:pPr>
            <w:r w:rsidRPr="00730468">
              <w:t>+</w:t>
            </w:r>
          </w:p>
        </w:tc>
        <w:tc>
          <w:tcPr>
            <w:tcW w:w="2458" w:type="dxa"/>
          </w:tcPr>
          <w:p w:rsidR="00C313C1" w:rsidRPr="00730468" w:rsidRDefault="00C313C1" w:rsidP="00DF3F76">
            <w:pPr>
              <w:spacing w:line="360" w:lineRule="auto"/>
              <w:jc w:val="both"/>
            </w:pPr>
            <w:r w:rsidRPr="00730468">
              <w:t>Yes</w:t>
            </w:r>
          </w:p>
        </w:tc>
      </w:tr>
      <w:tr w:rsidR="006913E6" w:rsidRPr="00730468" w:rsidTr="00417B5A">
        <w:trPr>
          <w:trHeight w:val="447"/>
        </w:trPr>
        <w:tc>
          <w:tcPr>
            <w:tcW w:w="3190" w:type="dxa"/>
          </w:tcPr>
          <w:p w:rsidR="006913E6" w:rsidRPr="00730468" w:rsidRDefault="006913E6" w:rsidP="00DF3F76">
            <w:pPr>
              <w:spacing w:line="360" w:lineRule="auto"/>
              <w:jc w:val="both"/>
            </w:pPr>
            <w:r w:rsidRPr="00730468">
              <w:t>Firm size (SIZE)</w:t>
            </w:r>
          </w:p>
        </w:tc>
        <w:tc>
          <w:tcPr>
            <w:tcW w:w="1812" w:type="dxa"/>
          </w:tcPr>
          <w:p w:rsidR="006913E6" w:rsidRPr="00730468" w:rsidRDefault="006913E6" w:rsidP="00DF3F76">
            <w:pPr>
              <w:spacing w:line="360" w:lineRule="auto"/>
              <w:jc w:val="both"/>
            </w:pPr>
            <w:r w:rsidRPr="00730468">
              <w:t>+</w:t>
            </w:r>
          </w:p>
        </w:tc>
        <w:tc>
          <w:tcPr>
            <w:tcW w:w="1631" w:type="dxa"/>
          </w:tcPr>
          <w:p w:rsidR="006913E6" w:rsidRPr="00730468" w:rsidRDefault="006913E6" w:rsidP="00DF3F76">
            <w:pPr>
              <w:spacing w:line="360" w:lineRule="auto"/>
              <w:jc w:val="both"/>
            </w:pPr>
            <w:r w:rsidRPr="00730468">
              <w:t>_</w:t>
            </w:r>
          </w:p>
        </w:tc>
        <w:tc>
          <w:tcPr>
            <w:tcW w:w="2458" w:type="dxa"/>
          </w:tcPr>
          <w:p w:rsidR="006913E6" w:rsidRPr="00730468" w:rsidRDefault="006913E6" w:rsidP="00DF3F76">
            <w:pPr>
              <w:spacing w:line="360" w:lineRule="auto"/>
              <w:jc w:val="both"/>
            </w:pPr>
            <w:r w:rsidRPr="00730468">
              <w:t>No</w:t>
            </w:r>
          </w:p>
        </w:tc>
      </w:tr>
    </w:tbl>
    <w:p w:rsidR="006A4AE1" w:rsidRDefault="00EB2A9E" w:rsidP="00DF3F76">
      <w:pPr>
        <w:pStyle w:val="Style1"/>
        <w:spacing w:line="360" w:lineRule="auto"/>
        <w:jc w:val="center"/>
        <w:rPr>
          <w:b w:val="0"/>
        </w:rPr>
      </w:pPr>
      <w:r>
        <w:rPr>
          <w:b w:val="0"/>
        </w:rPr>
        <w:t>Table 3</w:t>
      </w:r>
      <w:r w:rsidR="006A4AE1" w:rsidRPr="00730468">
        <w:rPr>
          <w:b w:val="0"/>
        </w:rPr>
        <w:t xml:space="preserve">. </w:t>
      </w:r>
      <w:r w:rsidR="00DC63DE" w:rsidRPr="00730468">
        <w:rPr>
          <w:b w:val="0"/>
        </w:rPr>
        <w:t>Comparison of hypotheses’ expectations and empirical results</w:t>
      </w:r>
      <w:r w:rsidR="004279BA">
        <w:rPr>
          <w:b w:val="0"/>
        </w:rPr>
        <w:t>.</w:t>
      </w:r>
    </w:p>
    <w:p w:rsidR="00EB2A9E" w:rsidRPr="00730468" w:rsidRDefault="00EB2A9E" w:rsidP="00DF3F76">
      <w:pPr>
        <w:pStyle w:val="Style1"/>
        <w:spacing w:line="360" w:lineRule="auto"/>
        <w:jc w:val="center"/>
        <w:rPr>
          <w:b w:val="0"/>
        </w:rPr>
      </w:pPr>
    </w:p>
    <w:p w:rsidR="00D40FD4" w:rsidRPr="00730468" w:rsidRDefault="00656191" w:rsidP="00DF3F76">
      <w:pPr>
        <w:pStyle w:val="Heading2"/>
        <w:spacing w:line="360" w:lineRule="auto"/>
      </w:pPr>
      <w:r w:rsidRPr="00730468">
        <w:t xml:space="preserve"> </w:t>
      </w:r>
      <w:bookmarkStart w:id="88" w:name="_Toc487572227"/>
      <w:bookmarkStart w:id="89" w:name="_Toc487707067"/>
      <w:bookmarkStart w:id="90" w:name="_Toc489287956"/>
      <w:r w:rsidR="00D40FD4" w:rsidRPr="00730468">
        <w:t>Economic distance:</w:t>
      </w:r>
      <w:bookmarkEnd w:id="88"/>
      <w:bookmarkEnd w:id="89"/>
      <w:bookmarkEnd w:id="90"/>
    </w:p>
    <w:p w:rsidR="00D40FD4" w:rsidRPr="00730468" w:rsidRDefault="00D40FD4" w:rsidP="00DF3F76">
      <w:pPr>
        <w:spacing w:line="360" w:lineRule="auto"/>
        <w:jc w:val="both"/>
      </w:pPr>
      <w:r w:rsidRPr="00730468">
        <w:t>With a p-value of 0.</w:t>
      </w:r>
      <w:r w:rsidR="00C811F5" w:rsidRPr="00730468">
        <w:t>03</w:t>
      </w:r>
      <w:r w:rsidRPr="00730468">
        <w:t xml:space="preserve">9, economic distance </w:t>
      </w:r>
      <w:r w:rsidR="00C811F5" w:rsidRPr="00730468">
        <w:t>is</w:t>
      </w:r>
      <w:r w:rsidRPr="00730468">
        <w:t xml:space="preserve"> considered as a statistically significant variable</w:t>
      </w:r>
      <w:r w:rsidR="00C811F5" w:rsidRPr="00730468">
        <w:t xml:space="preserve"> at 5% confidence level</w:t>
      </w:r>
      <w:r w:rsidRPr="00730468">
        <w:t xml:space="preserve">. </w:t>
      </w:r>
      <w:r w:rsidR="00C811F5" w:rsidRPr="00730468">
        <w:t xml:space="preserve">Also, </w:t>
      </w:r>
      <w:r w:rsidRPr="00730468">
        <w:t xml:space="preserve">the observed negative effect on the entry mode choice is in accordance with the hypothesis trend. This indicates that the larger the economic distance between home and host country, the smaller the likelihood that the choice of entry mode is WOS. </w:t>
      </w:r>
      <w:r w:rsidR="00C811F5" w:rsidRPr="00730468">
        <w:t>Thus</w:t>
      </w:r>
      <w:r w:rsidRPr="00730468">
        <w:t>, there is sufficient evidence to support hypothesis 1.</w:t>
      </w:r>
    </w:p>
    <w:p w:rsidR="004739E5" w:rsidRPr="00730468" w:rsidRDefault="004739E5" w:rsidP="00DF3F76">
      <w:pPr>
        <w:spacing w:line="360" w:lineRule="auto"/>
        <w:jc w:val="both"/>
      </w:pPr>
    </w:p>
    <w:p w:rsidR="00D40FD4" w:rsidRPr="00730468" w:rsidRDefault="004879E6" w:rsidP="00DF3F76">
      <w:pPr>
        <w:spacing w:line="360" w:lineRule="auto"/>
        <w:jc w:val="both"/>
      </w:pPr>
      <w:r w:rsidRPr="00730468">
        <w:t xml:space="preserve">The finding is in line with many prior researches (Hennart &amp; Larimo, 1998; Tsang &amp; Yip, 2007; Johnson &amp; Tellis, 2008). </w:t>
      </w:r>
      <w:r w:rsidR="004739E5" w:rsidRPr="00730468">
        <w:t xml:space="preserve">In this study, economic distance is measured by consumer income (GDP per capita) </w:t>
      </w:r>
      <w:r w:rsidR="000C3BF0" w:rsidRPr="00730468">
        <w:t xml:space="preserve">which is explained in the hypothesis to have </w:t>
      </w:r>
      <w:r w:rsidR="004739E5" w:rsidRPr="00730468">
        <w:t xml:space="preserve">closely </w:t>
      </w:r>
      <w:r w:rsidR="000C3BF0" w:rsidRPr="00730468">
        <w:t>p</w:t>
      </w:r>
      <w:r w:rsidR="004739E5" w:rsidRPr="00730468">
        <w:t>refe</w:t>
      </w:r>
      <w:r w:rsidR="000C3BF0" w:rsidRPr="00730468">
        <w:t>rence</w:t>
      </w:r>
      <w:r w:rsidR="004739E5" w:rsidRPr="00730468">
        <w:t xml:space="preserve"> to the consumer purchasing power and their </w:t>
      </w:r>
      <w:r w:rsidR="000C3BF0" w:rsidRPr="00730468">
        <w:t xml:space="preserve">preferences. </w:t>
      </w:r>
      <w:r w:rsidR="004D42F5">
        <w:t xml:space="preserve">In </w:t>
      </w:r>
      <w:r w:rsidR="00F25E59" w:rsidRPr="00730468">
        <w:t xml:space="preserve">the case of India where the GDP per capita is always below 2,000 US dollars during the period 1997-2015, making the consumer purchasing power and preference in </w:t>
      </w:r>
      <w:r w:rsidR="004D42F5">
        <w:t>India</w:t>
      </w:r>
      <w:r w:rsidR="00F25E59" w:rsidRPr="00730468">
        <w:t xml:space="preserve"> very different from economically distant countries like United States, and European countries </w:t>
      </w:r>
      <w:r w:rsidR="0047190F">
        <w:t>with their</w:t>
      </w:r>
      <w:r w:rsidR="00F25E59" w:rsidRPr="00730468">
        <w:t xml:space="preserve"> GDP per capita </w:t>
      </w:r>
      <w:r w:rsidR="0047190F">
        <w:t>being</w:t>
      </w:r>
      <w:r w:rsidR="00F25E59" w:rsidRPr="00730468">
        <w:t xml:space="preserve"> 20 - 30 times. Therefore, to success in </w:t>
      </w:r>
      <w:r w:rsidRPr="00730468">
        <w:t xml:space="preserve">Indian market, MNEs </w:t>
      </w:r>
      <w:r w:rsidR="00E220EF" w:rsidRPr="00730468">
        <w:t xml:space="preserve">from economically distant country </w:t>
      </w:r>
      <w:r w:rsidRPr="00730468">
        <w:t xml:space="preserve">need to change their customer segments, </w:t>
      </w:r>
      <w:r w:rsidR="00E220EF" w:rsidRPr="00730468">
        <w:t xml:space="preserve">adjusting their skills, and </w:t>
      </w:r>
      <w:r w:rsidRPr="00730468">
        <w:t xml:space="preserve">spending more cost to get better </w:t>
      </w:r>
      <w:r w:rsidR="00E220EF" w:rsidRPr="00730468">
        <w:t>insight of the local customers. All those things lead to high transaction cost. Therefore, to</w:t>
      </w:r>
      <w:r w:rsidR="004739E5" w:rsidRPr="00730468">
        <w:t xml:space="preserve"> reduce the </w:t>
      </w:r>
      <w:r w:rsidR="00E220EF" w:rsidRPr="00730468">
        <w:t>costs</w:t>
      </w:r>
      <w:r w:rsidR="004739E5" w:rsidRPr="00730468">
        <w:t xml:space="preserve"> and risk </w:t>
      </w:r>
      <w:r w:rsidR="00E220EF" w:rsidRPr="00730468">
        <w:t xml:space="preserve">in India, MNEs opt for </w:t>
      </w:r>
      <w:r w:rsidR="00D40FD4" w:rsidRPr="00730468">
        <w:t xml:space="preserve">collaborative entry modes </w:t>
      </w:r>
      <w:r w:rsidR="00E220EF" w:rsidRPr="00730468">
        <w:t>with local partners having experience and being</w:t>
      </w:r>
      <w:r w:rsidR="00D40FD4" w:rsidRPr="00730468">
        <w:t xml:space="preserve"> familiar with th</w:t>
      </w:r>
      <w:r w:rsidR="00C258CE" w:rsidRPr="00730468">
        <w:t>e</w:t>
      </w:r>
      <w:r w:rsidR="00D40FD4" w:rsidRPr="00730468">
        <w:t xml:space="preserve"> </w:t>
      </w:r>
      <w:r w:rsidR="00E220EF" w:rsidRPr="00730468">
        <w:t>Indian market</w:t>
      </w:r>
      <w:r w:rsidR="00D40FD4" w:rsidRPr="00730468">
        <w:t xml:space="preserve">. </w:t>
      </w:r>
    </w:p>
    <w:p w:rsidR="00EB2A9E" w:rsidRDefault="00EB2A9E">
      <w:pPr>
        <w:spacing w:after="200" w:line="276" w:lineRule="auto"/>
      </w:pPr>
      <w:r>
        <w:br w:type="page"/>
      </w:r>
    </w:p>
    <w:p w:rsidR="00D40FD4" w:rsidRPr="00730468" w:rsidRDefault="00656191" w:rsidP="00DF3F76">
      <w:pPr>
        <w:pStyle w:val="Heading2"/>
        <w:spacing w:line="360" w:lineRule="auto"/>
      </w:pPr>
      <w:r w:rsidRPr="00730468">
        <w:lastRenderedPageBreak/>
        <w:t xml:space="preserve"> </w:t>
      </w:r>
      <w:bookmarkStart w:id="91" w:name="_Toc487572228"/>
      <w:bookmarkStart w:id="92" w:name="_Toc487707068"/>
      <w:bookmarkStart w:id="93" w:name="_Toc489287957"/>
      <w:r w:rsidR="00D40FD4" w:rsidRPr="00730468">
        <w:t>Geographic distance</w:t>
      </w:r>
      <w:bookmarkEnd w:id="91"/>
      <w:bookmarkEnd w:id="92"/>
      <w:bookmarkEnd w:id="93"/>
    </w:p>
    <w:p w:rsidR="00D40FD4" w:rsidRPr="00730468" w:rsidRDefault="00D40FD4" w:rsidP="00DF3F76">
      <w:pPr>
        <w:spacing w:line="360" w:lineRule="auto"/>
        <w:jc w:val="both"/>
      </w:pPr>
      <w:r w:rsidRPr="00730468">
        <w:t>With p value is less than 0.01, geographic distance is found to ha</w:t>
      </w:r>
      <w:r w:rsidR="00C811F5" w:rsidRPr="00730468">
        <w:t xml:space="preserve">ve statistically significant at </w:t>
      </w:r>
      <w:r w:rsidRPr="00730468">
        <w:t>the confidence levels 1%. However, it has negative effect on the dependent variable which is not in line with what is expected. It implies that as the geographic distance between home and host countries increases, the likelihood that the choice of entering India market through WOS increases. Thus, hypothesis 2 is not supported.</w:t>
      </w:r>
    </w:p>
    <w:p w:rsidR="00D40FD4" w:rsidRPr="00730468" w:rsidRDefault="00D40FD4" w:rsidP="00DF3F76">
      <w:pPr>
        <w:spacing w:line="360" w:lineRule="auto"/>
        <w:jc w:val="both"/>
      </w:pPr>
    </w:p>
    <w:p w:rsidR="007D3A92" w:rsidRPr="00730468" w:rsidRDefault="007D3A92" w:rsidP="00DF3F76">
      <w:pPr>
        <w:spacing w:line="360" w:lineRule="auto"/>
        <w:jc w:val="both"/>
      </w:pPr>
      <w:r w:rsidRPr="00730468">
        <w:t xml:space="preserve">The empirical finding for geographic distance in India is opposite with the prior </w:t>
      </w:r>
      <w:r w:rsidR="00516E81">
        <w:t xml:space="preserve">empirical </w:t>
      </w:r>
      <w:r w:rsidRPr="00730468">
        <w:t>studies</w:t>
      </w:r>
      <w:r w:rsidR="00516E81">
        <w:t xml:space="preserve">, for example the study by </w:t>
      </w:r>
      <w:r w:rsidR="00790E05">
        <w:t>Ragozzino</w:t>
      </w:r>
      <w:r w:rsidR="00516E81">
        <w:t xml:space="preserve"> (</w:t>
      </w:r>
      <w:r w:rsidR="00790E05" w:rsidRPr="00790E05">
        <w:t>2009)</w:t>
      </w:r>
      <w:r w:rsidRPr="00730468">
        <w:t xml:space="preserve">. However, this result </w:t>
      </w:r>
      <w:r w:rsidR="00D0487F" w:rsidRPr="00730468">
        <w:t>has the same positive trend</w:t>
      </w:r>
      <w:r w:rsidRPr="00730468">
        <w:t xml:space="preserve"> with </w:t>
      </w:r>
      <w:r w:rsidR="00D0487F" w:rsidRPr="00730468">
        <w:t xml:space="preserve">the study by Duanmu (2011) which examines the influence of corruption distance and market orientation on entry mode choices in </w:t>
      </w:r>
      <w:r w:rsidR="00516E81">
        <w:t>t</w:t>
      </w:r>
      <w:r w:rsidR="00516E81" w:rsidRPr="00516E81">
        <w:t>he city of Suzhou</w:t>
      </w:r>
      <w:r w:rsidR="00516E81">
        <w:t xml:space="preserve"> (China)</w:t>
      </w:r>
      <w:r w:rsidR="00537E8D" w:rsidRPr="00730468">
        <w:t xml:space="preserve">. </w:t>
      </w:r>
      <w:r w:rsidR="00516E81">
        <w:t xml:space="preserve">In his study, Duanmu also measures geographical distance by taking the natural logarithm of the </w:t>
      </w:r>
      <w:r w:rsidR="000040FD">
        <w:t xml:space="preserve">distance between Suzhou and the capital of MNE’s home countries. </w:t>
      </w:r>
      <w:r w:rsidR="0078686A">
        <w:t xml:space="preserve">Since </w:t>
      </w:r>
      <w:r w:rsidR="00D0487F" w:rsidRPr="00730468">
        <w:t>geographic distance</w:t>
      </w:r>
      <w:r w:rsidR="0078686A">
        <w:t xml:space="preserve"> in his study</w:t>
      </w:r>
      <w:r w:rsidR="00D0487F" w:rsidRPr="00730468">
        <w:t xml:space="preserve"> is a</w:t>
      </w:r>
      <w:r w:rsidR="00537E8D" w:rsidRPr="00730468">
        <w:t xml:space="preserve"> control variabl</w:t>
      </w:r>
      <w:r w:rsidR="0078686A">
        <w:t>e, he did not give any explanation for the result that geographic distance has significantly positive relationship with WOS. However, h</w:t>
      </w:r>
      <w:r w:rsidR="00537E8D" w:rsidRPr="00730468">
        <w:t xml:space="preserve">is </w:t>
      </w:r>
      <w:r w:rsidR="0078686A">
        <w:t xml:space="preserve">positive </w:t>
      </w:r>
      <w:r w:rsidR="00537E8D" w:rsidRPr="00730468">
        <w:t xml:space="preserve">result </w:t>
      </w:r>
      <w:r w:rsidR="0078686A">
        <w:t xml:space="preserve">of geographic distance </w:t>
      </w:r>
      <w:r w:rsidR="00537E8D" w:rsidRPr="00730468">
        <w:t xml:space="preserve">and the similarity between China and India are still very supportive for the validity of my result.  </w:t>
      </w:r>
    </w:p>
    <w:p w:rsidR="007D3A92" w:rsidRPr="00730468" w:rsidRDefault="007D3A92" w:rsidP="00DF3F76">
      <w:pPr>
        <w:spacing w:line="360" w:lineRule="auto"/>
        <w:jc w:val="both"/>
      </w:pPr>
    </w:p>
    <w:p w:rsidR="007D3A92" w:rsidRPr="00730468" w:rsidRDefault="00D40FD4" w:rsidP="00DF3F76">
      <w:pPr>
        <w:spacing w:line="360" w:lineRule="auto"/>
        <w:jc w:val="both"/>
      </w:pPr>
      <w:r w:rsidRPr="00730468">
        <w:t xml:space="preserve">According to Ghemawat (2001), MNEs focus on 2 main things in terms of geographic distance which are communication and transportation cost. And the reason why in literature, MNEs from geographically proximate countries choose to invest through WOS is that they get better benefits from information and transportation cost then geographically distant countries. And in the case of India, this trend is fail </w:t>
      </w:r>
      <w:r w:rsidR="00890FDA" w:rsidRPr="00730468">
        <w:t>probably</w:t>
      </w:r>
      <w:r w:rsidRPr="00730468">
        <w:t xml:space="preserve"> because India is having a good connection with the US and European countries, giving them benefits of information which diminish the advantages of proximate countries</w:t>
      </w:r>
      <w:r w:rsidR="00890FDA" w:rsidRPr="00730468">
        <w:t>.</w:t>
      </w:r>
      <w:r w:rsidRPr="00730468">
        <w:t xml:space="preserve"> Moreover, geographic characteristics have a high potential of increasing transportation costs, especially for heavy products that are transported in high quantities (Berry, Guillén, &amp; Zhou, 2010; Ghemawat, 2001) which is an advantage for proximate country. However, the majority of observations are non-manufacturing </w:t>
      </w:r>
      <w:r w:rsidR="00B9297A" w:rsidRPr="00730468">
        <w:t xml:space="preserve">companies </w:t>
      </w:r>
      <w:r w:rsidR="00890FDA" w:rsidRPr="00730468">
        <w:t>(</w:t>
      </w:r>
      <w:r w:rsidR="00890FDA" w:rsidRPr="00730468">
        <w:rPr>
          <w:color w:val="000000" w:themeColor="text1"/>
        </w:rPr>
        <w:t>505 out of 769 MNEs in the sample are non-manufacturing companies</w:t>
      </w:r>
      <w:r w:rsidR="00B9297A" w:rsidRPr="00730468">
        <w:rPr>
          <w:color w:val="000000" w:themeColor="text1"/>
        </w:rPr>
        <w:t>)</w:t>
      </w:r>
      <w:r w:rsidRPr="00730468">
        <w:t xml:space="preserve"> making this advantage of proximate countries vanish again. </w:t>
      </w:r>
      <w:r w:rsidR="001A4F3C" w:rsidRPr="00730468">
        <w:t>With</w:t>
      </w:r>
      <w:r w:rsidRPr="00730468">
        <w:t xml:space="preserve"> good information and </w:t>
      </w:r>
      <w:r w:rsidR="00477F8D" w:rsidRPr="00730468">
        <w:t xml:space="preserve">when </w:t>
      </w:r>
      <w:r w:rsidRPr="00730468">
        <w:t xml:space="preserve">transportation cost is not a problem, MNEs, </w:t>
      </w:r>
      <w:r w:rsidR="00477F8D" w:rsidRPr="00730468">
        <w:t>from geographically distant</w:t>
      </w:r>
      <w:r w:rsidRPr="00730468">
        <w:t xml:space="preserve"> countries are more inclined to enter Indian market through WOS </w:t>
      </w:r>
      <w:r w:rsidR="00477F8D" w:rsidRPr="00730468">
        <w:t xml:space="preserve">to have better principal–agent relation (Grossman &amp; Hart, 1986). </w:t>
      </w:r>
      <w:r w:rsidR="001A4F3C" w:rsidRPr="00730468">
        <w:t xml:space="preserve">The reason is that </w:t>
      </w:r>
      <w:r w:rsidR="00477F8D" w:rsidRPr="00730468">
        <w:t xml:space="preserve">WOS offers free and </w:t>
      </w:r>
      <w:r w:rsidR="00477F8D" w:rsidRPr="00730468">
        <w:lastRenderedPageBreak/>
        <w:t>transparent information flows from headquarter to subsidiary and vice versa</w:t>
      </w:r>
      <w:r w:rsidR="001A4F3C" w:rsidRPr="00730468">
        <w:t xml:space="preserve">, and help to avoid the problem of aggregate goal conflict. </w:t>
      </w:r>
    </w:p>
    <w:p w:rsidR="00D40FD4" w:rsidRPr="00730468" w:rsidRDefault="00D40FD4" w:rsidP="00DF3F76">
      <w:pPr>
        <w:spacing w:line="360" w:lineRule="auto"/>
        <w:jc w:val="both"/>
      </w:pPr>
    </w:p>
    <w:p w:rsidR="00D40FD4" w:rsidRPr="00730468" w:rsidRDefault="00656191" w:rsidP="00DF3F76">
      <w:pPr>
        <w:pStyle w:val="Heading2"/>
        <w:spacing w:line="360" w:lineRule="auto"/>
      </w:pPr>
      <w:r w:rsidRPr="00730468">
        <w:t xml:space="preserve"> </w:t>
      </w:r>
      <w:bookmarkStart w:id="94" w:name="_Toc487572229"/>
      <w:bookmarkStart w:id="95" w:name="_Toc487707069"/>
      <w:bookmarkStart w:id="96" w:name="_Toc489287958"/>
      <w:r w:rsidR="00D40FD4" w:rsidRPr="00730468">
        <w:t>Cultural distance:</w:t>
      </w:r>
      <w:bookmarkEnd w:id="94"/>
      <w:bookmarkEnd w:id="95"/>
      <w:bookmarkEnd w:id="96"/>
    </w:p>
    <w:p w:rsidR="00D40FD4" w:rsidRPr="00730468" w:rsidRDefault="00D40FD4" w:rsidP="00DF3F76">
      <w:pPr>
        <w:spacing w:line="360" w:lineRule="auto"/>
        <w:jc w:val="both"/>
      </w:pPr>
      <w:r w:rsidRPr="00730468">
        <w:t>Cultural distance is found to have negative significant impact on the selection of entry mode in India, which implies that when the cultural distance between India and an MNE’s home country increases, the propensity of entering India market through WOS decreases. With a p value is less than 0</w:t>
      </w:r>
      <w:r w:rsidR="00D90C89" w:rsidRPr="00730468">
        <w:t>.</w:t>
      </w:r>
      <w:r w:rsidRPr="00730468">
        <w:t xml:space="preserve">01, this variable is significant at 1% confidence level. Moreover, the negative effect is in accordance with what is assumed. </w:t>
      </w:r>
      <w:r w:rsidR="00FA6394" w:rsidRPr="00730468">
        <w:t>Therefore</w:t>
      </w:r>
      <w:r w:rsidRPr="00730468">
        <w:t>, hypothesis 3 is supported.</w:t>
      </w:r>
    </w:p>
    <w:p w:rsidR="00D40FD4" w:rsidRPr="00730468" w:rsidRDefault="00D40FD4" w:rsidP="00DF3F76">
      <w:pPr>
        <w:spacing w:line="360" w:lineRule="auto"/>
        <w:jc w:val="both"/>
      </w:pPr>
    </w:p>
    <w:p w:rsidR="004D42F5" w:rsidRDefault="00FA6394" w:rsidP="00DF3F76">
      <w:pPr>
        <w:spacing w:line="360" w:lineRule="auto"/>
        <w:jc w:val="both"/>
      </w:pPr>
      <w:r w:rsidRPr="00730468">
        <w:rPr>
          <w:noProof/>
        </w:rPr>
        <w:t>This</w:t>
      </w:r>
      <w:r w:rsidR="00D40FD4" w:rsidRPr="00730468">
        <w:rPr>
          <w:noProof/>
        </w:rPr>
        <w:t xml:space="preserve"> result is in line with several </w:t>
      </w:r>
      <w:r w:rsidR="00D40FD4" w:rsidRPr="00CB0694">
        <w:rPr>
          <w:noProof/>
        </w:rPr>
        <w:t>studies</w:t>
      </w:r>
      <w:r w:rsidR="00D40FD4" w:rsidRPr="00CB0694">
        <w:t xml:space="preserve"> </w:t>
      </w:r>
      <w:r w:rsidR="00CB0694" w:rsidRPr="00705E75">
        <w:rPr>
          <w:noProof/>
          <w:color w:val="000000" w:themeColor="text1"/>
        </w:rPr>
        <w:t>that</w:t>
      </w:r>
      <w:r w:rsidR="00D40FD4" w:rsidRPr="00705E75">
        <w:rPr>
          <w:noProof/>
          <w:color w:val="000000" w:themeColor="text1"/>
        </w:rPr>
        <w:t xml:space="preserve"> cultural distance increases the </w:t>
      </w:r>
      <w:r w:rsidR="00705E75" w:rsidRPr="00705E75">
        <w:rPr>
          <w:noProof/>
          <w:color w:val="000000" w:themeColor="text1"/>
        </w:rPr>
        <w:t>propensity</w:t>
      </w:r>
      <w:r w:rsidR="00EF16C2" w:rsidRPr="00705E75">
        <w:rPr>
          <w:noProof/>
          <w:color w:val="000000" w:themeColor="text1"/>
        </w:rPr>
        <w:t xml:space="preserve"> of </w:t>
      </w:r>
      <w:r w:rsidR="00705E75" w:rsidRPr="00705E75">
        <w:rPr>
          <w:noProof/>
          <w:color w:val="000000" w:themeColor="text1"/>
        </w:rPr>
        <w:t>enterprises</w:t>
      </w:r>
      <w:r w:rsidR="00EF16C2" w:rsidRPr="00705E75">
        <w:rPr>
          <w:color w:val="000000" w:themeColor="text1"/>
        </w:rPr>
        <w:t xml:space="preserve"> to c</w:t>
      </w:r>
      <w:r w:rsidR="00EF16C2" w:rsidRPr="00730468">
        <w:t>hoose JVs (Anderson &amp; Gatignon, 1988; Erramilli &amp; Rao, 1993; Larimo, 1993; Hennart &amp; Larimo, 1998; Contractor &amp; Kundu, 1998; Palenzuela &amp; Bobillo, 1999; Brouthers &amp; Brouthers, 2001; Pak &amp; Park, 2004)</w:t>
      </w:r>
      <w:r w:rsidR="00D40FD4" w:rsidRPr="00730468">
        <w:t xml:space="preserve">. </w:t>
      </w:r>
    </w:p>
    <w:p w:rsidR="004D42F5" w:rsidRDefault="004D42F5" w:rsidP="00DF3F76">
      <w:pPr>
        <w:spacing w:line="360" w:lineRule="auto"/>
        <w:jc w:val="both"/>
      </w:pPr>
    </w:p>
    <w:p w:rsidR="00D40FD4" w:rsidRPr="00730468" w:rsidRDefault="00D40FD4" w:rsidP="00462BA6">
      <w:pPr>
        <w:spacing w:line="360" w:lineRule="auto"/>
        <w:jc w:val="both"/>
      </w:pPr>
      <w:r w:rsidRPr="00730468">
        <w:t xml:space="preserve">Due to the fact that </w:t>
      </w:r>
      <w:r w:rsidR="00C726A0" w:rsidRPr="00730468">
        <w:t>India is considered one of the most</w:t>
      </w:r>
      <w:r w:rsidRPr="00730468">
        <w:t xml:space="preserve"> diverse and complicated culture</w:t>
      </w:r>
      <w:r w:rsidR="00C726A0" w:rsidRPr="00730468">
        <w:t>s in the world</w:t>
      </w:r>
      <w:r w:rsidR="00AE700D" w:rsidRPr="00730468">
        <w:t xml:space="preserve">, </w:t>
      </w:r>
      <w:r w:rsidR="00C726A0" w:rsidRPr="00730468">
        <w:t xml:space="preserve">their religion, languages, norms and values </w:t>
      </w:r>
      <w:r w:rsidR="00B17743" w:rsidRPr="00730468">
        <w:t xml:space="preserve">within the country </w:t>
      </w:r>
      <w:r w:rsidR="00C726A0" w:rsidRPr="00730468">
        <w:t>are different from place to place</w:t>
      </w:r>
      <w:r w:rsidR="00B17743" w:rsidRPr="00730468">
        <w:t>. For example,</w:t>
      </w:r>
      <w:r w:rsidR="00C726A0" w:rsidRPr="00730468">
        <w:t xml:space="preserve"> India is an admixture of 29 different cultures, the most multi-lingual </w:t>
      </w:r>
      <w:r w:rsidR="00B17743" w:rsidRPr="00730468">
        <w:t xml:space="preserve">country in the </w:t>
      </w:r>
      <w:r w:rsidR="00C726A0" w:rsidRPr="00730468">
        <w:t>world with 6 main languages and approximately 1,635 languages being spoken across the country</w:t>
      </w:r>
      <w:r w:rsidR="00B17743" w:rsidRPr="00730468">
        <w:t xml:space="preserve"> and more interestingly </w:t>
      </w:r>
      <w:r w:rsidR="00985F17" w:rsidRPr="00730468">
        <w:t xml:space="preserve">the country is </w:t>
      </w:r>
      <w:r w:rsidR="00B17743" w:rsidRPr="00730468">
        <w:t>the origin of 4 major religions Buddhism, Hinduism, Jainism and Sikhism, along with the presence of a lot of other religions</w:t>
      </w:r>
      <w:r w:rsidR="005B6E01">
        <w:t xml:space="preserve"> (</w:t>
      </w:r>
      <w:r w:rsidR="005B6E01" w:rsidRPr="005B6E01">
        <w:t>The Muslim Times</w:t>
      </w:r>
      <w:r w:rsidR="004A4D14">
        <w:t>, 2014</w:t>
      </w:r>
      <w:r w:rsidR="005B6E01">
        <w:t>)</w:t>
      </w:r>
      <w:r w:rsidR="00C726A0" w:rsidRPr="00730468">
        <w:t>.</w:t>
      </w:r>
      <w:r w:rsidR="00B17743" w:rsidRPr="00730468">
        <w:t xml:space="preserve"> It is understandable that it is extremely difficult for MNEs from culturally distance countries dealing on</w:t>
      </w:r>
      <w:r w:rsidR="00985F17" w:rsidRPr="00730468">
        <w:t xml:space="preserve"> their own to get knowledge and be familiar with the Indian culture environment</w:t>
      </w:r>
      <w:r w:rsidR="00462BA6">
        <w:t>;</w:t>
      </w:r>
      <w:r w:rsidR="00AE700D" w:rsidRPr="00730468">
        <w:t xml:space="preserve"> and thus</w:t>
      </w:r>
      <w:r w:rsidR="00462BA6">
        <w:t>,</w:t>
      </w:r>
      <w:r w:rsidR="00AE700D" w:rsidRPr="00730468">
        <w:t xml:space="preserve"> </w:t>
      </w:r>
      <w:r w:rsidR="00462BA6">
        <w:t>as explained clearly in the hypothesis, MNEs have a preference for JV when cultural distance increases.</w:t>
      </w:r>
    </w:p>
    <w:p w:rsidR="00AE700D" w:rsidRPr="00730468" w:rsidRDefault="00AE700D" w:rsidP="00DF3F76">
      <w:pPr>
        <w:spacing w:line="360" w:lineRule="auto"/>
        <w:jc w:val="both"/>
      </w:pPr>
    </w:p>
    <w:p w:rsidR="00D40FD4" w:rsidRPr="00730468" w:rsidRDefault="00656191" w:rsidP="00DF3F76">
      <w:pPr>
        <w:pStyle w:val="Heading2"/>
        <w:spacing w:line="360" w:lineRule="auto"/>
      </w:pPr>
      <w:r w:rsidRPr="00730468">
        <w:t xml:space="preserve"> </w:t>
      </w:r>
      <w:bookmarkStart w:id="97" w:name="_Toc487572230"/>
      <w:bookmarkStart w:id="98" w:name="_Toc487707070"/>
      <w:bookmarkStart w:id="99" w:name="_Toc489287959"/>
      <w:r w:rsidR="00D40FD4" w:rsidRPr="00730468">
        <w:t>Governance distance</w:t>
      </w:r>
      <w:bookmarkEnd w:id="97"/>
      <w:bookmarkEnd w:id="98"/>
      <w:bookmarkEnd w:id="99"/>
    </w:p>
    <w:p w:rsidR="00D40FD4" w:rsidRPr="00730468" w:rsidRDefault="00D40FD4" w:rsidP="00DF3F76">
      <w:pPr>
        <w:spacing w:line="360" w:lineRule="auto"/>
        <w:jc w:val="both"/>
      </w:pPr>
      <w:r w:rsidRPr="00730468">
        <w:t xml:space="preserve">With a p-value of zero, governance distance is considered to be statistically significant at the confidence levels: 1%. Nonetheless, governance distance has a positive impact on the dependent variable which is not in accordance with what is expected before running the logistic regression. This finding suggests that as the governance distance between home and host countries increases, </w:t>
      </w:r>
      <w:r w:rsidRPr="00730468">
        <w:lastRenderedPageBreak/>
        <w:t>the likelihood that the choice of entry mode through WOS also increases. Although this explanatory variable is statistically significant, the hypothesis trend is not observed; thus, hypothesis 4 is not supported.</w:t>
      </w:r>
    </w:p>
    <w:p w:rsidR="006F7445" w:rsidRPr="00730468" w:rsidRDefault="006F7445" w:rsidP="00DF3F76">
      <w:pPr>
        <w:spacing w:line="360" w:lineRule="auto"/>
        <w:jc w:val="both"/>
      </w:pPr>
    </w:p>
    <w:p w:rsidR="00D40FD4" w:rsidRPr="00730468" w:rsidRDefault="006F7445" w:rsidP="00DF3F76">
      <w:pPr>
        <w:spacing w:line="360" w:lineRule="auto"/>
        <w:jc w:val="both"/>
        <w:rPr>
          <w:color w:val="000000" w:themeColor="text1"/>
        </w:rPr>
      </w:pPr>
      <w:r w:rsidRPr="00730468">
        <w:t>The empirical result for governance distance is opposite with the majority of prior studies</w:t>
      </w:r>
      <w:r w:rsidR="00AF2CEF">
        <w:t xml:space="preserve"> </w:t>
      </w:r>
      <w:r w:rsidR="003814AC">
        <w:t xml:space="preserve">about institutional distance </w:t>
      </w:r>
      <w:r w:rsidR="00AF2CEF" w:rsidRPr="00730468">
        <w:rPr>
          <w:color w:val="000000" w:themeColor="text1"/>
        </w:rPr>
        <w:t>(</w:t>
      </w:r>
      <w:r w:rsidR="00B053FB">
        <w:rPr>
          <w:color w:val="000000" w:themeColor="text1"/>
        </w:rPr>
        <w:t xml:space="preserve">Beamish, </w:t>
      </w:r>
      <w:r w:rsidR="00AF2CEF">
        <w:rPr>
          <w:color w:val="000000" w:themeColor="text1"/>
        </w:rPr>
        <w:t xml:space="preserve">Pan, &amp; </w:t>
      </w:r>
      <w:r w:rsidR="00B053FB">
        <w:rPr>
          <w:color w:val="000000" w:themeColor="text1"/>
        </w:rPr>
        <w:t>Xu</w:t>
      </w:r>
      <w:r w:rsidR="00AF2CEF">
        <w:rPr>
          <w:color w:val="000000" w:themeColor="text1"/>
        </w:rPr>
        <w:t xml:space="preserve">, 2004; </w:t>
      </w:r>
      <w:r w:rsidR="00AF2CEF" w:rsidRPr="00730468">
        <w:rPr>
          <w:color w:val="000000" w:themeColor="text1"/>
        </w:rPr>
        <w:t xml:space="preserve">Demirbag, </w:t>
      </w:r>
      <w:r w:rsidR="00AF2CEF" w:rsidRPr="00730468">
        <w:t>Glaister, &amp; Tatoglu</w:t>
      </w:r>
      <w:r w:rsidR="00AF2CEF" w:rsidRPr="00730468">
        <w:rPr>
          <w:color w:val="000000" w:themeColor="text1"/>
        </w:rPr>
        <w:t>, 2007)</w:t>
      </w:r>
      <w:r w:rsidR="0027666E" w:rsidRPr="00730468">
        <w:t>. Th</w:t>
      </w:r>
      <w:r w:rsidR="008A27AC" w:rsidRPr="00730468">
        <w:t>is is not surprising since firstly governance distance is new and under-researched and secondly, in many prior researches, the effect of formal institutional distance on entry mode choices is examined with MNEs from the same country investing in various host countries while here, I study MNEs from multiple countries investing in the same host country (India)</w:t>
      </w:r>
      <w:r w:rsidRPr="00730468">
        <w:t xml:space="preserve">. However, this result has the same positive trend with the research by </w:t>
      </w:r>
      <w:r w:rsidRPr="00730468">
        <w:rPr>
          <w:color w:val="000000" w:themeColor="text1"/>
        </w:rPr>
        <w:t xml:space="preserve">Contractor </w:t>
      </w:r>
      <w:r w:rsidR="005C5528">
        <w:rPr>
          <w:color w:val="000000" w:themeColor="text1"/>
        </w:rPr>
        <w:t>et al.</w:t>
      </w:r>
      <w:r w:rsidRPr="00730468">
        <w:rPr>
          <w:color w:val="000000" w:themeColor="text1"/>
        </w:rPr>
        <w:t xml:space="preserve"> (2014)</w:t>
      </w:r>
      <w:r w:rsidRPr="00730468">
        <w:t xml:space="preserve"> studying the impact of i</w:t>
      </w:r>
      <w:r w:rsidRPr="00730468">
        <w:rPr>
          <w:color w:val="000000" w:themeColor="text1"/>
        </w:rPr>
        <w:t>nstitutional, cultural distance and industry relativeness on entry mode choices in emerging market</w:t>
      </w:r>
      <w:r w:rsidR="00365CB4" w:rsidRPr="00730468">
        <w:rPr>
          <w:color w:val="000000" w:themeColor="text1"/>
        </w:rPr>
        <w:t xml:space="preserve"> acquisitions</w:t>
      </w:r>
      <w:r w:rsidRPr="00730468">
        <w:rPr>
          <w:color w:val="000000" w:themeColor="text1"/>
        </w:rPr>
        <w:t xml:space="preserve">. </w:t>
      </w:r>
    </w:p>
    <w:p w:rsidR="00D176D8" w:rsidRDefault="00D176D8" w:rsidP="00D176D8">
      <w:pPr>
        <w:spacing w:line="360" w:lineRule="auto"/>
        <w:jc w:val="both"/>
      </w:pPr>
    </w:p>
    <w:p w:rsidR="006F7445" w:rsidRDefault="00D176D8" w:rsidP="00D176D8">
      <w:pPr>
        <w:spacing w:line="360" w:lineRule="auto"/>
        <w:jc w:val="both"/>
      </w:pPr>
      <w:r>
        <w:t>Due to the surprising result, t</w:t>
      </w:r>
      <w:r w:rsidRPr="00D176D8">
        <w:t xml:space="preserve">he effects of governance distance </w:t>
      </w:r>
      <w:r>
        <w:t xml:space="preserve">thus </w:t>
      </w:r>
      <w:r w:rsidR="00414E09">
        <w:t xml:space="preserve">cannot be simply </w:t>
      </w:r>
      <w:r w:rsidRPr="00D176D8">
        <w:t xml:space="preserve">explained by </w:t>
      </w:r>
      <w:r w:rsidR="00414E09">
        <w:t xml:space="preserve">TCE’s basic idea - </w:t>
      </w:r>
      <w:r w:rsidRPr="00D176D8">
        <w:t xml:space="preserve">transaction cost minimization, but </w:t>
      </w:r>
      <w:r w:rsidR="00414E09">
        <w:t>be more explained</w:t>
      </w:r>
      <w:r>
        <w:t xml:space="preserve"> by</w:t>
      </w:r>
      <w:r w:rsidRPr="00D176D8">
        <w:t xml:space="preserve"> strategic motivations.</w:t>
      </w:r>
      <w:r>
        <w:t xml:space="preserve"> </w:t>
      </w:r>
      <w:r w:rsidR="00770388">
        <w:t>Firstly, a</w:t>
      </w:r>
      <w:r w:rsidR="00414E09">
        <w:t>ccording to transaction cost theory</w:t>
      </w:r>
      <w:r w:rsidR="00414E09" w:rsidRPr="00414E09">
        <w:t xml:space="preserve">, when </w:t>
      </w:r>
      <w:r w:rsidR="00414E09">
        <w:t>governance</w:t>
      </w:r>
      <w:r w:rsidR="00414E09" w:rsidRPr="00414E09">
        <w:t xml:space="preserve"> distance </w:t>
      </w:r>
      <w:r w:rsidR="00414E09">
        <w:t>increases, as mentioned in 2.3.4</w:t>
      </w:r>
      <w:r w:rsidR="00414E09" w:rsidRPr="00414E09">
        <w:t>., the external uncertainty would increase, leading to the higher costs if MNEs penetrate via WOS and thus, MNEs would prefer to choo</w:t>
      </w:r>
      <w:r w:rsidR="00414E09">
        <w:t>se JV to reduce costs. However</w:t>
      </w:r>
      <w:r w:rsidR="00B23E55">
        <w:t xml:space="preserve">, </w:t>
      </w:r>
      <w:r w:rsidR="001E2B3C" w:rsidRPr="00730468">
        <w:t xml:space="preserve">when governance distance is high, the </w:t>
      </w:r>
      <w:r w:rsidR="00B23E55">
        <w:t xml:space="preserve">big </w:t>
      </w:r>
      <w:r w:rsidR="001E2B3C" w:rsidRPr="00730468">
        <w:t xml:space="preserve">difference in </w:t>
      </w:r>
      <w:r w:rsidR="00862C80" w:rsidRPr="00730468">
        <w:t>management practices, procedures, routines</w:t>
      </w:r>
      <w:r w:rsidR="004279BA">
        <w:t>,</w:t>
      </w:r>
      <w:r w:rsidR="00862C80" w:rsidRPr="00730468">
        <w:t xml:space="preserve"> and how to deal with </w:t>
      </w:r>
      <w:r w:rsidR="0027350C" w:rsidRPr="00730468">
        <w:t>stake-holders</w:t>
      </w:r>
      <w:r w:rsidR="00862C80" w:rsidRPr="00730468">
        <w:t xml:space="preserve"> between MNEs and local firms might lead to </w:t>
      </w:r>
      <w:r w:rsidR="00B23E55">
        <w:t>more</w:t>
      </w:r>
      <w:r w:rsidR="00862C80" w:rsidRPr="00730468">
        <w:t xml:space="preserve"> conflict</w:t>
      </w:r>
      <w:r w:rsidR="00B23E55">
        <w:t>s in JV</w:t>
      </w:r>
      <w:r w:rsidR="00862C80" w:rsidRPr="00730468">
        <w:t xml:space="preserve">. Such conflict </w:t>
      </w:r>
      <w:r w:rsidR="001E2B3C" w:rsidRPr="00730468">
        <w:t>could be equally or more costing than resisting them in MNEs’</w:t>
      </w:r>
      <w:r w:rsidR="0027350C" w:rsidRPr="00730468">
        <w:t xml:space="preserve"> own way. </w:t>
      </w:r>
      <w:r w:rsidR="00B23E55">
        <w:t xml:space="preserve">In other words, the transaction cost is increased </w:t>
      </w:r>
      <w:r w:rsidR="00770388">
        <w:t xml:space="preserve">in JV </w:t>
      </w:r>
      <w:r w:rsidR="00B23E55">
        <w:t xml:space="preserve">because of higher internal uncertainty. That makes </w:t>
      </w:r>
      <w:r w:rsidR="00770388">
        <w:t>JV is not preferable like what is mentioned in 2.3.4.</w:t>
      </w:r>
      <w:r w:rsidR="00770388" w:rsidRPr="00770388">
        <w:t xml:space="preserve"> </w:t>
      </w:r>
      <w:r w:rsidR="00770388">
        <w:t xml:space="preserve">Secondly, MNEs are supposed to not always look at the cost minimization but </w:t>
      </w:r>
      <w:r w:rsidR="0084777C">
        <w:t>also</w:t>
      </w:r>
      <w:r w:rsidR="00770388">
        <w:t xml:space="preserve"> on their strategic motivations</w:t>
      </w:r>
      <w:r w:rsidR="0084777C">
        <w:t>. Such strategic motivations include</w:t>
      </w:r>
      <w:r w:rsidR="00770388" w:rsidRPr="00770388">
        <w:t xml:space="preserve"> </w:t>
      </w:r>
      <w:r w:rsidR="0084777C">
        <w:t xml:space="preserve">intentional </w:t>
      </w:r>
      <w:r w:rsidR="00770388" w:rsidRPr="00770388">
        <w:t>outpost</w:t>
      </w:r>
      <w:r w:rsidR="0084777C">
        <w:t xml:space="preserve"> establishment</w:t>
      </w:r>
      <w:r w:rsidR="00770388" w:rsidRPr="00770388">
        <w:t xml:space="preserve"> for future </w:t>
      </w:r>
      <w:r w:rsidR="0084777C" w:rsidRPr="0084777C">
        <w:t>extension</w:t>
      </w:r>
      <w:r w:rsidR="00770388" w:rsidRPr="00770388">
        <w:t>, global sourcing site</w:t>
      </w:r>
      <w:r w:rsidR="00407233">
        <w:t xml:space="preserve"> construction</w:t>
      </w:r>
      <w:r w:rsidR="00F8401A">
        <w:t xml:space="preserve"> (</w:t>
      </w:r>
      <w:r w:rsidR="00770388" w:rsidRPr="00770388">
        <w:t>Harzing</w:t>
      </w:r>
      <w:r w:rsidR="00F8401A">
        <w:t>,</w:t>
      </w:r>
      <w:r w:rsidR="00770388" w:rsidRPr="00770388">
        <w:t xml:space="preserve"> 2002</w:t>
      </w:r>
      <w:r w:rsidR="00C42E41">
        <w:t>)</w:t>
      </w:r>
      <w:r w:rsidR="00F8401A">
        <w:t xml:space="preserve">, </w:t>
      </w:r>
      <w:r w:rsidR="00770388" w:rsidRPr="00770388">
        <w:t xml:space="preserve">benefits for post-transaction </w:t>
      </w:r>
      <w:r w:rsidR="00C42E41">
        <w:t xml:space="preserve">activities and long-term goals </w:t>
      </w:r>
      <w:r w:rsidR="00770388" w:rsidRPr="00770388">
        <w:t>(Hill, Hwang &amp; Kim,</w:t>
      </w:r>
      <w:r w:rsidR="00F8401A">
        <w:t xml:space="preserve"> 1990; Contractor et al., 2014)</w:t>
      </w:r>
      <w:r w:rsidR="00F8401A" w:rsidRPr="00770388">
        <w:t xml:space="preserve">, </w:t>
      </w:r>
      <w:r w:rsidR="00F8401A" w:rsidRPr="00730468">
        <w:t>protect</w:t>
      </w:r>
      <w:r w:rsidR="00F8401A">
        <w:t>ing</w:t>
      </w:r>
      <w:r w:rsidR="00F8401A" w:rsidRPr="00730468">
        <w:t xml:space="preserve"> their corporate governance and global image</w:t>
      </w:r>
      <w:r w:rsidR="00F8401A">
        <w:t>. All that stuff makes MNEs</w:t>
      </w:r>
      <w:r w:rsidR="0081348F">
        <w:t>,</w:t>
      </w:r>
      <w:r w:rsidR="00F8401A" w:rsidRPr="00F8401A">
        <w:t xml:space="preserve"> </w:t>
      </w:r>
      <w:r w:rsidR="00F8401A">
        <w:t xml:space="preserve">neglecting </w:t>
      </w:r>
      <w:r w:rsidR="00F8401A" w:rsidRPr="00F8401A">
        <w:t>the high cost of WOS</w:t>
      </w:r>
      <w:r w:rsidR="0081348F">
        <w:t>,</w:t>
      </w:r>
      <w:r w:rsidR="00F8401A">
        <w:t xml:space="preserve"> are preferable to choose WOS</w:t>
      </w:r>
      <w:r w:rsidR="0081348F">
        <w:t xml:space="preserve"> especially</w:t>
      </w:r>
      <w:r w:rsidR="001E2B3C" w:rsidRPr="00730468">
        <w:t xml:space="preserve"> when the governance distance is large</w:t>
      </w:r>
      <w:r w:rsidR="0081348F" w:rsidRPr="0081348F">
        <w:t xml:space="preserve"> </w:t>
      </w:r>
      <w:r w:rsidR="0081348F">
        <w:t>(</w:t>
      </w:r>
      <w:r w:rsidR="0081348F" w:rsidRPr="00770388">
        <w:t>Hill, Hwang &amp; Kim,</w:t>
      </w:r>
      <w:r w:rsidR="0081348F">
        <w:t xml:space="preserve"> 1990; Contractor et al., 2014)</w:t>
      </w:r>
      <w:r w:rsidR="001E2B3C" w:rsidRPr="00730468">
        <w:t>.</w:t>
      </w:r>
      <w:r w:rsidR="00E53C3C" w:rsidRPr="00730468">
        <w:rPr>
          <w:color w:val="000000" w:themeColor="text1"/>
        </w:rPr>
        <w:t xml:space="preserve"> </w:t>
      </w:r>
      <w:r w:rsidR="00FD169D">
        <w:t>Provided</w:t>
      </w:r>
      <w:r w:rsidR="00D40FD4" w:rsidRPr="00730468">
        <w:t xml:space="preserve"> that governance quality of India is very weak</w:t>
      </w:r>
      <w:r w:rsidR="00407233">
        <w:t xml:space="preserve"> (all six dimensions have very </w:t>
      </w:r>
      <w:r w:rsidR="00407233">
        <w:lastRenderedPageBreak/>
        <w:t>low score)</w:t>
      </w:r>
      <w:r w:rsidR="00D40FD4" w:rsidRPr="00730468">
        <w:t>, it leads to the fact that</w:t>
      </w:r>
      <w:r w:rsidR="00BB417C" w:rsidRPr="00730468">
        <w:t xml:space="preserve"> the higher the distance in governance between India and home countries is the result of</w:t>
      </w:r>
      <w:r w:rsidR="00D40FD4" w:rsidRPr="00730468">
        <w:t xml:space="preserve"> the higher the governance quality</w:t>
      </w:r>
      <w:r w:rsidR="00FD169D">
        <w:t xml:space="preserve"> </w:t>
      </w:r>
      <w:r w:rsidR="00D40FD4" w:rsidRPr="00730468">
        <w:t xml:space="preserve">of the MNE’s </w:t>
      </w:r>
      <w:r w:rsidR="00E53C3C" w:rsidRPr="00730468">
        <w:t>country</w:t>
      </w:r>
      <w:r w:rsidR="00D40FD4" w:rsidRPr="00730468">
        <w:t xml:space="preserve">. Such countries with high governance quality mainly </w:t>
      </w:r>
      <w:r w:rsidR="00BB417C" w:rsidRPr="00730468">
        <w:t>are</w:t>
      </w:r>
      <w:r w:rsidR="00D40FD4" w:rsidRPr="00730468">
        <w:t xml:space="preserve"> developed </w:t>
      </w:r>
      <w:r w:rsidR="00BB417C" w:rsidRPr="00730468">
        <w:t xml:space="preserve">countries. </w:t>
      </w:r>
      <w:r w:rsidR="003C0BBA" w:rsidRPr="00730468">
        <w:t>Hence</w:t>
      </w:r>
      <w:r w:rsidR="00BB417C" w:rsidRPr="00730468">
        <w:t xml:space="preserve">, thirdly, in terms of the bargaining power, MNEs from developed nations are more likely to have certain </w:t>
      </w:r>
      <w:r w:rsidR="0027350C" w:rsidRPr="00730468">
        <w:t xml:space="preserve">level of </w:t>
      </w:r>
      <w:r w:rsidR="00BB417C" w:rsidRPr="00730468">
        <w:t>power to put pressures on local governments to adjust the local governance to fit them better because they are usually the targets that many local governments compete to attract and appeal to. Therefore, MNEs again prefer WOS over JV when they enter the Indian market.</w:t>
      </w:r>
    </w:p>
    <w:p w:rsidR="0081348F" w:rsidRPr="00F8401A" w:rsidRDefault="0081348F" w:rsidP="00D176D8">
      <w:pPr>
        <w:spacing w:line="360" w:lineRule="auto"/>
        <w:jc w:val="both"/>
      </w:pPr>
    </w:p>
    <w:p w:rsidR="004F43D4" w:rsidRPr="00730468" w:rsidRDefault="00656191" w:rsidP="00DF3F76">
      <w:pPr>
        <w:pStyle w:val="Heading2"/>
        <w:spacing w:line="360" w:lineRule="auto"/>
      </w:pPr>
      <w:r w:rsidRPr="00730468">
        <w:t xml:space="preserve"> </w:t>
      </w:r>
      <w:bookmarkStart w:id="100" w:name="_Toc489287960"/>
      <w:bookmarkStart w:id="101" w:name="_Toc487572231"/>
      <w:bookmarkStart w:id="102" w:name="_Toc487707071"/>
      <w:r w:rsidR="00F80BFD">
        <w:t xml:space="preserve">Host country experience/ </w:t>
      </w:r>
      <w:r w:rsidR="00F80BFD" w:rsidRPr="00730468">
        <w:t>India experience</w:t>
      </w:r>
      <w:bookmarkEnd w:id="100"/>
      <w:r w:rsidR="00F80BFD" w:rsidRPr="00730468">
        <w:t xml:space="preserve"> </w:t>
      </w:r>
      <w:bookmarkEnd w:id="101"/>
      <w:bookmarkEnd w:id="102"/>
    </w:p>
    <w:p w:rsidR="00C811F5" w:rsidRPr="00730468" w:rsidRDefault="00C811F5" w:rsidP="00DF3F76">
      <w:pPr>
        <w:spacing w:line="360" w:lineRule="auto"/>
        <w:jc w:val="both"/>
      </w:pPr>
      <w:r w:rsidRPr="00730468">
        <w:t xml:space="preserve">With a p-value of 0.023, </w:t>
      </w:r>
      <w:r w:rsidR="00D90C89" w:rsidRPr="00730468">
        <w:t xml:space="preserve">India experience </w:t>
      </w:r>
      <w:r w:rsidRPr="00730468">
        <w:t xml:space="preserve">is considered to be statistically significant at </w:t>
      </w:r>
      <w:r w:rsidR="00D90C89" w:rsidRPr="00730468">
        <w:t>1% confidence levels</w:t>
      </w:r>
      <w:r w:rsidRPr="00730468">
        <w:t xml:space="preserve">. </w:t>
      </w:r>
      <w:r w:rsidR="00D90C89" w:rsidRPr="00730468">
        <w:t>Moreover</w:t>
      </w:r>
      <w:r w:rsidRPr="00730468">
        <w:t xml:space="preserve">, </w:t>
      </w:r>
      <w:r w:rsidR="00D90C89" w:rsidRPr="00730468">
        <w:t xml:space="preserve">India experience </w:t>
      </w:r>
      <w:r w:rsidRPr="00730468">
        <w:t>has a positive impact on t</w:t>
      </w:r>
      <w:r w:rsidR="00D90C89" w:rsidRPr="00730468">
        <w:t>he dependent variable which is</w:t>
      </w:r>
      <w:r w:rsidRPr="00730468">
        <w:t xml:space="preserve"> in accordance with what is expected before running the logistic regression. This finding suggests that as the </w:t>
      </w:r>
      <w:r w:rsidR="00D90C89" w:rsidRPr="00730468">
        <w:t xml:space="preserve">India experience </w:t>
      </w:r>
      <w:r w:rsidRPr="00730468">
        <w:t xml:space="preserve">between home and host countries increases, the likelihood that the choice of entry mode through WOS also increases. </w:t>
      </w:r>
      <w:r w:rsidR="00D90C89" w:rsidRPr="00730468">
        <w:t xml:space="preserve">Since </w:t>
      </w:r>
      <w:r w:rsidRPr="00730468">
        <w:t xml:space="preserve">this explanatory variable is statistically significant, </w:t>
      </w:r>
      <w:r w:rsidR="00D90C89" w:rsidRPr="00730468">
        <w:t xml:space="preserve">and also </w:t>
      </w:r>
      <w:r w:rsidRPr="00730468">
        <w:t xml:space="preserve">the hypothesis trend is observed, hypothesis </w:t>
      </w:r>
      <w:r w:rsidR="00116D57" w:rsidRPr="00730468">
        <w:t>5</w:t>
      </w:r>
      <w:r w:rsidRPr="00730468">
        <w:t xml:space="preserve"> is supported.</w:t>
      </w:r>
    </w:p>
    <w:p w:rsidR="00C811F5" w:rsidRPr="00730468" w:rsidRDefault="00C811F5" w:rsidP="00DF3F76">
      <w:pPr>
        <w:spacing w:line="360" w:lineRule="auto"/>
        <w:jc w:val="both"/>
      </w:pPr>
    </w:p>
    <w:p w:rsidR="002251E1" w:rsidRPr="00730468" w:rsidRDefault="002251E1" w:rsidP="00DF3F76">
      <w:pPr>
        <w:spacing w:line="360" w:lineRule="auto"/>
        <w:jc w:val="both"/>
        <w:rPr>
          <w:color w:val="000000" w:themeColor="text1"/>
        </w:rPr>
      </w:pPr>
      <w:r w:rsidRPr="00730468">
        <w:t xml:space="preserve">The empirical result for India experience is in accordance with </w:t>
      </w:r>
      <w:r w:rsidRPr="00730468">
        <w:rPr>
          <w:color w:val="000000" w:themeColor="text1"/>
        </w:rPr>
        <w:t>many previous empirical studies</w:t>
      </w:r>
      <w:r w:rsidR="00A9126D" w:rsidRPr="00730468">
        <w:rPr>
          <w:color w:val="000000" w:themeColor="text1"/>
        </w:rPr>
        <w:t xml:space="preserve"> about host country experience</w:t>
      </w:r>
      <w:r w:rsidRPr="00730468">
        <w:rPr>
          <w:color w:val="000000" w:themeColor="text1"/>
        </w:rPr>
        <w:t xml:space="preserve">, for example the studies </w:t>
      </w:r>
      <w:r w:rsidR="00EB0F02">
        <w:rPr>
          <w:color w:val="000000" w:themeColor="text1"/>
        </w:rPr>
        <w:t>by</w:t>
      </w:r>
      <w:r w:rsidRPr="00730468">
        <w:rPr>
          <w:color w:val="000000" w:themeColor="text1"/>
        </w:rPr>
        <w:t xml:space="preserve"> Erramilli (1991), Andersson &amp; Svensson (1994) and Luo (2001). Moreover, the study by Davison (1982)</w:t>
      </w:r>
      <w:r w:rsidR="00A9126D" w:rsidRPr="00730468">
        <w:rPr>
          <w:color w:val="000000" w:themeColor="text1"/>
        </w:rPr>
        <w:t xml:space="preserve"> also</w:t>
      </w:r>
      <w:r w:rsidRPr="00730468">
        <w:rPr>
          <w:color w:val="000000" w:themeColor="text1"/>
        </w:rPr>
        <w:t xml:space="preserve"> </w:t>
      </w:r>
      <w:r w:rsidR="00A9126D" w:rsidRPr="00730468">
        <w:rPr>
          <w:color w:val="000000" w:themeColor="text1"/>
        </w:rPr>
        <w:t xml:space="preserve">found that, host country experience encourages MNEs to penetrate foreign market through WOS no matter of previous experience form. </w:t>
      </w:r>
    </w:p>
    <w:p w:rsidR="00004700" w:rsidRPr="00730468" w:rsidRDefault="00004700" w:rsidP="00DF3F76">
      <w:pPr>
        <w:spacing w:line="360" w:lineRule="auto"/>
        <w:jc w:val="both"/>
      </w:pPr>
    </w:p>
    <w:p w:rsidR="0064417B" w:rsidRPr="00730468" w:rsidRDefault="00943657" w:rsidP="00DF3F76">
      <w:pPr>
        <w:spacing w:line="360" w:lineRule="auto"/>
        <w:jc w:val="both"/>
      </w:pPr>
      <w:r>
        <w:t>As explained carefully in the hypothesis,</w:t>
      </w:r>
      <w:r w:rsidRPr="00730468">
        <w:t xml:space="preserve"> </w:t>
      </w:r>
      <w:r w:rsidR="00DD2679" w:rsidRPr="00730468">
        <w:rPr>
          <w:color w:val="000000"/>
          <w:shd w:val="clear" w:color="auto" w:fill="FFFFFF"/>
        </w:rPr>
        <w:t xml:space="preserve">MNEs </w:t>
      </w:r>
      <w:r w:rsidR="009A611B" w:rsidRPr="00730468">
        <w:rPr>
          <w:color w:val="000000"/>
          <w:shd w:val="clear" w:color="auto" w:fill="FFFFFF"/>
        </w:rPr>
        <w:t xml:space="preserve">with host country experience </w:t>
      </w:r>
      <w:r w:rsidR="00DD2679" w:rsidRPr="00730468">
        <w:rPr>
          <w:color w:val="000000"/>
          <w:shd w:val="clear" w:color="auto" w:fill="FFFFFF"/>
        </w:rPr>
        <w:t>deal with less uncertainty and are more confident to penetrate the existing foreign market via the mode of WOS rather than JV (Chang &amp; Rosenzweig, 2001)</w:t>
      </w:r>
      <w:r>
        <w:rPr>
          <w:color w:val="000000"/>
          <w:shd w:val="clear" w:color="auto" w:fill="FFFFFF"/>
        </w:rPr>
        <w:t>. Additionally, u</w:t>
      </w:r>
      <w:r w:rsidRPr="00730468">
        <w:t xml:space="preserve">sing collaborative mode of entry </w:t>
      </w:r>
      <w:r>
        <w:t xml:space="preserve">as mentioned earlier </w:t>
      </w:r>
      <w:r w:rsidRPr="00730468">
        <w:t>can offset the host-country inexperience</w:t>
      </w:r>
      <w:r>
        <w:t>, especially it seems to be more neccessary in the context of the</w:t>
      </w:r>
      <w:r w:rsidRPr="00730468">
        <w:t xml:space="preserve"> diverse a</w:t>
      </w:r>
      <w:r>
        <w:t>nd complex environment in India.</w:t>
      </w:r>
    </w:p>
    <w:p w:rsidR="002251E1" w:rsidRPr="00730468" w:rsidRDefault="002251E1" w:rsidP="00DF3F76">
      <w:pPr>
        <w:spacing w:line="360" w:lineRule="auto"/>
        <w:jc w:val="both"/>
      </w:pPr>
    </w:p>
    <w:p w:rsidR="008200C2" w:rsidRPr="00730468" w:rsidRDefault="00653E4B" w:rsidP="00DF3F76">
      <w:pPr>
        <w:pStyle w:val="Heading2"/>
        <w:spacing w:line="360" w:lineRule="auto"/>
      </w:pPr>
      <w:r w:rsidRPr="00730468">
        <w:t xml:space="preserve"> </w:t>
      </w:r>
      <w:bookmarkStart w:id="103" w:name="_Toc487572232"/>
      <w:bookmarkStart w:id="104" w:name="_Toc487707072"/>
      <w:bookmarkStart w:id="105" w:name="_Toc489287961"/>
      <w:r w:rsidR="00381799" w:rsidRPr="00730468">
        <w:t>Firm size</w:t>
      </w:r>
      <w:bookmarkEnd w:id="103"/>
      <w:bookmarkEnd w:id="104"/>
      <w:bookmarkEnd w:id="105"/>
    </w:p>
    <w:p w:rsidR="00D90C89" w:rsidRPr="00730468" w:rsidRDefault="00D90C89" w:rsidP="00DF3F76">
      <w:pPr>
        <w:spacing w:line="360" w:lineRule="auto"/>
        <w:jc w:val="both"/>
      </w:pPr>
      <w:r w:rsidRPr="00730468">
        <w:t xml:space="preserve">With a p-value of 0.321, firm’s size </w:t>
      </w:r>
      <w:r w:rsidR="008C6FC6" w:rsidRPr="00730468">
        <w:t>cannot be</w:t>
      </w:r>
      <w:r w:rsidRPr="00730468">
        <w:t xml:space="preserve"> considered </w:t>
      </w:r>
      <w:r w:rsidR="008C6FC6" w:rsidRPr="00730468">
        <w:t>as statistically significant variable</w:t>
      </w:r>
      <w:r w:rsidRPr="00730468">
        <w:t xml:space="preserve">. </w:t>
      </w:r>
      <w:r w:rsidR="008C6FC6" w:rsidRPr="00730468">
        <w:t>Moreover</w:t>
      </w:r>
      <w:r w:rsidRPr="00730468">
        <w:t xml:space="preserve">, </w:t>
      </w:r>
      <w:r w:rsidR="008C6FC6" w:rsidRPr="00730468">
        <w:t xml:space="preserve">firm’s size </w:t>
      </w:r>
      <w:r w:rsidRPr="00730468">
        <w:t xml:space="preserve">has a </w:t>
      </w:r>
      <w:r w:rsidR="008C6FC6" w:rsidRPr="00730468">
        <w:t>negative</w:t>
      </w:r>
      <w:r w:rsidRPr="00730468">
        <w:t xml:space="preserve"> impact on the dependent variable which is not in </w:t>
      </w:r>
      <w:r w:rsidRPr="00730468">
        <w:lastRenderedPageBreak/>
        <w:t xml:space="preserve">accordance with what is expected before running the logistic regression. This finding suggests that as the </w:t>
      </w:r>
      <w:r w:rsidR="008C6FC6" w:rsidRPr="00730468">
        <w:t>firm’s size of the MNE</w:t>
      </w:r>
      <w:r w:rsidRPr="00730468">
        <w:t xml:space="preserve"> increases, the likelihood that the choice of entry mode through WOS increases. </w:t>
      </w:r>
      <w:r w:rsidR="00116D57" w:rsidRPr="00730468">
        <w:t>T</w:t>
      </w:r>
      <w:r w:rsidRPr="00730468">
        <w:t xml:space="preserve">his explanatory variable is </w:t>
      </w:r>
      <w:r w:rsidR="00116D57" w:rsidRPr="00730468">
        <w:t xml:space="preserve">not </w:t>
      </w:r>
      <w:r w:rsidRPr="00730468">
        <w:t>statistically significant</w:t>
      </w:r>
      <w:r w:rsidR="00116D57" w:rsidRPr="00730468">
        <w:t xml:space="preserve"> and</w:t>
      </w:r>
      <w:r w:rsidRPr="00730468">
        <w:t xml:space="preserve"> the hypothesis trend is not observed</w:t>
      </w:r>
      <w:r w:rsidR="00116D57" w:rsidRPr="00730468">
        <w:t xml:space="preserve"> too</w:t>
      </w:r>
      <w:r w:rsidRPr="00730468">
        <w:t xml:space="preserve">; thus, hypothesis </w:t>
      </w:r>
      <w:r w:rsidR="00116D57" w:rsidRPr="00730468">
        <w:t>6</w:t>
      </w:r>
      <w:r w:rsidRPr="00730468">
        <w:t xml:space="preserve"> is not supported.</w:t>
      </w:r>
    </w:p>
    <w:p w:rsidR="00D90C89" w:rsidRPr="00730468" w:rsidRDefault="00D90C89" w:rsidP="00DF3F76">
      <w:pPr>
        <w:spacing w:line="360" w:lineRule="auto"/>
        <w:jc w:val="both"/>
      </w:pPr>
    </w:p>
    <w:p w:rsidR="001C703A" w:rsidRPr="00730468" w:rsidRDefault="001C703A" w:rsidP="00DF3F76">
      <w:pPr>
        <w:spacing w:line="360" w:lineRule="auto"/>
        <w:jc w:val="both"/>
      </w:pPr>
      <w:r w:rsidRPr="00730468">
        <w:t>Firm’s size is found to have no significant impact on the choices of entry mode. Although the negative trend is contradictory with the majority of studies mentioned in hypothesis 6, it is in accordance with some empirical studies which have negative correlation between WOS and firm’s size (Larimo, 1992; Larimo, 1993; Hennart &amp; Larimo, 1998).</w:t>
      </w:r>
    </w:p>
    <w:p w:rsidR="001C703A" w:rsidRPr="00730468" w:rsidRDefault="001C703A" w:rsidP="00DF3F76">
      <w:pPr>
        <w:spacing w:line="360" w:lineRule="auto"/>
        <w:jc w:val="both"/>
      </w:pPr>
    </w:p>
    <w:p w:rsidR="001C703A" w:rsidRPr="00730468" w:rsidRDefault="00445064" w:rsidP="00DF3F76">
      <w:pPr>
        <w:spacing w:line="360" w:lineRule="auto"/>
        <w:jc w:val="both"/>
      </w:pPr>
      <w:r w:rsidRPr="00730468">
        <w:rPr>
          <w:noProof/>
        </w:rPr>
        <w:t xml:space="preserve">This argument is based on </w:t>
      </w:r>
      <w:r w:rsidRPr="0066351B">
        <w:rPr>
          <w:noProof/>
        </w:rPr>
        <w:t xml:space="preserve">the </w:t>
      </w:r>
      <w:r w:rsidR="0066351B" w:rsidRPr="0066351B">
        <w:rPr>
          <w:noProof/>
        </w:rPr>
        <w:t>point</w:t>
      </w:r>
      <w:r w:rsidRPr="0066351B">
        <w:rPr>
          <w:noProof/>
        </w:rPr>
        <w:t xml:space="preserve"> that</w:t>
      </w:r>
      <w:r w:rsidRPr="0066351B">
        <w:t xml:space="preserve"> </w:t>
      </w:r>
      <w:r w:rsidRPr="0066351B">
        <w:rPr>
          <w:noProof/>
        </w:rPr>
        <w:t xml:space="preserve">large MNEs </w:t>
      </w:r>
      <w:r w:rsidR="00341B40" w:rsidRPr="0066351B">
        <w:rPr>
          <w:noProof/>
        </w:rPr>
        <w:t>have a tendency</w:t>
      </w:r>
      <w:r w:rsidRPr="0066351B">
        <w:rPr>
          <w:noProof/>
        </w:rPr>
        <w:t xml:space="preserve"> to diversify their portfolio</w:t>
      </w:r>
      <w:r w:rsidR="00356A6B" w:rsidRPr="00730468">
        <w:t xml:space="preserve"> in many countries</w:t>
      </w:r>
      <w:r w:rsidR="006C7E69" w:rsidRPr="00730468">
        <w:t xml:space="preserve">. </w:t>
      </w:r>
      <w:r w:rsidR="00356A6B" w:rsidRPr="00730468">
        <w:t>Because of that</w:t>
      </w:r>
      <w:r w:rsidR="00FC68AE" w:rsidRPr="00730468">
        <w:t xml:space="preserve">, </w:t>
      </w:r>
      <w:r w:rsidR="00356A6B" w:rsidRPr="00730468">
        <w:t>they do not have large resources for one particular country, making them choose JV to receive more resources from local firms</w:t>
      </w:r>
      <w:r w:rsidR="006C7E69" w:rsidRPr="00730468">
        <w:t xml:space="preserve">. </w:t>
      </w:r>
      <w:r w:rsidR="00356A6B" w:rsidRPr="00730468">
        <w:t>Moreover, the cost of WOS is generally high, which makes MNEs opt for JV since local firms</w:t>
      </w:r>
      <w:r w:rsidR="006C7E69" w:rsidRPr="00730468">
        <w:t xml:space="preserve"> </w:t>
      </w:r>
      <w:r w:rsidR="00356A6B" w:rsidRPr="00730468">
        <w:t>enable</w:t>
      </w:r>
      <w:r w:rsidR="006C7E69" w:rsidRPr="00730468">
        <w:t xml:space="preserve"> </w:t>
      </w:r>
      <w:r w:rsidR="00356A6B" w:rsidRPr="00730468">
        <w:t>MNEs access to local market,</w:t>
      </w:r>
      <w:r w:rsidR="006C7E69" w:rsidRPr="00730468">
        <w:t xml:space="preserve"> </w:t>
      </w:r>
      <w:r w:rsidR="00356A6B" w:rsidRPr="00730468">
        <w:t>sharing with them all the cost, risk and uncertainty</w:t>
      </w:r>
      <w:r w:rsidR="006C7E69" w:rsidRPr="00730468">
        <w:t xml:space="preserve">, </w:t>
      </w:r>
      <w:r w:rsidR="00356A6B" w:rsidRPr="00730468">
        <w:t>consequently</w:t>
      </w:r>
      <w:r w:rsidR="006C7E69" w:rsidRPr="00730468">
        <w:t xml:space="preserve"> </w:t>
      </w:r>
      <w:r w:rsidR="00356A6B" w:rsidRPr="00730468">
        <w:t xml:space="preserve">leading to the </w:t>
      </w:r>
      <w:r w:rsidR="00262D0E" w:rsidRPr="00730468">
        <w:t>cost lower</w:t>
      </w:r>
      <w:r w:rsidR="00356A6B" w:rsidRPr="00730468">
        <w:t xml:space="preserve"> </w:t>
      </w:r>
      <w:r w:rsidR="00262D0E" w:rsidRPr="00730468">
        <w:t>and safer mode of entry</w:t>
      </w:r>
      <w:r w:rsidR="006C7E69" w:rsidRPr="00730468">
        <w:t xml:space="preserve"> (Hennart &amp; Reddy, 1997). </w:t>
      </w:r>
      <w:r w:rsidR="00262D0E" w:rsidRPr="00730468">
        <w:t>Similarly, Kay, Robe, and Zagnoli (1987) found that JV</w:t>
      </w:r>
      <w:r w:rsidR="00A11705" w:rsidRPr="00730468">
        <w:t>s</w:t>
      </w:r>
      <w:r w:rsidR="00262D0E" w:rsidRPr="00730468">
        <w:t xml:space="preserve"> </w:t>
      </w:r>
      <w:r w:rsidR="00A11705" w:rsidRPr="00730468">
        <w:t>are</w:t>
      </w:r>
      <w:r w:rsidR="00262D0E" w:rsidRPr="00730468">
        <w:t xml:space="preserve"> more preferable while WOS</w:t>
      </w:r>
      <w:r w:rsidR="00A11705" w:rsidRPr="00730468">
        <w:t>s</w:t>
      </w:r>
      <w:r w:rsidR="00262D0E" w:rsidRPr="00730468">
        <w:t xml:space="preserve"> are found difficult for MNEs to add </w:t>
      </w:r>
      <w:r w:rsidR="00A11705" w:rsidRPr="00730468">
        <w:t>them in their diversified portfolio. In sum, to manage their existing diversified portfolios more effectively, MNEs are more likely to use JV.</w:t>
      </w:r>
      <w:r w:rsidR="00FC4560" w:rsidRPr="00730468">
        <w:t xml:space="preserve"> It is in accordance with Gatignon and Anderson (1988) suggestion that large foreign operations are less likely associated with high mode of control. </w:t>
      </w:r>
      <w:r w:rsidRPr="00730468">
        <w:t xml:space="preserve">Other idea is that large MNEs could receive the support or positive </w:t>
      </w:r>
      <w:r w:rsidR="00FC68AE" w:rsidRPr="00730468">
        <w:t xml:space="preserve">tax </w:t>
      </w:r>
      <w:r w:rsidRPr="00730468">
        <w:t>policy from the Indian government to cooperate with local firms. The reason is that Indian government want</w:t>
      </w:r>
      <w:r w:rsidR="00FC68AE" w:rsidRPr="00730468">
        <w:t>s</w:t>
      </w:r>
      <w:r w:rsidRPr="00730468">
        <w:t xml:space="preserve"> their local firm learning </w:t>
      </w:r>
      <w:r w:rsidR="00FC68AE" w:rsidRPr="00730468">
        <w:t xml:space="preserve">and absorbing knowledge, technology and skills from large MNEs. Therefore, Indian government is willing to give supports and benefits to MNEs so that they will agree to collaborate with local partners. </w:t>
      </w:r>
      <w:r w:rsidR="00A11705" w:rsidRPr="00730468">
        <w:t>Besides that, t</w:t>
      </w:r>
      <w:r w:rsidR="00FC68AE" w:rsidRPr="00730468">
        <w:t xml:space="preserve">o have a spot in large </w:t>
      </w:r>
      <w:r w:rsidR="00A11705" w:rsidRPr="00730468">
        <w:t>potential transactions or to have</w:t>
      </w:r>
      <w:r w:rsidR="00FC68AE" w:rsidRPr="00730468">
        <w:t xml:space="preserve"> </w:t>
      </w:r>
      <w:r w:rsidR="00A11705" w:rsidRPr="00730468">
        <w:t>a</w:t>
      </w:r>
      <w:r w:rsidR="00FC68AE" w:rsidRPr="00730468">
        <w:t xml:space="preserve"> wide coverage in a global network</w:t>
      </w:r>
      <w:r w:rsidR="00A11705" w:rsidRPr="00730468">
        <w:t>, MNEs are willing to cooperate with local firms via JV.</w:t>
      </w:r>
      <w:r w:rsidR="00FC4560" w:rsidRPr="00730468">
        <w:t xml:space="preserve"> </w:t>
      </w:r>
      <w:r w:rsidR="00A11705" w:rsidRPr="00730468">
        <w:t xml:space="preserve">Otherwise, </w:t>
      </w:r>
      <w:r w:rsidR="005B40B4" w:rsidRPr="00730468">
        <w:t>when</w:t>
      </w:r>
      <w:r w:rsidR="00A11705" w:rsidRPr="00730468">
        <w:t xml:space="preserve"> MNEs are small, </w:t>
      </w:r>
      <w:r w:rsidR="00FC4560" w:rsidRPr="00730468">
        <w:t xml:space="preserve">they are less bureaucratic and much more flexible (Hitt, Hoskisson, &amp; Ireland, 2003). </w:t>
      </w:r>
      <w:r w:rsidR="005B40B4" w:rsidRPr="00730468">
        <w:t>That is beneficial for them to enter Indian market via WOS since they can</w:t>
      </w:r>
      <w:r w:rsidR="0027666E" w:rsidRPr="00730468">
        <w:t xml:space="preserve"> </w:t>
      </w:r>
      <w:r w:rsidR="005B40B4" w:rsidRPr="00730468">
        <w:t>adjust and adapt quickly to the local environment with the fact that India's bureaucracy is the worst in Asia (Hong Kong-based Political and Economic Risk Consultancy</w:t>
      </w:r>
      <w:r w:rsidR="0027666E" w:rsidRPr="00730468">
        <w:t xml:space="preserve">), so in this case high flexibility is the most important thing. </w:t>
      </w:r>
    </w:p>
    <w:p w:rsidR="00FC4560" w:rsidRPr="00730468" w:rsidRDefault="00FC4560" w:rsidP="00DF3F76">
      <w:pPr>
        <w:spacing w:line="360" w:lineRule="auto"/>
        <w:jc w:val="both"/>
      </w:pPr>
    </w:p>
    <w:p w:rsidR="008A7895" w:rsidRDefault="0027666E" w:rsidP="00DF3F76">
      <w:pPr>
        <w:spacing w:line="360" w:lineRule="auto"/>
        <w:jc w:val="both"/>
      </w:pPr>
      <w:r w:rsidRPr="00730468">
        <w:t>To sum up</w:t>
      </w:r>
      <w:r w:rsidR="004F43D4" w:rsidRPr="00730468">
        <w:t xml:space="preserve">, </w:t>
      </w:r>
      <w:r w:rsidRPr="00730468">
        <w:t>although the negative sign of this empirical could be explained, firm’s size is found statistically insignificant. Therefore</w:t>
      </w:r>
      <w:r w:rsidR="004279BA">
        <w:t>, there is no</w:t>
      </w:r>
      <w:r w:rsidR="004F43D4" w:rsidRPr="00730468">
        <w:t xml:space="preserve"> support</w:t>
      </w:r>
      <w:r w:rsidRPr="00730468">
        <w:t xml:space="preserve"> for</w:t>
      </w:r>
      <w:r w:rsidR="004F43D4" w:rsidRPr="00730468">
        <w:t xml:space="preserve"> hypothesis</w:t>
      </w:r>
      <w:r w:rsidRPr="00730468">
        <w:t xml:space="preserve"> 6</w:t>
      </w:r>
      <w:r w:rsidR="004F43D4" w:rsidRPr="00730468">
        <w:t>.</w:t>
      </w:r>
    </w:p>
    <w:p w:rsidR="00722CE8" w:rsidRDefault="00722CE8" w:rsidP="00DF3F76">
      <w:pPr>
        <w:spacing w:line="360" w:lineRule="auto"/>
        <w:jc w:val="both"/>
      </w:pPr>
    </w:p>
    <w:p w:rsidR="0085081B" w:rsidRPr="0045227F" w:rsidRDefault="00EB2A9E" w:rsidP="004703BA">
      <w:pPr>
        <w:pStyle w:val="Heading2"/>
        <w:spacing w:line="360" w:lineRule="auto"/>
      </w:pPr>
      <w:r>
        <w:t xml:space="preserve"> </w:t>
      </w:r>
      <w:bookmarkStart w:id="106" w:name="_Toc489287962"/>
      <w:r w:rsidR="008A7895" w:rsidRPr="0045227F">
        <w:t>Extension</w:t>
      </w:r>
      <w:bookmarkEnd w:id="106"/>
      <w:r w:rsidR="008A7895" w:rsidRPr="0045227F">
        <w:t xml:space="preserve"> </w:t>
      </w:r>
    </w:p>
    <w:p w:rsidR="00EB2A9E" w:rsidRDefault="005F7F91" w:rsidP="000116F1">
      <w:pPr>
        <w:spacing w:line="360" w:lineRule="auto"/>
        <w:jc w:val="both"/>
      </w:pPr>
      <w:r>
        <w:t xml:space="preserve">In this part, I plan to </w:t>
      </w:r>
      <w:r w:rsidR="00AB7020">
        <w:t>put two more</w:t>
      </w:r>
      <w:r>
        <w:t xml:space="preserve"> additional </w:t>
      </w:r>
      <w:r w:rsidR="00AB7020">
        <w:t xml:space="preserve">analyses – one for studying </w:t>
      </w:r>
      <w:r w:rsidR="000B74DD" w:rsidRPr="000B74DD">
        <w:t>how manufacturing and services entry mode decisions differ</w:t>
      </w:r>
      <w:r w:rsidR="00AB7020">
        <w:t xml:space="preserve"> and one for studying how separate dimensions of governance distance affect entry mode decision. </w:t>
      </w:r>
      <w:r w:rsidR="00BE1F04">
        <w:t>Firstly, d</w:t>
      </w:r>
      <w:r w:rsidR="000B74DD">
        <w:t xml:space="preserve">ue to the fact that the characteristics of </w:t>
      </w:r>
      <w:r w:rsidR="006832B0">
        <w:t>manufacturing</w:t>
      </w:r>
      <w:r w:rsidR="000B74DD">
        <w:t xml:space="preserve"> and services industry are different, </w:t>
      </w:r>
      <w:r w:rsidR="006832B0">
        <w:t xml:space="preserve">specifically services are </w:t>
      </w:r>
      <w:r w:rsidR="00603466">
        <w:t xml:space="preserve">generated </w:t>
      </w:r>
      <w:r w:rsidR="00603466" w:rsidRPr="006832B0">
        <w:t xml:space="preserve">and delivered </w:t>
      </w:r>
      <w:r w:rsidR="00603466">
        <w:t>at the same time (</w:t>
      </w:r>
      <w:r w:rsidR="00603466" w:rsidRPr="00603466">
        <w:t xml:space="preserve">Habib </w:t>
      </w:r>
      <w:r w:rsidR="00603466">
        <w:t>&amp;</w:t>
      </w:r>
      <w:r w:rsidR="00603466" w:rsidRPr="00603466">
        <w:t xml:space="preserve"> Victor, 1991)</w:t>
      </w:r>
      <w:r w:rsidR="00603466">
        <w:t xml:space="preserve">, </w:t>
      </w:r>
      <w:r w:rsidR="00036B0D">
        <w:t>less investment intensive (Bowen &amp; Jones, 1986</w:t>
      </w:r>
      <w:r w:rsidR="00036B0D" w:rsidRPr="00036B0D">
        <w:t xml:space="preserve">; Gatignon </w:t>
      </w:r>
      <w:r w:rsidR="00036B0D">
        <w:t>&amp;</w:t>
      </w:r>
      <w:r w:rsidR="00036B0D" w:rsidRPr="00036B0D">
        <w:t xml:space="preserve"> Anderson, 1988</w:t>
      </w:r>
      <w:r w:rsidR="00036B0D">
        <w:t xml:space="preserve">; </w:t>
      </w:r>
      <w:r w:rsidR="00036B0D" w:rsidRPr="00036B0D">
        <w:t xml:space="preserve">Erramilli </w:t>
      </w:r>
      <w:r w:rsidR="00036B0D">
        <w:t>&amp; Rao, 1993</w:t>
      </w:r>
      <w:r w:rsidR="00036B0D" w:rsidRPr="00036B0D">
        <w:t>)</w:t>
      </w:r>
      <w:r w:rsidR="00036B0D">
        <w:t xml:space="preserve"> and </w:t>
      </w:r>
      <w:r w:rsidR="006832B0">
        <w:t>more people-oriented (</w:t>
      </w:r>
      <w:r w:rsidR="006832B0" w:rsidRPr="006832B0">
        <w:t xml:space="preserve">Bowen </w:t>
      </w:r>
      <w:r w:rsidR="00603466">
        <w:t>&amp;</w:t>
      </w:r>
      <w:r w:rsidR="006832B0" w:rsidRPr="006832B0">
        <w:t xml:space="preserve"> Jones, 1986; Erramilli </w:t>
      </w:r>
      <w:r w:rsidR="00603466">
        <w:t>&amp;</w:t>
      </w:r>
      <w:r w:rsidR="006832B0" w:rsidRPr="006832B0">
        <w:t xml:space="preserve"> Rao, 1993</w:t>
      </w:r>
      <w:r w:rsidR="006832B0">
        <w:t>)</w:t>
      </w:r>
      <w:r w:rsidR="00036B0D">
        <w:t xml:space="preserve"> than manufacturing industry, there might be the difference in </w:t>
      </w:r>
      <w:r w:rsidR="00036B0D" w:rsidRPr="000B74DD">
        <w:t>manufacturing and services entry mode decisions</w:t>
      </w:r>
      <w:r w:rsidR="00036B0D">
        <w:t xml:space="preserve">. Therefore, </w:t>
      </w:r>
      <w:r w:rsidR="00F71A7F">
        <w:t xml:space="preserve">I would like to check how all the </w:t>
      </w:r>
      <w:r w:rsidR="00BE1F04">
        <w:t xml:space="preserve">existing </w:t>
      </w:r>
      <w:r w:rsidR="00F71A7F">
        <w:t>independent variables in this study affect the entry mode decisions in manufacturing and services industry differently.</w:t>
      </w:r>
      <w:r w:rsidR="00BE1F04">
        <w:t xml:space="preserve"> </w:t>
      </w:r>
      <w:r w:rsidR="00BA57FE">
        <w:t xml:space="preserve"> </w:t>
      </w:r>
      <w:r w:rsidR="00BE1F04">
        <w:t xml:space="preserve">Secondly, since governance distance </w:t>
      </w:r>
      <w:r w:rsidR="003C4AFA">
        <w:t xml:space="preserve">is a </w:t>
      </w:r>
      <w:r w:rsidR="00EE41C0">
        <w:t xml:space="preserve">new </w:t>
      </w:r>
      <w:r w:rsidR="003C4AFA">
        <w:t xml:space="preserve">composite variable </w:t>
      </w:r>
      <w:r w:rsidR="00BA57FE">
        <w:t xml:space="preserve">which </w:t>
      </w:r>
      <w:r w:rsidR="00EE41C0">
        <w:t xml:space="preserve">in my study </w:t>
      </w:r>
      <w:r w:rsidR="00BA57FE">
        <w:t>has opposite result with literature</w:t>
      </w:r>
      <w:r w:rsidR="00EE41C0">
        <w:t xml:space="preserve"> while </w:t>
      </w:r>
      <w:r w:rsidR="003C4AFA" w:rsidRPr="003C4AFA">
        <w:t>separate di</w:t>
      </w:r>
      <w:r w:rsidR="003C4AFA">
        <w:t xml:space="preserve">mensions </w:t>
      </w:r>
      <w:r w:rsidR="007152EC">
        <w:t>of it</w:t>
      </w:r>
      <w:r w:rsidR="003C4AFA">
        <w:t xml:space="preserve"> </w:t>
      </w:r>
      <w:r w:rsidR="004779F1">
        <w:t>ha</w:t>
      </w:r>
      <w:r w:rsidR="007152EC">
        <w:t>ve</w:t>
      </w:r>
      <w:r w:rsidR="004779F1">
        <w:t xml:space="preserve"> </w:t>
      </w:r>
      <w:r w:rsidR="00EE41C0">
        <w:t xml:space="preserve">long time </w:t>
      </w:r>
      <w:r w:rsidR="004779F1">
        <w:t xml:space="preserve">used </w:t>
      </w:r>
      <w:r w:rsidR="00BA57FE">
        <w:t xml:space="preserve">in prior studies </w:t>
      </w:r>
      <w:r w:rsidR="003C4AFA" w:rsidRPr="003C4AFA">
        <w:t>(Beamish, Pan, &amp; Xu, 2004; Demirbag, Glaister, &amp; Tatoglu, 2007)</w:t>
      </w:r>
      <w:r w:rsidR="00BA57FE">
        <w:t>, I would like to examine how separate dimensions of governance dista</w:t>
      </w:r>
      <w:r w:rsidR="00EE41C0">
        <w:t xml:space="preserve">nce affect entry mode selection in India, whether they have the same positive relationship with WOS like governance distance. </w:t>
      </w:r>
      <w:r w:rsidR="007152EC">
        <w:t xml:space="preserve">If they are, it could help to strengthen the result of governance distance; otherwise, it could also be interesting to figure out how composite variable’s effect and separate measures’ effect differ. </w:t>
      </w:r>
    </w:p>
    <w:p w:rsidR="000B74DD" w:rsidRPr="0045227F" w:rsidRDefault="000B74DD" w:rsidP="00EB2A9E"/>
    <w:p w:rsidR="008A7895" w:rsidRPr="007152EC" w:rsidRDefault="00EB2A9E" w:rsidP="00EB2A9E">
      <w:pPr>
        <w:pStyle w:val="Heading3"/>
        <w:rPr>
          <w:b w:val="0"/>
        </w:rPr>
      </w:pPr>
      <w:bookmarkStart w:id="107" w:name="_Toc489287963"/>
      <w:r w:rsidRPr="0045227F">
        <w:rPr>
          <w:rStyle w:val="Heading3Char"/>
          <w:b/>
        </w:rPr>
        <w:t>4.7.1.</w:t>
      </w:r>
      <w:r w:rsidRPr="0045227F">
        <w:t xml:space="preserve"> </w:t>
      </w:r>
      <w:r w:rsidR="002E3B04" w:rsidRPr="0045227F">
        <w:t>Sub-sample study</w:t>
      </w:r>
      <w:r w:rsidR="007A131B" w:rsidRPr="0045227F">
        <w:t xml:space="preserve"> (sector type)</w:t>
      </w:r>
      <w:bookmarkEnd w:id="107"/>
    </w:p>
    <w:p w:rsidR="00EB2A9E" w:rsidRPr="007152EC" w:rsidRDefault="00EB2A9E" w:rsidP="00EB2A9E"/>
    <w:p w:rsidR="002E3B04" w:rsidRDefault="002E3B04" w:rsidP="002E3B04">
      <w:pPr>
        <w:spacing w:line="360" w:lineRule="auto"/>
        <w:jc w:val="both"/>
        <w:rPr>
          <w:color w:val="000000" w:themeColor="text1"/>
        </w:rPr>
      </w:pPr>
      <w:r w:rsidRPr="0045227F">
        <w:t>Since transaction cost theory might influence service and manufacturing companies differently (Erramilli &amp; Rao, 1993; Murray &amp; Kotabe, 1999</w:t>
      </w:r>
      <w:r w:rsidR="00EF70E4" w:rsidRPr="0045227F">
        <w:t>; Brouthers &amp; Brouthers, 2003</w:t>
      </w:r>
      <w:r w:rsidR="00F67A08">
        <w:t xml:space="preserve">) in terms of entry choices, </w:t>
      </w:r>
      <w:r w:rsidRPr="0045227F">
        <w:rPr>
          <w:color w:val="000000" w:themeColor="text1"/>
        </w:rPr>
        <w:t>I decide to</w:t>
      </w:r>
      <w:r w:rsidRPr="0045227F">
        <w:t xml:space="preserve"> split the sample into two different sub-samples to study how manufacturing and servi</w:t>
      </w:r>
      <w:r w:rsidR="000E1AAE">
        <w:t xml:space="preserve">ce entry mode decisions differ. </w:t>
      </w:r>
      <w:r w:rsidR="00F67A08" w:rsidRPr="00F67A08">
        <w:t xml:space="preserve">Following </w:t>
      </w:r>
      <w:r w:rsidR="00D85606">
        <w:t>prior studies</w:t>
      </w:r>
      <w:r w:rsidR="00F67A08" w:rsidRPr="00F67A08">
        <w:t xml:space="preserve"> (e.g., Chari &amp; Chang, 2009</w:t>
      </w:r>
      <w:r w:rsidR="00D85606">
        <w:t>; Slangen &amp; Tulder, 2009; Contractor et al., 2014</w:t>
      </w:r>
      <w:r w:rsidR="00F67A08" w:rsidRPr="00F67A08">
        <w:t xml:space="preserve">), </w:t>
      </w:r>
      <w:r w:rsidR="00D85606">
        <w:t xml:space="preserve">SIC code is used to classified the industry sector. </w:t>
      </w:r>
      <w:r w:rsidR="003A6C6D">
        <w:t>The data is retrieved from Orbis. A</w:t>
      </w:r>
      <w:r w:rsidR="00D85606">
        <w:t>ll transactions which have</w:t>
      </w:r>
      <w:r w:rsidR="003A6C6D">
        <w:t xml:space="preserve"> the 4 digit US SIC </w:t>
      </w:r>
      <w:r w:rsidR="00D85606">
        <w:t xml:space="preserve">code ranging from 2000-3999 would be classified as manufacturing industry, otherwise, they could be </w:t>
      </w:r>
      <w:r w:rsidR="00D85606">
        <w:lastRenderedPageBreak/>
        <w:t>considered as</w:t>
      </w:r>
      <w:r w:rsidR="00F67A08" w:rsidRPr="00F67A08">
        <w:t xml:space="preserve"> service sector. Service sector transactions were coded as 1 while manufacturing sector transactions were coded as 0.</w:t>
      </w:r>
      <w:r w:rsidR="003A6C6D">
        <w:t xml:space="preserve"> </w:t>
      </w:r>
      <w:r w:rsidR="000E1AAE">
        <w:t>It</w:t>
      </w:r>
      <w:r w:rsidRPr="0045227F">
        <w:t xml:space="preserve"> results in </w:t>
      </w:r>
      <w:r w:rsidRPr="0045227F">
        <w:rPr>
          <w:color w:val="000000" w:themeColor="text1"/>
        </w:rPr>
        <w:t xml:space="preserve">505 </w:t>
      </w:r>
      <w:r w:rsidR="008029A5" w:rsidRPr="0045227F">
        <w:rPr>
          <w:color w:val="000000" w:themeColor="text1"/>
        </w:rPr>
        <w:t>services</w:t>
      </w:r>
      <w:r w:rsidRPr="0045227F">
        <w:rPr>
          <w:color w:val="000000" w:themeColor="text1"/>
        </w:rPr>
        <w:t xml:space="preserve"> companies</w:t>
      </w:r>
      <w:r w:rsidR="003F64B6" w:rsidRPr="0045227F">
        <w:rPr>
          <w:color w:val="000000" w:themeColor="text1"/>
        </w:rPr>
        <w:t xml:space="preserve"> </w:t>
      </w:r>
      <w:r w:rsidRPr="0045227F">
        <w:rPr>
          <w:color w:val="000000" w:themeColor="text1"/>
        </w:rPr>
        <w:t>and 264 manufacturing companies with their respective regression results presented as below:</w:t>
      </w:r>
    </w:p>
    <w:p w:rsidR="004279BA" w:rsidRPr="0045227F" w:rsidRDefault="004279BA" w:rsidP="002E3B04">
      <w:pPr>
        <w:spacing w:line="360" w:lineRule="auto"/>
        <w:jc w:val="both"/>
        <w:rPr>
          <w:color w:val="000000" w:themeColor="text1"/>
        </w:rPr>
      </w:pPr>
    </w:p>
    <w:tbl>
      <w:tblPr>
        <w:tblW w:w="8636" w:type="dxa"/>
        <w:jc w:val="center"/>
        <w:tblLook w:val="04A0" w:firstRow="1" w:lastRow="0" w:firstColumn="1" w:lastColumn="0" w:noHBand="0" w:noVBand="1"/>
      </w:tblPr>
      <w:tblGrid>
        <w:gridCol w:w="2248"/>
        <w:gridCol w:w="3784"/>
        <w:gridCol w:w="2604"/>
      </w:tblGrid>
      <w:tr w:rsidR="00F736C5" w:rsidRPr="0045227F" w:rsidTr="001B5A81">
        <w:trPr>
          <w:trHeight w:val="392"/>
          <w:jc w:val="center"/>
        </w:trPr>
        <w:tc>
          <w:tcPr>
            <w:tcW w:w="2248" w:type="dxa"/>
            <w:tcBorders>
              <w:top w:val="single" w:sz="4" w:space="0" w:color="auto"/>
              <w:left w:val="nil"/>
              <w:bottom w:val="single" w:sz="4" w:space="0" w:color="auto"/>
              <w:right w:val="single" w:sz="4" w:space="0" w:color="auto"/>
            </w:tcBorders>
            <w:shd w:val="clear" w:color="auto" w:fill="auto"/>
            <w:noWrap/>
            <w:vAlign w:val="bottom"/>
            <w:hideMark/>
          </w:tcPr>
          <w:p w:rsidR="00F736C5" w:rsidRPr="0045227F" w:rsidRDefault="00F736C5" w:rsidP="00F736C5">
            <w:pPr>
              <w:rPr>
                <w:color w:val="000000"/>
              </w:rPr>
            </w:pPr>
            <w:r w:rsidRPr="0045227F">
              <w:rPr>
                <w:color w:val="000000"/>
              </w:rPr>
              <w:t>Variable</w:t>
            </w:r>
          </w:p>
        </w:tc>
        <w:tc>
          <w:tcPr>
            <w:tcW w:w="3784" w:type="dxa"/>
            <w:tcBorders>
              <w:top w:val="single" w:sz="4" w:space="0" w:color="auto"/>
              <w:left w:val="nil"/>
              <w:bottom w:val="single" w:sz="4" w:space="0" w:color="auto"/>
              <w:right w:val="nil"/>
            </w:tcBorders>
            <w:shd w:val="clear" w:color="auto" w:fill="auto"/>
            <w:noWrap/>
            <w:vAlign w:val="bottom"/>
            <w:hideMark/>
          </w:tcPr>
          <w:p w:rsidR="00F736C5" w:rsidRPr="0045227F" w:rsidRDefault="00F736C5" w:rsidP="00B73491">
            <w:pPr>
              <w:rPr>
                <w:color w:val="000000"/>
              </w:rPr>
            </w:pPr>
            <w:r w:rsidRPr="0045227F">
              <w:rPr>
                <w:color w:val="000000"/>
              </w:rPr>
              <w:t>MANUFACTURING</w:t>
            </w:r>
            <w:r w:rsidR="00B73491" w:rsidRPr="0045227F">
              <w:rPr>
                <w:color w:val="000000"/>
              </w:rPr>
              <w:t xml:space="preserve"> MODEL</w:t>
            </w:r>
          </w:p>
        </w:tc>
        <w:tc>
          <w:tcPr>
            <w:tcW w:w="2604" w:type="dxa"/>
            <w:tcBorders>
              <w:top w:val="single" w:sz="4" w:space="0" w:color="auto"/>
              <w:left w:val="nil"/>
              <w:bottom w:val="single" w:sz="4" w:space="0" w:color="auto"/>
              <w:right w:val="nil"/>
            </w:tcBorders>
            <w:shd w:val="clear" w:color="auto" w:fill="auto"/>
            <w:noWrap/>
            <w:vAlign w:val="bottom"/>
            <w:hideMark/>
          </w:tcPr>
          <w:p w:rsidR="00F736C5" w:rsidRPr="0045227F" w:rsidRDefault="00B73491" w:rsidP="00F736C5">
            <w:pPr>
              <w:rPr>
                <w:color w:val="000000"/>
              </w:rPr>
            </w:pPr>
            <w:r w:rsidRPr="0045227F">
              <w:rPr>
                <w:color w:val="000000"/>
              </w:rPr>
              <w:t>SERVICES  MODEL</w:t>
            </w:r>
            <w:r w:rsidR="00F736C5" w:rsidRPr="0045227F">
              <w:rPr>
                <w:color w:val="000000"/>
              </w:rPr>
              <w:t xml:space="preserve">  </w:t>
            </w:r>
          </w:p>
        </w:tc>
      </w:tr>
      <w:tr w:rsidR="00F736C5" w:rsidRPr="0045227F" w:rsidTr="001B5A81">
        <w:trPr>
          <w:trHeight w:val="392"/>
          <w:jc w:val="center"/>
        </w:trPr>
        <w:tc>
          <w:tcPr>
            <w:tcW w:w="2248" w:type="dxa"/>
            <w:tcBorders>
              <w:top w:val="nil"/>
              <w:left w:val="nil"/>
              <w:bottom w:val="nil"/>
              <w:right w:val="single" w:sz="4" w:space="0" w:color="auto"/>
            </w:tcBorders>
            <w:shd w:val="clear" w:color="auto" w:fill="auto"/>
            <w:noWrap/>
            <w:vAlign w:val="bottom"/>
            <w:hideMark/>
          </w:tcPr>
          <w:p w:rsidR="00F736C5" w:rsidRPr="0045227F" w:rsidRDefault="001B5A81" w:rsidP="00F736C5">
            <w:pPr>
              <w:rPr>
                <w:color w:val="000000"/>
              </w:rPr>
            </w:pPr>
            <w:r w:rsidRPr="0045227F">
              <w:rPr>
                <w:color w:val="000000"/>
              </w:rPr>
              <w:t>Economic distance</w:t>
            </w:r>
          </w:p>
        </w:tc>
        <w:tc>
          <w:tcPr>
            <w:tcW w:w="3784" w:type="dxa"/>
            <w:tcBorders>
              <w:top w:val="nil"/>
              <w:left w:val="nil"/>
              <w:bottom w:val="nil"/>
              <w:right w:val="nil"/>
            </w:tcBorders>
            <w:shd w:val="clear" w:color="auto" w:fill="auto"/>
            <w:noWrap/>
            <w:vAlign w:val="bottom"/>
            <w:hideMark/>
          </w:tcPr>
          <w:p w:rsidR="00F736C5" w:rsidRPr="0045227F" w:rsidRDefault="00F736C5" w:rsidP="00F736C5">
            <w:pPr>
              <w:rPr>
                <w:color w:val="000000"/>
              </w:rPr>
            </w:pPr>
            <w:r w:rsidRPr="0045227F">
              <w:rPr>
                <w:color w:val="000000"/>
              </w:rPr>
              <w:t>-0.75391967</w:t>
            </w:r>
            <w:r w:rsidR="00B73491" w:rsidRPr="0045227F">
              <w:rPr>
                <w:color w:val="000000"/>
              </w:rPr>
              <w:t>**</w:t>
            </w:r>
          </w:p>
        </w:tc>
        <w:tc>
          <w:tcPr>
            <w:tcW w:w="2604" w:type="dxa"/>
            <w:tcBorders>
              <w:top w:val="nil"/>
              <w:left w:val="nil"/>
              <w:bottom w:val="nil"/>
              <w:right w:val="nil"/>
            </w:tcBorders>
            <w:shd w:val="clear" w:color="auto" w:fill="auto"/>
            <w:noWrap/>
            <w:vAlign w:val="bottom"/>
            <w:hideMark/>
          </w:tcPr>
          <w:p w:rsidR="00F736C5" w:rsidRPr="0045227F" w:rsidRDefault="00F736C5" w:rsidP="00F736C5">
            <w:pPr>
              <w:rPr>
                <w:color w:val="000000"/>
              </w:rPr>
            </w:pPr>
            <w:r w:rsidRPr="0045227F">
              <w:rPr>
                <w:color w:val="000000"/>
              </w:rPr>
              <w:t>-0.2110963</w:t>
            </w:r>
          </w:p>
        </w:tc>
      </w:tr>
      <w:tr w:rsidR="00F736C5" w:rsidRPr="0045227F" w:rsidTr="001B5A81">
        <w:trPr>
          <w:trHeight w:val="392"/>
          <w:jc w:val="center"/>
        </w:trPr>
        <w:tc>
          <w:tcPr>
            <w:tcW w:w="2248" w:type="dxa"/>
            <w:tcBorders>
              <w:top w:val="nil"/>
              <w:left w:val="nil"/>
              <w:bottom w:val="nil"/>
              <w:right w:val="single" w:sz="4" w:space="0" w:color="auto"/>
            </w:tcBorders>
            <w:shd w:val="clear" w:color="auto" w:fill="auto"/>
            <w:noWrap/>
            <w:vAlign w:val="bottom"/>
            <w:hideMark/>
          </w:tcPr>
          <w:p w:rsidR="00F736C5" w:rsidRPr="0045227F" w:rsidRDefault="001B5A81" w:rsidP="00F736C5">
            <w:pPr>
              <w:rPr>
                <w:color w:val="000000"/>
              </w:rPr>
            </w:pPr>
            <w:r w:rsidRPr="0045227F">
              <w:rPr>
                <w:color w:val="000000"/>
              </w:rPr>
              <w:t>Geographic distance</w:t>
            </w:r>
          </w:p>
        </w:tc>
        <w:tc>
          <w:tcPr>
            <w:tcW w:w="3784" w:type="dxa"/>
            <w:tcBorders>
              <w:top w:val="nil"/>
              <w:left w:val="nil"/>
              <w:bottom w:val="nil"/>
              <w:right w:val="nil"/>
            </w:tcBorders>
            <w:shd w:val="clear" w:color="auto" w:fill="auto"/>
            <w:noWrap/>
            <w:vAlign w:val="bottom"/>
            <w:hideMark/>
          </w:tcPr>
          <w:p w:rsidR="00F736C5" w:rsidRPr="0045227F" w:rsidRDefault="00F736C5" w:rsidP="00F736C5">
            <w:pPr>
              <w:rPr>
                <w:color w:val="000000"/>
              </w:rPr>
            </w:pPr>
            <w:r w:rsidRPr="0045227F">
              <w:rPr>
                <w:color w:val="000000"/>
              </w:rPr>
              <w:t>0.79379933*</w:t>
            </w:r>
          </w:p>
        </w:tc>
        <w:tc>
          <w:tcPr>
            <w:tcW w:w="2604" w:type="dxa"/>
            <w:tcBorders>
              <w:top w:val="nil"/>
              <w:left w:val="nil"/>
              <w:bottom w:val="nil"/>
              <w:right w:val="nil"/>
            </w:tcBorders>
            <w:shd w:val="clear" w:color="auto" w:fill="auto"/>
            <w:noWrap/>
            <w:vAlign w:val="bottom"/>
            <w:hideMark/>
          </w:tcPr>
          <w:p w:rsidR="00F736C5" w:rsidRPr="0045227F" w:rsidRDefault="00F736C5" w:rsidP="00F736C5">
            <w:pPr>
              <w:rPr>
                <w:color w:val="000000"/>
              </w:rPr>
            </w:pPr>
            <w:r w:rsidRPr="0045227F">
              <w:rPr>
                <w:color w:val="000000"/>
              </w:rPr>
              <w:t xml:space="preserve">1.1966505***  </w:t>
            </w:r>
          </w:p>
        </w:tc>
      </w:tr>
      <w:tr w:rsidR="00F736C5" w:rsidRPr="0045227F" w:rsidTr="001B5A81">
        <w:trPr>
          <w:trHeight w:val="392"/>
          <w:jc w:val="center"/>
        </w:trPr>
        <w:tc>
          <w:tcPr>
            <w:tcW w:w="2248" w:type="dxa"/>
            <w:tcBorders>
              <w:top w:val="nil"/>
              <w:left w:val="nil"/>
              <w:bottom w:val="nil"/>
              <w:right w:val="single" w:sz="4" w:space="0" w:color="auto"/>
            </w:tcBorders>
            <w:shd w:val="clear" w:color="auto" w:fill="auto"/>
            <w:noWrap/>
            <w:vAlign w:val="bottom"/>
            <w:hideMark/>
          </w:tcPr>
          <w:p w:rsidR="00F736C5" w:rsidRPr="0045227F" w:rsidRDefault="001B5A81" w:rsidP="00F736C5">
            <w:pPr>
              <w:rPr>
                <w:color w:val="000000"/>
              </w:rPr>
            </w:pPr>
            <w:r w:rsidRPr="0045227F">
              <w:rPr>
                <w:color w:val="000000"/>
              </w:rPr>
              <w:t>Cultural distance</w:t>
            </w:r>
          </w:p>
        </w:tc>
        <w:tc>
          <w:tcPr>
            <w:tcW w:w="3784" w:type="dxa"/>
            <w:tcBorders>
              <w:top w:val="nil"/>
              <w:left w:val="nil"/>
              <w:bottom w:val="nil"/>
              <w:right w:val="nil"/>
            </w:tcBorders>
            <w:shd w:val="clear" w:color="auto" w:fill="auto"/>
            <w:noWrap/>
            <w:vAlign w:val="bottom"/>
            <w:hideMark/>
          </w:tcPr>
          <w:p w:rsidR="00F736C5" w:rsidRPr="0045227F" w:rsidRDefault="00F736C5" w:rsidP="00F736C5">
            <w:pPr>
              <w:rPr>
                <w:color w:val="000000"/>
              </w:rPr>
            </w:pPr>
            <w:r w:rsidRPr="0045227F">
              <w:rPr>
                <w:color w:val="000000"/>
              </w:rPr>
              <w:t>-0.33005847</w:t>
            </w:r>
          </w:p>
        </w:tc>
        <w:tc>
          <w:tcPr>
            <w:tcW w:w="2604" w:type="dxa"/>
            <w:tcBorders>
              <w:top w:val="nil"/>
              <w:left w:val="nil"/>
              <w:bottom w:val="nil"/>
              <w:right w:val="nil"/>
            </w:tcBorders>
            <w:shd w:val="clear" w:color="auto" w:fill="auto"/>
            <w:noWrap/>
            <w:vAlign w:val="bottom"/>
            <w:hideMark/>
          </w:tcPr>
          <w:p w:rsidR="00F736C5" w:rsidRPr="0045227F" w:rsidRDefault="00F736C5" w:rsidP="00F736C5">
            <w:pPr>
              <w:rPr>
                <w:color w:val="000000"/>
              </w:rPr>
            </w:pPr>
            <w:r w:rsidRPr="0045227F">
              <w:rPr>
                <w:color w:val="000000"/>
              </w:rPr>
              <w:t>-0.91556684</w:t>
            </w:r>
            <w:r w:rsidR="00B73491" w:rsidRPr="0045227F">
              <w:rPr>
                <w:color w:val="000000"/>
              </w:rPr>
              <w:t>***</w:t>
            </w:r>
          </w:p>
        </w:tc>
      </w:tr>
      <w:tr w:rsidR="00F736C5" w:rsidRPr="0045227F" w:rsidTr="001B5A81">
        <w:trPr>
          <w:trHeight w:val="392"/>
          <w:jc w:val="center"/>
        </w:trPr>
        <w:tc>
          <w:tcPr>
            <w:tcW w:w="2248" w:type="dxa"/>
            <w:tcBorders>
              <w:top w:val="nil"/>
              <w:left w:val="nil"/>
              <w:bottom w:val="nil"/>
              <w:right w:val="single" w:sz="4" w:space="0" w:color="auto"/>
            </w:tcBorders>
            <w:shd w:val="clear" w:color="auto" w:fill="auto"/>
            <w:noWrap/>
            <w:vAlign w:val="bottom"/>
            <w:hideMark/>
          </w:tcPr>
          <w:p w:rsidR="00F736C5" w:rsidRPr="0045227F" w:rsidRDefault="001B5A81" w:rsidP="00F736C5">
            <w:pPr>
              <w:rPr>
                <w:color w:val="000000"/>
              </w:rPr>
            </w:pPr>
            <w:r w:rsidRPr="0045227F">
              <w:rPr>
                <w:color w:val="000000"/>
              </w:rPr>
              <w:t>Governance distance</w:t>
            </w:r>
          </w:p>
        </w:tc>
        <w:tc>
          <w:tcPr>
            <w:tcW w:w="3784" w:type="dxa"/>
            <w:tcBorders>
              <w:top w:val="nil"/>
              <w:left w:val="nil"/>
              <w:bottom w:val="nil"/>
              <w:right w:val="nil"/>
            </w:tcBorders>
            <w:shd w:val="clear" w:color="auto" w:fill="auto"/>
            <w:noWrap/>
            <w:vAlign w:val="bottom"/>
            <w:hideMark/>
          </w:tcPr>
          <w:p w:rsidR="00F736C5" w:rsidRPr="0045227F" w:rsidRDefault="00F736C5" w:rsidP="00F736C5">
            <w:pPr>
              <w:rPr>
                <w:color w:val="000000"/>
              </w:rPr>
            </w:pPr>
            <w:r w:rsidRPr="0045227F">
              <w:rPr>
                <w:color w:val="000000"/>
              </w:rPr>
              <w:t>0.70495254***</w:t>
            </w:r>
          </w:p>
        </w:tc>
        <w:tc>
          <w:tcPr>
            <w:tcW w:w="2604" w:type="dxa"/>
            <w:tcBorders>
              <w:top w:val="nil"/>
              <w:left w:val="nil"/>
              <w:bottom w:val="nil"/>
              <w:right w:val="nil"/>
            </w:tcBorders>
            <w:shd w:val="clear" w:color="auto" w:fill="auto"/>
            <w:noWrap/>
            <w:vAlign w:val="bottom"/>
            <w:hideMark/>
          </w:tcPr>
          <w:p w:rsidR="00F736C5" w:rsidRPr="0045227F" w:rsidRDefault="00F736C5" w:rsidP="00F736C5">
            <w:pPr>
              <w:rPr>
                <w:color w:val="000000"/>
              </w:rPr>
            </w:pPr>
            <w:r w:rsidRPr="0045227F">
              <w:rPr>
                <w:color w:val="000000"/>
              </w:rPr>
              <w:t xml:space="preserve">0.2737631**   </w:t>
            </w:r>
          </w:p>
        </w:tc>
      </w:tr>
      <w:tr w:rsidR="00F736C5" w:rsidRPr="0045227F" w:rsidTr="001B5A81">
        <w:trPr>
          <w:trHeight w:val="392"/>
          <w:jc w:val="center"/>
        </w:trPr>
        <w:tc>
          <w:tcPr>
            <w:tcW w:w="2248" w:type="dxa"/>
            <w:tcBorders>
              <w:top w:val="nil"/>
              <w:left w:val="nil"/>
              <w:bottom w:val="nil"/>
              <w:right w:val="single" w:sz="4" w:space="0" w:color="auto"/>
            </w:tcBorders>
            <w:shd w:val="clear" w:color="auto" w:fill="auto"/>
            <w:noWrap/>
            <w:vAlign w:val="bottom"/>
            <w:hideMark/>
          </w:tcPr>
          <w:p w:rsidR="00F736C5" w:rsidRPr="0045227F" w:rsidRDefault="001B5A81" w:rsidP="00F736C5">
            <w:pPr>
              <w:rPr>
                <w:color w:val="000000"/>
              </w:rPr>
            </w:pPr>
            <w:r w:rsidRPr="0045227F">
              <w:rPr>
                <w:color w:val="000000"/>
              </w:rPr>
              <w:t>India experience</w:t>
            </w:r>
          </w:p>
        </w:tc>
        <w:tc>
          <w:tcPr>
            <w:tcW w:w="3784" w:type="dxa"/>
            <w:tcBorders>
              <w:top w:val="nil"/>
              <w:left w:val="nil"/>
              <w:bottom w:val="nil"/>
              <w:right w:val="nil"/>
            </w:tcBorders>
            <w:shd w:val="clear" w:color="auto" w:fill="auto"/>
            <w:noWrap/>
            <w:vAlign w:val="bottom"/>
            <w:hideMark/>
          </w:tcPr>
          <w:p w:rsidR="00F736C5" w:rsidRPr="0045227F" w:rsidRDefault="00F736C5" w:rsidP="00F736C5">
            <w:pPr>
              <w:rPr>
                <w:color w:val="000000"/>
              </w:rPr>
            </w:pPr>
            <w:r w:rsidRPr="0045227F">
              <w:rPr>
                <w:color w:val="000000"/>
              </w:rPr>
              <w:t>2.4194546**</w:t>
            </w:r>
          </w:p>
        </w:tc>
        <w:tc>
          <w:tcPr>
            <w:tcW w:w="2604" w:type="dxa"/>
            <w:tcBorders>
              <w:top w:val="nil"/>
              <w:left w:val="nil"/>
              <w:bottom w:val="nil"/>
              <w:right w:val="nil"/>
            </w:tcBorders>
            <w:shd w:val="clear" w:color="auto" w:fill="auto"/>
            <w:noWrap/>
            <w:vAlign w:val="bottom"/>
            <w:hideMark/>
          </w:tcPr>
          <w:p w:rsidR="00F736C5" w:rsidRPr="0045227F" w:rsidRDefault="00F736C5" w:rsidP="00F736C5">
            <w:pPr>
              <w:rPr>
                <w:color w:val="000000"/>
              </w:rPr>
            </w:pPr>
            <w:r w:rsidRPr="0045227F">
              <w:rPr>
                <w:color w:val="000000"/>
              </w:rPr>
              <w:t>0.28495319</w:t>
            </w:r>
          </w:p>
        </w:tc>
      </w:tr>
      <w:tr w:rsidR="00F736C5" w:rsidRPr="0045227F" w:rsidTr="001B5A81">
        <w:trPr>
          <w:trHeight w:val="392"/>
          <w:jc w:val="center"/>
        </w:trPr>
        <w:tc>
          <w:tcPr>
            <w:tcW w:w="2248" w:type="dxa"/>
            <w:tcBorders>
              <w:top w:val="nil"/>
              <w:left w:val="nil"/>
              <w:bottom w:val="nil"/>
              <w:right w:val="single" w:sz="4" w:space="0" w:color="auto"/>
            </w:tcBorders>
            <w:shd w:val="clear" w:color="auto" w:fill="auto"/>
            <w:noWrap/>
            <w:vAlign w:val="bottom"/>
            <w:hideMark/>
          </w:tcPr>
          <w:p w:rsidR="00F736C5" w:rsidRPr="0045227F" w:rsidRDefault="001B5A81" w:rsidP="00F736C5">
            <w:pPr>
              <w:rPr>
                <w:color w:val="000000"/>
              </w:rPr>
            </w:pPr>
            <w:r w:rsidRPr="0045227F">
              <w:rPr>
                <w:color w:val="000000"/>
              </w:rPr>
              <w:t>Firm size</w:t>
            </w:r>
          </w:p>
        </w:tc>
        <w:tc>
          <w:tcPr>
            <w:tcW w:w="3784" w:type="dxa"/>
            <w:tcBorders>
              <w:top w:val="nil"/>
              <w:left w:val="nil"/>
              <w:bottom w:val="nil"/>
              <w:right w:val="nil"/>
            </w:tcBorders>
            <w:shd w:val="clear" w:color="auto" w:fill="auto"/>
            <w:noWrap/>
            <w:vAlign w:val="bottom"/>
            <w:hideMark/>
          </w:tcPr>
          <w:p w:rsidR="00F736C5" w:rsidRPr="0045227F" w:rsidRDefault="00F736C5" w:rsidP="00F736C5">
            <w:pPr>
              <w:rPr>
                <w:color w:val="000000"/>
              </w:rPr>
            </w:pPr>
            <w:r w:rsidRPr="0045227F">
              <w:rPr>
                <w:color w:val="000000"/>
              </w:rPr>
              <w:t>-0.63694246</w:t>
            </w:r>
            <w:r w:rsidR="00B73491" w:rsidRPr="0045227F">
              <w:rPr>
                <w:color w:val="000000"/>
              </w:rPr>
              <w:t>*</w:t>
            </w:r>
          </w:p>
        </w:tc>
        <w:tc>
          <w:tcPr>
            <w:tcW w:w="2604" w:type="dxa"/>
            <w:tcBorders>
              <w:top w:val="nil"/>
              <w:left w:val="nil"/>
              <w:bottom w:val="nil"/>
              <w:right w:val="nil"/>
            </w:tcBorders>
            <w:shd w:val="clear" w:color="auto" w:fill="auto"/>
            <w:noWrap/>
            <w:vAlign w:val="bottom"/>
            <w:hideMark/>
          </w:tcPr>
          <w:p w:rsidR="00F736C5" w:rsidRPr="0045227F" w:rsidRDefault="00F736C5" w:rsidP="00F736C5">
            <w:pPr>
              <w:rPr>
                <w:color w:val="000000"/>
              </w:rPr>
            </w:pPr>
            <w:r w:rsidRPr="0045227F">
              <w:rPr>
                <w:color w:val="000000"/>
              </w:rPr>
              <w:t>0.07082579</w:t>
            </w:r>
          </w:p>
        </w:tc>
      </w:tr>
      <w:tr w:rsidR="00F736C5" w:rsidRPr="0045227F" w:rsidTr="001B5A81">
        <w:trPr>
          <w:trHeight w:val="392"/>
          <w:jc w:val="center"/>
        </w:trPr>
        <w:tc>
          <w:tcPr>
            <w:tcW w:w="2248" w:type="dxa"/>
            <w:tcBorders>
              <w:top w:val="nil"/>
              <w:left w:val="nil"/>
              <w:bottom w:val="nil"/>
              <w:right w:val="single" w:sz="4" w:space="0" w:color="auto"/>
            </w:tcBorders>
            <w:shd w:val="clear" w:color="auto" w:fill="auto"/>
            <w:noWrap/>
            <w:vAlign w:val="bottom"/>
            <w:hideMark/>
          </w:tcPr>
          <w:p w:rsidR="00F736C5" w:rsidRPr="0045227F" w:rsidRDefault="001B5A81" w:rsidP="00F736C5">
            <w:pPr>
              <w:rPr>
                <w:color w:val="000000"/>
              </w:rPr>
            </w:pPr>
            <w:r w:rsidRPr="0045227F">
              <w:rPr>
                <w:color w:val="000000"/>
              </w:rPr>
              <w:t>Rule of law</w:t>
            </w:r>
          </w:p>
        </w:tc>
        <w:tc>
          <w:tcPr>
            <w:tcW w:w="3784" w:type="dxa"/>
            <w:tcBorders>
              <w:top w:val="nil"/>
              <w:left w:val="nil"/>
              <w:bottom w:val="nil"/>
              <w:right w:val="nil"/>
            </w:tcBorders>
            <w:shd w:val="clear" w:color="auto" w:fill="auto"/>
            <w:noWrap/>
            <w:vAlign w:val="bottom"/>
            <w:hideMark/>
          </w:tcPr>
          <w:p w:rsidR="00F736C5" w:rsidRPr="0045227F" w:rsidRDefault="00F736C5" w:rsidP="00F736C5">
            <w:pPr>
              <w:rPr>
                <w:color w:val="000000"/>
              </w:rPr>
            </w:pPr>
            <w:r w:rsidRPr="0045227F">
              <w:rPr>
                <w:color w:val="000000"/>
              </w:rPr>
              <w:t>0.17582319</w:t>
            </w:r>
          </w:p>
        </w:tc>
        <w:tc>
          <w:tcPr>
            <w:tcW w:w="2604" w:type="dxa"/>
            <w:tcBorders>
              <w:top w:val="nil"/>
              <w:left w:val="nil"/>
              <w:bottom w:val="nil"/>
              <w:right w:val="nil"/>
            </w:tcBorders>
            <w:shd w:val="clear" w:color="auto" w:fill="auto"/>
            <w:noWrap/>
            <w:vAlign w:val="bottom"/>
            <w:hideMark/>
          </w:tcPr>
          <w:p w:rsidR="00F736C5" w:rsidRPr="0045227F" w:rsidRDefault="00F736C5" w:rsidP="00F736C5">
            <w:pPr>
              <w:rPr>
                <w:color w:val="000000"/>
              </w:rPr>
            </w:pPr>
            <w:r w:rsidRPr="0045227F">
              <w:rPr>
                <w:color w:val="000000"/>
              </w:rPr>
              <w:t>0.25761367</w:t>
            </w:r>
          </w:p>
        </w:tc>
      </w:tr>
      <w:tr w:rsidR="00F736C5" w:rsidRPr="0045227F" w:rsidTr="001B5A81">
        <w:trPr>
          <w:trHeight w:val="392"/>
          <w:jc w:val="center"/>
        </w:trPr>
        <w:tc>
          <w:tcPr>
            <w:tcW w:w="2248" w:type="dxa"/>
            <w:tcBorders>
              <w:top w:val="nil"/>
              <w:left w:val="nil"/>
              <w:bottom w:val="nil"/>
              <w:right w:val="single" w:sz="4" w:space="0" w:color="auto"/>
            </w:tcBorders>
            <w:shd w:val="clear" w:color="auto" w:fill="auto"/>
            <w:noWrap/>
            <w:vAlign w:val="bottom"/>
            <w:hideMark/>
          </w:tcPr>
          <w:p w:rsidR="00F736C5" w:rsidRPr="0045227F" w:rsidRDefault="001B5A81" w:rsidP="00F736C5">
            <w:pPr>
              <w:rPr>
                <w:color w:val="000000"/>
              </w:rPr>
            </w:pPr>
            <w:r w:rsidRPr="0045227F">
              <w:rPr>
                <w:color w:val="000000"/>
              </w:rPr>
              <w:t>Political risk</w:t>
            </w:r>
          </w:p>
        </w:tc>
        <w:tc>
          <w:tcPr>
            <w:tcW w:w="3784" w:type="dxa"/>
            <w:tcBorders>
              <w:top w:val="nil"/>
              <w:left w:val="nil"/>
              <w:bottom w:val="nil"/>
              <w:right w:val="nil"/>
            </w:tcBorders>
            <w:shd w:val="clear" w:color="auto" w:fill="auto"/>
            <w:noWrap/>
            <w:vAlign w:val="bottom"/>
            <w:hideMark/>
          </w:tcPr>
          <w:p w:rsidR="00F736C5" w:rsidRPr="0045227F" w:rsidRDefault="00F736C5" w:rsidP="00F736C5">
            <w:pPr>
              <w:rPr>
                <w:color w:val="000000"/>
              </w:rPr>
            </w:pPr>
            <w:r w:rsidRPr="0045227F">
              <w:rPr>
                <w:color w:val="000000"/>
              </w:rPr>
              <w:t>-0.17542917</w:t>
            </w:r>
          </w:p>
        </w:tc>
        <w:tc>
          <w:tcPr>
            <w:tcW w:w="2604" w:type="dxa"/>
            <w:tcBorders>
              <w:top w:val="nil"/>
              <w:left w:val="nil"/>
              <w:bottom w:val="nil"/>
              <w:right w:val="nil"/>
            </w:tcBorders>
            <w:shd w:val="clear" w:color="auto" w:fill="auto"/>
            <w:noWrap/>
            <w:vAlign w:val="bottom"/>
            <w:hideMark/>
          </w:tcPr>
          <w:p w:rsidR="00F736C5" w:rsidRPr="0045227F" w:rsidRDefault="00F736C5" w:rsidP="00F736C5">
            <w:pPr>
              <w:rPr>
                <w:color w:val="000000"/>
              </w:rPr>
            </w:pPr>
            <w:r w:rsidRPr="0045227F">
              <w:rPr>
                <w:color w:val="000000"/>
              </w:rPr>
              <w:t>0.09876923</w:t>
            </w:r>
          </w:p>
        </w:tc>
      </w:tr>
      <w:tr w:rsidR="00F736C5" w:rsidRPr="0045227F" w:rsidTr="001B5A81">
        <w:trPr>
          <w:trHeight w:val="392"/>
          <w:jc w:val="center"/>
        </w:trPr>
        <w:tc>
          <w:tcPr>
            <w:tcW w:w="2248" w:type="dxa"/>
            <w:tcBorders>
              <w:top w:val="nil"/>
              <w:left w:val="nil"/>
              <w:bottom w:val="nil"/>
              <w:right w:val="single" w:sz="4" w:space="0" w:color="auto"/>
            </w:tcBorders>
            <w:shd w:val="clear" w:color="auto" w:fill="auto"/>
            <w:noWrap/>
            <w:vAlign w:val="bottom"/>
            <w:hideMark/>
          </w:tcPr>
          <w:p w:rsidR="00F736C5" w:rsidRPr="0045227F" w:rsidRDefault="001B5A81" w:rsidP="001B5A81">
            <w:pPr>
              <w:rPr>
                <w:color w:val="000000"/>
              </w:rPr>
            </w:pPr>
            <w:r w:rsidRPr="0045227F">
              <w:rPr>
                <w:color w:val="000000"/>
              </w:rPr>
              <w:t>Year</w:t>
            </w:r>
          </w:p>
        </w:tc>
        <w:tc>
          <w:tcPr>
            <w:tcW w:w="3784" w:type="dxa"/>
            <w:tcBorders>
              <w:top w:val="nil"/>
              <w:left w:val="nil"/>
              <w:bottom w:val="nil"/>
              <w:right w:val="nil"/>
            </w:tcBorders>
            <w:shd w:val="clear" w:color="auto" w:fill="auto"/>
            <w:noWrap/>
            <w:vAlign w:val="bottom"/>
            <w:hideMark/>
          </w:tcPr>
          <w:p w:rsidR="00F736C5" w:rsidRPr="0045227F" w:rsidRDefault="00F736C5" w:rsidP="00F736C5">
            <w:pPr>
              <w:rPr>
                <w:color w:val="000000"/>
              </w:rPr>
            </w:pPr>
            <w:r w:rsidRPr="0045227F">
              <w:rPr>
                <w:color w:val="000000"/>
              </w:rPr>
              <w:t>0.0492119</w:t>
            </w:r>
          </w:p>
        </w:tc>
        <w:tc>
          <w:tcPr>
            <w:tcW w:w="2604" w:type="dxa"/>
            <w:tcBorders>
              <w:top w:val="nil"/>
              <w:left w:val="nil"/>
              <w:bottom w:val="nil"/>
              <w:right w:val="nil"/>
            </w:tcBorders>
            <w:shd w:val="clear" w:color="auto" w:fill="auto"/>
            <w:noWrap/>
            <w:vAlign w:val="bottom"/>
            <w:hideMark/>
          </w:tcPr>
          <w:p w:rsidR="00F736C5" w:rsidRPr="0045227F" w:rsidRDefault="00F736C5" w:rsidP="00F736C5">
            <w:pPr>
              <w:rPr>
                <w:color w:val="000000"/>
              </w:rPr>
            </w:pPr>
            <w:r w:rsidRPr="0045227F">
              <w:rPr>
                <w:color w:val="000000"/>
              </w:rPr>
              <w:t xml:space="preserve">.10939883***  </w:t>
            </w:r>
          </w:p>
        </w:tc>
      </w:tr>
      <w:tr w:rsidR="00F736C5" w:rsidRPr="0045227F" w:rsidTr="001B5A81">
        <w:trPr>
          <w:trHeight w:val="392"/>
          <w:jc w:val="center"/>
        </w:trPr>
        <w:tc>
          <w:tcPr>
            <w:tcW w:w="2248" w:type="dxa"/>
            <w:tcBorders>
              <w:top w:val="nil"/>
              <w:left w:val="nil"/>
              <w:bottom w:val="single" w:sz="4" w:space="0" w:color="auto"/>
              <w:right w:val="single" w:sz="4" w:space="0" w:color="auto"/>
            </w:tcBorders>
            <w:shd w:val="clear" w:color="auto" w:fill="auto"/>
            <w:noWrap/>
            <w:vAlign w:val="bottom"/>
            <w:hideMark/>
          </w:tcPr>
          <w:p w:rsidR="00F736C5" w:rsidRPr="0045227F" w:rsidRDefault="00F736C5" w:rsidP="00F736C5">
            <w:pPr>
              <w:rPr>
                <w:color w:val="000000"/>
              </w:rPr>
            </w:pPr>
            <w:r w:rsidRPr="0045227F">
              <w:rPr>
                <w:color w:val="000000"/>
              </w:rPr>
              <w:t>_cons</w:t>
            </w:r>
          </w:p>
        </w:tc>
        <w:tc>
          <w:tcPr>
            <w:tcW w:w="3784" w:type="dxa"/>
            <w:tcBorders>
              <w:top w:val="nil"/>
              <w:left w:val="nil"/>
              <w:bottom w:val="single" w:sz="4" w:space="0" w:color="auto"/>
              <w:right w:val="nil"/>
            </w:tcBorders>
            <w:shd w:val="clear" w:color="auto" w:fill="auto"/>
            <w:noWrap/>
            <w:vAlign w:val="bottom"/>
            <w:hideMark/>
          </w:tcPr>
          <w:p w:rsidR="00F736C5" w:rsidRPr="0045227F" w:rsidRDefault="00F736C5" w:rsidP="00F736C5">
            <w:pPr>
              <w:rPr>
                <w:color w:val="000000"/>
              </w:rPr>
            </w:pPr>
            <w:r w:rsidRPr="0045227F">
              <w:rPr>
                <w:color w:val="000000"/>
              </w:rPr>
              <w:t>-100.19638</w:t>
            </w:r>
          </w:p>
        </w:tc>
        <w:tc>
          <w:tcPr>
            <w:tcW w:w="2604" w:type="dxa"/>
            <w:tcBorders>
              <w:top w:val="nil"/>
              <w:left w:val="nil"/>
              <w:bottom w:val="single" w:sz="4" w:space="0" w:color="auto"/>
              <w:right w:val="nil"/>
            </w:tcBorders>
            <w:shd w:val="clear" w:color="auto" w:fill="auto"/>
            <w:noWrap/>
            <w:vAlign w:val="bottom"/>
            <w:hideMark/>
          </w:tcPr>
          <w:p w:rsidR="00F736C5" w:rsidRPr="0045227F" w:rsidRDefault="00F736C5" w:rsidP="00F736C5">
            <w:pPr>
              <w:rPr>
                <w:color w:val="000000"/>
              </w:rPr>
            </w:pPr>
            <w:r w:rsidRPr="0045227F">
              <w:rPr>
                <w:color w:val="000000"/>
              </w:rPr>
              <w:t>-227.02454</w:t>
            </w:r>
            <w:r w:rsidR="00B73491" w:rsidRPr="0045227F">
              <w:rPr>
                <w:color w:val="000000"/>
              </w:rPr>
              <w:t>***</w:t>
            </w:r>
          </w:p>
        </w:tc>
      </w:tr>
      <w:tr w:rsidR="00F736C5" w:rsidRPr="0045227F" w:rsidTr="001B5A81">
        <w:trPr>
          <w:trHeight w:val="392"/>
          <w:jc w:val="center"/>
        </w:trPr>
        <w:tc>
          <w:tcPr>
            <w:tcW w:w="2248" w:type="dxa"/>
            <w:tcBorders>
              <w:top w:val="nil"/>
              <w:left w:val="nil"/>
              <w:bottom w:val="nil"/>
              <w:right w:val="nil"/>
            </w:tcBorders>
            <w:shd w:val="clear" w:color="auto" w:fill="auto"/>
            <w:noWrap/>
            <w:vAlign w:val="bottom"/>
            <w:hideMark/>
          </w:tcPr>
          <w:p w:rsidR="00F736C5" w:rsidRPr="0045227F" w:rsidRDefault="00F736C5" w:rsidP="00F736C5">
            <w:pPr>
              <w:rPr>
                <w:color w:val="000000"/>
              </w:rPr>
            </w:pPr>
          </w:p>
        </w:tc>
        <w:tc>
          <w:tcPr>
            <w:tcW w:w="6388" w:type="dxa"/>
            <w:gridSpan w:val="2"/>
            <w:tcBorders>
              <w:top w:val="nil"/>
              <w:left w:val="nil"/>
              <w:bottom w:val="nil"/>
              <w:right w:val="nil"/>
            </w:tcBorders>
            <w:shd w:val="clear" w:color="auto" w:fill="auto"/>
            <w:noWrap/>
            <w:vAlign w:val="bottom"/>
            <w:hideMark/>
          </w:tcPr>
          <w:p w:rsidR="00F736C5" w:rsidRPr="0045227F" w:rsidRDefault="00F736C5" w:rsidP="00B73491">
            <w:pPr>
              <w:jc w:val="center"/>
              <w:rPr>
                <w:color w:val="000000"/>
              </w:rPr>
            </w:pPr>
            <w:r w:rsidRPr="0045227F">
              <w:rPr>
                <w:color w:val="000000"/>
              </w:rPr>
              <w:t>legend: * p&lt;.1; ** p&lt;.05; *** p&lt;.01</w:t>
            </w:r>
          </w:p>
        </w:tc>
      </w:tr>
    </w:tbl>
    <w:p w:rsidR="002E3B04" w:rsidRPr="0045227F" w:rsidRDefault="002E3B04" w:rsidP="00B73491">
      <w:pPr>
        <w:spacing w:line="360" w:lineRule="auto"/>
        <w:jc w:val="center"/>
      </w:pPr>
      <w:r w:rsidRPr="0045227F">
        <w:t xml:space="preserve">Table </w:t>
      </w:r>
      <w:r w:rsidR="00EB2A9E" w:rsidRPr="0045227F">
        <w:t>4</w:t>
      </w:r>
      <w:r w:rsidRPr="0045227F">
        <w:t xml:space="preserve">. Logistic regression results of </w:t>
      </w:r>
      <w:r w:rsidRPr="0045227F">
        <w:rPr>
          <w:color w:val="000000" w:themeColor="text1"/>
        </w:rPr>
        <w:t xml:space="preserve">manufacturing </w:t>
      </w:r>
      <w:r w:rsidR="00F736C5" w:rsidRPr="0045227F">
        <w:rPr>
          <w:color w:val="000000" w:themeColor="text1"/>
        </w:rPr>
        <w:t xml:space="preserve">and services </w:t>
      </w:r>
      <w:r w:rsidRPr="0045227F">
        <w:rPr>
          <w:color w:val="000000" w:themeColor="text1"/>
        </w:rPr>
        <w:t>companies</w:t>
      </w:r>
      <w:r w:rsidR="004279BA">
        <w:rPr>
          <w:color w:val="000000" w:themeColor="text1"/>
        </w:rPr>
        <w:t>.</w:t>
      </w:r>
    </w:p>
    <w:p w:rsidR="0030209E" w:rsidRPr="0045227F" w:rsidRDefault="0030209E" w:rsidP="008029A5">
      <w:pPr>
        <w:spacing w:line="360" w:lineRule="auto"/>
        <w:jc w:val="both"/>
      </w:pPr>
    </w:p>
    <w:p w:rsidR="008029A5" w:rsidRPr="0045227F" w:rsidRDefault="008029A5" w:rsidP="008029A5">
      <w:pPr>
        <w:spacing w:line="360" w:lineRule="auto"/>
        <w:jc w:val="both"/>
      </w:pPr>
      <w:r w:rsidRPr="0045227F">
        <w:t xml:space="preserve">The empirical results of services </w:t>
      </w:r>
      <w:r w:rsidR="005F7F91" w:rsidRPr="0045227F">
        <w:rPr>
          <w:color w:val="000000" w:themeColor="text1"/>
        </w:rPr>
        <w:t>companies</w:t>
      </w:r>
      <w:r w:rsidR="005F7F91" w:rsidRPr="0045227F">
        <w:rPr>
          <w:noProof/>
        </w:rPr>
        <w:t xml:space="preserve"> </w:t>
      </w:r>
      <w:r w:rsidRPr="0045227F">
        <w:t xml:space="preserve">model and </w:t>
      </w:r>
      <w:r w:rsidRPr="0045227F">
        <w:rPr>
          <w:color w:val="000000" w:themeColor="text1"/>
        </w:rPr>
        <w:t>manufacturing companies</w:t>
      </w:r>
      <w:r w:rsidRPr="0045227F">
        <w:rPr>
          <w:noProof/>
        </w:rPr>
        <w:t xml:space="preserve"> model are summarized</w:t>
      </w:r>
      <w:r w:rsidRPr="0045227F">
        <w:t xml:space="preserve"> in </w:t>
      </w:r>
      <w:r w:rsidR="0030209E" w:rsidRPr="0045227F">
        <w:t>T</w:t>
      </w:r>
      <w:r w:rsidRPr="0045227F">
        <w:rPr>
          <w:noProof/>
        </w:rPr>
        <w:t>able</w:t>
      </w:r>
      <w:r w:rsidRPr="0045227F">
        <w:t xml:space="preserve"> </w:t>
      </w:r>
      <w:r w:rsidR="00EB2A9E" w:rsidRPr="0045227F">
        <w:t>5</w:t>
      </w:r>
      <w:r w:rsidRPr="0045227F">
        <w:t>.</w:t>
      </w:r>
    </w:p>
    <w:tbl>
      <w:tblPr>
        <w:tblStyle w:val="TableGrid"/>
        <w:tblW w:w="9343" w:type="dxa"/>
        <w:tblLayout w:type="fixed"/>
        <w:tblLook w:val="04A0" w:firstRow="1" w:lastRow="0" w:firstColumn="1" w:lastColumn="0" w:noHBand="0" w:noVBand="1"/>
      </w:tblPr>
      <w:tblGrid>
        <w:gridCol w:w="2981"/>
        <w:gridCol w:w="2092"/>
        <w:gridCol w:w="2092"/>
        <w:gridCol w:w="2178"/>
      </w:tblGrid>
      <w:tr w:rsidR="00F3463A" w:rsidRPr="00F3463A" w:rsidTr="00350BA3">
        <w:trPr>
          <w:trHeight w:val="201"/>
        </w:trPr>
        <w:tc>
          <w:tcPr>
            <w:tcW w:w="2981" w:type="dxa"/>
          </w:tcPr>
          <w:p w:rsidR="00F3463A" w:rsidRPr="00F3463A" w:rsidRDefault="00F3463A" w:rsidP="004D42F5">
            <w:pPr>
              <w:spacing w:line="360" w:lineRule="auto"/>
              <w:jc w:val="both"/>
              <w:rPr>
                <w:b/>
              </w:rPr>
            </w:pPr>
            <w:r w:rsidRPr="00F3463A">
              <w:rPr>
                <w:b/>
              </w:rPr>
              <w:t>Variables</w:t>
            </w:r>
          </w:p>
        </w:tc>
        <w:tc>
          <w:tcPr>
            <w:tcW w:w="2092" w:type="dxa"/>
          </w:tcPr>
          <w:p w:rsidR="00F3463A" w:rsidRPr="00F3463A" w:rsidRDefault="00F3463A" w:rsidP="00817420">
            <w:pPr>
              <w:rPr>
                <w:b/>
              </w:rPr>
            </w:pPr>
            <w:r w:rsidRPr="00F3463A">
              <w:rPr>
                <w:b/>
              </w:rPr>
              <w:t>Manufacturing firms</w:t>
            </w:r>
          </w:p>
        </w:tc>
        <w:tc>
          <w:tcPr>
            <w:tcW w:w="2092" w:type="dxa"/>
          </w:tcPr>
          <w:p w:rsidR="00F3463A" w:rsidRPr="00F3463A" w:rsidRDefault="00F3463A" w:rsidP="004D42F5">
            <w:pPr>
              <w:spacing w:line="360" w:lineRule="auto"/>
              <w:jc w:val="both"/>
              <w:rPr>
                <w:b/>
              </w:rPr>
            </w:pPr>
            <w:r w:rsidRPr="00F3463A">
              <w:rPr>
                <w:b/>
              </w:rPr>
              <w:t>Services firms</w:t>
            </w:r>
          </w:p>
        </w:tc>
        <w:tc>
          <w:tcPr>
            <w:tcW w:w="2178" w:type="dxa"/>
          </w:tcPr>
          <w:p w:rsidR="00F3463A" w:rsidRPr="00F3463A" w:rsidRDefault="00F3463A" w:rsidP="004D42F5">
            <w:pPr>
              <w:spacing w:line="360" w:lineRule="auto"/>
              <w:jc w:val="both"/>
              <w:rPr>
                <w:b/>
              </w:rPr>
            </w:pPr>
            <w:r w:rsidRPr="00F3463A">
              <w:rPr>
                <w:b/>
              </w:rPr>
              <w:t>All firms</w:t>
            </w:r>
          </w:p>
        </w:tc>
      </w:tr>
      <w:tr w:rsidR="00F3463A" w:rsidRPr="00F3463A" w:rsidTr="00350BA3">
        <w:trPr>
          <w:trHeight w:val="291"/>
        </w:trPr>
        <w:tc>
          <w:tcPr>
            <w:tcW w:w="2981" w:type="dxa"/>
          </w:tcPr>
          <w:p w:rsidR="00F3463A" w:rsidRPr="00F3463A" w:rsidRDefault="00F3463A" w:rsidP="004D42F5">
            <w:pPr>
              <w:spacing w:line="360" w:lineRule="auto"/>
              <w:jc w:val="both"/>
            </w:pPr>
            <w:r w:rsidRPr="00F3463A">
              <w:t>Economic distance (ED)</w:t>
            </w:r>
          </w:p>
        </w:tc>
        <w:tc>
          <w:tcPr>
            <w:tcW w:w="2092" w:type="dxa"/>
            <w:shd w:val="clear" w:color="auto" w:fill="auto"/>
          </w:tcPr>
          <w:p w:rsidR="00F3463A" w:rsidRPr="00F3463A" w:rsidRDefault="00F3463A" w:rsidP="00817420">
            <w:r w:rsidRPr="00F3463A">
              <w:t>_</w:t>
            </w:r>
          </w:p>
        </w:tc>
        <w:tc>
          <w:tcPr>
            <w:tcW w:w="2092" w:type="dxa"/>
            <w:shd w:val="clear" w:color="auto" w:fill="92D050"/>
          </w:tcPr>
          <w:p w:rsidR="00F3463A" w:rsidRPr="00F3463A" w:rsidRDefault="00F3463A" w:rsidP="004D42F5">
            <w:pPr>
              <w:spacing w:line="360" w:lineRule="auto"/>
              <w:jc w:val="both"/>
            </w:pPr>
            <w:r w:rsidRPr="00F3463A">
              <w:t>insignificant</w:t>
            </w:r>
          </w:p>
        </w:tc>
        <w:tc>
          <w:tcPr>
            <w:tcW w:w="2178" w:type="dxa"/>
          </w:tcPr>
          <w:p w:rsidR="00F3463A" w:rsidRPr="00F3463A" w:rsidRDefault="00F3463A" w:rsidP="001A2BD1">
            <w:pPr>
              <w:spacing w:line="360" w:lineRule="auto"/>
              <w:jc w:val="both"/>
            </w:pPr>
            <w:r w:rsidRPr="00F3463A">
              <w:t>_</w:t>
            </w:r>
          </w:p>
        </w:tc>
      </w:tr>
      <w:tr w:rsidR="00F3463A" w:rsidRPr="00F3463A" w:rsidTr="00350BA3">
        <w:trPr>
          <w:trHeight w:val="274"/>
        </w:trPr>
        <w:tc>
          <w:tcPr>
            <w:tcW w:w="2981" w:type="dxa"/>
          </w:tcPr>
          <w:p w:rsidR="00F3463A" w:rsidRPr="00F3463A" w:rsidRDefault="00F3463A" w:rsidP="004D42F5">
            <w:pPr>
              <w:spacing w:line="360" w:lineRule="auto"/>
              <w:jc w:val="both"/>
            </w:pPr>
            <w:r w:rsidRPr="00F3463A">
              <w:t>Geographic distance (GD)</w:t>
            </w:r>
          </w:p>
        </w:tc>
        <w:tc>
          <w:tcPr>
            <w:tcW w:w="2092" w:type="dxa"/>
          </w:tcPr>
          <w:p w:rsidR="00F3463A" w:rsidRPr="00124C25" w:rsidRDefault="00F3463A" w:rsidP="00817420">
            <w:r w:rsidRPr="00124C25">
              <w:t>+</w:t>
            </w:r>
          </w:p>
        </w:tc>
        <w:tc>
          <w:tcPr>
            <w:tcW w:w="2092" w:type="dxa"/>
          </w:tcPr>
          <w:p w:rsidR="00F3463A" w:rsidRPr="00F3463A" w:rsidRDefault="00F3463A" w:rsidP="004D42F5">
            <w:pPr>
              <w:spacing w:line="360" w:lineRule="auto"/>
              <w:jc w:val="both"/>
            </w:pPr>
            <w:r w:rsidRPr="00F3463A">
              <w:t>+</w:t>
            </w:r>
          </w:p>
        </w:tc>
        <w:tc>
          <w:tcPr>
            <w:tcW w:w="2178" w:type="dxa"/>
          </w:tcPr>
          <w:p w:rsidR="00F3463A" w:rsidRPr="00F3463A" w:rsidRDefault="00F3463A" w:rsidP="001A2BD1">
            <w:pPr>
              <w:spacing w:line="360" w:lineRule="auto"/>
              <w:jc w:val="both"/>
            </w:pPr>
            <w:r w:rsidRPr="00F3463A">
              <w:t>+</w:t>
            </w:r>
          </w:p>
        </w:tc>
      </w:tr>
      <w:tr w:rsidR="00F3463A" w:rsidRPr="00F3463A" w:rsidTr="00350BA3">
        <w:trPr>
          <w:trHeight w:val="247"/>
        </w:trPr>
        <w:tc>
          <w:tcPr>
            <w:tcW w:w="2981" w:type="dxa"/>
          </w:tcPr>
          <w:p w:rsidR="00F3463A" w:rsidRPr="00F3463A" w:rsidRDefault="00F3463A" w:rsidP="004D42F5">
            <w:pPr>
              <w:spacing w:line="360" w:lineRule="auto"/>
              <w:jc w:val="both"/>
            </w:pPr>
            <w:r w:rsidRPr="00F3463A">
              <w:t>Cultural distance (CD)</w:t>
            </w:r>
          </w:p>
        </w:tc>
        <w:tc>
          <w:tcPr>
            <w:tcW w:w="2092" w:type="dxa"/>
            <w:shd w:val="clear" w:color="auto" w:fill="92D050"/>
          </w:tcPr>
          <w:p w:rsidR="00F3463A" w:rsidRPr="00124C25" w:rsidRDefault="00F3463A" w:rsidP="00817420">
            <w:r w:rsidRPr="00124C25">
              <w:t>insignificant</w:t>
            </w:r>
          </w:p>
        </w:tc>
        <w:tc>
          <w:tcPr>
            <w:tcW w:w="2092" w:type="dxa"/>
          </w:tcPr>
          <w:p w:rsidR="00F3463A" w:rsidRPr="00F3463A" w:rsidRDefault="00F3463A" w:rsidP="004D42F5">
            <w:pPr>
              <w:spacing w:line="360" w:lineRule="auto"/>
              <w:jc w:val="both"/>
            </w:pPr>
            <w:r w:rsidRPr="00F3463A">
              <w:t>_</w:t>
            </w:r>
          </w:p>
        </w:tc>
        <w:tc>
          <w:tcPr>
            <w:tcW w:w="2178" w:type="dxa"/>
          </w:tcPr>
          <w:p w:rsidR="00F3463A" w:rsidRPr="00F3463A" w:rsidRDefault="00F3463A" w:rsidP="001A2BD1">
            <w:pPr>
              <w:spacing w:line="360" w:lineRule="auto"/>
              <w:jc w:val="both"/>
            </w:pPr>
            <w:r w:rsidRPr="00F3463A">
              <w:t>_</w:t>
            </w:r>
          </w:p>
        </w:tc>
      </w:tr>
      <w:tr w:rsidR="00F3463A" w:rsidRPr="00F3463A" w:rsidTr="00350BA3">
        <w:trPr>
          <w:trHeight w:val="250"/>
        </w:trPr>
        <w:tc>
          <w:tcPr>
            <w:tcW w:w="2981" w:type="dxa"/>
          </w:tcPr>
          <w:p w:rsidR="00F3463A" w:rsidRPr="00F3463A" w:rsidRDefault="002D0879" w:rsidP="004D42F5">
            <w:pPr>
              <w:spacing w:line="360" w:lineRule="auto"/>
              <w:jc w:val="both"/>
            </w:pPr>
            <w:r>
              <w:t>Governance distance (</w:t>
            </w:r>
            <w:r w:rsidR="00F3463A" w:rsidRPr="00F3463A">
              <w:t>GoD)</w:t>
            </w:r>
          </w:p>
        </w:tc>
        <w:tc>
          <w:tcPr>
            <w:tcW w:w="2092" w:type="dxa"/>
          </w:tcPr>
          <w:p w:rsidR="00F3463A" w:rsidRPr="00124C25" w:rsidRDefault="00F3463A" w:rsidP="00817420">
            <w:r w:rsidRPr="00124C25">
              <w:t>+</w:t>
            </w:r>
          </w:p>
        </w:tc>
        <w:tc>
          <w:tcPr>
            <w:tcW w:w="2092" w:type="dxa"/>
          </w:tcPr>
          <w:p w:rsidR="00F3463A" w:rsidRPr="00F3463A" w:rsidRDefault="00F3463A" w:rsidP="004D42F5">
            <w:pPr>
              <w:spacing w:line="360" w:lineRule="auto"/>
              <w:jc w:val="both"/>
            </w:pPr>
            <w:r w:rsidRPr="00F3463A">
              <w:t>+</w:t>
            </w:r>
          </w:p>
        </w:tc>
        <w:tc>
          <w:tcPr>
            <w:tcW w:w="2178" w:type="dxa"/>
          </w:tcPr>
          <w:p w:rsidR="00F3463A" w:rsidRPr="00F3463A" w:rsidRDefault="00F3463A" w:rsidP="001A2BD1">
            <w:pPr>
              <w:spacing w:line="360" w:lineRule="auto"/>
              <w:jc w:val="both"/>
            </w:pPr>
            <w:r w:rsidRPr="00F3463A">
              <w:t>+</w:t>
            </w:r>
          </w:p>
        </w:tc>
      </w:tr>
      <w:tr w:rsidR="00F3463A" w:rsidRPr="00F3463A" w:rsidTr="00350BA3">
        <w:trPr>
          <w:trHeight w:val="271"/>
        </w:trPr>
        <w:tc>
          <w:tcPr>
            <w:tcW w:w="2981" w:type="dxa"/>
          </w:tcPr>
          <w:p w:rsidR="00F3463A" w:rsidRPr="00F3463A" w:rsidRDefault="00F3463A" w:rsidP="004D42F5">
            <w:pPr>
              <w:spacing w:line="360" w:lineRule="auto"/>
              <w:jc w:val="both"/>
            </w:pPr>
            <w:r w:rsidRPr="00F3463A">
              <w:t>India experience (IE)</w:t>
            </w:r>
          </w:p>
        </w:tc>
        <w:tc>
          <w:tcPr>
            <w:tcW w:w="2092" w:type="dxa"/>
            <w:shd w:val="clear" w:color="auto" w:fill="auto"/>
          </w:tcPr>
          <w:p w:rsidR="00F3463A" w:rsidRPr="00124C25" w:rsidRDefault="00F3463A" w:rsidP="00817420">
            <w:r w:rsidRPr="00124C25">
              <w:t>+</w:t>
            </w:r>
          </w:p>
        </w:tc>
        <w:tc>
          <w:tcPr>
            <w:tcW w:w="2092" w:type="dxa"/>
            <w:shd w:val="clear" w:color="auto" w:fill="92D050"/>
          </w:tcPr>
          <w:p w:rsidR="00F3463A" w:rsidRPr="00F3463A" w:rsidRDefault="00F3463A" w:rsidP="004D42F5">
            <w:pPr>
              <w:spacing w:line="360" w:lineRule="auto"/>
              <w:jc w:val="both"/>
            </w:pPr>
            <w:r w:rsidRPr="00F3463A">
              <w:t>insignificant</w:t>
            </w:r>
          </w:p>
        </w:tc>
        <w:tc>
          <w:tcPr>
            <w:tcW w:w="2178" w:type="dxa"/>
          </w:tcPr>
          <w:p w:rsidR="00F3463A" w:rsidRPr="00F3463A" w:rsidRDefault="00F3463A" w:rsidP="001A2BD1">
            <w:pPr>
              <w:spacing w:line="360" w:lineRule="auto"/>
              <w:jc w:val="both"/>
            </w:pPr>
            <w:r w:rsidRPr="00F3463A">
              <w:t>+</w:t>
            </w:r>
          </w:p>
        </w:tc>
      </w:tr>
      <w:tr w:rsidR="00F3463A" w:rsidRPr="0045227F" w:rsidTr="00350BA3">
        <w:trPr>
          <w:trHeight w:val="263"/>
        </w:trPr>
        <w:tc>
          <w:tcPr>
            <w:tcW w:w="2981" w:type="dxa"/>
          </w:tcPr>
          <w:p w:rsidR="00F3463A" w:rsidRPr="00F3463A" w:rsidRDefault="00F3463A" w:rsidP="004D42F5">
            <w:pPr>
              <w:spacing w:line="360" w:lineRule="auto"/>
              <w:jc w:val="both"/>
            </w:pPr>
            <w:r w:rsidRPr="00F3463A">
              <w:t>Firm size (SIZE)</w:t>
            </w:r>
          </w:p>
        </w:tc>
        <w:tc>
          <w:tcPr>
            <w:tcW w:w="2092" w:type="dxa"/>
            <w:shd w:val="clear" w:color="auto" w:fill="92D050"/>
          </w:tcPr>
          <w:p w:rsidR="00F3463A" w:rsidRDefault="00F3463A" w:rsidP="00817420">
            <w:r w:rsidRPr="00124C25">
              <w:t>_</w:t>
            </w:r>
          </w:p>
        </w:tc>
        <w:tc>
          <w:tcPr>
            <w:tcW w:w="2092" w:type="dxa"/>
          </w:tcPr>
          <w:p w:rsidR="00F3463A" w:rsidRPr="00F3463A" w:rsidRDefault="00F3463A" w:rsidP="004D42F5">
            <w:pPr>
              <w:spacing w:line="360" w:lineRule="auto"/>
              <w:jc w:val="both"/>
            </w:pPr>
            <w:r w:rsidRPr="00F3463A">
              <w:t>insignificant</w:t>
            </w:r>
          </w:p>
        </w:tc>
        <w:tc>
          <w:tcPr>
            <w:tcW w:w="2178" w:type="dxa"/>
          </w:tcPr>
          <w:p w:rsidR="00F3463A" w:rsidRPr="0045227F" w:rsidRDefault="00F3463A" w:rsidP="001A2BD1">
            <w:pPr>
              <w:spacing w:line="360" w:lineRule="auto"/>
              <w:jc w:val="both"/>
            </w:pPr>
            <w:r w:rsidRPr="00F3463A">
              <w:t>insignificant</w:t>
            </w:r>
          </w:p>
        </w:tc>
      </w:tr>
    </w:tbl>
    <w:p w:rsidR="008029A5" w:rsidRPr="0045227F" w:rsidRDefault="008029A5" w:rsidP="008029A5">
      <w:pPr>
        <w:spacing w:line="360" w:lineRule="auto"/>
        <w:jc w:val="center"/>
        <w:rPr>
          <w:color w:val="000000" w:themeColor="text1"/>
        </w:rPr>
      </w:pPr>
      <w:r w:rsidRPr="0045227F">
        <w:t xml:space="preserve">Table </w:t>
      </w:r>
      <w:r w:rsidR="00EB2A9E" w:rsidRPr="0045227F">
        <w:t>5</w:t>
      </w:r>
      <w:r w:rsidRPr="0045227F">
        <w:t xml:space="preserve">. The summarize of empirical results of </w:t>
      </w:r>
      <w:r w:rsidRPr="0045227F">
        <w:rPr>
          <w:color w:val="000000" w:themeColor="text1"/>
        </w:rPr>
        <w:t>manufacturing and services firms</w:t>
      </w:r>
      <w:r w:rsidR="004279BA">
        <w:rPr>
          <w:color w:val="000000" w:themeColor="text1"/>
        </w:rPr>
        <w:t>.</w:t>
      </w:r>
    </w:p>
    <w:p w:rsidR="004279BA" w:rsidRDefault="004279BA" w:rsidP="0010444E">
      <w:pPr>
        <w:spacing w:line="360" w:lineRule="auto"/>
        <w:jc w:val="both"/>
        <w:rPr>
          <w:color w:val="000000" w:themeColor="text1"/>
        </w:rPr>
      </w:pPr>
    </w:p>
    <w:p w:rsidR="00036E75" w:rsidRPr="0045227F" w:rsidRDefault="0010444E" w:rsidP="0010444E">
      <w:pPr>
        <w:spacing w:line="360" w:lineRule="auto"/>
        <w:jc w:val="both"/>
        <w:rPr>
          <w:color w:val="000000" w:themeColor="text1"/>
        </w:rPr>
      </w:pPr>
      <w:r w:rsidRPr="0045227F">
        <w:rPr>
          <w:color w:val="000000" w:themeColor="text1"/>
        </w:rPr>
        <w:t xml:space="preserve">It is clearly seen </w:t>
      </w:r>
      <w:r w:rsidR="0030209E" w:rsidRPr="0045227F">
        <w:rPr>
          <w:color w:val="000000" w:themeColor="text1"/>
        </w:rPr>
        <w:t>from Table 4</w:t>
      </w:r>
      <w:r w:rsidR="00007A38" w:rsidRPr="0045227F">
        <w:rPr>
          <w:color w:val="000000" w:themeColor="text1"/>
        </w:rPr>
        <w:t xml:space="preserve"> </w:t>
      </w:r>
      <w:r w:rsidRPr="0045227F">
        <w:rPr>
          <w:color w:val="000000" w:themeColor="text1"/>
        </w:rPr>
        <w:t xml:space="preserve">that geographic distance and governance distance are found to have the same impact on entry mode decisions of services and manufacturing firms. Meanwhile, </w:t>
      </w:r>
      <w:r w:rsidR="00036E75" w:rsidRPr="0045227F">
        <w:rPr>
          <w:color w:val="000000" w:themeColor="text1"/>
        </w:rPr>
        <w:lastRenderedPageBreak/>
        <w:t>cultural distance</w:t>
      </w:r>
      <w:r w:rsidRPr="0045227F">
        <w:rPr>
          <w:color w:val="000000" w:themeColor="text1"/>
        </w:rPr>
        <w:t xml:space="preserve"> </w:t>
      </w:r>
      <w:r w:rsidR="00036E75" w:rsidRPr="0045227F">
        <w:rPr>
          <w:color w:val="000000" w:themeColor="text1"/>
        </w:rPr>
        <w:t xml:space="preserve">only has effect on services firms when economic distance, firm’s size and India experience just have </w:t>
      </w:r>
      <w:r w:rsidR="003C5932">
        <w:rPr>
          <w:color w:val="000000" w:themeColor="text1"/>
        </w:rPr>
        <w:t>influence</w:t>
      </w:r>
      <w:r w:rsidR="00036E75" w:rsidRPr="0045227F">
        <w:rPr>
          <w:color w:val="000000" w:themeColor="text1"/>
        </w:rPr>
        <w:t xml:space="preserve"> on manufacturing firms. </w:t>
      </w:r>
      <w:r w:rsidR="001F4BCA" w:rsidRPr="0045227F">
        <w:rPr>
          <w:color w:val="000000" w:themeColor="text1"/>
        </w:rPr>
        <w:t>For variables which have the same results with the whole sample</w:t>
      </w:r>
      <w:r w:rsidR="00F80BFD" w:rsidRPr="0045227F">
        <w:rPr>
          <w:color w:val="000000" w:themeColor="text1"/>
        </w:rPr>
        <w:t>/all firms</w:t>
      </w:r>
      <w:r w:rsidR="001F4BCA" w:rsidRPr="0045227F">
        <w:rPr>
          <w:color w:val="000000" w:themeColor="text1"/>
        </w:rPr>
        <w:t>, I assume that the explan</w:t>
      </w:r>
      <w:r w:rsidR="000E1AAE">
        <w:rPr>
          <w:color w:val="000000" w:themeColor="text1"/>
        </w:rPr>
        <w:t>a</w:t>
      </w:r>
      <w:r w:rsidR="001F4BCA" w:rsidRPr="0045227F">
        <w:rPr>
          <w:color w:val="000000" w:themeColor="text1"/>
        </w:rPr>
        <w:t xml:space="preserve">tions for the whole sample are also true for them. Therefore, I just </w:t>
      </w:r>
      <w:r w:rsidR="000343E4" w:rsidRPr="0045227F">
        <w:rPr>
          <w:color w:val="000000" w:themeColor="text1"/>
        </w:rPr>
        <w:t xml:space="preserve">try to </w:t>
      </w:r>
      <w:r w:rsidR="001F4BCA" w:rsidRPr="0045227F">
        <w:rPr>
          <w:color w:val="000000" w:themeColor="text1"/>
        </w:rPr>
        <w:t>give explanations for vari</w:t>
      </w:r>
      <w:r w:rsidR="000E1AAE">
        <w:rPr>
          <w:color w:val="000000" w:themeColor="text1"/>
        </w:rPr>
        <w:t>a</w:t>
      </w:r>
      <w:r w:rsidR="001F4BCA" w:rsidRPr="0045227F">
        <w:rPr>
          <w:color w:val="000000" w:themeColor="text1"/>
        </w:rPr>
        <w:t xml:space="preserve">bles which have different results from the whole </w:t>
      </w:r>
      <w:r w:rsidR="00F80BFD" w:rsidRPr="0045227F">
        <w:rPr>
          <w:color w:val="000000" w:themeColor="text1"/>
        </w:rPr>
        <w:t xml:space="preserve">sample. </w:t>
      </w:r>
    </w:p>
    <w:p w:rsidR="00036E75" w:rsidRPr="0045227F" w:rsidRDefault="00036E75" w:rsidP="0010444E">
      <w:pPr>
        <w:spacing w:line="360" w:lineRule="auto"/>
        <w:jc w:val="both"/>
        <w:rPr>
          <w:color w:val="000000" w:themeColor="text1"/>
        </w:rPr>
      </w:pPr>
    </w:p>
    <w:p w:rsidR="0010444E" w:rsidRPr="0045227F" w:rsidRDefault="00F80BFD" w:rsidP="0010444E">
      <w:pPr>
        <w:spacing w:line="360" w:lineRule="auto"/>
        <w:jc w:val="both"/>
        <w:rPr>
          <w:color w:val="000000" w:themeColor="text1"/>
        </w:rPr>
      </w:pPr>
      <w:r w:rsidRPr="0045227F">
        <w:rPr>
          <w:color w:val="000000" w:themeColor="text1"/>
        </w:rPr>
        <w:t xml:space="preserve">Firstly, from the side of </w:t>
      </w:r>
      <w:r w:rsidRPr="0045227F">
        <w:rPr>
          <w:i/>
          <w:color w:val="000000" w:themeColor="text1"/>
        </w:rPr>
        <w:t>services firms</w:t>
      </w:r>
      <w:r w:rsidRPr="0045227F">
        <w:rPr>
          <w:color w:val="000000" w:themeColor="text1"/>
        </w:rPr>
        <w:t>, I will give explan</w:t>
      </w:r>
      <w:r w:rsidR="000E1AAE">
        <w:rPr>
          <w:color w:val="000000" w:themeColor="text1"/>
        </w:rPr>
        <w:t>a</w:t>
      </w:r>
      <w:r w:rsidRPr="0045227F">
        <w:rPr>
          <w:color w:val="000000" w:themeColor="text1"/>
        </w:rPr>
        <w:t>tion for the insignificant results of economic distance and India experience</w:t>
      </w:r>
      <w:r w:rsidR="007167E1" w:rsidRPr="0045227F">
        <w:rPr>
          <w:color w:val="000000" w:themeColor="text1"/>
        </w:rPr>
        <w:t xml:space="preserve"> which have different results with the whole sample. I</w:t>
      </w:r>
      <w:r w:rsidR="00036E75" w:rsidRPr="0045227F">
        <w:rPr>
          <w:color w:val="000000" w:themeColor="text1"/>
        </w:rPr>
        <w:t xml:space="preserve">t could be understandable that </w:t>
      </w:r>
      <w:r w:rsidR="00965FA9" w:rsidRPr="0045227F">
        <w:rPr>
          <w:color w:val="000000" w:themeColor="text1"/>
        </w:rPr>
        <w:t xml:space="preserve">economics distance does not have an impact on entry mode decisions of services firms since services </w:t>
      </w:r>
      <w:r w:rsidR="003F64B6" w:rsidRPr="0045227F">
        <w:rPr>
          <w:color w:val="000000" w:themeColor="text1"/>
        </w:rPr>
        <w:t>firms</w:t>
      </w:r>
      <w:r w:rsidR="00965FA9" w:rsidRPr="0045227F">
        <w:rPr>
          <w:color w:val="000000" w:themeColor="text1"/>
        </w:rPr>
        <w:t xml:space="preserve"> in the sample are </w:t>
      </w:r>
      <w:r w:rsidR="000E1AAE">
        <w:rPr>
          <w:color w:val="000000" w:themeColor="text1"/>
        </w:rPr>
        <w:t>mainly so</w:t>
      </w:r>
      <w:r w:rsidR="003F64B6" w:rsidRPr="0045227F">
        <w:rPr>
          <w:color w:val="000000" w:themeColor="text1"/>
        </w:rPr>
        <w:t>f</w:t>
      </w:r>
      <w:r w:rsidR="000E1AAE">
        <w:rPr>
          <w:color w:val="000000" w:themeColor="text1"/>
        </w:rPr>
        <w:t>t</w:t>
      </w:r>
      <w:r w:rsidR="003F64B6" w:rsidRPr="0045227F">
        <w:rPr>
          <w:color w:val="000000" w:themeColor="text1"/>
        </w:rPr>
        <w:t>ware developer, software solution provider, marketing (advertising, design) services and consultancy services</w:t>
      </w:r>
      <w:r w:rsidR="005F7634" w:rsidRPr="0045227F">
        <w:rPr>
          <w:color w:val="000000" w:themeColor="text1"/>
        </w:rPr>
        <w:t xml:space="preserve">; and thus customers of those foreign services firms generally are </w:t>
      </w:r>
      <w:r w:rsidR="002C200C" w:rsidRPr="0045227F">
        <w:rPr>
          <w:color w:val="000000" w:themeColor="text1"/>
        </w:rPr>
        <w:t xml:space="preserve">local </w:t>
      </w:r>
      <w:r w:rsidR="000E1AAE">
        <w:rPr>
          <w:color w:val="000000" w:themeColor="text1"/>
        </w:rPr>
        <w:t>organiz</w:t>
      </w:r>
      <w:r w:rsidR="005F7634" w:rsidRPr="0045227F">
        <w:rPr>
          <w:color w:val="000000" w:themeColor="text1"/>
        </w:rPr>
        <w:t xml:space="preserve">ations. </w:t>
      </w:r>
      <w:r w:rsidR="002C200C" w:rsidRPr="0045227F">
        <w:rPr>
          <w:color w:val="000000" w:themeColor="text1"/>
        </w:rPr>
        <w:t>That means</w:t>
      </w:r>
      <w:r w:rsidR="005F7634" w:rsidRPr="0045227F">
        <w:rPr>
          <w:color w:val="000000" w:themeColor="text1"/>
        </w:rPr>
        <w:t xml:space="preserve"> it </w:t>
      </w:r>
      <w:r w:rsidR="002C200C" w:rsidRPr="0045227F">
        <w:rPr>
          <w:color w:val="000000" w:themeColor="text1"/>
        </w:rPr>
        <w:t>refers</w:t>
      </w:r>
      <w:r w:rsidR="005F7634" w:rsidRPr="0045227F">
        <w:rPr>
          <w:color w:val="000000" w:themeColor="text1"/>
        </w:rPr>
        <w:t xml:space="preserve"> to </w:t>
      </w:r>
      <w:r w:rsidR="002C200C" w:rsidRPr="0045227F">
        <w:rPr>
          <w:color w:val="000000" w:themeColor="text1"/>
        </w:rPr>
        <w:t xml:space="preserve">the purchasing power of local organizations. </w:t>
      </w:r>
      <w:r w:rsidR="005F7634" w:rsidRPr="0045227F">
        <w:rPr>
          <w:color w:val="000000" w:themeColor="text1"/>
        </w:rPr>
        <w:t xml:space="preserve">Meanwhile, my study uses GDP per capita to measure </w:t>
      </w:r>
      <w:r w:rsidR="00350BA3">
        <w:rPr>
          <w:color w:val="000000" w:themeColor="text1"/>
        </w:rPr>
        <w:t>economic</w:t>
      </w:r>
      <w:r w:rsidR="005F7634" w:rsidRPr="0045227F">
        <w:rPr>
          <w:color w:val="000000" w:themeColor="text1"/>
        </w:rPr>
        <w:t xml:space="preserve"> distance which implies the purchasing power of an individual. </w:t>
      </w:r>
      <w:r w:rsidR="002C200C" w:rsidRPr="0045227F">
        <w:rPr>
          <w:color w:val="000000" w:themeColor="text1"/>
        </w:rPr>
        <w:t>Hence, the result of economic distance on entry mode cho</w:t>
      </w:r>
      <w:r w:rsidR="00FA3D82">
        <w:rPr>
          <w:color w:val="000000" w:themeColor="text1"/>
        </w:rPr>
        <w:t>ices is insignificant. However, as mentioned in 2.3.1., economic distance has two other ways</w:t>
      </w:r>
      <w:r w:rsidR="001D5C5A">
        <w:rPr>
          <w:color w:val="000000" w:themeColor="text1"/>
        </w:rPr>
        <w:t xml:space="preserve"> (GDP deflator (% GDP), and </w:t>
      </w:r>
      <w:r w:rsidR="001D5C5A" w:rsidRPr="001D5C5A">
        <w:rPr>
          <w:color w:val="000000" w:themeColor="text1"/>
        </w:rPr>
        <w:t>the difference of export and import as a proportion of GDP)</w:t>
      </w:r>
      <w:r w:rsidR="00FA3D82">
        <w:rPr>
          <w:color w:val="000000" w:themeColor="text1"/>
        </w:rPr>
        <w:t xml:space="preserve"> to measure</w:t>
      </w:r>
      <w:r w:rsidR="001D5C5A">
        <w:rPr>
          <w:color w:val="000000" w:themeColor="text1"/>
        </w:rPr>
        <w:t>,</w:t>
      </w:r>
      <w:r w:rsidR="00FA3D82">
        <w:rPr>
          <w:color w:val="000000" w:themeColor="text1"/>
        </w:rPr>
        <w:t xml:space="preserve"> so </w:t>
      </w:r>
      <w:r w:rsidR="00C04F31" w:rsidRPr="0045227F">
        <w:rPr>
          <w:color w:val="000000" w:themeColor="text1"/>
        </w:rPr>
        <w:t xml:space="preserve">it is </w:t>
      </w:r>
      <w:r w:rsidR="00FA3D82">
        <w:rPr>
          <w:color w:val="000000" w:themeColor="text1"/>
        </w:rPr>
        <w:t>possible</w:t>
      </w:r>
      <w:r w:rsidR="00C04F31" w:rsidRPr="0045227F">
        <w:rPr>
          <w:color w:val="000000" w:themeColor="text1"/>
        </w:rPr>
        <w:t xml:space="preserve"> that</w:t>
      </w:r>
      <w:r w:rsidR="002C200C" w:rsidRPr="0045227F">
        <w:rPr>
          <w:color w:val="000000" w:themeColor="text1"/>
        </w:rPr>
        <w:t xml:space="preserve"> different measurement</w:t>
      </w:r>
      <w:r w:rsidR="00C04F31" w:rsidRPr="0045227F">
        <w:rPr>
          <w:color w:val="000000" w:themeColor="text1"/>
        </w:rPr>
        <w:t>s</w:t>
      </w:r>
      <w:r w:rsidR="002C200C" w:rsidRPr="0045227F">
        <w:rPr>
          <w:color w:val="000000" w:themeColor="text1"/>
        </w:rPr>
        <w:t xml:space="preserve"> of economic distance have a significant impact </w:t>
      </w:r>
      <w:r w:rsidR="001D5C5A">
        <w:rPr>
          <w:color w:val="000000" w:themeColor="text1"/>
        </w:rPr>
        <w:t>when they capture different aspects of economics</w:t>
      </w:r>
      <w:r w:rsidR="002C200C" w:rsidRPr="0045227F">
        <w:rPr>
          <w:color w:val="000000" w:themeColor="text1"/>
        </w:rPr>
        <w:t xml:space="preserve">. </w:t>
      </w:r>
    </w:p>
    <w:p w:rsidR="007D56A9" w:rsidRPr="0045227F" w:rsidRDefault="007D56A9" w:rsidP="0010444E">
      <w:pPr>
        <w:spacing w:line="360" w:lineRule="auto"/>
        <w:jc w:val="both"/>
        <w:rPr>
          <w:color w:val="000000" w:themeColor="text1"/>
        </w:rPr>
      </w:pPr>
    </w:p>
    <w:p w:rsidR="00FA6DBC" w:rsidRPr="0045227F" w:rsidRDefault="00EE1B21" w:rsidP="00890CF7">
      <w:pPr>
        <w:spacing w:line="360" w:lineRule="auto"/>
        <w:jc w:val="both"/>
      </w:pPr>
      <w:r w:rsidRPr="0045227F">
        <w:rPr>
          <w:color w:val="000000" w:themeColor="text1"/>
        </w:rPr>
        <w:t>I</w:t>
      </w:r>
      <w:r w:rsidR="00B07829" w:rsidRPr="0045227F">
        <w:rPr>
          <w:color w:val="000000" w:themeColor="text1"/>
        </w:rPr>
        <w:t xml:space="preserve">n terms of </w:t>
      </w:r>
      <w:r w:rsidR="00FA6DBC" w:rsidRPr="0045227F">
        <w:rPr>
          <w:color w:val="000000" w:themeColor="text1"/>
        </w:rPr>
        <w:t xml:space="preserve">host country experience, </w:t>
      </w:r>
      <w:r w:rsidR="000343E4" w:rsidRPr="0045227F">
        <w:rPr>
          <w:color w:val="000000" w:themeColor="text1"/>
        </w:rPr>
        <w:t xml:space="preserve">the </w:t>
      </w:r>
      <w:r w:rsidR="00890CF7" w:rsidRPr="0045227F">
        <w:rPr>
          <w:color w:val="000000" w:themeColor="text1"/>
        </w:rPr>
        <w:t xml:space="preserve">statistically insignificant </w:t>
      </w:r>
      <w:r w:rsidR="000343E4" w:rsidRPr="0045227F">
        <w:rPr>
          <w:color w:val="000000" w:themeColor="text1"/>
        </w:rPr>
        <w:t>result</w:t>
      </w:r>
      <w:r w:rsidR="000B7AC0" w:rsidRPr="0045227F">
        <w:rPr>
          <w:color w:val="000000" w:themeColor="text1"/>
        </w:rPr>
        <w:t xml:space="preserve"> in this study </w:t>
      </w:r>
      <w:r w:rsidR="000343E4" w:rsidRPr="0045227F">
        <w:rPr>
          <w:color w:val="000000" w:themeColor="text1"/>
        </w:rPr>
        <w:t xml:space="preserve">is in line with the </w:t>
      </w:r>
      <w:r w:rsidR="00890CF7" w:rsidRPr="0045227F">
        <w:rPr>
          <w:color w:val="000000" w:themeColor="text1"/>
        </w:rPr>
        <w:t xml:space="preserve">study by </w:t>
      </w:r>
      <w:r w:rsidR="00890CF7" w:rsidRPr="0045227F">
        <w:t xml:space="preserve">Kogut &amp; Singh (1988). More importantly, it is in accordance with the </w:t>
      </w:r>
      <w:r w:rsidR="000343E4" w:rsidRPr="0045227F">
        <w:rPr>
          <w:color w:val="000000" w:themeColor="text1"/>
        </w:rPr>
        <w:t xml:space="preserve">result </w:t>
      </w:r>
      <w:r w:rsidR="000B7AC0" w:rsidRPr="0045227F">
        <w:rPr>
          <w:color w:val="000000" w:themeColor="text1"/>
        </w:rPr>
        <w:t>for</w:t>
      </w:r>
      <w:r w:rsidR="000343E4" w:rsidRPr="0045227F">
        <w:rPr>
          <w:color w:val="000000" w:themeColor="text1"/>
        </w:rPr>
        <w:t xml:space="preserve"> </w:t>
      </w:r>
      <w:r w:rsidR="000343E4" w:rsidRPr="0045227F">
        <w:t xml:space="preserve">knowledge-intensive services </w:t>
      </w:r>
      <w:r w:rsidR="000343E4" w:rsidRPr="0045227F">
        <w:rPr>
          <w:color w:val="000000" w:themeColor="text1"/>
        </w:rPr>
        <w:t xml:space="preserve">firms </w:t>
      </w:r>
      <w:r w:rsidR="000B7AC0" w:rsidRPr="0045227F">
        <w:rPr>
          <w:color w:val="000000" w:themeColor="text1"/>
        </w:rPr>
        <w:t xml:space="preserve">in the study by </w:t>
      </w:r>
      <w:r w:rsidR="007D56A9" w:rsidRPr="0045227F">
        <w:rPr>
          <w:color w:val="000000" w:themeColor="text1"/>
        </w:rPr>
        <w:t>Barber, Hebert &amp; Peinado</w:t>
      </w:r>
      <w:r w:rsidR="000B7AC0" w:rsidRPr="0045227F">
        <w:rPr>
          <w:color w:val="000000" w:themeColor="text1"/>
        </w:rPr>
        <w:t xml:space="preserve"> (</w:t>
      </w:r>
      <w:r w:rsidR="007D56A9" w:rsidRPr="0045227F">
        <w:rPr>
          <w:color w:val="000000" w:themeColor="text1"/>
        </w:rPr>
        <w:t>2007)</w:t>
      </w:r>
      <w:r w:rsidR="000343E4" w:rsidRPr="0045227F">
        <w:rPr>
          <w:color w:val="000000" w:themeColor="text1"/>
        </w:rPr>
        <w:t xml:space="preserve">. Peinado et al. (2007) studied </w:t>
      </w:r>
      <w:r w:rsidR="000B7AC0" w:rsidRPr="0045227F">
        <w:rPr>
          <w:color w:val="000000" w:themeColor="text1"/>
        </w:rPr>
        <w:t>how different services firms select entry mode differently, and according to prior studies (</w:t>
      </w:r>
      <w:r w:rsidR="00AC2F7B" w:rsidRPr="0045227F">
        <w:t xml:space="preserve">Tomlinson </w:t>
      </w:r>
      <w:r w:rsidR="000B7AC0" w:rsidRPr="0045227F">
        <w:t xml:space="preserve">&amp; </w:t>
      </w:r>
      <w:r w:rsidR="00AC2F7B" w:rsidRPr="0045227F">
        <w:t>Windrum</w:t>
      </w:r>
      <w:r w:rsidR="000B7AC0" w:rsidRPr="0045227F">
        <w:t xml:space="preserve">, 1999; Hertog, 2000; Contractor, Kundu, </w:t>
      </w:r>
      <w:r w:rsidR="00CF27D5" w:rsidRPr="0045227F">
        <w:t xml:space="preserve">&amp; Hsu, </w:t>
      </w:r>
      <w:r w:rsidR="000B7AC0" w:rsidRPr="0045227F">
        <w:t>2003)</w:t>
      </w:r>
      <w:r w:rsidR="00CF27D5" w:rsidRPr="0045227F">
        <w:t xml:space="preserve">, he divided services firms into two categories – (1) </w:t>
      </w:r>
      <w:r w:rsidR="000343E4" w:rsidRPr="0045227F">
        <w:t>capital</w:t>
      </w:r>
      <w:r w:rsidR="000B7AC0" w:rsidRPr="0045227F">
        <w:t>-</w:t>
      </w:r>
      <w:r w:rsidR="000343E4" w:rsidRPr="0045227F">
        <w:t xml:space="preserve">intensive services firms </w:t>
      </w:r>
      <w:r w:rsidR="000B7AC0" w:rsidRPr="0045227F">
        <w:t xml:space="preserve">(e.g., energy, hotel, electricity </w:t>
      </w:r>
      <w:r w:rsidR="000343E4" w:rsidRPr="0045227F">
        <w:t xml:space="preserve">and </w:t>
      </w:r>
      <w:r w:rsidR="00CF27D5" w:rsidRPr="0045227F">
        <w:t xml:space="preserve">(2) </w:t>
      </w:r>
      <w:r w:rsidR="000343E4" w:rsidRPr="0045227F">
        <w:t xml:space="preserve">knowledge-intensive services </w:t>
      </w:r>
      <w:r w:rsidR="000343E4" w:rsidRPr="0045227F">
        <w:rPr>
          <w:color w:val="000000" w:themeColor="text1"/>
        </w:rPr>
        <w:t>firms</w:t>
      </w:r>
      <w:r w:rsidR="000B7AC0" w:rsidRPr="0045227F">
        <w:rPr>
          <w:color w:val="000000" w:themeColor="text1"/>
        </w:rPr>
        <w:t xml:space="preserve"> </w:t>
      </w:r>
      <w:r w:rsidR="00CF27D5" w:rsidRPr="0045227F">
        <w:rPr>
          <w:color w:val="000000" w:themeColor="text1"/>
        </w:rPr>
        <w:t>(</w:t>
      </w:r>
      <w:r w:rsidR="000B7AC0" w:rsidRPr="0045227F">
        <w:t xml:space="preserve">e.g., consulting, </w:t>
      </w:r>
      <w:r w:rsidR="000E1AAE">
        <w:t>so</w:t>
      </w:r>
      <w:r w:rsidR="00CF27D5" w:rsidRPr="0045227F">
        <w:t>f</w:t>
      </w:r>
      <w:r w:rsidR="000E1AAE">
        <w:t>t</w:t>
      </w:r>
      <w:r w:rsidR="00CF27D5" w:rsidRPr="0045227F">
        <w:t>ware</w:t>
      </w:r>
      <w:r w:rsidR="000B7AC0" w:rsidRPr="0045227F">
        <w:t xml:space="preserve">, and </w:t>
      </w:r>
      <w:r w:rsidR="00CF27D5" w:rsidRPr="0045227F">
        <w:t>marketing</w:t>
      </w:r>
      <w:r w:rsidR="000B7AC0" w:rsidRPr="0045227F">
        <w:t xml:space="preserve"> services</w:t>
      </w:r>
      <w:r w:rsidR="00CF27D5" w:rsidRPr="0045227F">
        <w:t>)</w:t>
      </w:r>
      <w:r w:rsidR="000B7AC0" w:rsidRPr="0045227F">
        <w:rPr>
          <w:color w:val="000000" w:themeColor="text1"/>
        </w:rPr>
        <w:t xml:space="preserve">. </w:t>
      </w:r>
      <w:r w:rsidR="00004C99" w:rsidRPr="0045227F">
        <w:rPr>
          <w:color w:val="000000" w:themeColor="text1"/>
        </w:rPr>
        <w:t>Services firms in</w:t>
      </w:r>
      <w:r w:rsidR="0088256F" w:rsidRPr="0045227F">
        <w:rPr>
          <w:color w:val="000000" w:themeColor="text1"/>
        </w:rPr>
        <w:t xml:space="preserve"> my</w:t>
      </w:r>
      <w:r w:rsidR="000E1AAE">
        <w:rPr>
          <w:color w:val="000000" w:themeColor="text1"/>
        </w:rPr>
        <w:t xml:space="preserve"> sample are mainly so</w:t>
      </w:r>
      <w:r w:rsidR="00004C99" w:rsidRPr="0045227F">
        <w:rPr>
          <w:color w:val="000000" w:themeColor="text1"/>
        </w:rPr>
        <w:t>f</w:t>
      </w:r>
      <w:r w:rsidR="000E1AAE">
        <w:rPr>
          <w:color w:val="000000" w:themeColor="text1"/>
        </w:rPr>
        <w:t>t</w:t>
      </w:r>
      <w:r w:rsidR="00004C99" w:rsidRPr="0045227F">
        <w:rPr>
          <w:color w:val="000000" w:themeColor="text1"/>
        </w:rPr>
        <w:t>ware developer, software solution provider, marketing (advertising, design) and consultancy services</w:t>
      </w:r>
      <w:r w:rsidR="001D33D7">
        <w:rPr>
          <w:color w:val="000000" w:themeColor="text1"/>
        </w:rPr>
        <w:t xml:space="preserve"> and</w:t>
      </w:r>
      <w:r w:rsidR="0088256F" w:rsidRPr="0045227F">
        <w:rPr>
          <w:color w:val="000000" w:themeColor="text1"/>
        </w:rPr>
        <w:t xml:space="preserve"> they could be classified as </w:t>
      </w:r>
      <w:r w:rsidR="0088256F" w:rsidRPr="0045227F">
        <w:t xml:space="preserve">knowledge-intensive services </w:t>
      </w:r>
      <w:r w:rsidR="0088256F" w:rsidRPr="0045227F">
        <w:rPr>
          <w:color w:val="000000" w:themeColor="text1"/>
        </w:rPr>
        <w:t>firms.</w:t>
      </w:r>
      <w:r w:rsidR="00004C99" w:rsidRPr="0045227F">
        <w:rPr>
          <w:color w:val="000000" w:themeColor="text1"/>
        </w:rPr>
        <w:t xml:space="preserve"> </w:t>
      </w:r>
      <w:r w:rsidR="00553387" w:rsidRPr="0045227F">
        <w:rPr>
          <w:color w:val="000000" w:themeColor="text1"/>
        </w:rPr>
        <w:t xml:space="preserve">Services firms, specifically </w:t>
      </w:r>
      <w:r w:rsidR="00004C99" w:rsidRPr="0045227F">
        <w:t xml:space="preserve">knowledge-intensive services </w:t>
      </w:r>
      <w:r w:rsidR="000E1AAE">
        <w:rPr>
          <w:color w:val="000000" w:themeColor="text1"/>
        </w:rPr>
        <w:t>firms, have their values lying in human</w:t>
      </w:r>
      <w:r w:rsidR="00553387" w:rsidRPr="0045227F">
        <w:rPr>
          <w:color w:val="000000" w:themeColor="text1"/>
        </w:rPr>
        <w:t xml:space="preserve"> knowle</w:t>
      </w:r>
      <w:r w:rsidR="0088256F" w:rsidRPr="0045227F">
        <w:rPr>
          <w:color w:val="000000" w:themeColor="text1"/>
        </w:rPr>
        <w:t xml:space="preserve">dge rather than physical assets. </w:t>
      </w:r>
      <w:r w:rsidR="0088256F" w:rsidRPr="0045227F">
        <w:rPr>
          <w:color w:val="000000" w:themeColor="text1"/>
        </w:rPr>
        <w:lastRenderedPageBreak/>
        <w:t>Different from manufacturing firms, they are not required to</w:t>
      </w:r>
      <w:r w:rsidR="00A06C03" w:rsidRPr="0045227F">
        <w:t xml:space="preserve"> invest</w:t>
      </w:r>
      <w:r w:rsidR="0088256F" w:rsidRPr="0045227F">
        <w:t xml:space="preserve"> enormously in</w:t>
      </w:r>
      <w:r w:rsidR="00A06C03" w:rsidRPr="0045227F">
        <w:t xml:space="preserve"> physical assets</w:t>
      </w:r>
      <w:r w:rsidR="0088256F" w:rsidRPr="0045227F">
        <w:t xml:space="preserve"> (factories, building</w:t>
      </w:r>
      <w:r w:rsidR="000E1AAE">
        <w:t xml:space="preserve">s, machine </w:t>
      </w:r>
      <w:r w:rsidR="0088256F" w:rsidRPr="0045227F">
        <w:t xml:space="preserve">systems), all they need might be just </w:t>
      </w:r>
      <w:r w:rsidR="00A06C03" w:rsidRPr="0045227F">
        <w:t>a single office (</w:t>
      </w:r>
      <w:r w:rsidR="00004C99" w:rsidRPr="0045227F">
        <w:t>D’Souza &amp;</w:t>
      </w:r>
      <w:r w:rsidR="00A06C03" w:rsidRPr="0045227F">
        <w:t xml:space="preserve"> </w:t>
      </w:r>
      <w:r w:rsidR="00004C99" w:rsidRPr="0045227F">
        <w:t>Erramilli,</w:t>
      </w:r>
      <w:r w:rsidR="00A06C03" w:rsidRPr="0045227F">
        <w:t xml:space="preserve"> 1995).</w:t>
      </w:r>
      <w:r w:rsidR="00890CF7" w:rsidRPr="0045227F">
        <w:t xml:space="preserve"> Therefore, the switching costs and </w:t>
      </w:r>
      <w:r w:rsidR="00933CFB" w:rsidRPr="0045227F">
        <w:t>exit costs of services fir</w:t>
      </w:r>
      <w:r w:rsidR="000E1AAE">
        <w:t>ms, in comparis</w:t>
      </w:r>
      <w:r w:rsidR="0088256F" w:rsidRPr="0045227F">
        <w:t xml:space="preserve">on with manufacturing firms, are low, </w:t>
      </w:r>
      <w:r w:rsidR="00D26176" w:rsidRPr="0045227F">
        <w:t xml:space="preserve">allowing them </w:t>
      </w:r>
      <w:r w:rsidR="0088256F" w:rsidRPr="0045227F">
        <w:t>to penetrate</w:t>
      </w:r>
      <w:r w:rsidRPr="0045227F">
        <w:t xml:space="preserve"> Indian market</w:t>
      </w:r>
      <w:r w:rsidR="0088256F" w:rsidRPr="0045227F">
        <w:t xml:space="preserve"> </w:t>
      </w:r>
      <w:r w:rsidR="00D26176" w:rsidRPr="0045227F">
        <w:t>through WOS without prior experience</w:t>
      </w:r>
      <w:r w:rsidRPr="0045227F">
        <w:t>, not just via JV like what is mentioned in 2.3.5</w:t>
      </w:r>
      <w:r w:rsidR="00FE7E01" w:rsidRPr="0045227F">
        <w:t>. Therefore, host country experience seems meaningless to predict how services firms choose the mode of entry. In other words, host country experience has no significant impact on entry mode choices in services industry.</w:t>
      </w:r>
    </w:p>
    <w:p w:rsidR="00EE1B21" w:rsidRPr="0045227F" w:rsidRDefault="00EE1B21" w:rsidP="00890CF7">
      <w:pPr>
        <w:spacing w:line="360" w:lineRule="auto"/>
        <w:jc w:val="both"/>
      </w:pPr>
    </w:p>
    <w:p w:rsidR="00F210F0" w:rsidRPr="0045227F" w:rsidRDefault="00EE1B21" w:rsidP="00216375">
      <w:pPr>
        <w:spacing w:line="360" w:lineRule="auto"/>
        <w:jc w:val="both"/>
        <w:rPr>
          <w:color w:val="000000" w:themeColor="text1"/>
        </w:rPr>
      </w:pPr>
      <w:r w:rsidRPr="0045227F">
        <w:t xml:space="preserve">Secondly, from the side of </w:t>
      </w:r>
      <w:r w:rsidRPr="0045227F">
        <w:rPr>
          <w:i/>
        </w:rPr>
        <w:t>manufacturing firms</w:t>
      </w:r>
      <w:r w:rsidRPr="0045227F">
        <w:t>, I will give explan</w:t>
      </w:r>
      <w:r w:rsidR="000E1AAE">
        <w:t>a</w:t>
      </w:r>
      <w:r w:rsidRPr="0045227F">
        <w:t xml:space="preserve">tions for the insignificant impact of cultural distance and the negative impact of firm size on entry mode choices. </w:t>
      </w:r>
      <w:r w:rsidR="002D3B90" w:rsidRPr="0045227F">
        <w:t>The insignificant effect of cultural distance is in line with some prior studies</w:t>
      </w:r>
      <w:r w:rsidR="00AC2F7B" w:rsidRPr="0045227F">
        <w:t xml:space="preserve"> (Contractor &amp; Kundu, 1998; Luo, 2001).</w:t>
      </w:r>
      <w:r w:rsidR="00597695" w:rsidRPr="0045227F">
        <w:t xml:space="preserve"> According to</w:t>
      </w:r>
      <w:r w:rsidR="003C5932">
        <w:t xml:space="preserve"> Slangen and Tulder (2009)</w:t>
      </w:r>
      <w:r w:rsidR="00597695" w:rsidRPr="0045227F">
        <w:t>, cultural distance is not only the</w:t>
      </w:r>
      <w:r w:rsidR="00BC3164" w:rsidRPr="0045227F">
        <w:t xml:space="preserve"> proxy for external uncertainty when MNEs enter via WOS, </w:t>
      </w:r>
      <w:r w:rsidR="00597695" w:rsidRPr="0045227F">
        <w:t xml:space="preserve">but also </w:t>
      </w:r>
      <w:r w:rsidR="00BC3164" w:rsidRPr="0045227F">
        <w:t>the proxy for internal uncertainty when MNEs enter via JV. Specifically, when cultural distance increases, as mentioned in 2.3.3., the external uncertainty would increase, leading to the higher costs if MNEs penetrate via WOS and thus, MNEs would prefer to choose JV</w:t>
      </w:r>
      <w:r w:rsidR="00340A6C" w:rsidRPr="0045227F">
        <w:t xml:space="preserve"> to reduce costs</w:t>
      </w:r>
      <w:r w:rsidR="00BC3164" w:rsidRPr="0045227F">
        <w:t xml:space="preserve">. However, </w:t>
      </w:r>
      <w:r w:rsidR="001D33D7">
        <w:t xml:space="preserve">they also </w:t>
      </w:r>
      <w:r w:rsidR="00BC3164" w:rsidRPr="0045227F">
        <w:t xml:space="preserve">claim that JV at that time also increases the transaction costs </w:t>
      </w:r>
      <w:r w:rsidR="00340A6C" w:rsidRPr="0045227F">
        <w:t xml:space="preserve">because </w:t>
      </w:r>
      <w:r w:rsidR="00BC3164" w:rsidRPr="0045227F">
        <w:t xml:space="preserve">of </w:t>
      </w:r>
      <w:r w:rsidR="00340A6C" w:rsidRPr="0045227F">
        <w:t xml:space="preserve">higher internal uncertainty. Higher internal uncertainty </w:t>
      </w:r>
      <w:r w:rsidR="00D570E2" w:rsidRPr="0045227F">
        <w:t xml:space="preserve">results from </w:t>
      </w:r>
      <w:r w:rsidR="00BC3164" w:rsidRPr="0045227F">
        <w:t>the conflicts</w:t>
      </w:r>
      <w:r w:rsidR="00340A6C" w:rsidRPr="0045227F">
        <w:t xml:space="preserve"> and</w:t>
      </w:r>
      <w:r w:rsidR="00BC3164" w:rsidRPr="0045227F">
        <w:t xml:space="preserve"> </w:t>
      </w:r>
      <w:r w:rsidR="00340A6C" w:rsidRPr="0045227F">
        <w:t xml:space="preserve">misunderstanding </w:t>
      </w:r>
      <w:r w:rsidR="00D570E2" w:rsidRPr="0045227F">
        <w:t>due to</w:t>
      </w:r>
      <w:r w:rsidR="00340A6C" w:rsidRPr="0045227F">
        <w:t xml:space="preserve"> different </w:t>
      </w:r>
      <w:r w:rsidR="00D570E2" w:rsidRPr="0045227F">
        <w:t xml:space="preserve">production, management </w:t>
      </w:r>
      <w:r w:rsidR="00340A6C" w:rsidRPr="0045227F">
        <w:t>practices</w:t>
      </w:r>
      <w:r w:rsidR="00D570E2" w:rsidRPr="0045227F">
        <w:t>; and</w:t>
      </w:r>
      <w:r w:rsidR="00340A6C" w:rsidRPr="0045227F">
        <w:t xml:space="preserve"> communication styles</w:t>
      </w:r>
      <w:r w:rsidR="00D570E2" w:rsidRPr="0045227F">
        <w:t xml:space="preserve"> between different culturally parties</w:t>
      </w:r>
      <w:r w:rsidR="00340A6C" w:rsidRPr="0045227F">
        <w:t xml:space="preserve"> (</w:t>
      </w:r>
      <w:r w:rsidR="00D570E2" w:rsidRPr="0045227F">
        <w:t>Hennart &amp; Zeng, 2002</w:t>
      </w:r>
      <w:r w:rsidR="00F40B6F" w:rsidRPr="0045227F">
        <w:t xml:space="preserve">). </w:t>
      </w:r>
      <w:r w:rsidR="00266614" w:rsidRPr="0045227F">
        <w:t>T</w:t>
      </w:r>
      <w:r w:rsidR="0039789A" w:rsidRPr="0045227F">
        <w:t>he</w:t>
      </w:r>
      <w:r w:rsidR="00F40B6F" w:rsidRPr="0045227F">
        <w:t xml:space="preserve"> conflicts</w:t>
      </w:r>
      <w:r w:rsidR="0039789A" w:rsidRPr="0045227F">
        <w:t xml:space="preserve"> results from high internal uncertainty</w:t>
      </w:r>
      <w:r w:rsidR="00F40B6F" w:rsidRPr="0045227F">
        <w:t xml:space="preserve"> might be more common for manufacturing companies</w:t>
      </w:r>
      <w:r w:rsidR="00266614" w:rsidRPr="0045227F">
        <w:t xml:space="preserve"> than services firms</w:t>
      </w:r>
      <w:r w:rsidR="00F40B6F" w:rsidRPr="0045227F">
        <w:t xml:space="preserve"> since partners have to expose </w:t>
      </w:r>
      <w:r w:rsidR="00D570E2" w:rsidRPr="0045227F">
        <w:t xml:space="preserve">more </w:t>
      </w:r>
      <w:r w:rsidR="00F40B6F" w:rsidRPr="0045227F">
        <w:t xml:space="preserve">to the </w:t>
      </w:r>
      <w:r w:rsidR="0039789A" w:rsidRPr="0045227F">
        <w:t>production process and the number of employees also seems bigger</w:t>
      </w:r>
      <w:r w:rsidR="00F40B6F" w:rsidRPr="0045227F">
        <w:t xml:space="preserve">. </w:t>
      </w:r>
      <w:r w:rsidR="00266614" w:rsidRPr="0045227F">
        <w:t>Therefore, when manufacturing firms invest via JV, at the same time the costs are reduced thanks to lower external uncertainty and increased due to higher internal uncertainty, making no mode of entry seems more beneficial than another.</w:t>
      </w:r>
      <w:r w:rsidR="0039789A" w:rsidRPr="0045227F">
        <w:t xml:space="preserve"> </w:t>
      </w:r>
      <w:r w:rsidR="00F40B6F" w:rsidRPr="0045227F">
        <w:t xml:space="preserve">Moreover, </w:t>
      </w:r>
      <w:r w:rsidR="00553655" w:rsidRPr="0045227F">
        <w:t>manufacturing firms generally have their fixed products and production lines</w:t>
      </w:r>
      <w:r w:rsidR="00B54F2A" w:rsidRPr="0045227F">
        <w:t xml:space="preserve"> and they </w:t>
      </w:r>
      <w:r w:rsidR="00B8485B" w:rsidRPr="0045227F">
        <w:t>do not want</w:t>
      </w:r>
      <w:r w:rsidR="00B54F2A" w:rsidRPr="0045227F">
        <w:t xml:space="preserve"> to </w:t>
      </w:r>
      <w:r w:rsidR="00B8485B" w:rsidRPr="0045227F">
        <w:t>change their products to make it match the special norms and values of India, especially</w:t>
      </w:r>
      <w:r w:rsidR="000E6B6C">
        <w:t xml:space="preserve"> when</w:t>
      </w:r>
      <w:r w:rsidR="00B8485B" w:rsidRPr="0045227F">
        <w:t xml:space="preserve"> India values and norms are quite complicated and different from place to place. Therefore, the need for JV of manufacturing </w:t>
      </w:r>
      <w:r w:rsidR="008A6197" w:rsidRPr="0045227F">
        <w:t xml:space="preserve">firms </w:t>
      </w:r>
      <w:r w:rsidR="00B8485B" w:rsidRPr="0045227F">
        <w:t>from culturally distant countries as mentioned in</w:t>
      </w:r>
      <w:r w:rsidR="008A6197" w:rsidRPr="0045227F">
        <w:t xml:space="preserve"> 2.3.3. is weakened. Once manufacturing firms choose the co</w:t>
      </w:r>
      <w:r w:rsidR="000E1AAE">
        <w:t>untry of India to invest, perha</w:t>
      </w:r>
      <w:r w:rsidR="008A6197" w:rsidRPr="0045227F">
        <w:t xml:space="preserve">ps they consider culture of India in that step; </w:t>
      </w:r>
      <w:r w:rsidR="008A6197" w:rsidRPr="0045227F">
        <w:lastRenderedPageBreak/>
        <w:t xml:space="preserve">but when they select the mode of entry, they do not care about cultural distance anymore. Meanwhile, services firms are </w:t>
      </w:r>
      <w:r w:rsidR="00F210F0" w:rsidRPr="0045227F">
        <w:t xml:space="preserve">defined as </w:t>
      </w:r>
      <w:r w:rsidR="00216375" w:rsidRPr="0045227F">
        <w:t>‘</w:t>
      </w:r>
      <w:r w:rsidR="00F210F0" w:rsidRPr="0045227F">
        <w:t>acts or experiences directed toward consumers</w:t>
      </w:r>
      <w:r w:rsidR="00216375" w:rsidRPr="0045227F">
        <w:t>’</w:t>
      </w:r>
      <w:r w:rsidR="00F210F0" w:rsidRPr="0045227F">
        <w:t xml:space="preserve"> </w:t>
      </w:r>
      <w:r w:rsidR="00F210F0" w:rsidRPr="0045227F">
        <w:rPr>
          <w:color w:val="000000" w:themeColor="text1"/>
        </w:rPr>
        <w:t>(Habib &amp; Victor, 1991</w:t>
      </w:r>
      <w:r w:rsidR="00216375" w:rsidRPr="0045227F">
        <w:rPr>
          <w:color w:val="000000" w:themeColor="text1"/>
        </w:rPr>
        <w:t>)</w:t>
      </w:r>
      <w:r w:rsidR="00ED3D14">
        <w:rPr>
          <w:color w:val="000000" w:themeColor="text1"/>
        </w:rPr>
        <w:t xml:space="preserve"> and every </w:t>
      </w:r>
      <w:r w:rsidR="00ED3D14" w:rsidRPr="00ED3D14">
        <w:t xml:space="preserve">service encounter is </w:t>
      </w:r>
      <w:r w:rsidR="00B178C4">
        <w:t xml:space="preserve">supposed to be </w:t>
      </w:r>
      <w:r w:rsidR="00ED3D14" w:rsidRPr="00ED3D14">
        <w:t xml:space="preserve">unique and highly customized (Berry, Parasuraman, </w:t>
      </w:r>
      <w:r w:rsidR="00ED3D14">
        <w:t xml:space="preserve">&amp; </w:t>
      </w:r>
      <w:r w:rsidR="00ED3D14" w:rsidRPr="00ED3D14">
        <w:t>Zeithaml</w:t>
      </w:r>
      <w:r w:rsidR="00ED3D14">
        <w:t xml:space="preserve">, </w:t>
      </w:r>
      <w:r w:rsidR="00ED3D14" w:rsidRPr="00ED3D14">
        <w:t>1985)</w:t>
      </w:r>
      <w:r w:rsidR="00ED3D14">
        <w:rPr>
          <w:color w:val="000000" w:themeColor="text1"/>
        </w:rPr>
        <w:t>;</w:t>
      </w:r>
      <w:r w:rsidR="00216375" w:rsidRPr="0045227F">
        <w:rPr>
          <w:color w:val="000000" w:themeColor="text1"/>
        </w:rPr>
        <w:t xml:space="preserve"> therefore, </w:t>
      </w:r>
      <w:r w:rsidR="000E6B6C">
        <w:rPr>
          <w:color w:val="000000" w:themeColor="text1"/>
        </w:rPr>
        <w:t xml:space="preserve">services firms are badly in need local cultural understanding. As such, </w:t>
      </w:r>
      <w:r w:rsidR="00216375" w:rsidRPr="0045227F">
        <w:rPr>
          <w:color w:val="000000" w:themeColor="text1"/>
        </w:rPr>
        <w:t>althou</w:t>
      </w:r>
      <w:r w:rsidR="000E1AAE">
        <w:rPr>
          <w:color w:val="000000" w:themeColor="text1"/>
        </w:rPr>
        <w:t>gh</w:t>
      </w:r>
      <w:r w:rsidR="00216375" w:rsidRPr="0045227F">
        <w:rPr>
          <w:color w:val="000000" w:themeColor="text1"/>
        </w:rPr>
        <w:t xml:space="preserve"> cultural distance does not have impact on th</w:t>
      </w:r>
      <w:r w:rsidR="000E6B6C">
        <w:rPr>
          <w:color w:val="000000" w:themeColor="text1"/>
        </w:rPr>
        <w:t>e choice of manufacturing firms, it still has significant impact on</w:t>
      </w:r>
      <w:r w:rsidR="00216375" w:rsidRPr="0045227F">
        <w:rPr>
          <w:color w:val="000000" w:themeColor="text1"/>
        </w:rPr>
        <w:t xml:space="preserve"> services </w:t>
      </w:r>
      <w:r w:rsidR="000E6B6C">
        <w:rPr>
          <w:color w:val="000000" w:themeColor="text1"/>
        </w:rPr>
        <w:t>industry entry mode choices</w:t>
      </w:r>
      <w:r w:rsidR="00216375" w:rsidRPr="0045227F">
        <w:rPr>
          <w:color w:val="000000" w:themeColor="text1"/>
        </w:rPr>
        <w:t xml:space="preserve">. </w:t>
      </w:r>
    </w:p>
    <w:p w:rsidR="00216375" w:rsidRPr="0045227F" w:rsidRDefault="00216375" w:rsidP="00216375">
      <w:pPr>
        <w:spacing w:line="360" w:lineRule="auto"/>
        <w:jc w:val="both"/>
        <w:rPr>
          <w:color w:val="000000" w:themeColor="text1"/>
        </w:rPr>
      </w:pPr>
    </w:p>
    <w:p w:rsidR="003C5932" w:rsidRDefault="00216375" w:rsidP="00890CF7">
      <w:pPr>
        <w:spacing w:line="360" w:lineRule="auto"/>
        <w:jc w:val="both"/>
      </w:pPr>
      <w:r w:rsidRPr="0045227F">
        <w:rPr>
          <w:color w:val="000000" w:themeColor="text1"/>
        </w:rPr>
        <w:t>Concerning firm’s size</w:t>
      </w:r>
      <w:r w:rsidR="0090574E" w:rsidRPr="0045227F">
        <w:rPr>
          <w:color w:val="000000" w:themeColor="text1"/>
        </w:rPr>
        <w:t>, the negative relationship between</w:t>
      </w:r>
      <w:r w:rsidR="00360783" w:rsidRPr="0045227F">
        <w:rPr>
          <w:color w:val="000000" w:themeColor="text1"/>
        </w:rPr>
        <w:t xml:space="preserve"> it and WOS is </w:t>
      </w:r>
      <w:r w:rsidR="00DB3C04" w:rsidRPr="0045227F">
        <w:rPr>
          <w:color w:val="000000" w:themeColor="text1"/>
        </w:rPr>
        <w:t>in line with some prior studies (</w:t>
      </w:r>
      <w:r w:rsidR="0090574E" w:rsidRPr="0045227F">
        <w:t>Larimo, 1992; Larimo, 1993; Hennart &amp; Larimo, 1998</w:t>
      </w:r>
      <w:r w:rsidR="00DB3C04" w:rsidRPr="0045227F">
        <w:t>). Although the result for the whole sample is insignificant, the negative trend is still the same between the whole sample and manufacturing firms. Thus, the explanation</w:t>
      </w:r>
      <w:r w:rsidR="006412C4">
        <w:t xml:space="preserve"> for negative trend in section 4</w:t>
      </w:r>
      <w:r w:rsidR="00DB3C04" w:rsidRPr="0045227F">
        <w:t xml:space="preserve">.6 could be used again </w:t>
      </w:r>
      <w:r w:rsidR="00370E63" w:rsidRPr="0045227F">
        <w:t>for this variable</w:t>
      </w:r>
      <w:r w:rsidR="00DB3C04" w:rsidRPr="0045227F">
        <w:t>.</w:t>
      </w:r>
    </w:p>
    <w:p w:rsidR="00D80784" w:rsidRPr="0045227F" w:rsidRDefault="00D80784" w:rsidP="00890CF7">
      <w:pPr>
        <w:spacing w:line="360" w:lineRule="auto"/>
        <w:jc w:val="both"/>
      </w:pPr>
    </w:p>
    <w:p w:rsidR="0047165C" w:rsidRPr="0045227F" w:rsidRDefault="0030209E" w:rsidP="0030209E">
      <w:pPr>
        <w:pStyle w:val="Heading3"/>
      </w:pPr>
      <w:bookmarkStart w:id="108" w:name="_Toc489287964"/>
      <w:r w:rsidRPr="0045227F">
        <w:t xml:space="preserve">4.7.2. </w:t>
      </w:r>
      <w:r w:rsidR="00084FAB" w:rsidRPr="0045227F">
        <w:t>Separate dimensions of governance distance</w:t>
      </w:r>
      <w:bookmarkEnd w:id="108"/>
    </w:p>
    <w:p w:rsidR="0030209E" w:rsidRPr="0045227F" w:rsidRDefault="0030209E" w:rsidP="0030209E"/>
    <w:p w:rsidR="00A73761" w:rsidRPr="0045227F" w:rsidRDefault="00350E6B" w:rsidP="00A73761">
      <w:pPr>
        <w:spacing w:line="360" w:lineRule="auto"/>
        <w:jc w:val="both"/>
      </w:pPr>
      <w:r>
        <w:t>As mentioned earlier, separate dimensions of governance</w:t>
      </w:r>
      <w:r w:rsidRPr="00350E6B">
        <w:t xml:space="preserve"> have long time used in prior </w:t>
      </w:r>
      <w:r w:rsidR="00943B74">
        <w:t xml:space="preserve">entry mode choices </w:t>
      </w:r>
      <w:r w:rsidRPr="00350E6B">
        <w:t>studies</w:t>
      </w:r>
      <w:r w:rsidR="00943B74">
        <w:t xml:space="preserve">. For example, </w:t>
      </w:r>
      <w:r w:rsidR="00990FBB" w:rsidRPr="00990FBB">
        <w:t>corruption difference</w:t>
      </w:r>
      <w:r w:rsidR="00990FBB">
        <w:t>s between home and host country is studied by Demirbag et al. (</w:t>
      </w:r>
      <w:r w:rsidR="00990FBB" w:rsidRPr="00990FBB">
        <w:t>2007</w:t>
      </w:r>
      <w:r w:rsidR="00990FBB">
        <w:t>) and Duanmu (2011)</w:t>
      </w:r>
      <w:r w:rsidR="00B559FC">
        <w:t xml:space="preserve"> while</w:t>
      </w:r>
      <w:r w:rsidR="00943B74">
        <w:t xml:space="preserve"> </w:t>
      </w:r>
      <w:r w:rsidR="006A5B28">
        <w:t>Yiu</w:t>
      </w:r>
      <w:r w:rsidR="00990FBB">
        <w:t xml:space="preserve"> &amp; </w:t>
      </w:r>
      <w:r w:rsidR="009631A4" w:rsidRPr="009631A4">
        <w:t>Makino</w:t>
      </w:r>
      <w:r w:rsidR="006A5B28">
        <w:t xml:space="preserve"> (</w:t>
      </w:r>
      <w:r w:rsidR="009631A4" w:rsidRPr="009631A4">
        <w:t>2002</w:t>
      </w:r>
      <w:r w:rsidR="006A5B28">
        <w:t>)</w:t>
      </w:r>
      <w:r w:rsidR="009631A4" w:rsidRPr="009631A4">
        <w:t xml:space="preserve"> </w:t>
      </w:r>
      <w:r w:rsidR="006A5B28">
        <w:t xml:space="preserve">study about </w:t>
      </w:r>
      <w:r w:rsidR="00990FBB">
        <w:t xml:space="preserve">regulatory </w:t>
      </w:r>
      <w:r w:rsidR="00943B74">
        <w:t>quality</w:t>
      </w:r>
      <w:r w:rsidR="00990FBB">
        <w:t>. P</w:t>
      </w:r>
      <w:r w:rsidR="006A5B28">
        <w:t xml:space="preserve">olitical risk might be the most common </w:t>
      </w:r>
      <w:r w:rsidR="00B559FC">
        <w:t>aspect</w:t>
      </w:r>
      <w:r w:rsidR="006A5B28">
        <w:t xml:space="preserve"> being studied by numerous scholars </w:t>
      </w:r>
      <w:r w:rsidR="006A5B28" w:rsidRPr="006A5B28">
        <w:t>(Kobrin, 1983; Akhter &amp; Lusch, 1988; Agarwal &amp; Ramaswami, 1992; Beamish &amp; Delios, 1999; Delios &amp; Henisz, 2000; Henisz, 2000</w:t>
      </w:r>
      <w:r w:rsidR="006A5B28">
        <w:t>)</w:t>
      </w:r>
      <w:r w:rsidR="00035737">
        <w:t xml:space="preserve">. </w:t>
      </w:r>
      <w:r w:rsidR="00990FBB">
        <w:t xml:space="preserve">However, </w:t>
      </w:r>
      <w:r w:rsidR="00A56082" w:rsidRPr="0045227F">
        <w:t>Slangen and Tulder (2009) took the first step to</w:t>
      </w:r>
      <w:r w:rsidR="00072221" w:rsidRPr="0045227F">
        <w:t xml:space="preserve"> study the effect of all dimensions of </w:t>
      </w:r>
      <w:r w:rsidR="00072221" w:rsidRPr="0045227F">
        <w:rPr>
          <w:i/>
        </w:rPr>
        <w:t>governance quality</w:t>
      </w:r>
      <w:r w:rsidR="00072221" w:rsidRPr="0045227F">
        <w:t xml:space="preserve"> on entry mode choice</w:t>
      </w:r>
      <w:r w:rsidR="00A56082" w:rsidRPr="0045227F">
        <w:t xml:space="preserve">. </w:t>
      </w:r>
      <w:r w:rsidR="008A33B3" w:rsidRPr="0045227F">
        <w:t>They argue that the impact of</w:t>
      </w:r>
      <w:r w:rsidR="00C90E5C">
        <w:t xml:space="preserve"> each dimension</w:t>
      </w:r>
      <w:r w:rsidR="008A33B3" w:rsidRPr="0045227F">
        <w:t xml:space="preserve"> </w:t>
      </w:r>
      <w:r w:rsidR="00BE1F04">
        <w:t xml:space="preserve">on entry </w:t>
      </w:r>
      <w:r w:rsidR="008A33B3" w:rsidRPr="0045227F">
        <w:t xml:space="preserve">mode choices actually reflects the impact of </w:t>
      </w:r>
      <w:r w:rsidR="008A33B3" w:rsidRPr="0045227F">
        <w:rPr>
          <w:i/>
        </w:rPr>
        <w:t>distance</w:t>
      </w:r>
      <w:r w:rsidR="00C90E5C">
        <w:t xml:space="preserve"> between home and host country in that dimension </w:t>
      </w:r>
      <w:r w:rsidR="008A33B3" w:rsidRPr="0045227F">
        <w:t xml:space="preserve">since </w:t>
      </w:r>
      <w:r w:rsidR="0029521E">
        <w:t>they</w:t>
      </w:r>
      <w:r w:rsidR="008A33B3" w:rsidRPr="0045227F">
        <w:t xml:space="preserve"> only </w:t>
      </w:r>
      <w:r w:rsidR="0029521E">
        <w:t xml:space="preserve">has </w:t>
      </w:r>
      <w:r w:rsidR="008A33B3" w:rsidRPr="0045227F">
        <w:t>one home country</w:t>
      </w:r>
      <w:r w:rsidR="00ED49F6" w:rsidRPr="00ED49F6">
        <w:t xml:space="preserve"> </w:t>
      </w:r>
      <w:r w:rsidR="00ED49F6" w:rsidRPr="0045227F">
        <w:t>in the sample</w:t>
      </w:r>
      <w:r w:rsidR="008A33B3" w:rsidRPr="0045227F">
        <w:t xml:space="preserve">. </w:t>
      </w:r>
      <w:r w:rsidR="00FA1FAC" w:rsidRPr="0045227F">
        <w:t>Therefore, I would like to examine whethe</w:t>
      </w:r>
      <w:r w:rsidR="008A33B3" w:rsidRPr="0045227F">
        <w:t>r,</w:t>
      </w:r>
      <w:r w:rsidR="00FA1FAC" w:rsidRPr="0045227F">
        <w:t xml:space="preserve"> </w:t>
      </w:r>
      <w:r w:rsidR="008A33B3" w:rsidRPr="0045227F">
        <w:t xml:space="preserve">in the context of India, </w:t>
      </w:r>
      <w:r w:rsidR="00C90E5C">
        <w:t xml:space="preserve">whether </w:t>
      </w:r>
      <w:r w:rsidR="00072221" w:rsidRPr="0045227F">
        <w:t xml:space="preserve">all of component </w:t>
      </w:r>
      <w:r w:rsidR="00072221" w:rsidRPr="0045227F">
        <w:rPr>
          <w:i/>
        </w:rPr>
        <w:t>distances</w:t>
      </w:r>
      <w:r w:rsidR="00072221" w:rsidRPr="0045227F">
        <w:t xml:space="preserve"> </w:t>
      </w:r>
      <w:r w:rsidR="003814AC" w:rsidRPr="0045227F">
        <w:t>have impact on the entry mode choices or not, and is there</w:t>
      </w:r>
      <w:r w:rsidR="008A33B3" w:rsidRPr="0045227F">
        <w:t xml:space="preserve"> a</w:t>
      </w:r>
      <w:r w:rsidR="003814AC" w:rsidRPr="0045227F">
        <w:t xml:space="preserve"> possibility that </w:t>
      </w:r>
      <w:r w:rsidR="00FA1FAC" w:rsidRPr="0045227F">
        <w:t>some of the compon</w:t>
      </w:r>
      <w:r w:rsidR="003814AC" w:rsidRPr="0045227F">
        <w:t xml:space="preserve">ents are more important than others. </w:t>
      </w:r>
      <w:r w:rsidR="00A73761" w:rsidRPr="0045227F">
        <w:t xml:space="preserve">Six dimensions of governance </w:t>
      </w:r>
      <w:r w:rsidR="00743924" w:rsidRPr="0045227F">
        <w:t>quality</w:t>
      </w:r>
      <w:r w:rsidR="00A73761" w:rsidRPr="0045227F">
        <w:t xml:space="preserve"> incl</w:t>
      </w:r>
      <w:r w:rsidR="003814AC" w:rsidRPr="0045227F">
        <w:t>ude</w:t>
      </w:r>
      <w:r w:rsidR="00A73761" w:rsidRPr="0045227F">
        <w:t xml:space="preserve"> </w:t>
      </w:r>
      <w:r w:rsidR="00A278B8" w:rsidRPr="0045227F">
        <w:rPr>
          <w:color w:val="000000" w:themeColor="text1"/>
        </w:rPr>
        <w:t xml:space="preserve">Voice and </w:t>
      </w:r>
      <w:r w:rsidR="00A278B8" w:rsidRPr="0045227F">
        <w:rPr>
          <w:noProof/>
          <w:color w:val="000000" w:themeColor="text1"/>
        </w:rPr>
        <w:t>Accountability, Political Stability and Absence of Violence, Government</w:t>
      </w:r>
      <w:r w:rsidR="00A278B8" w:rsidRPr="0045227F">
        <w:rPr>
          <w:color w:val="000000" w:themeColor="text1"/>
        </w:rPr>
        <w:t xml:space="preserve"> Effectiveness, Regulatory Quality, Rule of Law, Control of Corruption</w:t>
      </w:r>
      <w:r w:rsidR="00A278B8" w:rsidRPr="0045227F">
        <w:t xml:space="preserve">, </w:t>
      </w:r>
      <w:r w:rsidR="00A73761" w:rsidRPr="0045227F">
        <w:t xml:space="preserve">which are presented clearly in the section </w:t>
      </w:r>
      <w:r w:rsidR="00A73761" w:rsidRPr="006A0B43">
        <w:rPr>
          <w:noProof/>
        </w:rPr>
        <w:t>3.3.4. To estimate the distance of</w:t>
      </w:r>
      <w:r w:rsidR="00A73761" w:rsidRPr="0045227F">
        <w:t xml:space="preserve"> </w:t>
      </w:r>
      <w:r w:rsidR="004C3486" w:rsidRPr="0045227F">
        <w:t>each</w:t>
      </w:r>
      <w:r w:rsidR="00A73761" w:rsidRPr="0045227F">
        <w:t xml:space="preserve"> dimension between India and MNEs’ home countries, the absolute difference between the score of India and </w:t>
      </w:r>
      <w:r w:rsidR="004C3486" w:rsidRPr="0045227F">
        <w:t xml:space="preserve">each </w:t>
      </w:r>
      <w:r w:rsidR="00A73761" w:rsidRPr="0045227F">
        <w:t>home countr</w:t>
      </w:r>
      <w:r w:rsidR="004C3486" w:rsidRPr="0045227F">
        <w:t>y</w:t>
      </w:r>
      <w:r w:rsidR="00A73761" w:rsidRPr="0045227F">
        <w:t xml:space="preserve"> in </w:t>
      </w:r>
      <w:r w:rsidR="004C3486" w:rsidRPr="0045227F">
        <w:t>that</w:t>
      </w:r>
      <w:r w:rsidR="00A73761" w:rsidRPr="0045227F">
        <w:t xml:space="preserve"> dimension are used.</w:t>
      </w:r>
      <w:r w:rsidR="00A278B8" w:rsidRPr="0045227F">
        <w:t xml:space="preserve"> </w:t>
      </w:r>
      <w:r w:rsidR="000B22F0">
        <w:t>The model of</w:t>
      </w:r>
      <w:r w:rsidR="003814AC" w:rsidRPr="0045227F">
        <w:t xml:space="preserve"> </w:t>
      </w:r>
      <w:r w:rsidR="0030544D" w:rsidRPr="0045227F">
        <w:rPr>
          <w:color w:val="000000" w:themeColor="text1"/>
        </w:rPr>
        <w:t>voice and a</w:t>
      </w:r>
      <w:r w:rsidR="00FA1FAC" w:rsidRPr="0045227F">
        <w:rPr>
          <w:color w:val="000000" w:themeColor="text1"/>
        </w:rPr>
        <w:t>ccountability</w:t>
      </w:r>
      <w:r w:rsidR="0030544D" w:rsidRPr="0045227F">
        <w:rPr>
          <w:color w:val="000000" w:themeColor="text1"/>
        </w:rPr>
        <w:t xml:space="preserve"> </w:t>
      </w:r>
      <w:r w:rsidR="0030544D" w:rsidRPr="0045227F">
        <w:rPr>
          <w:color w:val="000000" w:themeColor="text1"/>
        </w:rPr>
        <w:lastRenderedPageBreak/>
        <w:t>distance, political s</w:t>
      </w:r>
      <w:r w:rsidR="00FA1FAC" w:rsidRPr="0045227F">
        <w:rPr>
          <w:color w:val="000000" w:themeColor="text1"/>
        </w:rPr>
        <w:t>tability an</w:t>
      </w:r>
      <w:r w:rsidR="0030544D" w:rsidRPr="0045227F">
        <w:rPr>
          <w:color w:val="000000" w:themeColor="text1"/>
        </w:rPr>
        <w:t>d a</w:t>
      </w:r>
      <w:r w:rsidR="00FA1FAC" w:rsidRPr="0045227F">
        <w:rPr>
          <w:color w:val="000000" w:themeColor="text1"/>
        </w:rPr>
        <w:t xml:space="preserve">bsence of </w:t>
      </w:r>
      <w:r w:rsidR="0030544D" w:rsidRPr="0045227F">
        <w:rPr>
          <w:color w:val="000000" w:themeColor="text1"/>
        </w:rPr>
        <w:t>violence distance, government e</w:t>
      </w:r>
      <w:r w:rsidR="00FA1FAC" w:rsidRPr="0045227F">
        <w:rPr>
          <w:color w:val="000000" w:themeColor="text1"/>
        </w:rPr>
        <w:t>ffectiveness</w:t>
      </w:r>
      <w:r w:rsidR="0030544D" w:rsidRPr="0045227F">
        <w:rPr>
          <w:color w:val="000000" w:themeColor="text1"/>
        </w:rPr>
        <w:t xml:space="preserve"> distance</w:t>
      </w:r>
      <w:r w:rsidR="00FA1FAC" w:rsidRPr="0045227F">
        <w:rPr>
          <w:color w:val="000000" w:themeColor="text1"/>
        </w:rPr>
        <w:t xml:space="preserve">, </w:t>
      </w:r>
      <w:r w:rsidR="0030544D" w:rsidRPr="0045227F">
        <w:rPr>
          <w:color w:val="000000" w:themeColor="text1"/>
        </w:rPr>
        <w:t>regulatory quality distance, rule of law distance, control of c</w:t>
      </w:r>
      <w:r w:rsidR="00FA1FAC" w:rsidRPr="0045227F">
        <w:rPr>
          <w:color w:val="000000" w:themeColor="text1"/>
        </w:rPr>
        <w:t>orruption</w:t>
      </w:r>
      <w:r w:rsidR="0030544D" w:rsidRPr="0045227F">
        <w:rPr>
          <w:color w:val="000000" w:themeColor="text1"/>
        </w:rPr>
        <w:t xml:space="preserve"> distance</w:t>
      </w:r>
      <w:r w:rsidR="00FA1FAC" w:rsidRPr="0045227F">
        <w:rPr>
          <w:color w:val="000000" w:themeColor="text1"/>
        </w:rPr>
        <w:t xml:space="preserve"> and </w:t>
      </w:r>
      <w:r w:rsidR="000B22F0">
        <w:rPr>
          <w:color w:val="000000" w:themeColor="text1"/>
        </w:rPr>
        <w:t>composite governance distance</w:t>
      </w:r>
      <w:r w:rsidR="00FA1FAC" w:rsidRPr="0045227F">
        <w:rPr>
          <w:color w:val="000000" w:themeColor="text1"/>
        </w:rPr>
        <w:t xml:space="preserve"> </w:t>
      </w:r>
      <w:r w:rsidR="00C90E5C" w:rsidRPr="0045227F">
        <w:rPr>
          <w:color w:val="000000" w:themeColor="text1"/>
        </w:rPr>
        <w:t xml:space="preserve">respectively </w:t>
      </w:r>
      <w:r w:rsidR="00FA1FAC" w:rsidRPr="0045227F">
        <w:rPr>
          <w:color w:val="000000" w:themeColor="text1"/>
        </w:rPr>
        <w:t>are presented as below:</w:t>
      </w:r>
    </w:p>
    <w:tbl>
      <w:tblPr>
        <w:tblW w:w="9555" w:type="dxa"/>
        <w:tblInd w:w="93" w:type="dxa"/>
        <w:tblLook w:val="04A0" w:firstRow="1" w:lastRow="0" w:firstColumn="1" w:lastColumn="0" w:noHBand="0" w:noVBand="1"/>
      </w:tblPr>
      <w:tblGrid>
        <w:gridCol w:w="1349"/>
        <w:gridCol w:w="1174"/>
        <w:gridCol w:w="1173"/>
        <w:gridCol w:w="1173"/>
        <w:gridCol w:w="1174"/>
        <w:gridCol w:w="1173"/>
        <w:gridCol w:w="1173"/>
        <w:gridCol w:w="1166"/>
      </w:tblGrid>
      <w:tr w:rsidR="004F7AF3" w:rsidRPr="000116F1" w:rsidTr="000B22F0">
        <w:trPr>
          <w:trHeight w:val="459"/>
        </w:trPr>
        <w:tc>
          <w:tcPr>
            <w:tcW w:w="1349" w:type="dxa"/>
            <w:tcBorders>
              <w:top w:val="single" w:sz="4" w:space="0" w:color="auto"/>
              <w:left w:val="nil"/>
              <w:bottom w:val="single" w:sz="4" w:space="0" w:color="auto"/>
              <w:right w:val="single" w:sz="4" w:space="0" w:color="auto"/>
            </w:tcBorders>
            <w:shd w:val="clear" w:color="auto" w:fill="auto"/>
            <w:noWrap/>
            <w:vAlign w:val="bottom"/>
            <w:hideMark/>
          </w:tcPr>
          <w:p w:rsidR="00817420" w:rsidRPr="000116F1" w:rsidRDefault="00817420" w:rsidP="00817420">
            <w:pPr>
              <w:rPr>
                <w:color w:val="000000"/>
                <w:sz w:val="20"/>
                <w:szCs w:val="20"/>
              </w:rPr>
            </w:pPr>
            <w:r w:rsidRPr="000116F1">
              <w:rPr>
                <w:color w:val="000000"/>
                <w:sz w:val="20"/>
                <w:szCs w:val="20"/>
              </w:rPr>
              <w:t>Variable</w:t>
            </w:r>
          </w:p>
        </w:tc>
        <w:tc>
          <w:tcPr>
            <w:tcW w:w="1174" w:type="dxa"/>
            <w:tcBorders>
              <w:top w:val="single" w:sz="4" w:space="0" w:color="auto"/>
              <w:left w:val="nil"/>
              <w:bottom w:val="single" w:sz="4" w:space="0" w:color="auto"/>
              <w:right w:val="nil"/>
            </w:tcBorders>
            <w:shd w:val="clear" w:color="auto" w:fill="auto"/>
            <w:noWrap/>
            <w:vAlign w:val="bottom"/>
            <w:hideMark/>
          </w:tcPr>
          <w:p w:rsidR="00817420" w:rsidRPr="000116F1" w:rsidRDefault="00817420" w:rsidP="00817420">
            <w:pPr>
              <w:rPr>
                <w:color w:val="000000"/>
                <w:sz w:val="20"/>
                <w:szCs w:val="20"/>
              </w:rPr>
            </w:pPr>
            <w:r w:rsidRPr="000116F1">
              <w:rPr>
                <w:color w:val="000000"/>
                <w:sz w:val="20"/>
                <w:szCs w:val="20"/>
              </w:rPr>
              <w:t>M</w:t>
            </w:r>
            <w:r>
              <w:rPr>
                <w:color w:val="000000"/>
                <w:sz w:val="20"/>
                <w:szCs w:val="20"/>
              </w:rPr>
              <w:t>odel</w:t>
            </w:r>
            <w:r w:rsidRPr="000116F1">
              <w:rPr>
                <w:color w:val="000000"/>
                <w:sz w:val="20"/>
                <w:szCs w:val="20"/>
              </w:rPr>
              <w:t>_1</w:t>
            </w:r>
          </w:p>
        </w:tc>
        <w:tc>
          <w:tcPr>
            <w:tcW w:w="1173" w:type="dxa"/>
            <w:tcBorders>
              <w:top w:val="single" w:sz="4" w:space="0" w:color="auto"/>
              <w:left w:val="nil"/>
              <w:bottom w:val="single" w:sz="4" w:space="0" w:color="auto"/>
              <w:right w:val="nil"/>
            </w:tcBorders>
            <w:shd w:val="clear" w:color="auto" w:fill="auto"/>
            <w:noWrap/>
            <w:vAlign w:val="bottom"/>
            <w:hideMark/>
          </w:tcPr>
          <w:p w:rsidR="00817420" w:rsidRPr="000116F1" w:rsidRDefault="00817420" w:rsidP="00817420">
            <w:pPr>
              <w:rPr>
                <w:color w:val="000000"/>
                <w:sz w:val="20"/>
                <w:szCs w:val="20"/>
              </w:rPr>
            </w:pPr>
            <w:r>
              <w:rPr>
                <w:color w:val="000000"/>
                <w:sz w:val="20"/>
                <w:szCs w:val="20"/>
              </w:rPr>
              <w:t>Model</w:t>
            </w:r>
            <w:r w:rsidRPr="000116F1">
              <w:rPr>
                <w:color w:val="000000"/>
                <w:sz w:val="20"/>
                <w:szCs w:val="20"/>
              </w:rPr>
              <w:t>_2</w:t>
            </w:r>
          </w:p>
        </w:tc>
        <w:tc>
          <w:tcPr>
            <w:tcW w:w="1173" w:type="dxa"/>
            <w:tcBorders>
              <w:top w:val="single" w:sz="4" w:space="0" w:color="auto"/>
              <w:left w:val="nil"/>
              <w:bottom w:val="single" w:sz="4" w:space="0" w:color="auto"/>
              <w:right w:val="nil"/>
            </w:tcBorders>
            <w:shd w:val="clear" w:color="auto" w:fill="auto"/>
            <w:noWrap/>
            <w:vAlign w:val="bottom"/>
            <w:hideMark/>
          </w:tcPr>
          <w:p w:rsidR="00817420" w:rsidRPr="000116F1" w:rsidRDefault="00817420" w:rsidP="00817420">
            <w:pPr>
              <w:rPr>
                <w:color w:val="000000"/>
                <w:sz w:val="20"/>
                <w:szCs w:val="20"/>
              </w:rPr>
            </w:pPr>
            <w:r>
              <w:rPr>
                <w:color w:val="000000"/>
                <w:sz w:val="20"/>
                <w:szCs w:val="20"/>
              </w:rPr>
              <w:t>Model</w:t>
            </w:r>
            <w:r w:rsidRPr="000116F1">
              <w:rPr>
                <w:color w:val="000000"/>
                <w:sz w:val="20"/>
                <w:szCs w:val="20"/>
              </w:rPr>
              <w:t>_3</w:t>
            </w:r>
          </w:p>
        </w:tc>
        <w:tc>
          <w:tcPr>
            <w:tcW w:w="1174" w:type="dxa"/>
            <w:tcBorders>
              <w:top w:val="single" w:sz="4" w:space="0" w:color="auto"/>
              <w:left w:val="nil"/>
              <w:bottom w:val="single" w:sz="4" w:space="0" w:color="auto"/>
              <w:right w:val="nil"/>
            </w:tcBorders>
            <w:shd w:val="clear" w:color="auto" w:fill="auto"/>
            <w:noWrap/>
            <w:vAlign w:val="bottom"/>
            <w:hideMark/>
          </w:tcPr>
          <w:p w:rsidR="00817420" w:rsidRPr="000116F1" w:rsidRDefault="00817420" w:rsidP="00817420">
            <w:pPr>
              <w:rPr>
                <w:color w:val="000000"/>
                <w:sz w:val="20"/>
                <w:szCs w:val="20"/>
              </w:rPr>
            </w:pPr>
            <w:r w:rsidRPr="000116F1">
              <w:rPr>
                <w:color w:val="000000"/>
                <w:sz w:val="20"/>
                <w:szCs w:val="20"/>
              </w:rPr>
              <w:t>M</w:t>
            </w:r>
            <w:r>
              <w:rPr>
                <w:color w:val="000000"/>
                <w:sz w:val="20"/>
                <w:szCs w:val="20"/>
              </w:rPr>
              <w:t>odel</w:t>
            </w:r>
            <w:r w:rsidRPr="000116F1">
              <w:rPr>
                <w:color w:val="000000"/>
                <w:sz w:val="20"/>
                <w:szCs w:val="20"/>
              </w:rPr>
              <w:t xml:space="preserve">_4         </w:t>
            </w:r>
          </w:p>
        </w:tc>
        <w:tc>
          <w:tcPr>
            <w:tcW w:w="1173" w:type="dxa"/>
            <w:tcBorders>
              <w:top w:val="single" w:sz="4" w:space="0" w:color="auto"/>
              <w:left w:val="nil"/>
              <w:bottom w:val="single" w:sz="4" w:space="0" w:color="auto"/>
              <w:right w:val="nil"/>
            </w:tcBorders>
            <w:shd w:val="clear" w:color="auto" w:fill="auto"/>
            <w:noWrap/>
            <w:vAlign w:val="bottom"/>
            <w:hideMark/>
          </w:tcPr>
          <w:p w:rsidR="00817420" w:rsidRPr="000116F1" w:rsidRDefault="00817420" w:rsidP="00817420">
            <w:pPr>
              <w:rPr>
                <w:color w:val="000000"/>
                <w:sz w:val="20"/>
                <w:szCs w:val="20"/>
              </w:rPr>
            </w:pPr>
            <w:r w:rsidRPr="000116F1">
              <w:rPr>
                <w:color w:val="000000"/>
                <w:sz w:val="20"/>
                <w:szCs w:val="20"/>
              </w:rPr>
              <w:t>M</w:t>
            </w:r>
            <w:r>
              <w:rPr>
                <w:color w:val="000000"/>
                <w:sz w:val="20"/>
                <w:szCs w:val="20"/>
              </w:rPr>
              <w:t>odel</w:t>
            </w:r>
            <w:r w:rsidRPr="000116F1">
              <w:rPr>
                <w:color w:val="000000"/>
                <w:sz w:val="20"/>
                <w:szCs w:val="20"/>
              </w:rPr>
              <w:t>_5</w:t>
            </w:r>
          </w:p>
        </w:tc>
        <w:tc>
          <w:tcPr>
            <w:tcW w:w="1173" w:type="dxa"/>
            <w:tcBorders>
              <w:top w:val="single" w:sz="4" w:space="0" w:color="auto"/>
              <w:left w:val="nil"/>
              <w:bottom w:val="single" w:sz="4" w:space="0" w:color="auto"/>
              <w:right w:val="nil"/>
            </w:tcBorders>
            <w:shd w:val="clear" w:color="auto" w:fill="auto"/>
            <w:noWrap/>
            <w:vAlign w:val="bottom"/>
            <w:hideMark/>
          </w:tcPr>
          <w:p w:rsidR="00817420" w:rsidRPr="000116F1" w:rsidRDefault="00817420" w:rsidP="00817420">
            <w:pPr>
              <w:rPr>
                <w:color w:val="000000"/>
                <w:sz w:val="20"/>
                <w:szCs w:val="20"/>
              </w:rPr>
            </w:pPr>
            <w:r w:rsidRPr="000116F1">
              <w:rPr>
                <w:color w:val="000000"/>
                <w:sz w:val="20"/>
                <w:szCs w:val="20"/>
              </w:rPr>
              <w:t>M</w:t>
            </w:r>
            <w:r>
              <w:rPr>
                <w:color w:val="000000"/>
                <w:sz w:val="20"/>
                <w:szCs w:val="20"/>
              </w:rPr>
              <w:t>odel</w:t>
            </w:r>
            <w:r w:rsidRPr="000116F1">
              <w:rPr>
                <w:color w:val="000000"/>
                <w:sz w:val="20"/>
                <w:szCs w:val="20"/>
              </w:rPr>
              <w:t xml:space="preserve">_6     </w:t>
            </w:r>
          </w:p>
        </w:tc>
        <w:tc>
          <w:tcPr>
            <w:tcW w:w="1166" w:type="dxa"/>
            <w:tcBorders>
              <w:top w:val="single" w:sz="4" w:space="0" w:color="auto"/>
              <w:left w:val="nil"/>
              <w:bottom w:val="single" w:sz="4" w:space="0" w:color="auto"/>
              <w:right w:val="nil"/>
            </w:tcBorders>
            <w:vAlign w:val="bottom"/>
          </w:tcPr>
          <w:p w:rsidR="00817420" w:rsidRPr="000116F1" w:rsidRDefault="00817420" w:rsidP="00817420">
            <w:pPr>
              <w:rPr>
                <w:color w:val="000000"/>
                <w:sz w:val="20"/>
                <w:szCs w:val="20"/>
              </w:rPr>
            </w:pPr>
            <w:r>
              <w:rPr>
                <w:color w:val="000000"/>
                <w:sz w:val="20"/>
                <w:szCs w:val="20"/>
              </w:rPr>
              <w:t>Model_7</w:t>
            </w:r>
          </w:p>
        </w:tc>
      </w:tr>
      <w:tr w:rsidR="004F7AF3" w:rsidRPr="000116F1" w:rsidTr="000B22F0">
        <w:trPr>
          <w:trHeight w:val="459"/>
        </w:trPr>
        <w:tc>
          <w:tcPr>
            <w:tcW w:w="1349" w:type="dxa"/>
            <w:tcBorders>
              <w:top w:val="nil"/>
              <w:left w:val="nil"/>
              <w:bottom w:val="nil"/>
              <w:right w:val="single" w:sz="4" w:space="0" w:color="auto"/>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Economic distance</w:t>
            </w: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0.2266</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0.2218</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0.2409</w:t>
            </w: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0.2270</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0.2235</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0.2250</w:t>
            </w:r>
          </w:p>
        </w:tc>
        <w:tc>
          <w:tcPr>
            <w:tcW w:w="1166" w:type="dxa"/>
            <w:tcBorders>
              <w:top w:val="nil"/>
              <w:left w:val="nil"/>
              <w:bottom w:val="nil"/>
              <w:right w:val="nil"/>
            </w:tcBorders>
            <w:vAlign w:val="center"/>
          </w:tcPr>
          <w:p w:rsidR="00817420" w:rsidRPr="000116F1" w:rsidRDefault="00E97529" w:rsidP="004F7AF3">
            <w:pPr>
              <w:rPr>
                <w:color w:val="000000"/>
                <w:sz w:val="20"/>
                <w:szCs w:val="20"/>
              </w:rPr>
            </w:pPr>
            <w:r w:rsidRPr="00E97529">
              <w:rPr>
                <w:color w:val="000000"/>
                <w:sz w:val="20"/>
                <w:szCs w:val="20"/>
              </w:rPr>
              <w:t>-</w:t>
            </w:r>
            <w:r>
              <w:rPr>
                <w:color w:val="000000"/>
                <w:sz w:val="20"/>
                <w:szCs w:val="20"/>
              </w:rPr>
              <w:t>0</w:t>
            </w:r>
            <w:r w:rsidRPr="00E97529">
              <w:rPr>
                <w:color w:val="000000"/>
                <w:sz w:val="20"/>
                <w:szCs w:val="20"/>
              </w:rPr>
              <w:t>.4898</w:t>
            </w:r>
            <w:r w:rsidR="000B22F0">
              <w:rPr>
                <w:color w:val="000000"/>
                <w:sz w:val="20"/>
                <w:szCs w:val="20"/>
              </w:rPr>
              <w:t>**</w:t>
            </w:r>
          </w:p>
        </w:tc>
      </w:tr>
      <w:tr w:rsidR="004F7AF3" w:rsidRPr="000116F1" w:rsidTr="000B22F0">
        <w:trPr>
          <w:trHeight w:val="459"/>
        </w:trPr>
        <w:tc>
          <w:tcPr>
            <w:tcW w:w="1349" w:type="dxa"/>
            <w:tcBorders>
              <w:top w:val="nil"/>
              <w:left w:val="nil"/>
              <w:bottom w:val="nil"/>
              <w:right w:val="single" w:sz="4" w:space="0" w:color="auto"/>
            </w:tcBorders>
            <w:shd w:val="clear" w:color="auto" w:fill="auto"/>
            <w:noWrap/>
            <w:vAlign w:val="center"/>
            <w:hideMark/>
          </w:tcPr>
          <w:p w:rsidR="00817420" w:rsidRDefault="00817420" w:rsidP="004F7AF3">
            <w:pPr>
              <w:rPr>
                <w:color w:val="000000"/>
                <w:sz w:val="20"/>
                <w:szCs w:val="20"/>
              </w:rPr>
            </w:pPr>
            <w:r w:rsidRPr="000116F1">
              <w:rPr>
                <w:color w:val="000000"/>
                <w:sz w:val="20"/>
                <w:szCs w:val="20"/>
              </w:rPr>
              <w:t>Geographic distance</w:t>
            </w:r>
          </w:p>
          <w:p w:rsidR="004F7AF3" w:rsidRPr="000116F1" w:rsidRDefault="004F7AF3" w:rsidP="004F7AF3">
            <w:pPr>
              <w:rPr>
                <w:color w:val="000000"/>
                <w:sz w:val="20"/>
                <w:szCs w:val="20"/>
              </w:rPr>
            </w:pP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0.7604***</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0.7570***</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0.7517***</w:t>
            </w: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 xml:space="preserve">0.7457***   </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0.7543***</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 xml:space="preserve">0.7539***  </w:t>
            </w:r>
          </w:p>
        </w:tc>
        <w:tc>
          <w:tcPr>
            <w:tcW w:w="1166" w:type="dxa"/>
            <w:tcBorders>
              <w:top w:val="nil"/>
              <w:left w:val="nil"/>
              <w:bottom w:val="nil"/>
              <w:right w:val="nil"/>
            </w:tcBorders>
            <w:vAlign w:val="center"/>
          </w:tcPr>
          <w:p w:rsidR="00817420" w:rsidRPr="000116F1" w:rsidRDefault="00E97529" w:rsidP="004F7AF3">
            <w:pPr>
              <w:rPr>
                <w:color w:val="000000"/>
                <w:sz w:val="20"/>
                <w:szCs w:val="20"/>
              </w:rPr>
            </w:pPr>
            <w:r w:rsidRPr="00E97529">
              <w:rPr>
                <w:color w:val="000000"/>
                <w:sz w:val="20"/>
                <w:szCs w:val="20"/>
              </w:rPr>
              <w:t>1.0396</w:t>
            </w:r>
            <w:r w:rsidR="000B22F0">
              <w:rPr>
                <w:color w:val="000000"/>
                <w:sz w:val="20"/>
                <w:szCs w:val="20"/>
              </w:rPr>
              <w:t>***</w:t>
            </w:r>
          </w:p>
        </w:tc>
      </w:tr>
      <w:tr w:rsidR="004F7AF3" w:rsidRPr="000116F1" w:rsidTr="000B22F0">
        <w:trPr>
          <w:trHeight w:val="459"/>
        </w:trPr>
        <w:tc>
          <w:tcPr>
            <w:tcW w:w="1349" w:type="dxa"/>
            <w:tcBorders>
              <w:top w:val="nil"/>
              <w:left w:val="nil"/>
              <w:bottom w:val="nil"/>
              <w:right w:val="single" w:sz="4" w:space="0" w:color="auto"/>
            </w:tcBorders>
            <w:shd w:val="clear" w:color="auto" w:fill="auto"/>
            <w:noWrap/>
            <w:vAlign w:val="center"/>
            <w:hideMark/>
          </w:tcPr>
          <w:p w:rsidR="00817420" w:rsidRDefault="00817420" w:rsidP="004F7AF3">
            <w:pPr>
              <w:rPr>
                <w:color w:val="000000"/>
                <w:sz w:val="20"/>
                <w:szCs w:val="20"/>
              </w:rPr>
            </w:pPr>
            <w:r w:rsidRPr="000116F1">
              <w:rPr>
                <w:color w:val="000000"/>
                <w:sz w:val="20"/>
                <w:szCs w:val="20"/>
              </w:rPr>
              <w:t>Cultural distance</w:t>
            </w:r>
          </w:p>
          <w:p w:rsidR="004F7AF3" w:rsidRPr="000116F1" w:rsidRDefault="004F7AF3" w:rsidP="004F7AF3">
            <w:pPr>
              <w:rPr>
                <w:color w:val="000000"/>
                <w:sz w:val="20"/>
                <w:szCs w:val="20"/>
              </w:rPr>
            </w:pP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-0.6031**</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-0.6080**</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-0.6355***</w:t>
            </w: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-0.6071**</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-0.6133***</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w:t>
            </w:r>
            <w:r>
              <w:rPr>
                <w:color w:val="000000"/>
                <w:sz w:val="20"/>
                <w:szCs w:val="20"/>
              </w:rPr>
              <w:t>.6096</w:t>
            </w:r>
            <w:r w:rsidRPr="000116F1">
              <w:rPr>
                <w:color w:val="000000"/>
                <w:sz w:val="20"/>
                <w:szCs w:val="20"/>
              </w:rPr>
              <w:t>**</w:t>
            </w:r>
          </w:p>
        </w:tc>
        <w:tc>
          <w:tcPr>
            <w:tcW w:w="1166" w:type="dxa"/>
            <w:tcBorders>
              <w:top w:val="nil"/>
              <w:left w:val="nil"/>
              <w:bottom w:val="nil"/>
              <w:right w:val="nil"/>
            </w:tcBorders>
            <w:vAlign w:val="center"/>
          </w:tcPr>
          <w:p w:rsidR="00817420" w:rsidRPr="000116F1" w:rsidRDefault="00E97529" w:rsidP="004F7AF3">
            <w:pPr>
              <w:rPr>
                <w:color w:val="000000"/>
                <w:sz w:val="20"/>
                <w:szCs w:val="20"/>
              </w:rPr>
            </w:pPr>
            <w:r w:rsidRPr="00E97529">
              <w:rPr>
                <w:color w:val="000000"/>
                <w:sz w:val="20"/>
                <w:szCs w:val="20"/>
              </w:rPr>
              <w:t>-</w:t>
            </w:r>
            <w:r>
              <w:rPr>
                <w:color w:val="000000"/>
                <w:sz w:val="20"/>
                <w:szCs w:val="20"/>
              </w:rPr>
              <w:t>0</w:t>
            </w:r>
            <w:r w:rsidRPr="00E97529">
              <w:rPr>
                <w:color w:val="000000"/>
                <w:sz w:val="20"/>
                <w:szCs w:val="20"/>
              </w:rPr>
              <w:t>.648</w:t>
            </w:r>
            <w:r w:rsidR="000B22F0">
              <w:rPr>
                <w:color w:val="000000"/>
                <w:sz w:val="20"/>
                <w:szCs w:val="20"/>
              </w:rPr>
              <w:t>***</w:t>
            </w:r>
          </w:p>
        </w:tc>
      </w:tr>
      <w:tr w:rsidR="004F7AF3" w:rsidRPr="000116F1" w:rsidTr="000B22F0">
        <w:trPr>
          <w:trHeight w:val="459"/>
        </w:trPr>
        <w:tc>
          <w:tcPr>
            <w:tcW w:w="1349" w:type="dxa"/>
            <w:tcBorders>
              <w:top w:val="nil"/>
              <w:left w:val="nil"/>
              <w:bottom w:val="nil"/>
              <w:right w:val="single" w:sz="4" w:space="0" w:color="auto"/>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India experience</w:t>
            </w: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0.9620**</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0.9758**</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1.0490***</w:t>
            </w: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 xml:space="preserve">1.0014**     </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0.9916**</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 xml:space="preserve">1.0070**   </w:t>
            </w:r>
          </w:p>
        </w:tc>
        <w:tc>
          <w:tcPr>
            <w:tcW w:w="1166" w:type="dxa"/>
            <w:tcBorders>
              <w:top w:val="nil"/>
              <w:left w:val="nil"/>
              <w:bottom w:val="nil"/>
              <w:right w:val="nil"/>
            </w:tcBorders>
            <w:vAlign w:val="center"/>
          </w:tcPr>
          <w:p w:rsidR="00817420" w:rsidRPr="000116F1" w:rsidRDefault="00E97529" w:rsidP="004F7AF3">
            <w:pPr>
              <w:rPr>
                <w:color w:val="000000"/>
                <w:sz w:val="20"/>
                <w:szCs w:val="20"/>
              </w:rPr>
            </w:pPr>
            <w:r>
              <w:rPr>
                <w:color w:val="000000"/>
                <w:sz w:val="20"/>
                <w:szCs w:val="20"/>
              </w:rPr>
              <w:t>0</w:t>
            </w:r>
            <w:r w:rsidRPr="00E97529">
              <w:rPr>
                <w:color w:val="000000"/>
                <w:sz w:val="20"/>
                <w:szCs w:val="20"/>
              </w:rPr>
              <w:t>.9010</w:t>
            </w:r>
            <w:r w:rsidR="000B22F0">
              <w:rPr>
                <w:color w:val="000000"/>
                <w:sz w:val="20"/>
                <w:szCs w:val="20"/>
              </w:rPr>
              <w:t>**</w:t>
            </w:r>
          </w:p>
        </w:tc>
      </w:tr>
      <w:tr w:rsidR="004F7AF3" w:rsidRPr="000116F1" w:rsidTr="000B22F0">
        <w:trPr>
          <w:trHeight w:val="459"/>
        </w:trPr>
        <w:tc>
          <w:tcPr>
            <w:tcW w:w="1349" w:type="dxa"/>
            <w:tcBorders>
              <w:top w:val="nil"/>
              <w:left w:val="nil"/>
              <w:bottom w:val="nil"/>
              <w:right w:val="single" w:sz="4" w:space="0" w:color="auto"/>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Sector type</w:t>
            </w: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0.3229*</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0.3304*</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0.3391**</w:t>
            </w: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 xml:space="preserve">0.3349**     </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0.3349**</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 xml:space="preserve">0.3293*    </w:t>
            </w:r>
          </w:p>
        </w:tc>
        <w:tc>
          <w:tcPr>
            <w:tcW w:w="1166" w:type="dxa"/>
            <w:tcBorders>
              <w:top w:val="nil"/>
              <w:left w:val="nil"/>
              <w:bottom w:val="nil"/>
              <w:right w:val="nil"/>
            </w:tcBorders>
            <w:vAlign w:val="center"/>
          </w:tcPr>
          <w:p w:rsidR="00817420" w:rsidRPr="000116F1" w:rsidRDefault="000B22F0" w:rsidP="004F7AF3">
            <w:pPr>
              <w:rPr>
                <w:color w:val="000000"/>
                <w:sz w:val="20"/>
                <w:szCs w:val="20"/>
              </w:rPr>
            </w:pPr>
            <w:r>
              <w:rPr>
                <w:color w:val="000000"/>
                <w:sz w:val="20"/>
                <w:szCs w:val="20"/>
              </w:rPr>
              <w:t>0</w:t>
            </w:r>
            <w:r w:rsidRPr="00E97529">
              <w:rPr>
                <w:color w:val="000000"/>
                <w:sz w:val="20"/>
                <w:szCs w:val="20"/>
              </w:rPr>
              <w:t>.3106</w:t>
            </w:r>
            <w:r>
              <w:rPr>
                <w:color w:val="000000"/>
                <w:sz w:val="20"/>
                <w:szCs w:val="20"/>
              </w:rPr>
              <w:t>*</w:t>
            </w:r>
          </w:p>
        </w:tc>
      </w:tr>
      <w:tr w:rsidR="004F7AF3" w:rsidRPr="000116F1" w:rsidTr="000B22F0">
        <w:trPr>
          <w:trHeight w:val="459"/>
        </w:trPr>
        <w:tc>
          <w:tcPr>
            <w:tcW w:w="1349" w:type="dxa"/>
            <w:tcBorders>
              <w:top w:val="nil"/>
              <w:left w:val="nil"/>
              <w:bottom w:val="nil"/>
              <w:right w:val="single" w:sz="4" w:space="0" w:color="auto"/>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Size</w:t>
            </w: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-0.2555</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-0.2494</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-0.2451</w:t>
            </w: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-0.2471</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-0.237</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-0.2449</w:t>
            </w:r>
          </w:p>
        </w:tc>
        <w:tc>
          <w:tcPr>
            <w:tcW w:w="1166" w:type="dxa"/>
            <w:tcBorders>
              <w:top w:val="nil"/>
              <w:left w:val="nil"/>
              <w:bottom w:val="nil"/>
              <w:right w:val="nil"/>
            </w:tcBorders>
            <w:vAlign w:val="center"/>
          </w:tcPr>
          <w:p w:rsidR="00817420" w:rsidRPr="000116F1" w:rsidRDefault="000B22F0" w:rsidP="004F7AF3">
            <w:pPr>
              <w:rPr>
                <w:color w:val="000000"/>
                <w:sz w:val="20"/>
                <w:szCs w:val="20"/>
              </w:rPr>
            </w:pPr>
            <w:r w:rsidRPr="000B22F0">
              <w:rPr>
                <w:color w:val="000000"/>
                <w:sz w:val="20"/>
                <w:szCs w:val="20"/>
              </w:rPr>
              <w:t>-</w:t>
            </w:r>
            <w:r>
              <w:rPr>
                <w:color w:val="000000"/>
                <w:sz w:val="20"/>
                <w:szCs w:val="20"/>
              </w:rPr>
              <w:t>0</w:t>
            </w:r>
            <w:r w:rsidRPr="000B22F0">
              <w:rPr>
                <w:color w:val="000000"/>
                <w:sz w:val="20"/>
                <w:szCs w:val="20"/>
              </w:rPr>
              <w:t>.1958</w:t>
            </w:r>
          </w:p>
        </w:tc>
      </w:tr>
      <w:tr w:rsidR="004F7AF3" w:rsidRPr="000116F1" w:rsidTr="000B22F0">
        <w:trPr>
          <w:trHeight w:val="459"/>
        </w:trPr>
        <w:tc>
          <w:tcPr>
            <w:tcW w:w="1349" w:type="dxa"/>
            <w:tcBorders>
              <w:top w:val="nil"/>
              <w:left w:val="nil"/>
              <w:bottom w:val="nil"/>
              <w:right w:val="single" w:sz="4" w:space="0" w:color="auto"/>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Year</w:t>
            </w: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0.0595***</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0.0616***</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0.0699***</w:t>
            </w: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 xml:space="preserve">0.0613***    </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0.0535***</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 xml:space="preserve">0.0661***  </w:t>
            </w:r>
          </w:p>
        </w:tc>
        <w:tc>
          <w:tcPr>
            <w:tcW w:w="1166" w:type="dxa"/>
            <w:tcBorders>
              <w:top w:val="nil"/>
              <w:left w:val="nil"/>
              <w:bottom w:val="nil"/>
              <w:right w:val="nil"/>
            </w:tcBorders>
            <w:vAlign w:val="center"/>
          </w:tcPr>
          <w:p w:rsidR="00817420" w:rsidRPr="000116F1" w:rsidRDefault="00E97529" w:rsidP="004F7AF3">
            <w:pPr>
              <w:rPr>
                <w:color w:val="000000"/>
                <w:sz w:val="20"/>
                <w:szCs w:val="20"/>
              </w:rPr>
            </w:pPr>
            <w:r>
              <w:rPr>
                <w:color w:val="000000"/>
                <w:sz w:val="20"/>
                <w:szCs w:val="20"/>
              </w:rPr>
              <w:t>0</w:t>
            </w:r>
            <w:r w:rsidRPr="00E97529">
              <w:rPr>
                <w:color w:val="000000"/>
                <w:sz w:val="20"/>
                <w:szCs w:val="20"/>
              </w:rPr>
              <w:t>.0873</w:t>
            </w:r>
            <w:r w:rsidR="000B22F0">
              <w:rPr>
                <w:color w:val="000000"/>
                <w:sz w:val="20"/>
                <w:szCs w:val="20"/>
              </w:rPr>
              <w:t>***</w:t>
            </w:r>
          </w:p>
        </w:tc>
      </w:tr>
      <w:tr w:rsidR="004F7AF3" w:rsidRPr="000116F1" w:rsidTr="000B22F0">
        <w:trPr>
          <w:trHeight w:val="459"/>
        </w:trPr>
        <w:tc>
          <w:tcPr>
            <w:tcW w:w="1349" w:type="dxa"/>
            <w:tcBorders>
              <w:top w:val="nil"/>
              <w:left w:val="nil"/>
              <w:bottom w:val="nil"/>
              <w:right w:val="single" w:sz="4" w:space="0" w:color="auto"/>
            </w:tcBorders>
            <w:shd w:val="clear" w:color="auto" w:fill="auto"/>
            <w:noWrap/>
            <w:vAlign w:val="center"/>
            <w:hideMark/>
          </w:tcPr>
          <w:p w:rsidR="00817420" w:rsidRDefault="00817420" w:rsidP="004F7AF3">
            <w:pPr>
              <w:rPr>
                <w:color w:val="000000"/>
                <w:sz w:val="20"/>
                <w:szCs w:val="20"/>
              </w:rPr>
            </w:pPr>
            <w:r w:rsidRPr="000116F1">
              <w:rPr>
                <w:color w:val="000000"/>
                <w:sz w:val="20"/>
                <w:szCs w:val="20"/>
              </w:rPr>
              <w:t>Voice and accountability</w:t>
            </w:r>
          </w:p>
          <w:p w:rsidR="004F7AF3" w:rsidRPr="000116F1" w:rsidRDefault="004F7AF3" w:rsidP="004F7AF3">
            <w:pPr>
              <w:rPr>
                <w:color w:val="000000"/>
                <w:sz w:val="20"/>
                <w:szCs w:val="20"/>
              </w:rPr>
            </w:pP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-0.1680</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 xml:space="preserve">                </w:t>
            </w:r>
          </w:p>
        </w:tc>
        <w:tc>
          <w:tcPr>
            <w:tcW w:w="1166" w:type="dxa"/>
            <w:tcBorders>
              <w:top w:val="nil"/>
              <w:left w:val="nil"/>
              <w:bottom w:val="nil"/>
              <w:right w:val="nil"/>
            </w:tcBorders>
            <w:vAlign w:val="center"/>
          </w:tcPr>
          <w:p w:rsidR="00817420" w:rsidRPr="000116F1" w:rsidRDefault="00817420" w:rsidP="004F7AF3">
            <w:pPr>
              <w:rPr>
                <w:color w:val="000000"/>
                <w:sz w:val="20"/>
                <w:szCs w:val="20"/>
              </w:rPr>
            </w:pPr>
          </w:p>
        </w:tc>
      </w:tr>
      <w:tr w:rsidR="004F7AF3" w:rsidRPr="000116F1" w:rsidTr="000B22F0">
        <w:trPr>
          <w:trHeight w:val="459"/>
        </w:trPr>
        <w:tc>
          <w:tcPr>
            <w:tcW w:w="1349" w:type="dxa"/>
            <w:tcBorders>
              <w:top w:val="nil"/>
              <w:left w:val="nil"/>
              <w:bottom w:val="nil"/>
              <w:right w:val="single" w:sz="4" w:space="0" w:color="auto"/>
            </w:tcBorders>
            <w:shd w:val="clear" w:color="auto" w:fill="auto"/>
            <w:noWrap/>
            <w:vAlign w:val="center"/>
            <w:hideMark/>
          </w:tcPr>
          <w:p w:rsidR="00817420" w:rsidRDefault="00817420" w:rsidP="004F7AF3">
            <w:pPr>
              <w:rPr>
                <w:color w:val="000000"/>
                <w:sz w:val="20"/>
                <w:szCs w:val="20"/>
              </w:rPr>
            </w:pPr>
            <w:r w:rsidRPr="000116F1">
              <w:rPr>
                <w:color w:val="000000"/>
                <w:sz w:val="20"/>
                <w:szCs w:val="20"/>
              </w:rPr>
              <w:t>Political stability and absence of violence</w:t>
            </w:r>
          </w:p>
          <w:p w:rsidR="004F7AF3" w:rsidRPr="000116F1" w:rsidRDefault="004F7AF3" w:rsidP="004F7AF3">
            <w:pPr>
              <w:rPr>
                <w:color w:val="000000"/>
                <w:sz w:val="20"/>
                <w:szCs w:val="20"/>
              </w:rPr>
            </w:pP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0.0810</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 xml:space="preserve">                </w:t>
            </w:r>
          </w:p>
        </w:tc>
        <w:tc>
          <w:tcPr>
            <w:tcW w:w="1166" w:type="dxa"/>
            <w:tcBorders>
              <w:top w:val="nil"/>
              <w:left w:val="nil"/>
              <w:bottom w:val="nil"/>
              <w:right w:val="nil"/>
            </w:tcBorders>
            <w:vAlign w:val="center"/>
          </w:tcPr>
          <w:p w:rsidR="00817420" w:rsidRPr="000116F1" w:rsidRDefault="00817420" w:rsidP="004F7AF3">
            <w:pPr>
              <w:rPr>
                <w:color w:val="000000"/>
                <w:sz w:val="20"/>
                <w:szCs w:val="20"/>
              </w:rPr>
            </w:pPr>
          </w:p>
        </w:tc>
      </w:tr>
      <w:tr w:rsidR="004F7AF3" w:rsidRPr="000116F1" w:rsidTr="000B22F0">
        <w:trPr>
          <w:trHeight w:val="459"/>
        </w:trPr>
        <w:tc>
          <w:tcPr>
            <w:tcW w:w="1349" w:type="dxa"/>
            <w:tcBorders>
              <w:top w:val="nil"/>
              <w:left w:val="nil"/>
              <w:bottom w:val="nil"/>
              <w:right w:val="single" w:sz="4" w:space="0" w:color="auto"/>
            </w:tcBorders>
            <w:shd w:val="clear" w:color="auto" w:fill="auto"/>
            <w:noWrap/>
            <w:vAlign w:val="center"/>
            <w:hideMark/>
          </w:tcPr>
          <w:p w:rsidR="00817420" w:rsidRDefault="00817420" w:rsidP="004F7AF3">
            <w:pPr>
              <w:rPr>
                <w:color w:val="000000"/>
                <w:sz w:val="20"/>
                <w:szCs w:val="20"/>
              </w:rPr>
            </w:pPr>
            <w:r w:rsidRPr="000116F1">
              <w:rPr>
                <w:color w:val="000000"/>
                <w:sz w:val="20"/>
                <w:szCs w:val="20"/>
              </w:rPr>
              <w:t>Government effectiveness</w:t>
            </w:r>
          </w:p>
          <w:p w:rsidR="004F7AF3" w:rsidRPr="000116F1" w:rsidRDefault="004F7AF3" w:rsidP="004F7AF3">
            <w:pPr>
              <w:rPr>
                <w:color w:val="000000"/>
                <w:sz w:val="20"/>
                <w:szCs w:val="20"/>
              </w:rPr>
            </w:pP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2347" w:type="dxa"/>
            <w:gridSpan w:val="2"/>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0.5958***</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 xml:space="preserve">                </w:t>
            </w:r>
          </w:p>
        </w:tc>
        <w:tc>
          <w:tcPr>
            <w:tcW w:w="1166" w:type="dxa"/>
            <w:tcBorders>
              <w:top w:val="nil"/>
              <w:left w:val="nil"/>
              <w:bottom w:val="nil"/>
              <w:right w:val="nil"/>
            </w:tcBorders>
            <w:vAlign w:val="center"/>
          </w:tcPr>
          <w:p w:rsidR="00817420" w:rsidRPr="000116F1" w:rsidRDefault="00817420" w:rsidP="004F7AF3">
            <w:pPr>
              <w:rPr>
                <w:color w:val="000000"/>
                <w:sz w:val="20"/>
                <w:szCs w:val="20"/>
              </w:rPr>
            </w:pPr>
          </w:p>
        </w:tc>
      </w:tr>
      <w:tr w:rsidR="004F7AF3" w:rsidRPr="000116F1" w:rsidTr="000B22F0">
        <w:trPr>
          <w:trHeight w:val="459"/>
        </w:trPr>
        <w:tc>
          <w:tcPr>
            <w:tcW w:w="1349" w:type="dxa"/>
            <w:tcBorders>
              <w:top w:val="nil"/>
              <w:left w:val="nil"/>
              <w:bottom w:val="nil"/>
              <w:right w:val="single" w:sz="4" w:space="0" w:color="auto"/>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Regulatory quality</w:t>
            </w: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0.3611*</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 xml:space="preserve">                </w:t>
            </w:r>
          </w:p>
        </w:tc>
        <w:tc>
          <w:tcPr>
            <w:tcW w:w="1166" w:type="dxa"/>
            <w:tcBorders>
              <w:top w:val="nil"/>
              <w:left w:val="nil"/>
              <w:bottom w:val="nil"/>
              <w:right w:val="nil"/>
            </w:tcBorders>
            <w:vAlign w:val="center"/>
          </w:tcPr>
          <w:p w:rsidR="00817420" w:rsidRPr="000116F1" w:rsidRDefault="00817420" w:rsidP="004F7AF3">
            <w:pPr>
              <w:rPr>
                <w:color w:val="000000"/>
                <w:sz w:val="20"/>
                <w:szCs w:val="20"/>
              </w:rPr>
            </w:pPr>
          </w:p>
        </w:tc>
      </w:tr>
      <w:tr w:rsidR="004F7AF3" w:rsidRPr="000116F1" w:rsidTr="000B22F0">
        <w:trPr>
          <w:trHeight w:val="459"/>
        </w:trPr>
        <w:tc>
          <w:tcPr>
            <w:tcW w:w="1349" w:type="dxa"/>
            <w:tcBorders>
              <w:top w:val="nil"/>
              <w:left w:val="nil"/>
              <w:bottom w:val="nil"/>
              <w:right w:val="single" w:sz="4" w:space="0" w:color="auto"/>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Rule of law</w:t>
            </w: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0.3339*</w:t>
            </w: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 xml:space="preserve">                </w:t>
            </w:r>
          </w:p>
        </w:tc>
        <w:tc>
          <w:tcPr>
            <w:tcW w:w="1166" w:type="dxa"/>
            <w:tcBorders>
              <w:top w:val="nil"/>
              <w:left w:val="nil"/>
              <w:bottom w:val="nil"/>
              <w:right w:val="nil"/>
            </w:tcBorders>
            <w:vAlign w:val="center"/>
          </w:tcPr>
          <w:p w:rsidR="00817420" w:rsidRPr="000116F1" w:rsidRDefault="00817420" w:rsidP="004F7AF3">
            <w:pPr>
              <w:rPr>
                <w:color w:val="000000"/>
                <w:sz w:val="20"/>
                <w:szCs w:val="20"/>
              </w:rPr>
            </w:pPr>
          </w:p>
        </w:tc>
      </w:tr>
      <w:tr w:rsidR="004F7AF3" w:rsidRPr="000116F1" w:rsidTr="000B22F0">
        <w:trPr>
          <w:trHeight w:val="459"/>
        </w:trPr>
        <w:tc>
          <w:tcPr>
            <w:tcW w:w="1349" w:type="dxa"/>
            <w:tcBorders>
              <w:top w:val="nil"/>
              <w:left w:val="nil"/>
              <w:bottom w:val="nil"/>
              <w:right w:val="single" w:sz="4" w:space="0" w:color="auto"/>
            </w:tcBorders>
            <w:shd w:val="clear" w:color="auto" w:fill="auto"/>
            <w:noWrap/>
            <w:vAlign w:val="center"/>
            <w:hideMark/>
          </w:tcPr>
          <w:p w:rsidR="004F7AF3" w:rsidRDefault="00817420" w:rsidP="004F7AF3">
            <w:pPr>
              <w:rPr>
                <w:color w:val="000000"/>
                <w:sz w:val="20"/>
                <w:szCs w:val="20"/>
              </w:rPr>
            </w:pPr>
            <w:r w:rsidRPr="000116F1">
              <w:rPr>
                <w:color w:val="000000"/>
                <w:sz w:val="20"/>
                <w:szCs w:val="20"/>
              </w:rPr>
              <w:t>Control of Corruptions</w:t>
            </w:r>
          </w:p>
          <w:p w:rsidR="00817420" w:rsidRPr="000116F1" w:rsidRDefault="00817420" w:rsidP="004F7AF3">
            <w:pPr>
              <w:rPr>
                <w:color w:val="000000"/>
                <w:sz w:val="20"/>
                <w:szCs w:val="20"/>
              </w:rPr>
            </w:pPr>
            <w:r w:rsidRPr="000116F1">
              <w:rPr>
                <w:color w:val="000000"/>
                <w:sz w:val="20"/>
                <w:szCs w:val="20"/>
              </w:rPr>
              <w:t xml:space="preserve"> </w:t>
            </w: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4"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p>
        </w:tc>
        <w:tc>
          <w:tcPr>
            <w:tcW w:w="1173" w:type="dxa"/>
            <w:tcBorders>
              <w:top w:val="nil"/>
              <w:left w:val="nil"/>
              <w:bottom w:val="nil"/>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 xml:space="preserve">0.2447*    </w:t>
            </w:r>
          </w:p>
        </w:tc>
        <w:tc>
          <w:tcPr>
            <w:tcW w:w="1166" w:type="dxa"/>
            <w:tcBorders>
              <w:top w:val="nil"/>
              <w:left w:val="nil"/>
              <w:bottom w:val="nil"/>
              <w:right w:val="nil"/>
            </w:tcBorders>
            <w:vAlign w:val="center"/>
          </w:tcPr>
          <w:p w:rsidR="00817420" w:rsidRPr="000116F1" w:rsidRDefault="00817420" w:rsidP="004F7AF3">
            <w:pPr>
              <w:rPr>
                <w:color w:val="000000"/>
                <w:sz w:val="20"/>
                <w:szCs w:val="20"/>
              </w:rPr>
            </w:pPr>
          </w:p>
        </w:tc>
      </w:tr>
      <w:tr w:rsidR="004F7AF3" w:rsidRPr="000116F1" w:rsidTr="000B22F0">
        <w:trPr>
          <w:trHeight w:val="459"/>
        </w:trPr>
        <w:tc>
          <w:tcPr>
            <w:tcW w:w="1349" w:type="dxa"/>
            <w:tcBorders>
              <w:top w:val="nil"/>
              <w:left w:val="nil"/>
              <w:bottom w:val="nil"/>
              <w:right w:val="single" w:sz="4" w:space="0" w:color="auto"/>
            </w:tcBorders>
            <w:shd w:val="clear" w:color="auto" w:fill="auto"/>
            <w:noWrap/>
            <w:vAlign w:val="center"/>
          </w:tcPr>
          <w:p w:rsidR="00E97529" w:rsidRPr="000116F1" w:rsidRDefault="00E97529" w:rsidP="004F7AF3">
            <w:pPr>
              <w:rPr>
                <w:color w:val="000000"/>
                <w:sz w:val="20"/>
                <w:szCs w:val="20"/>
              </w:rPr>
            </w:pPr>
            <w:r>
              <w:rPr>
                <w:color w:val="000000"/>
                <w:sz w:val="20"/>
                <w:szCs w:val="20"/>
              </w:rPr>
              <w:t>Governance distance</w:t>
            </w:r>
          </w:p>
        </w:tc>
        <w:tc>
          <w:tcPr>
            <w:tcW w:w="1174" w:type="dxa"/>
            <w:tcBorders>
              <w:top w:val="nil"/>
              <w:left w:val="nil"/>
              <w:bottom w:val="nil"/>
              <w:right w:val="nil"/>
            </w:tcBorders>
            <w:shd w:val="clear" w:color="auto" w:fill="auto"/>
            <w:noWrap/>
            <w:vAlign w:val="center"/>
          </w:tcPr>
          <w:p w:rsidR="00E97529" w:rsidRPr="000116F1" w:rsidRDefault="00E97529" w:rsidP="004F7AF3">
            <w:pPr>
              <w:rPr>
                <w:color w:val="000000"/>
                <w:sz w:val="20"/>
                <w:szCs w:val="20"/>
              </w:rPr>
            </w:pPr>
          </w:p>
        </w:tc>
        <w:tc>
          <w:tcPr>
            <w:tcW w:w="1173" w:type="dxa"/>
            <w:tcBorders>
              <w:top w:val="nil"/>
              <w:left w:val="nil"/>
              <w:bottom w:val="nil"/>
              <w:right w:val="nil"/>
            </w:tcBorders>
            <w:shd w:val="clear" w:color="auto" w:fill="auto"/>
            <w:noWrap/>
            <w:vAlign w:val="center"/>
          </w:tcPr>
          <w:p w:rsidR="00E97529" w:rsidRPr="000116F1" w:rsidRDefault="00E97529" w:rsidP="004F7AF3">
            <w:pPr>
              <w:rPr>
                <w:color w:val="000000"/>
                <w:sz w:val="20"/>
                <w:szCs w:val="20"/>
              </w:rPr>
            </w:pPr>
          </w:p>
        </w:tc>
        <w:tc>
          <w:tcPr>
            <w:tcW w:w="1173" w:type="dxa"/>
            <w:tcBorders>
              <w:top w:val="nil"/>
              <w:left w:val="nil"/>
              <w:bottom w:val="nil"/>
              <w:right w:val="nil"/>
            </w:tcBorders>
            <w:shd w:val="clear" w:color="auto" w:fill="auto"/>
            <w:noWrap/>
            <w:vAlign w:val="center"/>
          </w:tcPr>
          <w:p w:rsidR="00E97529" w:rsidRPr="000116F1" w:rsidRDefault="00E97529" w:rsidP="004F7AF3">
            <w:pPr>
              <w:rPr>
                <w:color w:val="000000"/>
                <w:sz w:val="20"/>
                <w:szCs w:val="20"/>
              </w:rPr>
            </w:pPr>
          </w:p>
        </w:tc>
        <w:tc>
          <w:tcPr>
            <w:tcW w:w="1174" w:type="dxa"/>
            <w:tcBorders>
              <w:top w:val="nil"/>
              <w:left w:val="nil"/>
              <w:bottom w:val="nil"/>
              <w:right w:val="nil"/>
            </w:tcBorders>
            <w:shd w:val="clear" w:color="auto" w:fill="auto"/>
            <w:noWrap/>
            <w:vAlign w:val="center"/>
          </w:tcPr>
          <w:p w:rsidR="00E97529" w:rsidRPr="000116F1" w:rsidRDefault="00E97529" w:rsidP="004F7AF3">
            <w:pPr>
              <w:rPr>
                <w:color w:val="000000"/>
                <w:sz w:val="20"/>
                <w:szCs w:val="20"/>
              </w:rPr>
            </w:pPr>
          </w:p>
        </w:tc>
        <w:tc>
          <w:tcPr>
            <w:tcW w:w="1173" w:type="dxa"/>
            <w:tcBorders>
              <w:top w:val="nil"/>
              <w:left w:val="nil"/>
              <w:bottom w:val="nil"/>
              <w:right w:val="nil"/>
            </w:tcBorders>
            <w:shd w:val="clear" w:color="auto" w:fill="auto"/>
            <w:noWrap/>
            <w:vAlign w:val="center"/>
          </w:tcPr>
          <w:p w:rsidR="00E97529" w:rsidRPr="000116F1" w:rsidRDefault="00E97529" w:rsidP="004F7AF3">
            <w:pPr>
              <w:rPr>
                <w:color w:val="000000"/>
                <w:sz w:val="20"/>
                <w:szCs w:val="20"/>
              </w:rPr>
            </w:pPr>
          </w:p>
        </w:tc>
        <w:tc>
          <w:tcPr>
            <w:tcW w:w="1173" w:type="dxa"/>
            <w:tcBorders>
              <w:top w:val="nil"/>
              <w:left w:val="nil"/>
              <w:bottom w:val="nil"/>
              <w:right w:val="nil"/>
            </w:tcBorders>
            <w:shd w:val="clear" w:color="auto" w:fill="auto"/>
            <w:noWrap/>
            <w:vAlign w:val="center"/>
          </w:tcPr>
          <w:p w:rsidR="00E97529" w:rsidRPr="000116F1" w:rsidRDefault="00E97529" w:rsidP="004F7AF3">
            <w:pPr>
              <w:rPr>
                <w:color w:val="000000"/>
                <w:sz w:val="20"/>
                <w:szCs w:val="20"/>
              </w:rPr>
            </w:pPr>
          </w:p>
        </w:tc>
        <w:tc>
          <w:tcPr>
            <w:tcW w:w="1166" w:type="dxa"/>
            <w:tcBorders>
              <w:top w:val="nil"/>
              <w:left w:val="nil"/>
              <w:bottom w:val="nil"/>
              <w:right w:val="nil"/>
            </w:tcBorders>
            <w:vAlign w:val="center"/>
          </w:tcPr>
          <w:p w:rsidR="00E97529" w:rsidRPr="000116F1" w:rsidRDefault="00E97529" w:rsidP="004F7AF3">
            <w:pPr>
              <w:rPr>
                <w:color w:val="000000"/>
                <w:sz w:val="20"/>
                <w:szCs w:val="20"/>
              </w:rPr>
            </w:pPr>
            <w:r>
              <w:rPr>
                <w:color w:val="000000"/>
                <w:sz w:val="20"/>
                <w:szCs w:val="20"/>
              </w:rPr>
              <w:t>0</w:t>
            </w:r>
            <w:r w:rsidRPr="00E97529">
              <w:rPr>
                <w:color w:val="000000"/>
                <w:sz w:val="20"/>
                <w:szCs w:val="20"/>
              </w:rPr>
              <w:t>.4735</w:t>
            </w:r>
            <w:r w:rsidR="000B22F0">
              <w:rPr>
                <w:color w:val="000000"/>
                <w:sz w:val="20"/>
                <w:szCs w:val="20"/>
              </w:rPr>
              <w:t>***</w:t>
            </w:r>
          </w:p>
        </w:tc>
      </w:tr>
      <w:tr w:rsidR="004F7AF3" w:rsidRPr="000116F1" w:rsidTr="000B22F0">
        <w:trPr>
          <w:trHeight w:val="459"/>
        </w:trPr>
        <w:tc>
          <w:tcPr>
            <w:tcW w:w="1349" w:type="dxa"/>
            <w:tcBorders>
              <w:top w:val="nil"/>
              <w:left w:val="nil"/>
              <w:bottom w:val="single" w:sz="4" w:space="0" w:color="auto"/>
              <w:right w:val="single" w:sz="4" w:space="0" w:color="auto"/>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_cons</w:t>
            </w:r>
          </w:p>
        </w:tc>
        <w:tc>
          <w:tcPr>
            <w:tcW w:w="1174" w:type="dxa"/>
            <w:tcBorders>
              <w:top w:val="nil"/>
              <w:left w:val="nil"/>
              <w:bottom w:val="single" w:sz="4" w:space="0" w:color="auto"/>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-126.5***</w:t>
            </w:r>
          </w:p>
        </w:tc>
        <w:tc>
          <w:tcPr>
            <w:tcW w:w="1173" w:type="dxa"/>
            <w:tcBorders>
              <w:top w:val="nil"/>
              <w:left w:val="nil"/>
              <w:bottom w:val="single" w:sz="4" w:space="0" w:color="auto"/>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-130.9***</w:t>
            </w:r>
          </w:p>
        </w:tc>
        <w:tc>
          <w:tcPr>
            <w:tcW w:w="1173" w:type="dxa"/>
            <w:tcBorders>
              <w:top w:val="nil"/>
              <w:left w:val="nil"/>
              <w:bottom w:val="single" w:sz="4" w:space="0" w:color="auto"/>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-148.4***</w:t>
            </w:r>
          </w:p>
        </w:tc>
        <w:tc>
          <w:tcPr>
            <w:tcW w:w="1174" w:type="dxa"/>
            <w:tcBorders>
              <w:top w:val="nil"/>
              <w:left w:val="nil"/>
              <w:bottom w:val="single" w:sz="4" w:space="0" w:color="auto"/>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-130.8***</w:t>
            </w:r>
          </w:p>
        </w:tc>
        <w:tc>
          <w:tcPr>
            <w:tcW w:w="1173" w:type="dxa"/>
            <w:tcBorders>
              <w:top w:val="nil"/>
              <w:left w:val="nil"/>
              <w:bottom w:val="single" w:sz="4" w:space="0" w:color="auto"/>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-114.9***</w:t>
            </w:r>
          </w:p>
        </w:tc>
        <w:tc>
          <w:tcPr>
            <w:tcW w:w="1173" w:type="dxa"/>
            <w:tcBorders>
              <w:top w:val="nil"/>
              <w:left w:val="nil"/>
              <w:bottom w:val="single" w:sz="4" w:space="0" w:color="auto"/>
              <w:right w:val="nil"/>
            </w:tcBorders>
            <w:shd w:val="clear" w:color="auto" w:fill="auto"/>
            <w:noWrap/>
            <w:vAlign w:val="center"/>
            <w:hideMark/>
          </w:tcPr>
          <w:p w:rsidR="00817420" w:rsidRPr="000116F1" w:rsidRDefault="00817420" w:rsidP="004F7AF3">
            <w:pPr>
              <w:rPr>
                <w:color w:val="000000"/>
                <w:sz w:val="20"/>
                <w:szCs w:val="20"/>
              </w:rPr>
            </w:pPr>
            <w:r w:rsidRPr="000116F1">
              <w:rPr>
                <w:color w:val="000000"/>
                <w:sz w:val="20"/>
                <w:szCs w:val="20"/>
              </w:rPr>
              <w:t>-140.3***</w:t>
            </w:r>
          </w:p>
        </w:tc>
        <w:tc>
          <w:tcPr>
            <w:tcW w:w="1166" w:type="dxa"/>
            <w:tcBorders>
              <w:top w:val="nil"/>
              <w:left w:val="nil"/>
              <w:bottom w:val="single" w:sz="4" w:space="0" w:color="auto"/>
              <w:right w:val="nil"/>
            </w:tcBorders>
            <w:vAlign w:val="center"/>
          </w:tcPr>
          <w:p w:rsidR="00817420" w:rsidRPr="000116F1" w:rsidRDefault="004F7AF3" w:rsidP="004F7AF3">
            <w:pPr>
              <w:rPr>
                <w:color w:val="000000"/>
                <w:sz w:val="20"/>
                <w:szCs w:val="20"/>
              </w:rPr>
            </w:pPr>
            <w:r>
              <w:rPr>
                <w:color w:val="000000"/>
                <w:sz w:val="20"/>
                <w:szCs w:val="20"/>
              </w:rPr>
              <w:t>-179</w:t>
            </w:r>
            <w:r w:rsidR="000B22F0">
              <w:rPr>
                <w:color w:val="000000"/>
                <w:sz w:val="20"/>
                <w:szCs w:val="20"/>
              </w:rPr>
              <w:t>.7</w:t>
            </w:r>
            <w:r w:rsidRPr="000116F1">
              <w:rPr>
                <w:color w:val="000000"/>
                <w:sz w:val="20"/>
                <w:szCs w:val="20"/>
              </w:rPr>
              <w:t>***</w:t>
            </w:r>
          </w:p>
        </w:tc>
      </w:tr>
    </w:tbl>
    <w:p w:rsidR="00D2143D" w:rsidRPr="0045227F" w:rsidRDefault="001C752D" w:rsidP="001C752D">
      <w:pPr>
        <w:jc w:val="both"/>
        <w:rPr>
          <w:color w:val="000000"/>
          <w:sz w:val="22"/>
          <w:szCs w:val="22"/>
        </w:rPr>
      </w:pPr>
      <w:r w:rsidRPr="0045227F">
        <w:rPr>
          <w:color w:val="000000"/>
          <w:sz w:val="22"/>
          <w:szCs w:val="22"/>
        </w:rPr>
        <w:t>legend: * p&lt;.1; ** p&lt;.05; *** p&lt;.01</w:t>
      </w:r>
    </w:p>
    <w:p w:rsidR="0030544D" w:rsidRPr="0045227F" w:rsidRDefault="0030209E" w:rsidP="0030544D">
      <w:pPr>
        <w:spacing w:line="360" w:lineRule="auto"/>
        <w:jc w:val="center"/>
        <w:rPr>
          <w:color w:val="000000" w:themeColor="text1"/>
        </w:rPr>
      </w:pPr>
      <w:r w:rsidRPr="0045227F">
        <w:t>Table 6</w:t>
      </w:r>
      <w:r w:rsidR="00BE1F04">
        <w:t>.</w:t>
      </w:r>
      <w:r w:rsidR="0030544D" w:rsidRPr="0045227F">
        <w:t xml:space="preserve"> The </w:t>
      </w:r>
      <w:r w:rsidR="00D2143D" w:rsidRPr="0045227F">
        <w:t>regression</w:t>
      </w:r>
      <w:r w:rsidR="0030544D" w:rsidRPr="0045227F">
        <w:t xml:space="preserve"> results of </w:t>
      </w:r>
      <w:r w:rsidR="00D2143D" w:rsidRPr="0045227F">
        <w:rPr>
          <w:color w:val="000000" w:themeColor="text1"/>
        </w:rPr>
        <w:t>separate governance distance components</w:t>
      </w:r>
      <w:r w:rsidR="004279BA">
        <w:rPr>
          <w:color w:val="000000" w:themeColor="text1"/>
        </w:rPr>
        <w:t>.</w:t>
      </w:r>
    </w:p>
    <w:p w:rsidR="0030209E" w:rsidRPr="0045227F" w:rsidRDefault="0030209E" w:rsidP="00864846">
      <w:pPr>
        <w:spacing w:line="360" w:lineRule="auto"/>
        <w:jc w:val="both"/>
        <w:rPr>
          <w:color w:val="000000" w:themeColor="text1"/>
        </w:rPr>
      </w:pPr>
    </w:p>
    <w:p w:rsidR="00864846" w:rsidRDefault="000E1AAE" w:rsidP="00864846">
      <w:pPr>
        <w:spacing w:line="360" w:lineRule="auto"/>
        <w:jc w:val="both"/>
      </w:pPr>
      <w:r>
        <w:rPr>
          <w:color w:val="000000" w:themeColor="text1"/>
        </w:rPr>
        <w:t xml:space="preserve">As can be seen from Table 6, </w:t>
      </w:r>
      <w:r w:rsidR="00CC1F12" w:rsidRPr="0045227F">
        <w:rPr>
          <w:color w:val="000000" w:themeColor="text1"/>
        </w:rPr>
        <w:t xml:space="preserve">voice and accountability distance, and political stability and absence of violence distance do not have impact on the entry mode decisions of MNEs while the rest components have statistically significant impact. All the rest 4 components have positive </w:t>
      </w:r>
      <w:r w:rsidR="00CC1F12" w:rsidRPr="0045227F">
        <w:rPr>
          <w:color w:val="000000" w:themeColor="text1"/>
        </w:rPr>
        <w:lastRenderedPageBreak/>
        <w:t xml:space="preserve">relationship with the likelihood of WOS. That means when government effectiveness distance, regulatory quality distance, rule of law distance, and control of corruption distance between India and MNEs’ home countries increase, MNEs are more likely to penetrate Indian market through WOS. Among them, </w:t>
      </w:r>
      <w:r w:rsidR="00C90E5C">
        <w:rPr>
          <w:color w:val="000000" w:themeColor="text1"/>
        </w:rPr>
        <w:t xml:space="preserve">with the highest coefficient (0.5958), </w:t>
      </w:r>
      <w:r w:rsidR="00CC1F12" w:rsidRPr="0045227F">
        <w:rPr>
          <w:color w:val="000000" w:themeColor="text1"/>
        </w:rPr>
        <w:t>government effectiveness distance has the strongest influence</w:t>
      </w:r>
      <w:r w:rsidR="00BD3A58" w:rsidRPr="0045227F">
        <w:rPr>
          <w:color w:val="000000" w:themeColor="text1"/>
        </w:rPr>
        <w:t xml:space="preserve"> on entry mode choices</w:t>
      </w:r>
      <w:r w:rsidR="00CC1F12" w:rsidRPr="0045227F">
        <w:rPr>
          <w:color w:val="000000" w:themeColor="text1"/>
        </w:rPr>
        <w:t>, follow</w:t>
      </w:r>
      <w:r w:rsidR="00BD3A58" w:rsidRPr="0045227F">
        <w:rPr>
          <w:color w:val="000000" w:themeColor="text1"/>
        </w:rPr>
        <w:t>ed by regulatory quality distance</w:t>
      </w:r>
      <w:r w:rsidR="00C90E5C">
        <w:rPr>
          <w:color w:val="000000" w:themeColor="text1"/>
        </w:rPr>
        <w:t xml:space="preserve"> (0.3611)</w:t>
      </w:r>
      <w:r w:rsidR="00BD3A58" w:rsidRPr="0045227F">
        <w:rPr>
          <w:color w:val="000000" w:themeColor="text1"/>
        </w:rPr>
        <w:t>, rule of law distance</w:t>
      </w:r>
      <w:r w:rsidR="001347BB">
        <w:rPr>
          <w:color w:val="000000" w:themeColor="text1"/>
        </w:rPr>
        <w:t xml:space="preserve"> (0.3339)</w:t>
      </w:r>
      <w:r w:rsidR="00BD3A58" w:rsidRPr="0045227F">
        <w:rPr>
          <w:color w:val="000000" w:themeColor="text1"/>
        </w:rPr>
        <w:t xml:space="preserve">, and control of corruption distance </w:t>
      </w:r>
      <w:r w:rsidR="001347BB">
        <w:rPr>
          <w:color w:val="000000" w:themeColor="text1"/>
        </w:rPr>
        <w:t xml:space="preserve">(0.2447) </w:t>
      </w:r>
      <w:r w:rsidR="00BD3A58" w:rsidRPr="0045227F">
        <w:rPr>
          <w:color w:val="000000" w:themeColor="text1"/>
        </w:rPr>
        <w:t xml:space="preserve">respectively. </w:t>
      </w:r>
      <w:r w:rsidR="0038189D" w:rsidRPr="0045227F">
        <w:rPr>
          <w:color w:val="000000" w:themeColor="text1"/>
        </w:rPr>
        <w:t>The result that government effectiveness distance and regulatory quality distance are the two m</w:t>
      </w:r>
      <w:r>
        <w:rPr>
          <w:color w:val="000000" w:themeColor="text1"/>
        </w:rPr>
        <w:t>ost strongest-influencing dimens</w:t>
      </w:r>
      <w:r w:rsidR="0038189D" w:rsidRPr="0045227F">
        <w:rPr>
          <w:color w:val="000000" w:themeColor="text1"/>
        </w:rPr>
        <w:t>ions is in line with the study by</w:t>
      </w:r>
      <w:r w:rsidR="0038189D" w:rsidRPr="0045227F">
        <w:t xml:space="preserve"> Slangen and Tulder (2009) although the trend of effect is different.</w:t>
      </w:r>
    </w:p>
    <w:p w:rsidR="00BC2E9C" w:rsidRDefault="00BC2E9C" w:rsidP="00864846">
      <w:pPr>
        <w:spacing w:line="360" w:lineRule="auto"/>
        <w:jc w:val="both"/>
      </w:pPr>
    </w:p>
    <w:p w:rsidR="00BC2E9C" w:rsidRDefault="00BC2E9C" w:rsidP="00864846">
      <w:pPr>
        <w:spacing w:line="360" w:lineRule="auto"/>
        <w:jc w:val="both"/>
        <w:rPr>
          <w:color w:val="000000" w:themeColor="text1"/>
        </w:rPr>
      </w:pPr>
      <w:r>
        <w:t>Another point is that, M</w:t>
      </w:r>
      <w:r w:rsidR="005C1660">
        <w:t xml:space="preserve">odel 1 - </w:t>
      </w:r>
      <w:r>
        <w:t xml:space="preserve">Model 7 has the same results for all variables, except for economic distance. </w:t>
      </w:r>
      <w:r w:rsidR="005C1660">
        <w:t>With the aggregate sample, economic distance is statistically significant and has a negative relationship with WOS while in Model 1</w:t>
      </w:r>
      <w:r>
        <w:t xml:space="preserve"> </w:t>
      </w:r>
      <w:r w:rsidR="005C1660">
        <w:t xml:space="preserve">– Model 6, economic distance turn into insignificant and has opposite trend with the literature. </w:t>
      </w:r>
      <w:r w:rsidR="000D0F67">
        <w:t>I</w:t>
      </w:r>
      <w:r w:rsidR="005C1660">
        <w:t xml:space="preserve">t seems that </w:t>
      </w:r>
      <w:r w:rsidR="000D0F67">
        <w:t xml:space="preserve">the model of </w:t>
      </w:r>
      <w:r w:rsidR="005C1660">
        <w:t xml:space="preserve">governance distance is </w:t>
      </w:r>
      <w:r w:rsidR="000D0F67">
        <w:t>better than the model of any</w:t>
      </w:r>
      <w:r w:rsidR="005C1660">
        <w:t xml:space="preserve"> separate </w:t>
      </w:r>
      <w:r w:rsidR="000D0F67">
        <w:t>dimensions of it since governance distance is significant at the level of 1% and in the model, economic distance is in line with literature which is mentioned in 2.3.1. In other word, governance distance is more suitable factor</w:t>
      </w:r>
      <w:r w:rsidR="00ED49F6">
        <w:t xml:space="preserve"> </w:t>
      </w:r>
      <w:r w:rsidR="000D0F67">
        <w:t>of entry mode selection</w:t>
      </w:r>
      <w:r w:rsidR="00ED49F6" w:rsidRPr="00ED49F6">
        <w:t xml:space="preserve"> </w:t>
      </w:r>
      <w:r w:rsidR="00ED49F6">
        <w:t>than single-dimension measurement</w:t>
      </w:r>
      <w:r w:rsidR="000D0F67">
        <w:t>.</w:t>
      </w:r>
    </w:p>
    <w:p w:rsidR="0045227F" w:rsidRDefault="0045227F">
      <w:pPr>
        <w:spacing w:after="200" w:line="276" w:lineRule="auto"/>
        <w:rPr>
          <w:color w:val="000000" w:themeColor="text1"/>
        </w:rPr>
      </w:pPr>
      <w:r>
        <w:rPr>
          <w:color w:val="000000" w:themeColor="text1"/>
        </w:rPr>
        <w:br w:type="page"/>
      </w:r>
    </w:p>
    <w:p w:rsidR="00D54627" w:rsidRPr="00730468" w:rsidRDefault="005D2104" w:rsidP="00DF3F76">
      <w:pPr>
        <w:pStyle w:val="Heading1"/>
        <w:numPr>
          <w:ilvl w:val="0"/>
          <w:numId w:val="11"/>
        </w:numPr>
        <w:spacing w:line="360" w:lineRule="auto"/>
        <w:rPr>
          <w:rFonts w:ascii="Times New Roman" w:hAnsi="Times New Roman" w:cs="Times New Roman"/>
          <w:sz w:val="24"/>
          <w:szCs w:val="24"/>
        </w:rPr>
      </w:pPr>
      <w:bookmarkStart w:id="109" w:name="_Toc487572233"/>
      <w:bookmarkStart w:id="110" w:name="_Toc487707073"/>
      <w:bookmarkStart w:id="111" w:name="_Toc489287965"/>
      <w:r w:rsidRPr="00730468">
        <w:rPr>
          <w:rFonts w:ascii="Times New Roman" w:hAnsi="Times New Roman" w:cs="Times New Roman"/>
          <w:sz w:val="24"/>
          <w:szCs w:val="24"/>
        </w:rPr>
        <w:lastRenderedPageBreak/>
        <w:t>Conclusion and limitations:</w:t>
      </w:r>
      <w:bookmarkEnd w:id="109"/>
      <w:bookmarkEnd w:id="110"/>
      <w:bookmarkEnd w:id="111"/>
    </w:p>
    <w:p w:rsidR="00730468" w:rsidRPr="00730468" w:rsidRDefault="00730468" w:rsidP="00DF3F76">
      <w:pPr>
        <w:spacing w:line="360" w:lineRule="auto"/>
        <w:jc w:val="both"/>
      </w:pPr>
      <w:r w:rsidRPr="00730468">
        <w:t xml:space="preserve">My study aims at examining the factors of equity entry mode choices – the selection between WOS and JV in India as the home country. Entry mode choice and transaction cost economics are reviewed and are used to help to predict the impact of independent variables of interest. Other theories and empirical studies are also utilized to predict and give explanation for the results. Five out of six independent variables are found to have effect on the selection of MNEs. Economic distance and cultural distance, in line with the literature, are found to increase the propensity of JV. Another explanatory factor in accordance with the literature is host country experience being found to increase the likelihood of WOS. Meanwhile, in contrast with the literature, geographic distance and governance distance both increase the likelihood of WOS. The results for geographic distance and governance distance are very surprising since per variable, I only find one study having the same result, and the study of geographic distance just use it as a control variable, hence, there is no explanation for the result. The surprising results could be predicted because firstly, India has many unique characteristics </w:t>
      </w:r>
      <w:r w:rsidR="004A4D14">
        <w:t>– roundly 18</w:t>
      </w:r>
      <w:r w:rsidR="004A4D14" w:rsidRPr="004A4D14">
        <w:t>% of the total world population</w:t>
      </w:r>
      <w:r w:rsidR="004A4D14">
        <w:t xml:space="preserve"> (W</w:t>
      </w:r>
      <w:r w:rsidR="004A4D14" w:rsidRPr="004A4D14">
        <w:t>orldometers</w:t>
      </w:r>
      <w:r w:rsidR="004A4D14">
        <w:t>, 2017), 29 s</w:t>
      </w:r>
      <w:r w:rsidR="004A4D14" w:rsidRPr="004A4D14">
        <w:t>tates,</w:t>
      </w:r>
      <w:r w:rsidR="004A4D14">
        <w:t xml:space="preserve"> 7 </w:t>
      </w:r>
      <w:r w:rsidR="000E1AAE" w:rsidRPr="000E1AAE">
        <w:t>territories</w:t>
      </w:r>
      <w:r w:rsidR="000E1AAE">
        <w:t xml:space="preserve">, </w:t>
      </w:r>
      <w:r w:rsidR="004A4D14" w:rsidRPr="004A4D14">
        <w:t>1,635 l</w:t>
      </w:r>
      <w:r w:rsidR="004A4D14">
        <w:t>anguages, 29 different cultures, countless religions</w:t>
      </w:r>
      <w:r w:rsidR="005B6E01">
        <w:t xml:space="preserve"> (</w:t>
      </w:r>
      <w:r w:rsidR="005B6E01" w:rsidRPr="005B6E01">
        <w:t>The Muslim Times</w:t>
      </w:r>
      <w:r w:rsidR="005B6E01">
        <w:t>, 2014), making them a very different case</w:t>
      </w:r>
      <w:r w:rsidRPr="00730468">
        <w:t>. Secondly, this study examined MNEs from various countries entering one home country</w:t>
      </w:r>
      <w:r w:rsidR="004A4D14">
        <w:t xml:space="preserve">, </w:t>
      </w:r>
      <w:r w:rsidRPr="00730468">
        <w:t>while the majority of prior studies have many home countries</w:t>
      </w:r>
      <w:r w:rsidR="00254CAC">
        <w:t xml:space="preserve"> (e.g., </w:t>
      </w:r>
      <w:r w:rsidR="00254CAC" w:rsidRPr="00730468">
        <w:t>Anderson &amp; Gatignon, 1988</w:t>
      </w:r>
      <w:r w:rsidR="00254CAC">
        <w:t xml:space="preserve">; </w:t>
      </w:r>
      <w:r w:rsidR="00254CAC" w:rsidRPr="00730468">
        <w:t>Cho &amp; Padmanabhan, 1996</w:t>
      </w:r>
      <w:r w:rsidR="00254CAC">
        <w:t>; Slangen &amp; Tulder, 2009)</w:t>
      </w:r>
      <w:r w:rsidRPr="00730468">
        <w:t xml:space="preserve">. The combination of those two reasons leads to the anticipated interesting results. In terms of governance distance, this study provides a comprehensive and realistic examination on the relationship between governance distance and equity entry mode choice. Previous studies have concentrated on examining such relationships through employing single-dimensional measures while governance distance is the composite of six dimensions, making it more optimal to represent the dissimilarity of two different formal institutional environments. </w:t>
      </w:r>
    </w:p>
    <w:p w:rsidR="00730468" w:rsidRPr="00730468" w:rsidRDefault="00730468" w:rsidP="00DF3F76">
      <w:pPr>
        <w:spacing w:line="360" w:lineRule="auto"/>
        <w:jc w:val="both"/>
        <w:rPr>
          <w:color w:val="FF0000"/>
        </w:rPr>
      </w:pPr>
    </w:p>
    <w:p w:rsidR="00730468" w:rsidRPr="00730468" w:rsidRDefault="00730468" w:rsidP="00350BA3">
      <w:pPr>
        <w:spacing w:line="360" w:lineRule="auto"/>
        <w:jc w:val="both"/>
      </w:pPr>
      <w:r w:rsidRPr="00730468">
        <w:t xml:space="preserve">Although entry mode has been one of the most researched topics in international business, there are still many factors that are not easily explained, especially with some factors having contradictory results in literature such as geographic distance and governance distance factors. I suggest further research should be conducted with countries in the same region or with other emerging countries having similar national features. Conducting such research could help to </w:t>
      </w:r>
      <w:r w:rsidRPr="00730468">
        <w:lastRenderedPageBreak/>
        <w:t>examine whether other countries in that region are affected in the same way by geographic distance and governance distance as India, or it is only the case of India. If those countries get the same results, then there must be some similarly special characteristics of that group of countries which make them having the opposite trend with the literature. From that, we could get more new insights of the logic behind the decision of MNEs when it comes to geographic distance and governance distance.</w:t>
      </w:r>
    </w:p>
    <w:p w:rsidR="00730468" w:rsidRPr="00730468" w:rsidRDefault="00730468" w:rsidP="00DF3F76">
      <w:pPr>
        <w:spacing w:line="360" w:lineRule="auto"/>
        <w:jc w:val="both"/>
      </w:pPr>
    </w:p>
    <w:p w:rsidR="00730468" w:rsidRPr="00730468" w:rsidRDefault="00730468" w:rsidP="00DF3F76">
      <w:pPr>
        <w:spacing w:line="360" w:lineRule="auto"/>
        <w:jc w:val="both"/>
      </w:pPr>
      <w:r w:rsidRPr="00730468">
        <w:t xml:space="preserve">One of the most limitations of this study is the lack of primary data sources. All of the data is collected from secondary databases. This has positive implications in terms of objectivity, but it also </w:t>
      </w:r>
      <w:r w:rsidR="002D0879">
        <w:t>limits</w:t>
      </w:r>
      <w:r w:rsidRPr="00730468">
        <w:t xml:space="preserve"> the number of factors</w:t>
      </w:r>
      <w:r w:rsidR="002D0879">
        <w:t xml:space="preserve"> which I could use in my model</w:t>
      </w:r>
      <w:r w:rsidRPr="00730468">
        <w:t xml:space="preserve">. The reason is because there are some certain factors with the data for them can only be collected thanks to questionnaires and surveys sent directly to MNEs. Therefore, future research having good contacts with enterprises could be able to add more viable factors </w:t>
      </w:r>
      <w:r w:rsidR="00057BE8">
        <w:t>(</w:t>
      </w:r>
      <w:r w:rsidR="00087ECC">
        <w:t>e.g.</w:t>
      </w:r>
      <w:r w:rsidR="000B7AC0">
        <w:t>,</w:t>
      </w:r>
      <w:r w:rsidR="00087ECC">
        <w:t xml:space="preserve"> </w:t>
      </w:r>
      <w:r w:rsidR="00057BE8">
        <w:t>R&amp;D intensity, international experience, t</w:t>
      </w:r>
      <w:r w:rsidR="00057BE8" w:rsidRPr="00057BE8">
        <w:t>acit know</w:t>
      </w:r>
      <w:r w:rsidR="00057BE8">
        <w:t>-</w:t>
      </w:r>
      <w:r w:rsidR="00057BE8" w:rsidRPr="00057BE8">
        <w:t>how</w:t>
      </w:r>
      <w:r w:rsidR="00087ECC">
        <w:t>)</w:t>
      </w:r>
      <w:r w:rsidR="00057BE8" w:rsidRPr="00057BE8">
        <w:t xml:space="preserve"> </w:t>
      </w:r>
      <w:r w:rsidRPr="00730468">
        <w:t xml:space="preserve">in their studies and measure some factors more accurate. </w:t>
      </w:r>
    </w:p>
    <w:p w:rsidR="00730468" w:rsidRPr="00730468" w:rsidRDefault="00730468" w:rsidP="00DF3F76">
      <w:pPr>
        <w:spacing w:line="360" w:lineRule="auto"/>
        <w:jc w:val="both"/>
      </w:pPr>
    </w:p>
    <w:p w:rsidR="00730468" w:rsidRPr="00730468" w:rsidRDefault="00730468" w:rsidP="00DF3F76">
      <w:pPr>
        <w:spacing w:line="360" w:lineRule="auto"/>
        <w:jc w:val="both"/>
      </w:pPr>
      <w:r w:rsidRPr="00730468">
        <w:t>Another point is that due to the limitation of the data, I did not take into account the location of subsidiary. I assume the physical distance between the capital of MNE’s home country and the capital of India is the geographic distance. Therefore, I encourage future studies if having more accurate data could take into account the location of subsidiary since it could lead to more accurate geographic distance and economic distance as well, given that GDP per capita in different states are different.</w:t>
      </w:r>
    </w:p>
    <w:p w:rsidR="00730468" w:rsidRPr="00730468" w:rsidRDefault="00730468" w:rsidP="00DF3F76">
      <w:pPr>
        <w:spacing w:line="360" w:lineRule="auto"/>
        <w:jc w:val="both"/>
      </w:pPr>
    </w:p>
    <w:p w:rsidR="00730468" w:rsidRPr="00730468" w:rsidRDefault="00730468" w:rsidP="00DF3F76">
      <w:pPr>
        <w:spacing w:line="360" w:lineRule="auto"/>
        <w:jc w:val="both"/>
      </w:pPr>
      <w:r w:rsidRPr="00730468">
        <w:t xml:space="preserve">This study gives an overview of the determinants of foreign entry mode choice in India in general. However, due to the fact that India is a very big country, including many different states, and differences might exist between various states; thus, specific states might need specific strategies. MNEs which already decide exactly the location they will enter in India perhaps need the study of the particular state where they enter, not the general study of the whole country. Therefore, by selecting only one specific state or city, for example Mumbai, a deeper understanding of the relevant factors affecting entry mode in the respective states can be provided. Further research that focuses on one specific state can provide more valuable results when taking into account the distinctive features of that state. </w:t>
      </w:r>
    </w:p>
    <w:p w:rsidR="00730468" w:rsidRPr="00730468" w:rsidRDefault="00730468" w:rsidP="00DF3F76">
      <w:pPr>
        <w:spacing w:line="360" w:lineRule="auto"/>
        <w:jc w:val="both"/>
      </w:pPr>
    </w:p>
    <w:p w:rsidR="00B002E2" w:rsidRPr="00730468" w:rsidRDefault="00730468" w:rsidP="00350BA3">
      <w:pPr>
        <w:spacing w:after="200" w:line="360" w:lineRule="auto"/>
        <w:jc w:val="both"/>
        <w:rPr>
          <w:rFonts w:eastAsiaTheme="majorEastAsia"/>
          <w:b/>
          <w:bCs/>
          <w:color w:val="365F91" w:themeColor="accent1" w:themeShade="BF"/>
        </w:rPr>
      </w:pPr>
      <w:r w:rsidRPr="00730468">
        <w:t xml:space="preserve">Last but not least, </w:t>
      </w:r>
      <w:r w:rsidR="00B07829">
        <w:t xml:space="preserve">my study just gives a </w:t>
      </w:r>
      <w:r w:rsidR="00FF43FC">
        <w:t xml:space="preserve">very </w:t>
      </w:r>
      <w:r w:rsidR="00B07829">
        <w:t>superficial view about</w:t>
      </w:r>
      <w:r w:rsidRPr="00730468">
        <w:t xml:space="preserve"> how manufacturing and service entry mode decisions differ</w:t>
      </w:r>
      <w:r w:rsidR="00B07829">
        <w:t xml:space="preserve"> in the context of India</w:t>
      </w:r>
      <w:r w:rsidRPr="00730468">
        <w:t xml:space="preserve">. </w:t>
      </w:r>
      <w:r w:rsidR="00B07829">
        <w:t xml:space="preserve">Thus, future research are encouraged to </w:t>
      </w:r>
      <w:r w:rsidR="00254CAC">
        <w:t>advance our understanding about</w:t>
      </w:r>
      <w:r w:rsidR="00B07829">
        <w:t xml:space="preserve"> how the choice of entry mode are different between services and manufacturing industry by adding more </w:t>
      </w:r>
      <w:r w:rsidR="00FF43FC">
        <w:t>variables and putting more efforts to figure out what are underlying reasons behinds such results.</w:t>
      </w:r>
      <w:r w:rsidR="00B002E2" w:rsidRPr="00730468">
        <w:br w:type="page"/>
      </w:r>
    </w:p>
    <w:p w:rsidR="009B31C5" w:rsidRPr="00730468" w:rsidRDefault="00C136C0" w:rsidP="00225262">
      <w:pPr>
        <w:pStyle w:val="Heading1"/>
        <w:jc w:val="both"/>
        <w:rPr>
          <w:rFonts w:ascii="Times New Roman" w:hAnsi="Times New Roman" w:cs="Times New Roman"/>
          <w:sz w:val="24"/>
          <w:szCs w:val="24"/>
        </w:rPr>
      </w:pPr>
      <w:bookmarkStart w:id="112" w:name="_Toc487572234"/>
      <w:bookmarkStart w:id="113" w:name="_Toc487707074"/>
      <w:bookmarkStart w:id="114" w:name="_Toc489287966"/>
      <w:r w:rsidRPr="00730468">
        <w:rPr>
          <w:rFonts w:ascii="Times New Roman" w:hAnsi="Times New Roman" w:cs="Times New Roman"/>
          <w:sz w:val="24"/>
          <w:szCs w:val="24"/>
        </w:rPr>
        <w:lastRenderedPageBreak/>
        <w:t>References</w:t>
      </w:r>
      <w:bookmarkEnd w:id="112"/>
      <w:bookmarkEnd w:id="113"/>
      <w:bookmarkEnd w:id="114"/>
    </w:p>
    <w:p w:rsidR="00555C9C" w:rsidRPr="00730468" w:rsidRDefault="00555C9C" w:rsidP="00225262">
      <w:r w:rsidRPr="00730468">
        <w:t xml:space="preserve">    </w:t>
      </w:r>
    </w:p>
    <w:p w:rsidR="00555C9C" w:rsidRPr="00730468" w:rsidRDefault="00555C9C" w:rsidP="00350BA3">
      <w:pPr>
        <w:jc w:val="both"/>
      </w:pPr>
      <w:r w:rsidRPr="00730468">
        <w:t xml:space="preserve">Abdi, M., &amp; Aulakh, P. S. (2012). Do country-level institutional frameworks and interfirm </w:t>
      </w:r>
      <w:r w:rsidRPr="00730468">
        <w:rPr>
          <w:noProof/>
        </w:rPr>
        <w:t>governance arrangements substitute or complement in international business relationships?. Journal of International Business Studies, 43(5), 477-497.</w:t>
      </w:r>
    </w:p>
    <w:p w:rsidR="00555C9C" w:rsidRPr="00730468" w:rsidRDefault="00555C9C" w:rsidP="00350BA3">
      <w:pPr>
        <w:jc w:val="both"/>
      </w:pPr>
    </w:p>
    <w:p w:rsidR="00555C9C" w:rsidRPr="00730468" w:rsidRDefault="00555C9C" w:rsidP="00350BA3">
      <w:pPr>
        <w:jc w:val="both"/>
      </w:pPr>
      <w:r w:rsidRPr="00730468">
        <w:t xml:space="preserve">Agarwal, S., &amp; Ramaswami, S. N. (1992). Choice of foreign market entry mode: </w:t>
      </w:r>
      <w:r w:rsidRPr="003E759A">
        <w:rPr>
          <w:noProof/>
        </w:rPr>
        <w:t xml:space="preserve">Impact of ownership, location </w:t>
      </w:r>
      <w:r w:rsidRPr="006A0B43">
        <w:rPr>
          <w:noProof/>
        </w:rPr>
        <w:t>and internalization factors. Journal of International business studies,</w:t>
      </w:r>
      <w:r w:rsidRPr="00730468">
        <w:t xml:space="preserve"> 1-27.</w:t>
      </w:r>
    </w:p>
    <w:p w:rsidR="00555C9C" w:rsidRPr="00730468" w:rsidRDefault="00555C9C" w:rsidP="00225262"/>
    <w:p w:rsidR="00555C9C" w:rsidRPr="00730468" w:rsidRDefault="00555C9C" w:rsidP="00350BA3">
      <w:pPr>
        <w:jc w:val="both"/>
      </w:pPr>
      <w:r w:rsidRPr="00730468">
        <w:t xml:space="preserve">Akhter, H., &amp; Lusch, R. F. (1988). </w:t>
      </w:r>
      <w:r w:rsidRPr="00730468">
        <w:rPr>
          <w:noProof/>
        </w:rPr>
        <w:t xml:space="preserve">Political risk and the evolution of the control of foreign </w:t>
      </w:r>
      <w:r w:rsidRPr="003E759A">
        <w:rPr>
          <w:noProof/>
        </w:rPr>
        <w:t xml:space="preserve">business: Equity, earnings and </w:t>
      </w:r>
      <w:r w:rsidRPr="006A0B43">
        <w:rPr>
          <w:noProof/>
        </w:rPr>
        <w:t>the marketing mix. Journal of Global Marketing, 1</w:t>
      </w:r>
      <w:r w:rsidRPr="00730468">
        <w:t>(3), 109-128.</w:t>
      </w:r>
    </w:p>
    <w:p w:rsidR="005A23AC" w:rsidRDefault="005A23AC" w:rsidP="00350BA3">
      <w:pPr>
        <w:jc w:val="both"/>
      </w:pPr>
    </w:p>
    <w:p w:rsidR="00555C9C" w:rsidRPr="006A0B43" w:rsidRDefault="00555C9C" w:rsidP="00350BA3">
      <w:pPr>
        <w:jc w:val="both"/>
        <w:rPr>
          <w:noProof/>
        </w:rPr>
      </w:pPr>
      <w:r w:rsidRPr="00730468">
        <w:t xml:space="preserve">Anand, J., &amp; Delios, A. (1997). Location specificity and the transferability of </w:t>
      </w:r>
      <w:r w:rsidRPr="003E759A">
        <w:rPr>
          <w:noProof/>
        </w:rPr>
        <w:t xml:space="preserve">downstream assets to foreign </w:t>
      </w:r>
      <w:r w:rsidRPr="006A0B43">
        <w:rPr>
          <w:noProof/>
        </w:rPr>
        <w:t>subsidiaries. Journal of international business studies, 579-603.</w:t>
      </w:r>
    </w:p>
    <w:p w:rsidR="00555C9C" w:rsidRPr="006A0B43" w:rsidRDefault="00555C9C" w:rsidP="00350BA3">
      <w:pPr>
        <w:jc w:val="both"/>
        <w:rPr>
          <w:noProof/>
        </w:rPr>
      </w:pPr>
    </w:p>
    <w:p w:rsidR="00555C9C" w:rsidRPr="006A0B43" w:rsidRDefault="00555C9C" w:rsidP="00350BA3">
      <w:pPr>
        <w:jc w:val="both"/>
        <w:rPr>
          <w:noProof/>
        </w:rPr>
      </w:pPr>
      <w:r w:rsidRPr="006A0B43">
        <w:rPr>
          <w:noProof/>
        </w:rPr>
        <w:t>Anderson,</w:t>
      </w:r>
      <w:r w:rsidRPr="00730468">
        <w:t xml:space="preserve"> E., &amp; Gatignon, H. (1986). Modes of foreign entry: A transaction cost analysis and propositions. Journal of international </w:t>
      </w:r>
      <w:r w:rsidRPr="003E759A">
        <w:rPr>
          <w:noProof/>
        </w:rPr>
        <w:t xml:space="preserve">business studies, 17(3), </w:t>
      </w:r>
      <w:r w:rsidRPr="006A0B43">
        <w:rPr>
          <w:noProof/>
        </w:rPr>
        <w:t>1-26.</w:t>
      </w:r>
    </w:p>
    <w:p w:rsidR="00555C9C" w:rsidRPr="00730468" w:rsidRDefault="00555C9C" w:rsidP="00350BA3">
      <w:pPr>
        <w:jc w:val="both"/>
      </w:pPr>
    </w:p>
    <w:p w:rsidR="00555C9C" w:rsidRPr="003E759A" w:rsidRDefault="00555C9C" w:rsidP="00350BA3">
      <w:pPr>
        <w:jc w:val="both"/>
        <w:rPr>
          <w:noProof/>
        </w:rPr>
      </w:pPr>
      <w:r w:rsidRPr="00730468">
        <w:t xml:space="preserve">Anderson, J. E. (1979). A theoretical foundation for the gravity equation. The American Economic Review, 69(1), </w:t>
      </w:r>
      <w:r w:rsidRPr="003E759A">
        <w:rPr>
          <w:noProof/>
        </w:rPr>
        <w:t>106-116.</w:t>
      </w:r>
    </w:p>
    <w:p w:rsidR="00555C9C" w:rsidRPr="00730468" w:rsidRDefault="00555C9C" w:rsidP="00350BA3">
      <w:pPr>
        <w:jc w:val="both"/>
      </w:pPr>
    </w:p>
    <w:p w:rsidR="00555C9C" w:rsidRPr="00730468" w:rsidRDefault="00555C9C" w:rsidP="00350BA3">
      <w:pPr>
        <w:jc w:val="both"/>
      </w:pPr>
      <w:r w:rsidRPr="00730468">
        <w:t xml:space="preserve">Andersson, T., &amp; Svensson, </w:t>
      </w:r>
      <w:r w:rsidRPr="006A0B43">
        <w:rPr>
          <w:noProof/>
        </w:rPr>
        <w:t>R. (1994). Entry modes for direct investment determined</w:t>
      </w:r>
      <w:r w:rsidRPr="00730468">
        <w:rPr>
          <w:noProof/>
        </w:rPr>
        <w:t xml:space="preserve"> by the composition of firm-specific skills.</w:t>
      </w:r>
      <w:r w:rsidRPr="00730468">
        <w:t xml:space="preserve"> The Scandinavian Journal of Economics, 96(4), 551-560.</w:t>
      </w:r>
    </w:p>
    <w:p w:rsidR="00555C9C" w:rsidRPr="00730468" w:rsidRDefault="00555C9C" w:rsidP="00350BA3">
      <w:pPr>
        <w:jc w:val="both"/>
      </w:pPr>
    </w:p>
    <w:p w:rsidR="00555C9C" w:rsidRPr="006A0B43" w:rsidRDefault="00555C9C" w:rsidP="00350BA3">
      <w:pPr>
        <w:jc w:val="both"/>
        <w:rPr>
          <w:noProof/>
        </w:rPr>
      </w:pPr>
      <w:r w:rsidRPr="00730468">
        <w:rPr>
          <w:noProof/>
        </w:rPr>
        <w:t xml:space="preserve">Barkema, H. G., &amp; Vermeulen, F. (1997). What differences in the cultural backgrounds of partners are detrimental for international joint </w:t>
      </w:r>
      <w:r w:rsidRPr="006A0B43">
        <w:rPr>
          <w:noProof/>
        </w:rPr>
        <w:t>ventures?. Journal of international business studies, 845-864.</w:t>
      </w:r>
    </w:p>
    <w:p w:rsidR="00555C9C" w:rsidRPr="00730468" w:rsidRDefault="00555C9C" w:rsidP="00350BA3">
      <w:pPr>
        <w:jc w:val="both"/>
      </w:pPr>
    </w:p>
    <w:p w:rsidR="00555C9C" w:rsidRPr="00730468" w:rsidRDefault="00555C9C" w:rsidP="00350BA3">
      <w:pPr>
        <w:jc w:val="both"/>
      </w:pPr>
      <w:r w:rsidRPr="00730468">
        <w:t>Beamish, P. W., &amp; Inkpen, A. C. (1995). Keeping international joint ventures stable and profitable. Long Range Planning, 28(3), 2-36.</w:t>
      </w:r>
    </w:p>
    <w:p w:rsidR="00555C9C" w:rsidRPr="00730468" w:rsidRDefault="00555C9C" w:rsidP="00350BA3">
      <w:pPr>
        <w:jc w:val="both"/>
      </w:pPr>
    </w:p>
    <w:p w:rsidR="00555C9C" w:rsidRPr="00730468" w:rsidRDefault="00555C9C" w:rsidP="00350BA3">
      <w:pPr>
        <w:jc w:val="both"/>
      </w:pPr>
      <w:r w:rsidRPr="00730468">
        <w:rPr>
          <w:noProof/>
        </w:rPr>
        <w:t>Berry, H., Guillén, M. F., &amp; Zhou, N. (2010). An institutional approach to cross-national distance. Journal of International Business Studies, 41(9), 1460-1480.</w:t>
      </w:r>
    </w:p>
    <w:p w:rsidR="00555C9C" w:rsidRDefault="00555C9C" w:rsidP="00350BA3">
      <w:pPr>
        <w:jc w:val="both"/>
      </w:pPr>
    </w:p>
    <w:p w:rsidR="006832B0" w:rsidRDefault="006832B0" w:rsidP="00350BA3">
      <w:pPr>
        <w:jc w:val="both"/>
      </w:pPr>
      <w:r w:rsidRPr="006832B0">
        <w:t>Bowen, D. E., &amp; Jones, G. R. (1986). Transaction cost analysis of service organization-customer exchange. Academy of Management Review, 11(2), 428-441.</w:t>
      </w:r>
    </w:p>
    <w:p w:rsidR="006832B0" w:rsidRPr="00730468" w:rsidRDefault="006832B0" w:rsidP="00350BA3">
      <w:pPr>
        <w:jc w:val="both"/>
      </w:pPr>
    </w:p>
    <w:p w:rsidR="00555C9C" w:rsidRPr="00730468" w:rsidRDefault="00555C9C" w:rsidP="00350BA3">
      <w:pPr>
        <w:jc w:val="both"/>
      </w:pPr>
      <w:r w:rsidRPr="00730468">
        <w:t>Breu, M., Dobbs, R., &amp; Remes, J. (2012). Taking India’s economy to the next level. Mc Kinsey Quarterly.</w:t>
      </w:r>
    </w:p>
    <w:p w:rsidR="00555C9C" w:rsidRPr="00730468" w:rsidRDefault="00555C9C" w:rsidP="00350BA3">
      <w:pPr>
        <w:jc w:val="both"/>
      </w:pPr>
    </w:p>
    <w:p w:rsidR="00555C9C" w:rsidRPr="00730468" w:rsidRDefault="00555C9C" w:rsidP="00350BA3">
      <w:pPr>
        <w:jc w:val="both"/>
      </w:pPr>
      <w:r w:rsidRPr="00730468">
        <w:t>Brouthers, K. D. (2002). Institutional, cultural and transaction cost influences on entry mode choice and performance. Journal of international business studies, 33(2), 203-221.</w:t>
      </w:r>
    </w:p>
    <w:p w:rsidR="00555C9C" w:rsidRPr="00730468" w:rsidRDefault="00555C9C" w:rsidP="00350BA3">
      <w:pPr>
        <w:jc w:val="both"/>
      </w:pPr>
    </w:p>
    <w:p w:rsidR="00555C9C" w:rsidRPr="00730468" w:rsidRDefault="00555C9C" w:rsidP="00350BA3">
      <w:pPr>
        <w:jc w:val="both"/>
      </w:pPr>
      <w:r w:rsidRPr="00730468">
        <w:t>Brouthers, K. D., &amp; Brouthers, L. E. (2000). Acquisition or greenfield start-up? Institutional, cultural and transaction cost influences. Strategic Management Journal, 89-97.</w:t>
      </w:r>
    </w:p>
    <w:p w:rsidR="00555C9C" w:rsidRPr="00730468" w:rsidRDefault="00555C9C" w:rsidP="00350BA3">
      <w:pPr>
        <w:jc w:val="both"/>
      </w:pPr>
    </w:p>
    <w:p w:rsidR="00555C9C" w:rsidRPr="00730468" w:rsidRDefault="00555C9C" w:rsidP="00350BA3">
      <w:pPr>
        <w:jc w:val="both"/>
      </w:pPr>
      <w:r w:rsidRPr="00730468">
        <w:lastRenderedPageBreak/>
        <w:t>Brouthers, K. D., &amp; Brouthers, L. E. (2001). Explaining the national cultural distance paradox. Journal of International Business Studies, 32(1), 177-189.</w:t>
      </w:r>
    </w:p>
    <w:p w:rsidR="005A23AC" w:rsidRDefault="005A23AC" w:rsidP="00350BA3">
      <w:pPr>
        <w:jc w:val="both"/>
      </w:pPr>
    </w:p>
    <w:p w:rsidR="00555C9C" w:rsidRPr="00730468" w:rsidRDefault="00555C9C" w:rsidP="00350BA3">
      <w:pPr>
        <w:jc w:val="both"/>
      </w:pPr>
      <w:r w:rsidRPr="00730468">
        <w:t>Brouthers, K. D., &amp; Brouthers, L. E. (2003). Why service and manufacturing entry mode choices differ: The influence of transaction cost factors, risk and trust. Journal of management studies, 40(5), 1179-1204.</w:t>
      </w:r>
    </w:p>
    <w:p w:rsidR="00555C9C" w:rsidRPr="00730468" w:rsidRDefault="00555C9C" w:rsidP="00350BA3">
      <w:pPr>
        <w:jc w:val="both"/>
      </w:pPr>
    </w:p>
    <w:p w:rsidR="00555C9C" w:rsidRPr="00730468" w:rsidRDefault="00555C9C" w:rsidP="00350BA3">
      <w:pPr>
        <w:jc w:val="both"/>
      </w:pPr>
      <w:r w:rsidRPr="00730468">
        <w:t>Brouthers, K. D., &amp; Hennart, J. F. (2007). Boundaries of the firm: Insights from international entry mode research. Journal of management, 33(3), 395-425.</w:t>
      </w:r>
    </w:p>
    <w:p w:rsidR="00555C9C" w:rsidRPr="00730468" w:rsidRDefault="00555C9C" w:rsidP="00350BA3">
      <w:pPr>
        <w:jc w:val="both"/>
      </w:pPr>
    </w:p>
    <w:p w:rsidR="00555C9C" w:rsidRPr="00730468" w:rsidRDefault="00555C9C" w:rsidP="00350BA3">
      <w:pPr>
        <w:jc w:val="both"/>
      </w:pPr>
      <w:r w:rsidRPr="00730468">
        <w:t>Brouthers, L. E., Brouthers, K. D., &amp; Werner, S. (1999). Is Dunning's eclectic framework descriptive or normative?. Journal of International Business Studies, 30(4), 831-844.</w:t>
      </w:r>
    </w:p>
    <w:p w:rsidR="00555C9C" w:rsidRPr="00730468" w:rsidRDefault="00555C9C" w:rsidP="00350BA3">
      <w:pPr>
        <w:jc w:val="both"/>
      </w:pPr>
    </w:p>
    <w:p w:rsidR="00555C9C" w:rsidRPr="00730468" w:rsidRDefault="00555C9C" w:rsidP="00350BA3">
      <w:pPr>
        <w:jc w:val="both"/>
      </w:pPr>
      <w:r w:rsidRPr="00730468">
        <w:t>Buckley, P. J., &amp; Casson, M. C. (2009). The internalisation theory of the multinational enterprise: A review of the progress of a research agenda after 30 years. Journal of International Business Studies, 40(9), 1563-1580.</w:t>
      </w:r>
    </w:p>
    <w:p w:rsidR="00555C9C" w:rsidRPr="00730468" w:rsidRDefault="00555C9C" w:rsidP="00350BA3">
      <w:pPr>
        <w:jc w:val="both"/>
      </w:pPr>
    </w:p>
    <w:p w:rsidR="00555C9C" w:rsidRPr="00730468" w:rsidRDefault="00555C9C" w:rsidP="00350BA3">
      <w:pPr>
        <w:jc w:val="both"/>
      </w:pPr>
      <w:r w:rsidRPr="00730468">
        <w:t>Canabal, A., &amp; White, G. O. (2008). Entry mode research: Past and future. International Business Review, 17(3), 267-284.</w:t>
      </w:r>
    </w:p>
    <w:p w:rsidR="00555C9C" w:rsidRPr="00730468" w:rsidRDefault="00555C9C" w:rsidP="00350BA3">
      <w:pPr>
        <w:jc w:val="both"/>
      </w:pPr>
    </w:p>
    <w:p w:rsidR="00555C9C" w:rsidRPr="00730468" w:rsidRDefault="00555C9C" w:rsidP="00350BA3">
      <w:pPr>
        <w:jc w:val="both"/>
      </w:pPr>
      <w:r w:rsidRPr="00730468">
        <w:t>Chang, S. J., &amp; Rosenzweig, P. M. (2001). The choice of entry mode in sequential foreign direct investment. Strategic management journal, 22(8), 747-776.</w:t>
      </w:r>
    </w:p>
    <w:p w:rsidR="00555C9C" w:rsidRPr="00730468" w:rsidRDefault="00555C9C" w:rsidP="00350BA3">
      <w:pPr>
        <w:jc w:val="both"/>
      </w:pPr>
    </w:p>
    <w:p w:rsidR="00555C9C" w:rsidRPr="00730468" w:rsidRDefault="00555C9C" w:rsidP="00350BA3">
      <w:pPr>
        <w:jc w:val="both"/>
      </w:pPr>
      <w:r w:rsidRPr="00730468">
        <w:t>Chang, S. J., &amp; Rosenzweig, P. M. (2001). The choice of entry mode in sequential foreign direct investment. Strategic management journal, 22(8), 747-776.</w:t>
      </w:r>
    </w:p>
    <w:p w:rsidR="00555C9C" w:rsidRPr="00730468" w:rsidRDefault="00555C9C" w:rsidP="00350BA3">
      <w:pPr>
        <w:jc w:val="both"/>
      </w:pPr>
    </w:p>
    <w:p w:rsidR="00555C9C" w:rsidRPr="00730468" w:rsidRDefault="00555C9C" w:rsidP="00350BA3">
      <w:pPr>
        <w:jc w:val="both"/>
      </w:pPr>
      <w:r w:rsidRPr="00730468">
        <w:t>Chen, N. (2004). Intra-national versus international trade in the European Union: why do national borders matter?. Journal of international Economics, 63(1), 93-118.</w:t>
      </w:r>
    </w:p>
    <w:p w:rsidR="00555C9C" w:rsidRPr="00730468" w:rsidRDefault="00555C9C" w:rsidP="00350BA3">
      <w:pPr>
        <w:jc w:val="both"/>
      </w:pPr>
    </w:p>
    <w:p w:rsidR="00555C9C" w:rsidRPr="00730468" w:rsidRDefault="00555C9C" w:rsidP="00350BA3">
      <w:pPr>
        <w:jc w:val="both"/>
      </w:pPr>
      <w:r w:rsidRPr="00730468">
        <w:t>Chen, S. F. S., &amp; Hennart, J. F. (2002). Japanese investors' choice of joint ventures versus wholly-owned subsidiaries in the US: The role of market barriers and firm capabilities. Journal of International Business Studies, 33(1), 1-18.</w:t>
      </w:r>
    </w:p>
    <w:p w:rsidR="00555C9C" w:rsidRPr="00730468" w:rsidRDefault="00555C9C" w:rsidP="00350BA3">
      <w:pPr>
        <w:jc w:val="both"/>
      </w:pPr>
    </w:p>
    <w:p w:rsidR="00555C9C" w:rsidRPr="00730468" w:rsidRDefault="00555C9C" w:rsidP="00350BA3">
      <w:pPr>
        <w:jc w:val="both"/>
      </w:pPr>
      <w:r w:rsidRPr="00730468">
        <w:t>Chen, S. F. S., &amp; Hennart, J. F. (2004). A hostage theory of joint ventures: why do Japanese investors choose partial over full acquisitions to enter the United States?. Journal of Business Research, 57(10), 1126-1134.</w:t>
      </w:r>
    </w:p>
    <w:p w:rsidR="00555C9C" w:rsidRPr="00730468" w:rsidRDefault="00555C9C" w:rsidP="00350BA3">
      <w:pPr>
        <w:jc w:val="both"/>
      </w:pPr>
    </w:p>
    <w:p w:rsidR="00555C9C" w:rsidRPr="00730468" w:rsidRDefault="00555C9C" w:rsidP="00350BA3">
      <w:pPr>
        <w:jc w:val="both"/>
      </w:pPr>
      <w:r w:rsidRPr="00730468">
        <w:t>Coase, R. H. (1937). The nature of the firm. economica, 4(16), 386-405.</w:t>
      </w:r>
    </w:p>
    <w:p w:rsidR="00555C9C" w:rsidRPr="00730468" w:rsidRDefault="00555C9C" w:rsidP="00350BA3">
      <w:pPr>
        <w:jc w:val="both"/>
      </w:pPr>
    </w:p>
    <w:p w:rsidR="00555C9C" w:rsidRPr="00730468" w:rsidRDefault="00555C9C" w:rsidP="00350BA3">
      <w:pPr>
        <w:jc w:val="both"/>
      </w:pPr>
      <w:r w:rsidRPr="00730468">
        <w:t>Contractor, F. J., &amp; Kundu, S. K. (1998). Modal choice in a world of alliances: Analyzing organizational forms in the international hotel sector. Journal of international business studies, 29(2), 325-356.</w:t>
      </w:r>
    </w:p>
    <w:p w:rsidR="00555C9C" w:rsidRPr="00730468" w:rsidRDefault="00555C9C" w:rsidP="00350BA3">
      <w:pPr>
        <w:jc w:val="both"/>
      </w:pPr>
    </w:p>
    <w:p w:rsidR="00555C9C" w:rsidRPr="00730468" w:rsidRDefault="00555C9C" w:rsidP="00350BA3">
      <w:pPr>
        <w:jc w:val="both"/>
      </w:pPr>
      <w:r w:rsidRPr="00730468">
        <w:t>Contractor, F. J., Lahiri, S., Elango, B., &amp; Kundu, S. K. (2014). Institutional, cultural and industry related determinants of ownership choices in emerging market FDI acquisitions. International Business Review, 23(5), 931-941.</w:t>
      </w:r>
    </w:p>
    <w:p w:rsidR="00555C9C" w:rsidRPr="00730468" w:rsidRDefault="00555C9C" w:rsidP="00350BA3">
      <w:pPr>
        <w:jc w:val="both"/>
      </w:pPr>
    </w:p>
    <w:p w:rsidR="00555C9C" w:rsidRPr="00730468" w:rsidRDefault="00555C9C" w:rsidP="00350BA3">
      <w:pPr>
        <w:jc w:val="both"/>
      </w:pPr>
      <w:r w:rsidRPr="00730468">
        <w:t>Davidson, P. (1982). Rational expectations: a fallacious foundation for studying crucial decision-making processes. Journal of Post Keynesian Economics, 5(2), 182-198.</w:t>
      </w:r>
    </w:p>
    <w:p w:rsidR="005A23AC" w:rsidRDefault="005A23AC" w:rsidP="00350BA3">
      <w:pPr>
        <w:jc w:val="both"/>
      </w:pPr>
    </w:p>
    <w:p w:rsidR="00555C9C" w:rsidRPr="00730468" w:rsidRDefault="00555C9C" w:rsidP="00350BA3">
      <w:pPr>
        <w:jc w:val="both"/>
      </w:pPr>
      <w:r w:rsidRPr="00730468">
        <w:t>Deardorff, A. (1998). Determinants of bilateral trade: does gravity work in a neoclassical world?. In The regionalization of the world economy (pp. 7-32). University of Chicago Press.</w:t>
      </w:r>
    </w:p>
    <w:p w:rsidR="00555C9C" w:rsidRPr="00730468" w:rsidRDefault="00555C9C" w:rsidP="00350BA3">
      <w:pPr>
        <w:jc w:val="both"/>
      </w:pPr>
    </w:p>
    <w:p w:rsidR="00555C9C" w:rsidRPr="00730468" w:rsidRDefault="00555C9C" w:rsidP="00350BA3">
      <w:pPr>
        <w:jc w:val="both"/>
      </w:pPr>
      <w:r w:rsidRPr="00730468">
        <w:rPr>
          <w:noProof/>
        </w:rPr>
        <w:t>Delios, A., &amp; Beamish, P. W. (1999). Ownership strategy of Japanese firms: Transactional, institutional, and experience influences. Strategic management journal,</w:t>
      </w:r>
      <w:r w:rsidRPr="00730468">
        <w:t xml:space="preserve"> 915-933.</w:t>
      </w:r>
    </w:p>
    <w:p w:rsidR="00555C9C" w:rsidRPr="00730468" w:rsidRDefault="00555C9C" w:rsidP="00350BA3">
      <w:pPr>
        <w:jc w:val="both"/>
      </w:pPr>
    </w:p>
    <w:p w:rsidR="00555C9C" w:rsidRPr="00730468" w:rsidRDefault="00555C9C" w:rsidP="00350BA3">
      <w:pPr>
        <w:jc w:val="both"/>
      </w:pPr>
      <w:r w:rsidRPr="00730468">
        <w:t>Delios, A., &amp; Henisz, W. I. (2000). Japanese firms' investment strategies in emerging economies. Academy of Management journal, 43(3), 305-323.</w:t>
      </w:r>
    </w:p>
    <w:p w:rsidR="00555C9C" w:rsidRPr="00730468" w:rsidRDefault="00555C9C" w:rsidP="00350BA3">
      <w:pPr>
        <w:jc w:val="both"/>
      </w:pPr>
    </w:p>
    <w:p w:rsidR="00555C9C" w:rsidRPr="00730468" w:rsidRDefault="00555C9C" w:rsidP="00350BA3">
      <w:pPr>
        <w:jc w:val="both"/>
      </w:pPr>
      <w:r w:rsidRPr="00730468">
        <w:t>Delios, A., &amp; Henisz, W. J. (2003). Political hazards, experience, and sequential entry strategies: The international expansion of Japanese firms, 1980–1998. Strategic management journal, 24(11), 1153-1164.</w:t>
      </w:r>
    </w:p>
    <w:p w:rsidR="00555C9C" w:rsidRPr="00730468" w:rsidRDefault="00555C9C" w:rsidP="00350BA3">
      <w:pPr>
        <w:jc w:val="both"/>
      </w:pPr>
    </w:p>
    <w:p w:rsidR="00555C9C" w:rsidRPr="00730468" w:rsidRDefault="00555C9C" w:rsidP="00350BA3">
      <w:pPr>
        <w:jc w:val="both"/>
      </w:pPr>
      <w:r w:rsidRPr="00730468">
        <w:t>Demirbag, M., Glaister, K. W., &amp; Tatoglu, E. (2007). Institutional and transaction cost influences on MNEs’ ownership strategies of their affiliates: Evidence from an emerging market. Journal of World Business, 42(4), 418-434.</w:t>
      </w:r>
    </w:p>
    <w:p w:rsidR="00555C9C" w:rsidRPr="00730468" w:rsidRDefault="00555C9C" w:rsidP="00350BA3">
      <w:pPr>
        <w:jc w:val="both"/>
      </w:pPr>
    </w:p>
    <w:p w:rsidR="00555C9C" w:rsidRPr="00730468" w:rsidRDefault="00555C9C" w:rsidP="00350BA3">
      <w:pPr>
        <w:jc w:val="both"/>
      </w:pPr>
      <w:r w:rsidRPr="00730468">
        <w:t>Dikova, D., &amp; Brouthers, K. D. (2009). Establishment mode choice: acquisition versus greenfield entry. SAGE handbook of international marketing, 218-237</w:t>
      </w:r>
    </w:p>
    <w:p w:rsidR="00555C9C" w:rsidRPr="00730468" w:rsidRDefault="00555C9C" w:rsidP="00350BA3">
      <w:pPr>
        <w:jc w:val="both"/>
      </w:pPr>
    </w:p>
    <w:p w:rsidR="00555C9C" w:rsidRPr="00730468" w:rsidRDefault="00555C9C" w:rsidP="00350BA3">
      <w:pPr>
        <w:jc w:val="both"/>
      </w:pPr>
      <w:r w:rsidRPr="00730468">
        <w:t>Dikova, D., &amp; Van Witteloostuijn, A. (2007). Foreign direct investment mode choice: entry and establishment modes in transition economies. Journal of International Business Studies, 38(6), 1013-1033.</w:t>
      </w:r>
    </w:p>
    <w:p w:rsidR="00555C9C" w:rsidRPr="00730468" w:rsidRDefault="00555C9C" w:rsidP="00350BA3">
      <w:pPr>
        <w:jc w:val="both"/>
      </w:pPr>
    </w:p>
    <w:p w:rsidR="00555C9C" w:rsidRPr="00730468" w:rsidRDefault="00555C9C" w:rsidP="00350BA3">
      <w:pPr>
        <w:jc w:val="both"/>
      </w:pPr>
      <w:r w:rsidRPr="00730468">
        <w:t>Dikova, D., Sahib, P. R., &amp; Van Witteloostuijn, A. (2010). Cross-border acquisition abandonment and completion: The effect of institutional differences and organizational learning in the international business service industry, 1981–2001. Journal of International Business Studies, 41(2), 223-245.</w:t>
      </w:r>
    </w:p>
    <w:p w:rsidR="00555C9C" w:rsidRPr="00730468" w:rsidRDefault="00555C9C" w:rsidP="00350BA3">
      <w:pPr>
        <w:jc w:val="both"/>
      </w:pPr>
    </w:p>
    <w:p w:rsidR="00555C9C" w:rsidRPr="00730468" w:rsidRDefault="00555C9C" w:rsidP="00350BA3">
      <w:pPr>
        <w:jc w:val="both"/>
      </w:pPr>
      <w:r w:rsidRPr="00730468">
        <w:t>Dikova, D., Sahib, P. R., &amp; Van Witteloostuijn, A. (2010). Cross-border acquisition abandonment and completion: The effect of institutional differences and organizational learning in the international business service industry, 1981–2001. Journal of International Business Studies, 41(2), 223-245.</w:t>
      </w:r>
    </w:p>
    <w:p w:rsidR="00555C9C" w:rsidRPr="00730468" w:rsidRDefault="00555C9C" w:rsidP="00350BA3">
      <w:pPr>
        <w:jc w:val="both"/>
      </w:pPr>
    </w:p>
    <w:p w:rsidR="00555C9C" w:rsidRPr="00730468" w:rsidRDefault="00555C9C" w:rsidP="00350BA3">
      <w:pPr>
        <w:jc w:val="both"/>
      </w:pPr>
      <w:r w:rsidRPr="00730468">
        <w:t>Dimitratos, P., Lioukas, S., Ibeh, K. I., &amp; Wheeler, C. (2010). Governance mechanisms of small and medium enterprise international partner management. British Journal of Management, 21(3), 754-771.</w:t>
      </w:r>
    </w:p>
    <w:p w:rsidR="00555C9C" w:rsidRPr="00730468" w:rsidRDefault="00555C9C" w:rsidP="00350BA3">
      <w:pPr>
        <w:jc w:val="both"/>
      </w:pPr>
    </w:p>
    <w:p w:rsidR="00555C9C" w:rsidRPr="00730468" w:rsidRDefault="00555C9C" w:rsidP="00350BA3">
      <w:pPr>
        <w:jc w:val="both"/>
      </w:pPr>
      <w:r w:rsidRPr="00730468">
        <w:t>Distance factors and target market selection: the moderating effect of market potential</w:t>
      </w:r>
    </w:p>
    <w:p w:rsidR="00555C9C" w:rsidRPr="00730468" w:rsidRDefault="00555C9C" w:rsidP="00350BA3">
      <w:pPr>
        <w:jc w:val="both"/>
      </w:pPr>
      <w:r w:rsidRPr="00730468">
        <w:t>Dow, D. (2000). A note on psychological distance and export market selection. Journal of International Marketing, 8(1), 51-64.</w:t>
      </w:r>
    </w:p>
    <w:p w:rsidR="00555C9C" w:rsidRPr="00730468" w:rsidRDefault="00555C9C" w:rsidP="00350BA3">
      <w:pPr>
        <w:jc w:val="both"/>
      </w:pPr>
    </w:p>
    <w:p w:rsidR="00555C9C" w:rsidRPr="00730468" w:rsidRDefault="00555C9C" w:rsidP="00350BA3">
      <w:pPr>
        <w:jc w:val="both"/>
      </w:pPr>
      <w:r w:rsidRPr="00730468">
        <w:lastRenderedPageBreak/>
        <w:t>Dow, D., &amp; Larimo, J. (2009). Challenging the conceptualization and measurement of distance and international experience in entry mode choice research. Journal of International Marketing, 17(2), 74-98.</w:t>
      </w:r>
    </w:p>
    <w:p w:rsidR="005A23AC" w:rsidRDefault="005A23AC" w:rsidP="00350BA3">
      <w:pPr>
        <w:jc w:val="both"/>
      </w:pPr>
    </w:p>
    <w:p w:rsidR="00555C9C" w:rsidRPr="00730468" w:rsidRDefault="00555C9C" w:rsidP="00350BA3">
      <w:pPr>
        <w:jc w:val="both"/>
      </w:pPr>
      <w:r w:rsidRPr="00730468">
        <w:t>Drogendijk, R., &amp; Slangen, A. (2006). Hofstede, Schwartz, or managerial perceptions? The effects of different cultural distance measures on establishment mode choices by multinational enterprises. International business review, 15(4), 361-380.</w:t>
      </w:r>
    </w:p>
    <w:p w:rsidR="00555C9C" w:rsidRPr="00730468" w:rsidRDefault="00555C9C" w:rsidP="00350BA3">
      <w:pPr>
        <w:jc w:val="both"/>
      </w:pPr>
    </w:p>
    <w:p w:rsidR="00555C9C" w:rsidRPr="00730468" w:rsidRDefault="00555C9C" w:rsidP="00350BA3">
      <w:pPr>
        <w:jc w:val="both"/>
      </w:pPr>
      <w:r w:rsidRPr="00730468">
        <w:t xml:space="preserve">Duanmu, J. L. (2011). </w:t>
      </w:r>
      <w:r w:rsidRPr="00730468">
        <w:rPr>
          <w:noProof/>
        </w:rPr>
        <w:t>The effect of corruption distance and market orientation on the ownership choice of MNEs: Evidence from China.</w:t>
      </w:r>
      <w:r w:rsidRPr="00730468">
        <w:t xml:space="preserve"> Journal of International Management, 17(2), 162-174.</w:t>
      </w:r>
    </w:p>
    <w:p w:rsidR="00555C9C" w:rsidRPr="00730468" w:rsidRDefault="00555C9C" w:rsidP="00350BA3">
      <w:pPr>
        <w:jc w:val="both"/>
      </w:pPr>
    </w:p>
    <w:p w:rsidR="00555C9C" w:rsidRPr="00730468" w:rsidRDefault="00555C9C" w:rsidP="00350BA3">
      <w:pPr>
        <w:jc w:val="both"/>
        <w:rPr>
          <w:noProof/>
        </w:rPr>
      </w:pPr>
      <w:r w:rsidRPr="00730468">
        <w:rPr>
          <w:noProof/>
        </w:rPr>
        <w:t>Ekeledo, I., &amp; Sivakumar, K. (1998). Foreign market entry mode choice of service firms: a contingency perspective. Journal of the academy of marketing science, 26(4), 274-292.</w:t>
      </w:r>
    </w:p>
    <w:p w:rsidR="00555C9C" w:rsidRPr="00730468" w:rsidRDefault="00555C9C" w:rsidP="00350BA3">
      <w:pPr>
        <w:jc w:val="both"/>
      </w:pPr>
    </w:p>
    <w:p w:rsidR="00555C9C" w:rsidRPr="00730468" w:rsidRDefault="00555C9C" w:rsidP="00350BA3">
      <w:pPr>
        <w:jc w:val="both"/>
      </w:pPr>
      <w:r w:rsidRPr="00730468">
        <w:t>Ekeledo, I., &amp; Sivakumar, K. (1998). Foreign market entry mode choice of service firms: a contingency perspective. Journal of the academy of marketing science, 26(4), 274-292.</w:t>
      </w:r>
    </w:p>
    <w:p w:rsidR="00555C9C" w:rsidRPr="00730468" w:rsidRDefault="00555C9C" w:rsidP="00350BA3">
      <w:pPr>
        <w:jc w:val="both"/>
      </w:pPr>
    </w:p>
    <w:p w:rsidR="00555C9C" w:rsidRPr="00730468" w:rsidRDefault="00555C9C" w:rsidP="00350BA3">
      <w:pPr>
        <w:jc w:val="both"/>
      </w:pPr>
      <w:r w:rsidRPr="00730468">
        <w:t>Erramilli, M. K. (1991). The experience factor in foreign market entry behavior of service firms. Journal of international business studies, 22(3), 479-501.</w:t>
      </w:r>
    </w:p>
    <w:p w:rsidR="00555C9C" w:rsidRPr="00730468" w:rsidRDefault="00555C9C" w:rsidP="00350BA3">
      <w:pPr>
        <w:jc w:val="both"/>
      </w:pPr>
    </w:p>
    <w:p w:rsidR="00555C9C" w:rsidRPr="00730468" w:rsidRDefault="00555C9C" w:rsidP="00350BA3">
      <w:pPr>
        <w:jc w:val="both"/>
      </w:pPr>
      <w:r w:rsidRPr="00730468">
        <w:t>Erramilli, M. K., &amp; Rao, C. P. (1993). Service firms' international entry-mode choice: A modified transaction-cost analysis approach. The Journal of Marketing, 19-38.</w:t>
      </w:r>
    </w:p>
    <w:p w:rsidR="00555C9C" w:rsidRPr="00730468" w:rsidRDefault="00555C9C" w:rsidP="00350BA3">
      <w:pPr>
        <w:jc w:val="both"/>
      </w:pPr>
    </w:p>
    <w:p w:rsidR="00555C9C" w:rsidRPr="00730468" w:rsidRDefault="00555C9C" w:rsidP="00350BA3">
      <w:pPr>
        <w:jc w:val="both"/>
      </w:pPr>
      <w:r w:rsidRPr="00730468">
        <w:t>Feinberg, S. E., &amp; Gupta, A. K. (2009). MNC subsidiaries and country risk: Internalization as a safeguard against weak external institutions. Academy of Management Journal, 52(2), 381-399.</w:t>
      </w:r>
    </w:p>
    <w:p w:rsidR="00555C9C" w:rsidRPr="00730468" w:rsidRDefault="00555C9C" w:rsidP="00350BA3">
      <w:pPr>
        <w:jc w:val="both"/>
      </w:pPr>
    </w:p>
    <w:p w:rsidR="00555C9C" w:rsidRPr="00730468" w:rsidRDefault="00555C9C" w:rsidP="00350BA3">
      <w:pPr>
        <w:jc w:val="both"/>
      </w:pPr>
      <w:r w:rsidRPr="00730468">
        <w:t>Franko, L. G. (1973). Who manages multinational enterprises. Thunderbird International Business Review, 15(3), 20-21.</w:t>
      </w:r>
    </w:p>
    <w:p w:rsidR="00555C9C" w:rsidRPr="00730468" w:rsidRDefault="00555C9C" w:rsidP="00350BA3">
      <w:pPr>
        <w:jc w:val="both"/>
      </w:pPr>
    </w:p>
    <w:p w:rsidR="00555C9C" w:rsidRPr="00730468" w:rsidRDefault="00555C9C" w:rsidP="00350BA3">
      <w:pPr>
        <w:jc w:val="both"/>
      </w:pPr>
      <w:r w:rsidRPr="00730468">
        <w:t>Gatignon, H., &amp; Anderson, E. (1988). The multinational corporation's degree of control over foreign subsidiaries: An empirical test of a transaction cost explanation. Journal of Law, Economics, &amp; Organization, 4(2), 305-336.</w:t>
      </w:r>
    </w:p>
    <w:p w:rsidR="00555C9C" w:rsidRPr="00730468" w:rsidRDefault="00555C9C" w:rsidP="00350BA3">
      <w:pPr>
        <w:jc w:val="both"/>
      </w:pPr>
    </w:p>
    <w:p w:rsidR="00555C9C" w:rsidRPr="00730468" w:rsidRDefault="00555C9C" w:rsidP="00350BA3">
      <w:pPr>
        <w:jc w:val="both"/>
      </w:pPr>
      <w:r w:rsidRPr="00730468">
        <w:t>Ghemawat, P. (2001). Distance still matters. Harvard business review, 79(8), 137-147.</w:t>
      </w:r>
    </w:p>
    <w:p w:rsidR="00555C9C" w:rsidRPr="00730468" w:rsidRDefault="00555C9C" w:rsidP="00350BA3">
      <w:pPr>
        <w:jc w:val="both"/>
      </w:pPr>
    </w:p>
    <w:p w:rsidR="00555C9C" w:rsidRPr="00730468" w:rsidRDefault="00555C9C" w:rsidP="00350BA3">
      <w:pPr>
        <w:jc w:val="both"/>
      </w:pPr>
      <w:r w:rsidRPr="00730468">
        <w:t>Grossman, G. M., &amp; Helpman, E. (2004). Managerial incentives and the international organization of production. Journal of International Economics, 63(2), 237-262.</w:t>
      </w:r>
    </w:p>
    <w:p w:rsidR="00555C9C" w:rsidRPr="00730468" w:rsidRDefault="00555C9C" w:rsidP="00350BA3">
      <w:pPr>
        <w:jc w:val="both"/>
      </w:pPr>
    </w:p>
    <w:p w:rsidR="00555C9C" w:rsidRPr="00730468" w:rsidRDefault="00555C9C" w:rsidP="00350BA3">
      <w:pPr>
        <w:jc w:val="both"/>
      </w:pPr>
      <w:r w:rsidRPr="00730468">
        <w:t>Grossman, S. J., &amp; Hart, O. D. (1986). The costs and benefits of ownership: A theory of vertical and lateral integration. Journal of political economy, 94(4), 691-719.</w:t>
      </w:r>
    </w:p>
    <w:p w:rsidR="00555C9C" w:rsidRDefault="00555C9C" w:rsidP="00350BA3">
      <w:pPr>
        <w:jc w:val="both"/>
      </w:pPr>
    </w:p>
    <w:p w:rsidR="00064C1B" w:rsidRDefault="00064C1B" w:rsidP="00350BA3">
      <w:pPr>
        <w:jc w:val="both"/>
      </w:pPr>
      <w:r w:rsidRPr="00064C1B">
        <w:t>Habib, M. M., &amp; Victor, B. (1991). Strategy, structure, and performance of US manufacturing and service MNCs: A comparative analysis. Strategic Management Journal, 12(8), 589-606.</w:t>
      </w:r>
    </w:p>
    <w:p w:rsidR="00064C1B" w:rsidRDefault="00064C1B" w:rsidP="00350BA3">
      <w:pPr>
        <w:jc w:val="both"/>
      </w:pPr>
    </w:p>
    <w:p w:rsidR="00934889" w:rsidRDefault="00934889" w:rsidP="00350BA3">
      <w:pPr>
        <w:jc w:val="both"/>
      </w:pPr>
      <w:r w:rsidRPr="00934889">
        <w:t>Harzing, A. W. (2002). Acquisitions versus greenfield investments: International strategy and management of entry modes. Strategic management journal, 23(3), 211-227.</w:t>
      </w:r>
    </w:p>
    <w:p w:rsidR="00934889" w:rsidRPr="00730468" w:rsidRDefault="00934889" w:rsidP="00350BA3">
      <w:pPr>
        <w:jc w:val="both"/>
      </w:pPr>
    </w:p>
    <w:p w:rsidR="00555C9C" w:rsidRPr="00730468" w:rsidRDefault="00555C9C" w:rsidP="00350BA3">
      <w:pPr>
        <w:jc w:val="both"/>
      </w:pPr>
      <w:r w:rsidRPr="00730468">
        <w:t>Heide, D., Von Bremen, L., Greiner, M., Hoffmann, C., Speckmann, M., &amp; Bofinger, S. (2010). Seasonal optimal mix of wind and solar power in a future, highly renewable Europe. Renewable Energy, 35(11), 2483-2489.</w:t>
      </w:r>
    </w:p>
    <w:p w:rsidR="00555C9C" w:rsidRPr="00730468" w:rsidRDefault="00555C9C" w:rsidP="00350BA3">
      <w:pPr>
        <w:jc w:val="both"/>
      </w:pPr>
    </w:p>
    <w:p w:rsidR="00555C9C" w:rsidRPr="00730468" w:rsidRDefault="00555C9C" w:rsidP="00350BA3">
      <w:pPr>
        <w:jc w:val="both"/>
      </w:pPr>
      <w:r w:rsidRPr="00730468">
        <w:t>Henisz, W. J. (2000). The institutional environment for multinational investment. The Journal of Law, Economics, and Organization, 16(2), 334-364.</w:t>
      </w:r>
    </w:p>
    <w:p w:rsidR="00555C9C" w:rsidRPr="00730468" w:rsidRDefault="00555C9C" w:rsidP="00350BA3">
      <w:pPr>
        <w:jc w:val="both"/>
      </w:pPr>
    </w:p>
    <w:p w:rsidR="00555C9C" w:rsidRPr="00730468" w:rsidRDefault="00555C9C" w:rsidP="00350BA3">
      <w:pPr>
        <w:jc w:val="both"/>
      </w:pPr>
      <w:r w:rsidRPr="00730468">
        <w:t>Henisz, W. J., &amp; Delios, A. (2000). Learning about the institutional environment. In The new institutionalism in strategic management (pp. 339-372). Emerald Group Publishing Limited.</w:t>
      </w:r>
    </w:p>
    <w:p w:rsidR="00555C9C" w:rsidRPr="00730468" w:rsidRDefault="00555C9C" w:rsidP="00350BA3">
      <w:pPr>
        <w:jc w:val="both"/>
      </w:pPr>
    </w:p>
    <w:p w:rsidR="00555C9C" w:rsidRPr="00730468" w:rsidRDefault="00555C9C" w:rsidP="00350BA3">
      <w:pPr>
        <w:jc w:val="both"/>
      </w:pPr>
      <w:r w:rsidRPr="00730468">
        <w:t>Hennart, J. F. (1988). A transaction costs theory of equity joint ventures. Strategic management journal, 9(4), 361-374.</w:t>
      </w:r>
    </w:p>
    <w:p w:rsidR="00555C9C" w:rsidRPr="00730468" w:rsidRDefault="00555C9C" w:rsidP="00350BA3">
      <w:pPr>
        <w:jc w:val="both"/>
      </w:pPr>
    </w:p>
    <w:p w:rsidR="00555C9C" w:rsidRPr="00730468" w:rsidRDefault="00555C9C" w:rsidP="00350BA3">
      <w:pPr>
        <w:jc w:val="both"/>
      </w:pPr>
      <w:r w:rsidRPr="00730468">
        <w:t>Hennart, J. F. (1989). Can the “new forms of investment” substitute for the “old forms?” A transaction costs perspective. Journal of International Business Studies, 20(2), 211-234.</w:t>
      </w:r>
    </w:p>
    <w:p w:rsidR="00555C9C" w:rsidRPr="00730468" w:rsidRDefault="00555C9C" w:rsidP="00350BA3">
      <w:pPr>
        <w:jc w:val="both"/>
      </w:pPr>
    </w:p>
    <w:p w:rsidR="00555C9C" w:rsidRPr="00730468" w:rsidRDefault="00555C9C" w:rsidP="00350BA3">
      <w:pPr>
        <w:jc w:val="both"/>
      </w:pPr>
      <w:r w:rsidRPr="00730468">
        <w:t>Hennart, J. F. (1991). The transaction cost theory of the multinational enterprise. The nature of the transnational firm, 2.</w:t>
      </w:r>
    </w:p>
    <w:p w:rsidR="00555C9C" w:rsidRPr="00730468" w:rsidRDefault="00555C9C" w:rsidP="00350BA3">
      <w:pPr>
        <w:jc w:val="both"/>
      </w:pPr>
    </w:p>
    <w:p w:rsidR="00555C9C" w:rsidRPr="00730468" w:rsidRDefault="00555C9C" w:rsidP="00350BA3">
      <w:pPr>
        <w:jc w:val="both"/>
      </w:pPr>
      <w:r w:rsidRPr="00730468">
        <w:t>Hennart, J. F., &amp; Larimo, J. (1998). The impact of culture on the strategy of multinational enterprises: does national origin affect ownership decisions?. Journal of International Business Studies, 29(3), 515-538.</w:t>
      </w:r>
    </w:p>
    <w:p w:rsidR="00555C9C" w:rsidRPr="00730468" w:rsidRDefault="00555C9C" w:rsidP="00350BA3">
      <w:pPr>
        <w:jc w:val="both"/>
      </w:pPr>
    </w:p>
    <w:p w:rsidR="00555C9C" w:rsidRPr="00730468" w:rsidRDefault="00555C9C" w:rsidP="00350BA3">
      <w:pPr>
        <w:jc w:val="both"/>
      </w:pPr>
      <w:r w:rsidRPr="00730468">
        <w:t>Hennart, J. F., &amp; Park, Y. R. (1993). Greenfield vs. acquisition: The strategy of Japanese investors in the United States. Management science, 39(9), 1054-1070.</w:t>
      </w:r>
    </w:p>
    <w:p w:rsidR="00555C9C" w:rsidRPr="00730468" w:rsidRDefault="00555C9C" w:rsidP="00350BA3">
      <w:pPr>
        <w:jc w:val="both"/>
      </w:pPr>
    </w:p>
    <w:p w:rsidR="00DF22FF" w:rsidRPr="00730468" w:rsidRDefault="00DF22FF" w:rsidP="00350BA3">
      <w:pPr>
        <w:jc w:val="both"/>
      </w:pPr>
      <w:r w:rsidRPr="00730468">
        <w:t>Hennart, J. F., &amp; Reddy, S. (1997). The choice between mergers/acquisitions and joint</w:t>
      </w:r>
    </w:p>
    <w:p w:rsidR="00DF22FF" w:rsidRPr="00730468" w:rsidRDefault="00DF22FF" w:rsidP="00350BA3">
      <w:pPr>
        <w:jc w:val="both"/>
      </w:pPr>
      <w:r w:rsidRPr="00730468">
        <w:t>ventures: The case of Japanese investors in the United States. Strategic Management Journal ,</w:t>
      </w:r>
    </w:p>
    <w:p w:rsidR="00F210F0" w:rsidRDefault="00DF22FF" w:rsidP="00350BA3">
      <w:pPr>
        <w:jc w:val="both"/>
      </w:pPr>
      <w:r w:rsidRPr="00730468">
        <w:t>18, 1-12.</w:t>
      </w:r>
      <w:r w:rsidRPr="00730468">
        <w:cr/>
      </w:r>
    </w:p>
    <w:p w:rsidR="00AC2F7B" w:rsidRDefault="00F210F0" w:rsidP="00350BA3">
      <w:pPr>
        <w:jc w:val="both"/>
      </w:pPr>
      <w:r w:rsidRPr="00F210F0">
        <w:t>Hennart, J. F., &amp; Zeng, M. (2002). Cross-cultural differences and joint venture longevity. Journal of International Business Studies, 33(4), 699-716.</w:t>
      </w:r>
    </w:p>
    <w:p w:rsidR="00F210F0" w:rsidRDefault="00F210F0" w:rsidP="00350BA3">
      <w:pPr>
        <w:jc w:val="both"/>
      </w:pPr>
    </w:p>
    <w:p w:rsidR="00DF22FF" w:rsidRDefault="00AC2F7B" w:rsidP="00350BA3">
      <w:pPr>
        <w:jc w:val="both"/>
      </w:pPr>
      <w:r w:rsidRPr="00AC2F7B">
        <w:t xml:space="preserve">Hertog, P. D. (2000). </w:t>
      </w:r>
      <w:r w:rsidRPr="006A0B43">
        <w:rPr>
          <w:noProof/>
        </w:rPr>
        <w:t>Knowledge-intensive business services as co-producers of innovation. International</w:t>
      </w:r>
      <w:r w:rsidRPr="00AC2F7B">
        <w:t xml:space="preserve"> journal of innovation management, 4(04), 491-528.</w:t>
      </w:r>
    </w:p>
    <w:p w:rsidR="00AC2F7B" w:rsidRPr="00730468" w:rsidRDefault="00AC2F7B" w:rsidP="00350BA3">
      <w:pPr>
        <w:jc w:val="both"/>
      </w:pPr>
    </w:p>
    <w:p w:rsidR="00555C9C" w:rsidRPr="00730468" w:rsidRDefault="00555C9C" w:rsidP="00350BA3">
      <w:pPr>
        <w:jc w:val="both"/>
      </w:pPr>
      <w:r w:rsidRPr="00730468">
        <w:t>Hill, C. W., Hwang, P., &amp; Kim, W. C. (1990). An eclectic theory of the choice of international entry mode. Strategic management journal, 11(2), 117-128.</w:t>
      </w:r>
    </w:p>
    <w:p w:rsidR="00FC4560" w:rsidRPr="00730468" w:rsidRDefault="00FC4560" w:rsidP="00350BA3">
      <w:pPr>
        <w:jc w:val="both"/>
      </w:pPr>
    </w:p>
    <w:p w:rsidR="00555C9C" w:rsidRPr="00730468" w:rsidRDefault="00FC4560" w:rsidP="00350BA3">
      <w:pPr>
        <w:jc w:val="both"/>
      </w:pPr>
      <w:r w:rsidRPr="00730468">
        <w:t>Hitt, M., Ireland, R., &amp; Hoskisson, R. (2003). Strategic Management: Competitiveness and Globalization (Sixth Edition ed.). Mason, Ohio: South-Western College Publishing.</w:t>
      </w:r>
    </w:p>
    <w:p w:rsidR="00FC4560" w:rsidRPr="00730468" w:rsidRDefault="00FC4560" w:rsidP="00350BA3">
      <w:pPr>
        <w:jc w:val="both"/>
      </w:pPr>
    </w:p>
    <w:p w:rsidR="00555C9C" w:rsidRPr="00730468" w:rsidRDefault="00555C9C" w:rsidP="00350BA3">
      <w:pPr>
        <w:jc w:val="both"/>
      </w:pPr>
      <w:r w:rsidRPr="00730468">
        <w:t>Hofstede, G. (1980). Culture and organizations. International Studies of Management &amp; Organization, 10(4), 15-41.</w:t>
      </w:r>
    </w:p>
    <w:p w:rsidR="00555C9C" w:rsidRPr="00730468" w:rsidRDefault="00555C9C" w:rsidP="00350BA3">
      <w:pPr>
        <w:jc w:val="both"/>
      </w:pPr>
    </w:p>
    <w:p w:rsidR="00555C9C" w:rsidRPr="00730468" w:rsidRDefault="00555C9C" w:rsidP="00350BA3">
      <w:pPr>
        <w:jc w:val="both"/>
      </w:pPr>
      <w:r w:rsidRPr="00730468">
        <w:lastRenderedPageBreak/>
        <w:t>Iyer, G. R. (1997). Comparative marketing: An interdisciplinary framework for institutional analysis. Journal of International Business Studies, 531-561.</w:t>
      </w:r>
    </w:p>
    <w:p w:rsidR="00555C9C" w:rsidRPr="00730468" w:rsidRDefault="00555C9C" w:rsidP="00350BA3">
      <w:pPr>
        <w:jc w:val="both"/>
      </w:pPr>
    </w:p>
    <w:p w:rsidR="00555C9C" w:rsidRPr="00730468" w:rsidRDefault="00555C9C" w:rsidP="00350BA3">
      <w:pPr>
        <w:jc w:val="both"/>
      </w:pPr>
      <w:r w:rsidRPr="00730468">
        <w:t>Johnson, J., &amp; Tellis, G. J. (2008). Drivers of success for market entry into China and India. Journal of marketing, 72(3), 1-13.</w:t>
      </w:r>
    </w:p>
    <w:p w:rsidR="00555C9C" w:rsidRPr="00730468" w:rsidRDefault="00555C9C" w:rsidP="00350BA3">
      <w:pPr>
        <w:jc w:val="both"/>
      </w:pPr>
    </w:p>
    <w:p w:rsidR="00555C9C" w:rsidRPr="00730468" w:rsidRDefault="00555C9C" w:rsidP="00350BA3">
      <w:pPr>
        <w:jc w:val="both"/>
      </w:pPr>
      <w:r w:rsidRPr="00730468">
        <w:t>Johnson, J., &amp; Tellis, G. J. (2008). Drivers of success for market entry into China and India. Journal of marketing, 72(3), 1-13.</w:t>
      </w:r>
    </w:p>
    <w:p w:rsidR="00555C9C" w:rsidRPr="00730468" w:rsidRDefault="00555C9C" w:rsidP="00350BA3">
      <w:pPr>
        <w:jc w:val="both"/>
      </w:pPr>
    </w:p>
    <w:p w:rsidR="00555C9C" w:rsidRPr="00730468" w:rsidRDefault="00C656E5" w:rsidP="00350BA3">
      <w:pPr>
        <w:jc w:val="both"/>
      </w:pPr>
      <w:r w:rsidRPr="00C656E5">
        <w:t>Kaufmann, D., Kraay, A., &amp; Mastruzzi, M. (2009). Governance matters VIII: aggregate and individual governance indicators, 1996-2008.</w:t>
      </w:r>
    </w:p>
    <w:p w:rsidR="00570A3E" w:rsidRDefault="00570A3E" w:rsidP="00350BA3">
      <w:pPr>
        <w:jc w:val="both"/>
      </w:pPr>
    </w:p>
    <w:p w:rsidR="00DF22FF" w:rsidRDefault="00DF22FF" w:rsidP="00350BA3">
      <w:pPr>
        <w:jc w:val="both"/>
      </w:pPr>
      <w:r w:rsidRPr="00730468">
        <w:t>Kay, N., &amp; Robe, J. P. P. Zagnoli. 1987. An approach to the analysis of joint ventures. European University Institute, Working Paper, (87/313).</w:t>
      </w:r>
    </w:p>
    <w:p w:rsidR="00C656E5" w:rsidRPr="00730468" w:rsidRDefault="00C656E5" w:rsidP="00350BA3">
      <w:pPr>
        <w:jc w:val="both"/>
      </w:pPr>
    </w:p>
    <w:p w:rsidR="00555C9C" w:rsidRPr="00730468" w:rsidRDefault="00555C9C" w:rsidP="00350BA3">
      <w:pPr>
        <w:jc w:val="both"/>
      </w:pPr>
      <w:r w:rsidRPr="00730468">
        <w:t>Kobrin, S. J. (1983). Selective vulnerability and corporate management. International Political Risk Assessment: The State of the Art. Georgetown University Press, Washington, DC, 9-13.</w:t>
      </w:r>
    </w:p>
    <w:p w:rsidR="00DF22FF" w:rsidRPr="00730468" w:rsidRDefault="00DF22FF" w:rsidP="00350BA3">
      <w:pPr>
        <w:jc w:val="both"/>
      </w:pPr>
    </w:p>
    <w:p w:rsidR="00555C9C" w:rsidRPr="00730468" w:rsidRDefault="00555C9C" w:rsidP="00350BA3">
      <w:pPr>
        <w:jc w:val="both"/>
      </w:pPr>
      <w:r w:rsidRPr="00730468">
        <w:t>Kogut, B. (1991). Joint ventures and the option to expand and acquire. Management science, 37(1), 19-33.</w:t>
      </w:r>
    </w:p>
    <w:p w:rsidR="00555C9C" w:rsidRPr="00730468" w:rsidRDefault="00555C9C" w:rsidP="00350BA3">
      <w:pPr>
        <w:jc w:val="both"/>
      </w:pPr>
    </w:p>
    <w:p w:rsidR="00555C9C" w:rsidRPr="00730468" w:rsidRDefault="00555C9C" w:rsidP="00350BA3">
      <w:pPr>
        <w:jc w:val="both"/>
      </w:pPr>
      <w:r w:rsidRPr="00730468">
        <w:t>Kogut, B., &amp; Singh, H. (1988). The effect of national culture on the choice of entry mode. Journal of international business studies, 19(3), 411-432.</w:t>
      </w:r>
    </w:p>
    <w:p w:rsidR="00555C9C" w:rsidRPr="00730468" w:rsidRDefault="00555C9C" w:rsidP="00350BA3">
      <w:pPr>
        <w:jc w:val="both"/>
      </w:pPr>
    </w:p>
    <w:p w:rsidR="00555C9C" w:rsidRPr="00730468" w:rsidRDefault="00555C9C" w:rsidP="00350BA3">
      <w:pPr>
        <w:jc w:val="both"/>
      </w:pPr>
      <w:r w:rsidRPr="00730468">
        <w:t>Krishna, P. (2003). Are regional trading partners “natural”?. Journal of Political Economy, 111(1), 202-226.</w:t>
      </w:r>
    </w:p>
    <w:p w:rsidR="00555C9C" w:rsidRPr="00730468" w:rsidRDefault="00555C9C" w:rsidP="00350BA3">
      <w:pPr>
        <w:jc w:val="both"/>
      </w:pPr>
    </w:p>
    <w:p w:rsidR="00555C9C" w:rsidRPr="00730468" w:rsidRDefault="00555C9C" w:rsidP="00350BA3">
      <w:pPr>
        <w:jc w:val="both"/>
      </w:pPr>
      <w:r w:rsidRPr="00730468">
        <w:t xml:space="preserve">Kuo, A., Kao, M. S., </w:t>
      </w:r>
      <w:r w:rsidRPr="006A0B43">
        <w:rPr>
          <w:noProof/>
        </w:rPr>
        <w:t>Chang, Y. C., &amp; Chiu, C. F. (2012). The</w:t>
      </w:r>
      <w:r w:rsidRPr="00730468">
        <w:t xml:space="preserve"> influence of international experience on entry mode choice: Difference between family and non-family firms. European Management Journal, 30(3), 248-263.</w:t>
      </w:r>
    </w:p>
    <w:p w:rsidR="00555C9C" w:rsidRPr="00730468" w:rsidRDefault="00555C9C" w:rsidP="00350BA3">
      <w:pPr>
        <w:jc w:val="both"/>
      </w:pPr>
    </w:p>
    <w:p w:rsidR="00555C9C" w:rsidRPr="00730468" w:rsidRDefault="00555C9C" w:rsidP="00350BA3">
      <w:pPr>
        <w:jc w:val="both"/>
      </w:pPr>
      <w:r w:rsidRPr="00730468">
        <w:t>Larimo, J. (1993). Foreign direct investment behaviour and performance: An analysis of Finnish direct manufacturing investments in OECD countries (No. 13). Universitas Wasaensis.</w:t>
      </w:r>
    </w:p>
    <w:p w:rsidR="00555C9C" w:rsidRPr="00730468" w:rsidRDefault="00555C9C" w:rsidP="00350BA3">
      <w:pPr>
        <w:jc w:val="both"/>
      </w:pPr>
    </w:p>
    <w:p w:rsidR="00555C9C" w:rsidRPr="00730468" w:rsidRDefault="00555C9C" w:rsidP="00350BA3">
      <w:pPr>
        <w:jc w:val="both"/>
      </w:pPr>
      <w:r w:rsidRPr="00730468">
        <w:t>López-Duarte, C., &amp; Vidal-Suárez, M. M. (2010). External uncertainty and entry mode choice: Cultural distance, political risk and language diversity. International Business Review, 19(6), 575-588.</w:t>
      </w:r>
    </w:p>
    <w:p w:rsidR="00555C9C" w:rsidRPr="00730468" w:rsidRDefault="00555C9C" w:rsidP="00350BA3">
      <w:pPr>
        <w:jc w:val="both"/>
      </w:pPr>
    </w:p>
    <w:p w:rsidR="00555C9C" w:rsidRPr="00730468" w:rsidRDefault="00555C9C" w:rsidP="00350BA3">
      <w:pPr>
        <w:jc w:val="both"/>
      </w:pPr>
      <w:r w:rsidRPr="00730468">
        <w:t>Luo, Y. (2001). Determinants of entry in an emerging economy: A multilevel approach. Journal of Management Studies, 38(3), 443–472.</w:t>
      </w:r>
    </w:p>
    <w:p w:rsidR="00555C9C" w:rsidRPr="00730468" w:rsidRDefault="00555C9C" w:rsidP="00350BA3">
      <w:pPr>
        <w:jc w:val="both"/>
      </w:pPr>
    </w:p>
    <w:p w:rsidR="00555C9C" w:rsidRPr="00730468" w:rsidRDefault="00555C9C" w:rsidP="00350BA3">
      <w:pPr>
        <w:jc w:val="both"/>
      </w:pPr>
      <w:r w:rsidRPr="00730468">
        <w:t>Masten, S. E. (1993). Transaction costs, mistakes, and performance: Assessing the importance of governance. Managerial and decision economics, 14(2), 119-129.</w:t>
      </w:r>
    </w:p>
    <w:p w:rsidR="00555C9C" w:rsidRPr="00730468" w:rsidRDefault="00555C9C" w:rsidP="00350BA3">
      <w:pPr>
        <w:jc w:val="both"/>
      </w:pPr>
    </w:p>
    <w:p w:rsidR="00555C9C" w:rsidRPr="00730468" w:rsidRDefault="00555C9C" w:rsidP="00350BA3">
      <w:pPr>
        <w:jc w:val="both"/>
      </w:pPr>
      <w:r w:rsidRPr="00730468">
        <w:t>Meyer, K. E., Estrin, S., Bhaumik, S. K., &amp; Peng, M. W. (2009). Institutions, resources, and entry strategies in emerging economies. Strategic management journal, 30(1), 61-80.</w:t>
      </w:r>
    </w:p>
    <w:p w:rsidR="00555C9C" w:rsidRPr="00730468" w:rsidRDefault="00555C9C" w:rsidP="00350BA3">
      <w:pPr>
        <w:jc w:val="both"/>
      </w:pPr>
    </w:p>
    <w:p w:rsidR="00555C9C" w:rsidRPr="00730468" w:rsidRDefault="00555C9C" w:rsidP="00350BA3">
      <w:pPr>
        <w:jc w:val="both"/>
      </w:pPr>
      <w:r w:rsidRPr="00730468">
        <w:t>Nakos, G., &amp; Brouthers, K. D. (2002). Entry mode choice of SMEs in Central and Eastern Europe. Entrepreneurship Theory and Practice, 27(1), 47-63.</w:t>
      </w:r>
    </w:p>
    <w:p w:rsidR="00555C9C" w:rsidRPr="00730468" w:rsidRDefault="00555C9C" w:rsidP="00350BA3">
      <w:pPr>
        <w:jc w:val="both"/>
      </w:pPr>
    </w:p>
    <w:p w:rsidR="00555C9C" w:rsidRPr="00730468" w:rsidRDefault="00555C9C" w:rsidP="00350BA3">
      <w:pPr>
        <w:jc w:val="both"/>
      </w:pPr>
      <w:r w:rsidRPr="00730468">
        <w:t>Padmanabhan, P., &amp; Cho, K. R. (1995). Methodological issues in international business studies: the case of foreign establishment mode decisions by multinational firms. International Business Review, 4(1), 55-73</w:t>
      </w:r>
    </w:p>
    <w:p w:rsidR="00555C9C" w:rsidRPr="00730468" w:rsidRDefault="00555C9C" w:rsidP="00350BA3">
      <w:pPr>
        <w:jc w:val="both"/>
      </w:pPr>
    </w:p>
    <w:p w:rsidR="00555C9C" w:rsidRPr="00730468" w:rsidRDefault="00555C9C" w:rsidP="00350BA3">
      <w:pPr>
        <w:jc w:val="both"/>
      </w:pPr>
      <w:r w:rsidRPr="00730468">
        <w:t>Padmanabhan, P., &amp; Cho, K. R. (1996). Ownership strategy for a foreign affiliate: An empirical investigation of Japanese firms. MIR: Management International Review, 45-65.</w:t>
      </w:r>
    </w:p>
    <w:p w:rsidR="00555C9C" w:rsidRPr="00730468" w:rsidRDefault="00555C9C" w:rsidP="00350BA3">
      <w:pPr>
        <w:jc w:val="both"/>
      </w:pPr>
    </w:p>
    <w:p w:rsidR="00555C9C" w:rsidRPr="00730468" w:rsidRDefault="00555C9C" w:rsidP="00350BA3">
      <w:pPr>
        <w:jc w:val="both"/>
      </w:pPr>
      <w:r w:rsidRPr="00730468">
        <w:t>Padmanabhan, P., &amp; Cho, K. R. (1999). Decision specific experience in foreign ownership and establishment strategies: Evidence from Japanese firms. Journal of International Business Studies, 25-43.</w:t>
      </w:r>
    </w:p>
    <w:p w:rsidR="00555C9C" w:rsidRPr="00730468" w:rsidRDefault="00555C9C" w:rsidP="00350BA3">
      <w:pPr>
        <w:jc w:val="both"/>
      </w:pPr>
    </w:p>
    <w:p w:rsidR="00555C9C" w:rsidRPr="00730468" w:rsidRDefault="00555C9C" w:rsidP="00350BA3">
      <w:pPr>
        <w:jc w:val="both"/>
      </w:pPr>
      <w:r w:rsidRPr="00730468">
        <w:t>Pak, Y. S., &amp; Park, Y. R. (2004). A framework of knowledge transfer in cross-border joint ventures: An empirical test of the Korean context. MIR: Management International Review, 417-434.</w:t>
      </w:r>
    </w:p>
    <w:p w:rsidR="00555C9C" w:rsidRPr="00730468" w:rsidRDefault="00555C9C" w:rsidP="00350BA3">
      <w:pPr>
        <w:jc w:val="both"/>
      </w:pPr>
    </w:p>
    <w:p w:rsidR="00555C9C" w:rsidRPr="00730468" w:rsidRDefault="00555C9C" w:rsidP="00350BA3">
      <w:pPr>
        <w:jc w:val="both"/>
      </w:pPr>
      <w:r w:rsidRPr="00730468">
        <w:t>Palenzuela, V. A., &amp; Bobillo, A. M. (1999). Transaction costs and bargaining power: Entry mode choice in foreign markets. Multinational Business Review, 7(1), 62.</w:t>
      </w:r>
    </w:p>
    <w:p w:rsidR="00570A3E" w:rsidRDefault="00570A3E" w:rsidP="00350BA3">
      <w:pPr>
        <w:jc w:val="both"/>
      </w:pPr>
    </w:p>
    <w:p w:rsidR="00555C9C" w:rsidRPr="00730468" w:rsidRDefault="00555C9C" w:rsidP="00350BA3">
      <w:pPr>
        <w:jc w:val="both"/>
      </w:pPr>
      <w:r w:rsidRPr="00730468">
        <w:t>Peng, M. W., Wang, D. Y., &amp; Jiang, Y. (2008). An institution-based view of international business strategy: A focus on emerging economies. Journal of international business studies, 39(5), 920-936.</w:t>
      </w:r>
    </w:p>
    <w:p w:rsidR="00555C9C" w:rsidRDefault="00555C9C" w:rsidP="00350BA3">
      <w:pPr>
        <w:jc w:val="both"/>
      </w:pPr>
    </w:p>
    <w:p w:rsidR="0043624B" w:rsidRDefault="0043624B" w:rsidP="00350BA3">
      <w:pPr>
        <w:jc w:val="both"/>
      </w:pPr>
      <w:r w:rsidRPr="0043624B">
        <w:t>Parasuraman, A., Zeithaml, V. A., &amp; Berry, L. L. (1985). A conceptual model of service quality and its implications for future research. the Journal of Marketing, 41-50.</w:t>
      </w:r>
    </w:p>
    <w:p w:rsidR="0043624B" w:rsidRPr="00730468" w:rsidRDefault="0043624B" w:rsidP="00350BA3">
      <w:pPr>
        <w:jc w:val="both"/>
      </w:pPr>
    </w:p>
    <w:p w:rsidR="00555C9C" w:rsidRPr="00730468" w:rsidRDefault="00555C9C" w:rsidP="00350BA3">
      <w:pPr>
        <w:jc w:val="both"/>
      </w:pPr>
      <w:r w:rsidRPr="00730468">
        <w:t>Puljeva, A., &amp; Widén, P. (2007). The influence of internal and external factors on entry modes.</w:t>
      </w:r>
    </w:p>
    <w:p w:rsidR="00555C9C" w:rsidRPr="00730468" w:rsidRDefault="00555C9C" w:rsidP="00350BA3">
      <w:pPr>
        <w:jc w:val="both"/>
      </w:pPr>
      <w:r w:rsidRPr="00730468">
        <w:t>Quer, D., Claver, E., &amp; Rienda, L. (2012). Chinese multinationals and entry mode choice: institutional, transaction and firm-specific factors. Frontiers of Business Research in China, 6(1), 1-24.</w:t>
      </w:r>
    </w:p>
    <w:p w:rsidR="00555C9C" w:rsidRPr="00730468" w:rsidRDefault="00555C9C" w:rsidP="00350BA3">
      <w:pPr>
        <w:jc w:val="both"/>
      </w:pPr>
    </w:p>
    <w:p w:rsidR="00555C9C" w:rsidRPr="00730468" w:rsidRDefault="00555C9C" w:rsidP="00350BA3">
      <w:pPr>
        <w:jc w:val="both"/>
      </w:pPr>
      <w:r w:rsidRPr="00730468">
        <w:t>Ragozzino, R. (2009). The effects of geographic distance on the foreign acquisition activity of US firms. Management International Review, 49(4), 509.</w:t>
      </w:r>
    </w:p>
    <w:p w:rsidR="00555C9C" w:rsidRPr="00730468" w:rsidRDefault="00555C9C" w:rsidP="00350BA3">
      <w:pPr>
        <w:jc w:val="both"/>
      </w:pPr>
    </w:p>
    <w:p w:rsidR="00555C9C" w:rsidRPr="00730468" w:rsidRDefault="00555C9C" w:rsidP="00350BA3">
      <w:pPr>
        <w:jc w:val="both"/>
      </w:pPr>
      <w:r w:rsidRPr="00730468">
        <w:t>Rodriguez, P., Uhlenbruck, K., &amp; Eden, L. (2005). Government corruption and the entry strategies of multinationals. Academy of management review, 30(2), 383-396.</w:t>
      </w:r>
    </w:p>
    <w:p w:rsidR="00555C9C" w:rsidRPr="00730468" w:rsidRDefault="00555C9C" w:rsidP="00350BA3">
      <w:pPr>
        <w:jc w:val="both"/>
      </w:pPr>
      <w:r w:rsidRPr="00730468">
        <w:t>Root, F. (1987). Entry strategies for international markets. Lexington, MA: DC Heath and Company.</w:t>
      </w:r>
    </w:p>
    <w:p w:rsidR="00555C9C" w:rsidRPr="00730468" w:rsidRDefault="00555C9C" w:rsidP="00350BA3">
      <w:pPr>
        <w:jc w:val="both"/>
      </w:pPr>
    </w:p>
    <w:p w:rsidR="00555C9C" w:rsidRDefault="00555C9C" w:rsidP="00350BA3">
      <w:pPr>
        <w:jc w:val="both"/>
      </w:pPr>
      <w:r w:rsidRPr="00730468">
        <w:t>Root, F. R. (1994). Entry strategies for international markets. Jossey-Bass.</w:t>
      </w:r>
    </w:p>
    <w:p w:rsidR="007D56A9" w:rsidRPr="00730468" w:rsidRDefault="007D56A9" w:rsidP="00350BA3">
      <w:pPr>
        <w:jc w:val="both"/>
      </w:pPr>
    </w:p>
    <w:p w:rsidR="00555C9C" w:rsidRDefault="007D56A9" w:rsidP="00350BA3">
      <w:pPr>
        <w:jc w:val="both"/>
      </w:pPr>
      <w:r w:rsidRPr="006A0B43">
        <w:rPr>
          <w:noProof/>
        </w:rPr>
        <w:t>Sanchez-Peinado, E., Pla-Barber, J., &amp; Hebert, L. (2007). Strategic</w:t>
      </w:r>
      <w:r w:rsidRPr="007D56A9">
        <w:t xml:space="preserve"> variables that influence entry mode choice in service firms. Journal of International Marketing, 15(1), 67-91.</w:t>
      </w:r>
    </w:p>
    <w:p w:rsidR="007D56A9" w:rsidRPr="00730468" w:rsidRDefault="007D56A9" w:rsidP="00350BA3">
      <w:pPr>
        <w:jc w:val="both"/>
      </w:pPr>
    </w:p>
    <w:p w:rsidR="00555C9C" w:rsidRPr="00730468" w:rsidRDefault="00555C9C" w:rsidP="00350BA3">
      <w:pPr>
        <w:jc w:val="both"/>
      </w:pPr>
      <w:r w:rsidRPr="00730468">
        <w:t>Shelanski, H. A., &amp; Klein, P. G. (1995). Empirical research in transaction cost economics: a review and assessment. Journal of Law, Economics, &amp; Organization, 335-361.</w:t>
      </w:r>
    </w:p>
    <w:p w:rsidR="00555C9C" w:rsidRPr="00730468" w:rsidRDefault="00555C9C" w:rsidP="00350BA3">
      <w:pPr>
        <w:jc w:val="both"/>
      </w:pPr>
    </w:p>
    <w:p w:rsidR="00555C9C" w:rsidRPr="00730468" w:rsidRDefault="00555C9C" w:rsidP="00350BA3">
      <w:pPr>
        <w:jc w:val="both"/>
      </w:pPr>
      <w:r w:rsidRPr="00730468">
        <w:t>Shenkar, O. (2001). Cultural distance revisited: Towards a more rigorous conceptualization and measurement of cultural differences. Journal of international business studies, 32(3), 519-535.</w:t>
      </w:r>
    </w:p>
    <w:p w:rsidR="00555C9C" w:rsidRPr="00730468" w:rsidRDefault="00555C9C" w:rsidP="00350BA3">
      <w:pPr>
        <w:jc w:val="both"/>
      </w:pPr>
    </w:p>
    <w:p w:rsidR="00555C9C" w:rsidRPr="00730468" w:rsidRDefault="00555C9C" w:rsidP="00350BA3">
      <w:pPr>
        <w:jc w:val="both"/>
      </w:pPr>
      <w:r w:rsidRPr="00730468">
        <w:t>Shrader, R. C. (2001). Collaboration and performance in foreign markets: The case of young high-technology manufacturing firms. Academy of Management journal, 44(1), 45-60.</w:t>
      </w:r>
    </w:p>
    <w:p w:rsidR="00555C9C" w:rsidRPr="00730468" w:rsidRDefault="00555C9C" w:rsidP="00350BA3">
      <w:pPr>
        <w:jc w:val="both"/>
      </w:pPr>
    </w:p>
    <w:p w:rsidR="00555C9C" w:rsidRPr="00730468" w:rsidRDefault="00555C9C" w:rsidP="00350BA3">
      <w:pPr>
        <w:jc w:val="both"/>
      </w:pPr>
      <w:r w:rsidRPr="00730468">
        <w:t>Slangen, A. H., &amp; Van Tulder, R. J. (2009). Cultural distance, political risk, or governance quality? Towards a more accurate conceptualization and measurement of external uncertainty in foreign entry mode research. International business review, 18(3), 276-291.</w:t>
      </w:r>
    </w:p>
    <w:p w:rsidR="00555C9C" w:rsidRPr="00730468" w:rsidRDefault="00555C9C" w:rsidP="00350BA3">
      <w:pPr>
        <w:jc w:val="both"/>
      </w:pPr>
    </w:p>
    <w:p w:rsidR="00555C9C" w:rsidRPr="00730468" w:rsidRDefault="00555C9C" w:rsidP="00350BA3">
      <w:pPr>
        <w:jc w:val="both"/>
      </w:pPr>
      <w:r w:rsidRPr="00730468">
        <w:t>Stopford, J. M., &amp; Wells Jr, L. T. (1972). Managing the multinational enterprise: Organization of the firm and ownership of the subsidiary.</w:t>
      </w:r>
    </w:p>
    <w:p w:rsidR="00555C9C" w:rsidRPr="00730468" w:rsidRDefault="00555C9C" w:rsidP="00350BA3">
      <w:pPr>
        <w:jc w:val="both"/>
      </w:pPr>
    </w:p>
    <w:p w:rsidR="00555C9C" w:rsidRPr="00730468" w:rsidRDefault="00555C9C" w:rsidP="00350BA3">
      <w:pPr>
        <w:jc w:val="both"/>
      </w:pPr>
      <w:r w:rsidRPr="00730468">
        <w:t>Tabachnick, B. G., &amp; Fidell, L. S. (2007). Using multivariate statistics. 5. Aufl., Boston.</w:t>
      </w:r>
    </w:p>
    <w:p w:rsidR="00555C9C" w:rsidRPr="00730468" w:rsidRDefault="00555C9C" w:rsidP="00350BA3">
      <w:pPr>
        <w:jc w:val="both"/>
      </w:pPr>
      <w:r w:rsidRPr="00730468">
        <w:t>Tinbergen, J. (1962). An analysis of world trade flows. Shaping the world economy, 1-117.</w:t>
      </w:r>
    </w:p>
    <w:p w:rsidR="00555C9C" w:rsidRPr="00730468" w:rsidRDefault="00555C9C" w:rsidP="00350BA3">
      <w:pPr>
        <w:jc w:val="both"/>
      </w:pPr>
    </w:p>
    <w:p w:rsidR="00555C9C" w:rsidRPr="00730468" w:rsidRDefault="00555C9C" w:rsidP="00350BA3">
      <w:pPr>
        <w:jc w:val="both"/>
      </w:pPr>
      <w:r w:rsidRPr="00730468">
        <w:t>Tsang, E. W., &amp; Yip, P. S. (</w:t>
      </w:r>
      <w:r w:rsidRPr="00730468">
        <w:rPr>
          <w:noProof/>
        </w:rPr>
        <w:t>2007). Economic distance and the survival of foreign direct investments. Academy of Management Journal, 50(5), 1156-1168.</w:t>
      </w:r>
    </w:p>
    <w:p w:rsidR="00555C9C" w:rsidRPr="00730468" w:rsidRDefault="00555C9C" w:rsidP="00350BA3">
      <w:pPr>
        <w:jc w:val="both"/>
      </w:pPr>
    </w:p>
    <w:p w:rsidR="00555C9C" w:rsidRPr="00730468" w:rsidRDefault="00555C9C" w:rsidP="00350BA3">
      <w:pPr>
        <w:jc w:val="both"/>
      </w:pPr>
      <w:r w:rsidRPr="00730468">
        <w:t xml:space="preserve">Verbeke, A., &amp; Brugman, P. (2009). </w:t>
      </w:r>
      <w:r w:rsidRPr="00730468">
        <w:rPr>
          <w:noProof/>
        </w:rPr>
        <w:t>Triple-testing the quality of multinationality–performance research: An internalization theory perspective.</w:t>
      </w:r>
      <w:r w:rsidRPr="00730468">
        <w:t xml:space="preserve"> International Business Review, 18(3), 265-275.</w:t>
      </w:r>
    </w:p>
    <w:p w:rsidR="00555C9C" w:rsidRPr="00730468" w:rsidRDefault="00555C9C" w:rsidP="00350BA3">
      <w:pPr>
        <w:jc w:val="both"/>
      </w:pPr>
    </w:p>
    <w:p w:rsidR="00555C9C" w:rsidRPr="00730468" w:rsidRDefault="00555C9C" w:rsidP="00350BA3">
      <w:pPr>
        <w:jc w:val="both"/>
      </w:pPr>
      <w:r w:rsidRPr="00730468">
        <w:t>Vermeulen, F., &amp; Barkema, H. (2001). Learning through acquisitions. Academy of Management journal, 44(3), 457-476.</w:t>
      </w:r>
    </w:p>
    <w:p w:rsidR="00555C9C" w:rsidRPr="00730468" w:rsidRDefault="00555C9C" w:rsidP="00350BA3">
      <w:pPr>
        <w:jc w:val="both"/>
      </w:pPr>
      <w:r w:rsidRPr="00730468">
        <w:t>Vern, T., Sarathy, R., &amp; Russow, L. (2000). International marketing.</w:t>
      </w:r>
    </w:p>
    <w:p w:rsidR="00555C9C" w:rsidRPr="00730468" w:rsidRDefault="00555C9C" w:rsidP="00350BA3">
      <w:pPr>
        <w:jc w:val="both"/>
      </w:pPr>
    </w:p>
    <w:p w:rsidR="00555C9C" w:rsidRPr="00730468" w:rsidRDefault="00555C9C" w:rsidP="00350BA3">
      <w:pPr>
        <w:jc w:val="both"/>
      </w:pPr>
      <w:r w:rsidRPr="00730468">
        <w:t>Williamson, O. E. (1985). The economic intstitutions of capitalism. Simon and Schuster.</w:t>
      </w:r>
    </w:p>
    <w:p w:rsidR="00555C9C" w:rsidRDefault="00555C9C" w:rsidP="00350BA3">
      <w:pPr>
        <w:jc w:val="both"/>
      </w:pPr>
    </w:p>
    <w:p w:rsidR="00AC2F7B" w:rsidRDefault="00AC2F7B" w:rsidP="00350BA3">
      <w:pPr>
        <w:jc w:val="both"/>
      </w:pPr>
      <w:r w:rsidRPr="00AC2F7B">
        <w:t>Windrum, P., &amp; Tomlinson, M. (1999). Knowledge-intensive services and international competitiveness: a four country comparison. Technology Analysis &amp; Strategic Management, 11(3), 391-408.</w:t>
      </w:r>
    </w:p>
    <w:p w:rsidR="00AC2F7B" w:rsidRPr="00730468" w:rsidRDefault="00AC2F7B" w:rsidP="00350BA3">
      <w:pPr>
        <w:jc w:val="both"/>
      </w:pPr>
    </w:p>
    <w:p w:rsidR="00555C9C" w:rsidRPr="00730468" w:rsidRDefault="00555C9C" w:rsidP="00350BA3">
      <w:pPr>
        <w:jc w:val="both"/>
      </w:pPr>
      <w:r w:rsidRPr="00730468">
        <w:t>Xu, D., Pan, Y., &amp; Beamish, P. W. (2004). The effect of regulative and normative distances on MNE ownership and expatriate strategies. MIR: Management international review, 285-307.</w:t>
      </w:r>
    </w:p>
    <w:p w:rsidR="00555C9C" w:rsidRPr="00730468" w:rsidRDefault="00555C9C" w:rsidP="00350BA3">
      <w:pPr>
        <w:jc w:val="both"/>
      </w:pPr>
    </w:p>
    <w:p w:rsidR="00555C9C" w:rsidRPr="00730468" w:rsidRDefault="00555C9C" w:rsidP="00350BA3">
      <w:pPr>
        <w:jc w:val="both"/>
      </w:pPr>
      <w:r w:rsidRPr="00730468">
        <w:t>Yeung, H. W. C. (1997). Business networks and transnational corporations: A study of Hong Kong firms in the ASEAN region. Economic Geography, 73(1), 1-25.</w:t>
      </w:r>
    </w:p>
    <w:p w:rsidR="00555C9C" w:rsidRPr="00730468" w:rsidRDefault="00555C9C" w:rsidP="00350BA3">
      <w:pPr>
        <w:jc w:val="both"/>
      </w:pPr>
    </w:p>
    <w:p w:rsidR="00555C9C" w:rsidRPr="00730468" w:rsidRDefault="00555C9C" w:rsidP="00350BA3">
      <w:pPr>
        <w:jc w:val="both"/>
      </w:pPr>
      <w:r w:rsidRPr="00730468">
        <w:t>Yiu, D., &amp; Makino, S. (2002). The choice between joint venture and wholly owned subsidiary: An institutional perspective. Organization science, 13(6), 667-683.</w:t>
      </w:r>
    </w:p>
    <w:p w:rsidR="00555C9C" w:rsidRPr="00730468" w:rsidRDefault="00555C9C" w:rsidP="00350BA3">
      <w:pPr>
        <w:jc w:val="both"/>
      </w:pPr>
    </w:p>
    <w:p w:rsidR="00555C9C" w:rsidRPr="003E759A" w:rsidRDefault="00555C9C" w:rsidP="00350BA3">
      <w:pPr>
        <w:jc w:val="both"/>
        <w:rPr>
          <w:noProof/>
        </w:rPr>
      </w:pPr>
      <w:r w:rsidRPr="00730468">
        <w:lastRenderedPageBreak/>
        <w:t xml:space="preserve">Zaheer, S., &amp; Zaheer, A. (1997). Country effects on information seeking in global electronic networks. Journal of International Business </w:t>
      </w:r>
      <w:r w:rsidRPr="003E759A">
        <w:rPr>
          <w:noProof/>
        </w:rPr>
        <w:t>Studies, 77-100.</w:t>
      </w:r>
    </w:p>
    <w:p w:rsidR="00555C9C" w:rsidRPr="003E759A" w:rsidRDefault="00555C9C" w:rsidP="00350BA3">
      <w:pPr>
        <w:jc w:val="both"/>
        <w:rPr>
          <w:noProof/>
        </w:rPr>
      </w:pPr>
    </w:p>
    <w:p w:rsidR="00555C9C" w:rsidRPr="006A0B43" w:rsidRDefault="00555C9C" w:rsidP="00350BA3">
      <w:pPr>
        <w:jc w:val="both"/>
        <w:rPr>
          <w:noProof/>
        </w:rPr>
      </w:pPr>
      <w:r w:rsidRPr="00730468">
        <w:t xml:space="preserve">Zhao, H., Luo, Y., &amp; Suh, T. (2004). Transaction cost determinants and ownership-based entry mode choice: A meta-analytical review. Journal of </w:t>
      </w:r>
      <w:r w:rsidRPr="003E759A">
        <w:rPr>
          <w:noProof/>
        </w:rPr>
        <w:t>international business studies, 35(</w:t>
      </w:r>
      <w:r w:rsidRPr="006A0B43">
        <w:rPr>
          <w:noProof/>
        </w:rPr>
        <w:t>6), 524-544.</w:t>
      </w:r>
    </w:p>
    <w:p w:rsidR="00555C9C" w:rsidRPr="003E759A" w:rsidRDefault="00555C9C" w:rsidP="00350BA3">
      <w:pPr>
        <w:spacing w:line="360" w:lineRule="auto"/>
        <w:jc w:val="both"/>
        <w:rPr>
          <w:noProof/>
        </w:rPr>
      </w:pPr>
    </w:p>
    <w:p w:rsidR="00555C9C" w:rsidRPr="003E759A" w:rsidRDefault="00555C9C" w:rsidP="00DF3F76">
      <w:pPr>
        <w:spacing w:line="360" w:lineRule="auto"/>
        <w:rPr>
          <w:noProof/>
        </w:rPr>
      </w:pPr>
    </w:p>
    <w:p w:rsidR="00555C9C" w:rsidRPr="003E759A" w:rsidRDefault="00555C9C" w:rsidP="00DF3F76">
      <w:pPr>
        <w:spacing w:line="360" w:lineRule="auto"/>
        <w:rPr>
          <w:noProof/>
        </w:rPr>
      </w:pPr>
    </w:p>
    <w:p w:rsidR="00555C9C" w:rsidRDefault="00555C9C" w:rsidP="00DF3F76">
      <w:pPr>
        <w:spacing w:line="360" w:lineRule="auto"/>
      </w:pPr>
    </w:p>
    <w:p w:rsidR="005A23AC" w:rsidRPr="006A0B43" w:rsidRDefault="005A23AC">
      <w:pPr>
        <w:spacing w:after="200" w:line="276" w:lineRule="auto"/>
        <w:rPr>
          <w:rFonts w:asciiTheme="majorHAnsi" w:eastAsiaTheme="majorEastAsia" w:hAnsiTheme="majorHAnsi" w:cstheme="majorBidi"/>
          <w:b/>
          <w:bCs/>
          <w:noProof/>
          <w:color w:val="365F91" w:themeColor="accent1" w:themeShade="BF"/>
          <w:sz w:val="28"/>
          <w:szCs w:val="28"/>
        </w:rPr>
      </w:pPr>
      <w:r w:rsidRPr="006A0B43">
        <w:rPr>
          <w:noProof/>
        </w:rPr>
        <w:br w:type="page"/>
      </w:r>
    </w:p>
    <w:p w:rsidR="00555C9C" w:rsidRDefault="00F95568" w:rsidP="00F95568">
      <w:pPr>
        <w:pStyle w:val="Heading1"/>
      </w:pPr>
      <w:bookmarkStart w:id="115" w:name="_Toc489287967"/>
      <w:r>
        <w:lastRenderedPageBreak/>
        <w:t>Appendix A – Estimation of the Statistical M</w:t>
      </w:r>
      <w:r w:rsidRPr="00F95568">
        <w:t>odel</w:t>
      </w:r>
      <w:bookmarkEnd w:id="115"/>
    </w:p>
    <w:p w:rsidR="00EC4563" w:rsidRDefault="00EC4563" w:rsidP="00EC4563">
      <w:pPr>
        <w:pStyle w:val="Style1"/>
        <w:spacing w:line="360" w:lineRule="auto"/>
        <w:jc w:val="both"/>
        <w:rPr>
          <w:b w:val="0"/>
        </w:rPr>
      </w:pPr>
      <w:r w:rsidRPr="00730468">
        <w:rPr>
          <w:b w:val="0"/>
        </w:rPr>
        <w:t xml:space="preserve">Logistic regression estimation does have assumptions in regards </w:t>
      </w:r>
      <w:r w:rsidRPr="003E759A">
        <w:rPr>
          <w:b w:val="0"/>
          <w:noProof/>
        </w:rPr>
        <w:t xml:space="preserve">to normal </w:t>
      </w:r>
      <w:r w:rsidRPr="00705E75">
        <w:rPr>
          <w:b w:val="0"/>
          <w:noProof/>
        </w:rPr>
        <w:t>distribution or linear relationship</w:t>
      </w:r>
      <w:r w:rsidR="00705E75" w:rsidRPr="00705E75">
        <w:rPr>
          <w:b w:val="0"/>
          <w:noProof/>
        </w:rPr>
        <w:t xml:space="preserve">. Thus, </w:t>
      </w:r>
      <w:r w:rsidRPr="00705E75">
        <w:rPr>
          <w:b w:val="0"/>
          <w:noProof/>
        </w:rPr>
        <w:t xml:space="preserve"> there is no need to</w:t>
      </w:r>
      <w:r w:rsidRPr="00705E75">
        <w:rPr>
          <w:b w:val="0"/>
        </w:rPr>
        <w:t xml:space="preserve"> chec</w:t>
      </w:r>
      <w:r w:rsidRPr="00730468">
        <w:rPr>
          <w:b w:val="0"/>
        </w:rPr>
        <w:t xml:space="preserve">k for normal distribution of the independent variables or the linear relationship between the dependent and independent variables. </w:t>
      </w:r>
      <w:r w:rsidR="00C62440">
        <w:rPr>
          <w:b w:val="0"/>
        </w:rPr>
        <w:t>T</w:t>
      </w:r>
      <w:r w:rsidRPr="00730468">
        <w:rPr>
          <w:b w:val="0"/>
        </w:rPr>
        <w:t xml:space="preserve">he </w:t>
      </w:r>
      <w:r w:rsidR="00C62440">
        <w:rPr>
          <w:b w:val="0"/>
        </w:rPr>
        <w:t>d</w:t>
      </w:r>
      <w:r w:rsidR="00C62440" w:rsidRPr="00730468">
        <w:rPr>
          <w:b w:val="0"/>
        </w:rPr>
        <w:t>escriptiv</w:t>
      </w:r>
      <w:r w:rsidR="00C62440">
        <w:rPr>
          <w:b w:val="0"/>
        </w:rPr>
        <w:t>e statistics for the variables, and the</w:t>
      </w:r>
      <w:r w:rsidR="00C62440" w:rsidRPr="00730468">
        <w:rPr>
          <w:b w:val="0"/>
        </w:rPr>
        <w:t xml:space="preserve"> </w:t>
      </w:r>
      <w:r w:rsidRPr="00730468">
        <w:rPr>
          <w:b w:val="0"/>
        </w:rPr>
        <w:t xml:space="preserve">correlation matrix of the main variables </w:t>
      </w:r>
      <w:r w:rsidR="00C62440">
        <w:rPr>
          <w:b w:val="0"/>
        </w:rPr>
        <w:t>are</w:t>
      </w:r>
      <w:r w:rsidRPr="00730468">
        <w:rPr>
          <w:b w:val="0"/>
        </w:rPr>
        <w:t xml:space="preserve"> reported</w:t>
      </w:r>
      <w:r>
        <w:rPr>
          <w:b w:val="0"/>
        </w:rPr>
        <w:t xml:space="preserve"> </w:t>
      </w:r>
      <w:r w:rsidR="00C62440">
        <w:rPr>
          <w:b w:val="0"/>
        </w:rPr>
        <w:t>as below</w:t>
      </w:r>
      <w:r w:rsidRPr="00730468">
        <w:rPr>
          <w:b w:val="0"/>
        </w:rPr>
        <w:t>.</w:t>
      </w:r>
    </w:p>
    <w:p w:rsidR="00C62440" w:rsidRDefault="00C62440" w:rsidP="00EC4563">
      <w:pPr>
        <w:pStyle w:val="Style1"/>
        <w:spacing w:line="360" w:lineRule="auto"/>
        <w:jc w:val="both"/>
        <w:rPr>
          <w:b w:val="0"/>
        </w:rPr>
      </w:pPr>
    </w:p>
    <w:tbl>
      <w:tblPr>
        <w:tblStyle w:val="TableGrid1"/>
        <w:tblW w:w="9385" w:type="dxa"/>
        <w:jc w:val="center"/>
        <w:tblLook w:val="04A0" w:firstRow="1" w:lastRow="0" w:firstColumn="1" w:lastColumn="0" w:noHBand="0" w:noVBand="1"/>
      </w:tblPr>
      <w:tblGrid>
        <w:gridCol w:w="1777"/>
        <w:gridCol w:w="1008"/>
        <w:gridCol w:w="1786"/>
        <w:gridCol w:w="1893"/>
        <w:gridCol w:w="1410"/>
        <w:gridCol w:w="1511"/>
      </w:tblGrid>
      <w:tr w:rsidR="00C62440" w:rsidRPr="001A2BD1" w:rsidTr="00AD03AA">
        <w:trPr>
          <w:trHeight w:val="502"/>
          <w:jc w:val="center"/>
        </w:trPr>
        <w:tc>
          <w:tcPr>
            <w:tcW w:w="0" w:type="auto"/>
            <w:hideMark/>
          </w:tcPr>
          <w:p w:rsidR="00C62440" w:rsidRPr="001A2BD1" w:rsidRDefault="00C62440" w:rsidP="00AD03AA">
            <w:pPr>
              <w:rPr>
                <w:b/>
              </w:rPr>
            </w:pPr>
            <w:r w:rsidRPr="001A2BD1">
              <w:rPr>
                <w:b/>
              </w:rPr>
              <w:t>Variable</w:t>
            </w:r>
          </w:p>
        </w:tc>
        <w:tc>
          <w:tcPr>
            <w:tcW w:w="0" w:type="auto"/>
            <w:hideMark/>
          </w:tcPr>
          <w:p w:rsidR="00C62440" w:rsidRPr="001A2BD1" w:rsidRDefault="00C62440" w:rsidP="00AD03AA">
            <w:pPr>
              <w:rPr>
                <w:b/>
              </w:rPr>
            </w:pPr>
            <w:r w:rsidRPr="001A2BD1">
              <w:rPr>
                <w:b/>
              </w:rPr>
              <w:t>Obs</w:t>
            </w:r>
          </w:p>
        </w:tc>
        <w:tc>
          <w:tcPr>
            <w:tcW w:w="0" w:type="auto"/>
            <w:hideMark/>
          </w:tcPr>
          <w:p w:rsidR="00C62440" w:rsidRPr="001A2BD1" w:rsidRDefault="00C62440" w:rsidP="00AD03AA">
            <w:pPr>
              <w:rPr>
                <w:b/>
              </w:rPr>
            </w:pPr>
            <w:r w:rsidRPr="001A2BD1">
              <w:rPr>
                <w:b/>
              </w:rPr>
              <w:t>Mean</w:t>
            </w:r>
          </w:p>
        </w:tc>
        <w:tc>
          <w:tcPr>
            <w:tcW w:w="1893" w:type="dxa"/>
            <w:hideMark/>
          </w:tcPr>
          <w:p w:rsidR="00C62440" w:rsidRPr="001A2BD1" w:rsidRDefault="00C62440" w:rsidP="00AD03AA">
            <w:pPr>
              <w:rPr>
                <w:b/>
              </w:rPr>
            </w:pPr>
            <w:r w:rsidRPr="001A2BD1">
              <w:rPr>
                <w:b/>
              </w:rPr>
              <w:t>Std. Dev.</w:t>
            </w:r>
          </w:p>
        </w:tc>
        <w:tc>
          <w:tcPr>
            <w:tcW w:w="1410" w:type="dxa"/>
            <w:hideMark/>
          </w:tcPr>
          <w:p w:rsidR="00C62440" w:rsidRPr="001A2BD1" w:rsidRDefault="00C62440" w:rsidP="00AD03AA">
            <w:pPr>
              <w:rPr>
                <w:b/>
              </w:rPr>
            </w:pPr>
            <w:r w:rsidRPr="001A2BD1">
              <w:rPr>
                <w:b/>
              </w:rPr>
              <w:t>Min</w:t>
            </w:r>
          </w:p>
        </w:tc>
        <w:tc>
          <w:tcPr>
            <w:tcW w:w="1511" w:type="dxa"/>
            <w:hideMark/>
          </w:tcPr>
          <w:p w:rsidR="00C62440" w:rsidRPr="001A2BD1" w:rsidRDefault="00C62440" w:rsidP="00AD03AA">
            <w:pPr>
              <w:rPr>
                <w:b/>
              </w:rPr>
            </w:pPr>
            <w:r w:rsidRPr="001A2BD1">
              <w:rPr>
                <w:b/>
              </w:rPr>
              <w:t>Max</w:t>
            </w:r>
          </w:p>
        </w:tc>
      </w:tr>
      <w:tr w:rsidR="00C62440" w:rsidRPr="001A2BD1" w:rsidTr="00AD03AA">
        <w:trPr>
          <w:jc w:val="center"/>
        </w:trPr>
        <w:tc>
          <w:tcPr>
            <w:tcW w:w="0" w:type="auto"/>
            <w:hideMark/>
          </w:tcPr>
          <w:p w:rsidR="00C62440" w:rsidRPr="001A2BD1" w:rsidRDefault="00C62440" w:rsidP="00AD03AA"/>
        </w:tc>
        <w:tc>
          <w:tcPr>
            <w:tcW w:w="0" w:type="auto"/>
            <w:hideMark/>
          </w:tcPr>
          <w:p w:rsidR="00C62440" w:rsidRPr="001A2BD1" w:rsidRDefault="00C62440" w:rsidP="00AD03AA"/>
        </w:tc>
        <w:tc>
          <w:tcPr>
            <w:tcW w:w="0" w:type="auto"/>
            <w:hideMark/>
          </w:tcPr>
          <w:p w:rsidR="00C62440" w:rsidRPr="001A2BD1" w:rsidRDefault="00C62440" w:rsidP="00AD03AA"/>
        </w:tc>
        <w:tc>
          <w:tcPr>
            <w:tcW w:w="1893" w:type="dxa"/>
            <w:hideMark/>
          </w:tcPr>
          <w:p w:rsidR="00C62440" w:rsidRPr="001A2BD1" w:rsidRDefault="00C62440" w:rsidP="00AD03AA">
            <w:pPr>
              <w:rPr>
                <w:sz w:val="20"/>
                <w:szCs w:val="20"/>
              </w:rPr>
            </w:pPr>
          </w:p>
        </w:tc>
        <w:tc>
          <w:tcPr>
            <w:tcW w:w="1410" w:type="dxa"/>
            <w:hideMark/>
          </w:tcPr>
          <w:p w:rsidR="00C62440" w:rsidRPr="001A2BD1" w:rsidRDefault="00C62440" w:rsidP="00AD03AA">
            <w:pPr>
              <w:rPr>
                <w:sz w:val="20"/>
                <w:szCs w:val="20"/>
              </w:rPr>
            </w:pPr>
          </w:p>
        </w:tc>
        <w:tc>
          <w:tcPr>
            <w:tcW w:w="1511" w:type="dxa"/>
            <w:hideMark/>
          </w:tcPr>
          <w:p w:rsidR="00C62440" w:rsidRPr="001A2BD1" w:rsidRDefault="00C62440" w:rsidP="00AD03AA">
            <w:pPr>
              <w:rPr>
                <w:sz w:val="20"/>
                <w:szCs w:val="20"/>
              </w:rPr>
            </w:pPr>
          </w:p>
        </w:tc>
      </w:tr>
      <w:tr w:rsidR="00C62440" w:rsidRPr="001A2BD1" w:rsidTr="00AD03AA">
        <w:trPr>
          <w:trHeight w:val="531"/>
          <w:jc w:val="center"/>
        </w:trPr>
        <w:tc>
          <w:tcPr>
            <w:tcW w:w="0" w:type="auto"/>
            <w:hideMark/>
          </w:tcPr>
          <w:p w:rsidR="00C62440" w:rsidRPr="001A2BD1" w:rsidRDefault="00C62440" w:rsidP="00AD03AA">
            <w:r w:rsidRPr="001A2BD1">
              <w:t>MODE</w:t>
            </w:r>
          </w:p>
        </w:tc>
        <w:tc>
          <w:tcPr>
            <w:tcW w:w="0" w:type="auto"/>
            <w:hideMark/>
          </w:tcPr>
          <w:p w:rsidR="00C62440" w:rsidRPr="001A2BD1" w:rsidRDefault="00C62440" w:rsidP="00AD03AA">
            <w:r w:rsidRPr="001A2BD1">
              <w:t>769</w:t>
            </w:r>
          </w:p>
        </w:tc>
        <w:tc>
          <w:tcPr>
            <w:tcW w:w="0" w:type="auto"/>
            <w:hideMark/>
          </w:tcPr>
          <w:p w:rsidR="00C62440" w:rsidRPr="001A2BD1" w:rsidRDefault="00C62440" w:rsidP="00AD03AA">
            <w:r w:rsidRPr="001A2BD1">
              <w:t>.6775033</w:t>
            </w:r>
          </w:p>
        </w:tc>
        <w:tc>
          <w:tcPr>
            <w:tcW w:w="1893" w:type="dxa"/>
            <w:hideMark/>
          </w:tcPr>
          <w:p w:rsidR="00C62440" w:rsidRPr="001A2BD1" w:rsidRDefault="00C62440" w:rsidP="00AD03AA">
            <w:r w:rsidRPr="001A2BD1">
              <w:t>.4677361</w:t>
            </w:r>
          </w:p>
        </w:tc>
        <w:tc>
          <w:tcPr>
            <w:tcW w:w="1410" w:type="dxa"/>
            <w:hideMark/>
          </w:tcPr>
          <w:p w:rsidR="00C62440" w:rsidRPr="001A2BD1" w:rsidRDefault="00C62440" w:rsidP="00AD03AA">
            <w:r w:rsidRPr="001A2BD1">
              <w:t>0</w:t>
            </w:r>
          </w:p>
        </w:tc>
        <w:tc>
          <w:tcPr>
            <w:tcW w:w="1511" w:type="dxa"/>
            <w:hideMark/>
          </w:tcPr>
          <w:p w:rsidR="00C62440" w:rsidRPr="001A2BD1" w:rsidRDefault="00C62440" w:rsidP="00AD03AA">
            <w:r w:rsidRPr="001A2BD1">
              <w:t>1</w:t>
            </w:r>
          </w:p>
        </w:tc>
      </w:tr>
      <w:tr w:rsidR="00C62440" w:rsidRPr="001A2BD1" w:rsidTr="00AD03AA">
        <w:trPr>
          <w:trHeight w:val="502"/>
          <w:jc w:val="center"/>
        </w:trPr>
        <w:tc>
          <w:tcPr>
            <w:tcW w:w="0" w:type="auto"/>
            <w:hideMark/>
          </w:tcPr>
          <w:p w:rsidR="00C62440" w:rsidRPr="001A2BD1" w:rsidRDefault="00C62440" w:rsidP="00AD03AA">
            <w:r w:rsidRPr="001A2BD1">
              <w:t>ED</w:t>
            </w:r>
          </w:p>
        </w:tc>
        <w:tc>
          <w:tcPr>
            <w:tcW w:w="0" w:type="auto"/>
            <w:hideMark/>
          </w:tcPr>
          <w:p w:rsidR="00C62440" w:rsidRPr="001A2BD1" w:rsidRDefault="00C62440" w:rsidP="00AD03AA">
            <w:r w:rsidRPr="001A2BD1">
              <w:t>769</w:t>
            </w:r>
          </w:p>
        </w:tc>
        <w:tc>
          <w:tcPr>
            <w:tcW w:w="0" w:type="auto"/>
            <w:hideMark/>
          </w:tcPr>
          <w:p w:rsidR="00C62440" w:rsidRPr="001A2BD1" w:rsidRDefault="00C62440" w:rsidP="00AD03AA">
            <w:r w:rsidRPr="001A2BD1">
              <w:t>10.55036</w:t>
            </w:r>
          </w:p>
        </w:tc>
        <w:tc>
          <w:tcPr>
            <w:tcW w:w="1893" w:type="dxa"/>
            <w:hideMark/>
          </w:tcPr>
          <w:p w:rsidR="00C62440" w:rsidRPr="001A2BD1" w:rsidRDefault="00C62440" w:rsidP="00AD03AA">
            <w:r w:rsidRPr="001A2BD1">
              <w:t>.566907</w:t>
            </w:r>
          </w:p>
        </w:tc>
        <w:tc>
          <w:tcPr>
            <w:tcW w:w="1410" w:type="dxa"/>
            <w:hideMark/>
          </w:tcPr>
          <w:p w:rsidR="00C62440" w:rsidRPr="001A2BD1" w:rsidRDefault="00C62440" w:rsidP="00AD03AA">
            <w:r w:rsidRPr="001A2BD1">
              <w:t>6.979704</w:t>
            </w:r>
          </w:p>
        </w:tc>
        <w:tc>
          <w:tcPr>
            <w:tcW w:w="1511" w:type="dxa"/>
            <w:hideMark/>
          </w:tcPr>
          <w:p w:rsidR="00C62440" w:rsidRPr="001A2BD1" w:rsidRDefault="00C62440" w:rsidP="00AD03AA">
            <w:r w:rsidRPr="001A2BD1">
              <w:t>11.5101</w:t>
            </w:r>
          </w:p>
        </w:tc>
      </w:tr>
      <w:tr w:rsidR="00C62440" w:rsidRPr="001A2BD1" w:rsidTr="00AD03AA">
        <w:trPr>
          <w:trHeight w:val="475"/>
          <w:jc w:val="center"/>
        </w:trPr>
        <w:tc>
          <w:tcPr>
            <w:tcW w:w="0" w:type="auto"/>
            <w:hideMark/>
          </w:tcPr>
          <w:p w:rsidR="00C62440" w:rsidRPr="001A2BD1" w:rsidRDefault="00C62440" w:rsidP="00AD03AA">
            <w:r w:rsidRPr="001A2BD1">
              <w:t>GD</w:t>
            </w:r>
          </w:p>
        </w:tc>
        <w:tc>
          <w:tcPr>
            <w:tcW w:w="0" w:type="auto"/>
            <w:hideMark/>
          </w:tcPr>
          <w:p w:rsidR="00C62440" w:rsidRPr="001A2BD1" w:rsidRDefault="00C62440" w:rsidP="00AD03AA">
            <w:r w:rsidRPr="001A2BD1">
              <w:t>769</w:t>
            </w:r>
          </w:p>
        </w:tc>
        <w:tc>
          <w:tcPr>
            <w:tcW w:w="0" w:type="auto"/>
            <w:hideMark/>
          </w:tcPr>
          <w:p w:rsidR="00C62440" w:rsidRPr="001A2BD1" w:rsidRDefault="00C62440" w:rsidP="00AD03AA">
            <w:r w:rsidRPr="001A2BD1">
              <w:t>8.975381</w:t>
            </w:r>
          </w:p>
        </w:tc>
        <w:tc>
          <w:tcPr>
            <w:tcW w:w="1893" w:type="dxa"/>
            <w:hideMark/>
          </w:tcPr>
          <w:p w:rsidR="00C62440" w:rsidRPr="001A2BD1" w:rsidRDefault="00C62440" w:rsidP="00AD03AA">
            <w:r w:rsidRPr="001A2BD1">
              <w:t>.4156909</w:t>
            </w:r>
          </w:p>
        </w:tc>
        <w:tc>
          <w:tcPr>
            <w:tcW w:w="1410" w:type="dxa"/>
            <w:hideMark/>
          </w:tcPr>
          <w:p w:rsidR="00C62440" w:rsidRPr="001A2BD1" w:rsidRDefault="00C62440" w:rsidP="00AD03AA">
            <w:r w:rsidRPr="001A2BD1">
              <w:t>7.74846</w:t>
            </w:r>
          </w:p>
        </w:tc>
        <w:tc>
          <w:tcPr>
            <w:tcW w:w="1511" w:type="dxa"/>
            <w:hideMark/>
          </w:tcPr>
          <w:p w:rsidR="00C62440" w:rsidRPr="001A2BD1" w:rsidRDefault="00C62440" w:rsidP="00AD03AA">
            <w:r w:rsidRPr="001A2BD1">
              <w:t>9.736607</w:t>
            </w:r>
          </w:p>
        </w:tc>
      </w:tr>
      <w:tr w:rsidR="00C62440" w:rsidRPr="001A2BD1" w:rsidTr="00AD03AA">
        <w:trPr>
          <w:trHeight w:val="502"/>
          <w:jc w:val="center"/>
        </w:trPr>
        <w:tc>
          <w:tcPr>
            <w:tcW w:w="0" w:type="auto"/>
            <w:hideMark/>
          </w:tcPr>
          <w:p w:rsidR="00C62440" w:rsidRPr="001A2BD1" w:rsidRDefault="00C62440" w:rsidP="00AD03AA">
            <w:r w:rsidRPr="001A2BD1">
              <w:t>CD</w:t>
            </w:r>
          </w:p>
        </w:tc>
        <w:tc>
          <w:tcPr>
            <w:tcW w:w="0" w:type="auto"/>
            <w:hideMark/>
          </w:tcPr>
          <w:p w:rsidR="00C62440" w:rsidRPr="001A2BD1" w:rsidRDefault="00C62440" w:rsidP="00AD03AA">
            <w:r w:rsidRPr="001A2BD1">
              <w:t>769</w:t>
            </w:r>
          </w:p>
        </w:tc>
        <w:tc>
          <w:tcPr>
            <w:tcW w:w="0" w:type="auto"/>
            <w:hideMark/>
          </w:tcPr>
          <w:p w:rsidR="00C62440" w:rsidRPr="001A2BD1" w:rsidRDefault="00C62440" w:rsidP="00AD03AA">
            <w:r w:rsidRPr="001A2BD1">
              <w:t>2.433561</w:t>
            </w:r>
          </w:p>
        </w:tc>
        <w:tc>
          <w:tcPr>
            <w:tcW w:w="1893" w:type="dxa"/>
            <w:hideMark/>
          </w:tcPr>
          <w:p w:rsidR="00C62440" w:rsidRPr="001A2BD1" w:rsidRDefault="00C62440" w:rsidP="00AD03AA">
            <w:r w:rsidRPr="001A2BD1">
              <w:t>.3783354</w:t>
            </w:r>
          </w:p>
        </w:tc>
        <w:tc>
          <w:tcPr>
            <w:tcW w:w="1410" w:type="dxa"/>
            <w:hideMark/>
          </w:tcPr>
          <w:p w:rsidR="00C62440" w:rsidRPr="001A2BD1" w:rsidRDefault="00C62440" w:rsidP="00AD03AA">
            <w:r w:rsidRPr="001A2BD1">
              <w:t>1.08602</w:t>
            </w:r>
          </w:p>
        </w:tc>
        <w:tc>
          <w:tcPr>
            <w:tcW w:w="1511" w:type="dxa"/>
            <w:hideMark/>
          </w:tcPr>
          <w:p w:rsidR="00C62440" w:rsidRPr="001A2BD1" w:rsidRDefault="00C62440" w:rsidP="00AD03AA">
            <w:r w:rsidRPr="001A2BD1">
              <w:t>3.449871</w:t>
            </w:r>
          </w:p>
        </w:tc>
      </w:tr>
      <w:tr w:rsidR="00C62440" w:rsidRPr="001A2BD1" w:rsidTr="00AD03AA">
        <w:trPr>
          <w:trHeight w:val="502"/>
          <w:jc w:val="center"/>
        </w:trPr>
        <w:tc>
          <w:tcPr>
            <w:tcW w:w="0" w:type="auto"/>
            <w:hideMark/>
          </w:tcPr>
          <w:p w:rsidR="00C62440" w:rsidRPr="001A2BD1" w:rsidRDefault="00C62440" w:rsidP="00AD03AA">
            <w:r w:rsidRPr="001A2BD1">
              <w:t>GoD</w:t>
            </w:r>
          </w:p>
        </w:tc>
        <w:tc>
          <w:tcPr>
            <w:tcW w:w="0" w:type="auto"/>
            <w:hideMark/>
          </w:tcPr>
          <w:p w:rsidR="00C62440" w:rsidRPr="001A2BD1" w:rsidRDefault="00C62440" w:rsidP="00AD03AA">
            <w:r w:rsidRPr="001A2BD1">
              <w:t>769</w:t>
            </w:r>
          </w:p>
        </w:tc>
        <w:tc>
          <w:tcPr>
            <w:tcW w:w="0" w:type="auto"/>
            <w:hideMark/>
          </w:tcPr>
          <w:p w:rsidR="00C62440" w:rsidRPr="001A2BD1" w:rsidRDefault="00C62440" w:rsidP="00AD03AA">
            <w:r w:rsidRPr="001A2BD1">
              <w:t>5.344051</w:t>
            </w:r>
          </w:p>
        </w:tc>
        <w:tc>
          <w:tcPr>
            <w:tcW w:w="1893" w:type="dxa"/>
            <w:hideMark/>
          </w:tcPr>
          <w:p w:rsidR="00C62440" w:rsidRPr="001A2BD1" w:rsidRDefault="00C62440" w:rsidP="00AD03AA">
            <w:r w:rsidRPr="001A2BD1">
              <w:t>1.154553</w:t>
            </w:r>
          </w:p>
        </w:tc>
        <w:tc>
          <w:tcPr>
            <w:tcW w:w="1410" w:type="dxa"/>
            <w:hideMark/>
          </w:tcPr>
          <w:p w:rsidR="00C62440" w:rsidRPr="001A2BD1" w:rsidRDefault="00C62440" w:rsidP="00AD03AA">
            <w:r w:rsidRPr="001A2BD1">
              <w:t>.9176624</w:t>
            </w:r>
          </w:p>
        </w:tc>
        <w:tc>
          <w:tcPr>
            <w:tcW w:w="1511" w:type="dxa"/>
            <w:hideMark/>
          </w:tcPr>
          <w:p w:rsidR="00C62440" w:rsidRPr="001A2BD1" w:rsidRDefault="00C62440" w:rsidP="00AD03AA">
            <w:r w:rsidRPr="001A2BD1">
              <w:t>8.043191</w:t>
            </w:r>
          </w:p>
        </w:tc>
      </w:tr>
      <w:tr w:rsidR="00C62440" w:rsidRPr="001A2BD1" w:rsidTr="00AD03AA">
        <w:trPr>
          <w:jc w:val="center"/>
        </w:trPr>
        <w:tc>
          <w:tcPr>
            <w:tcW w:w="0" w:type="auto"/>
            <w:hideMark/>
          </w:tcPr>
          <w:p w:rsidR="00C62440" w:rsidRPr="001A2BD1" w:rsidRDefault="00C62440" w:rsidP="00AD03AA"/>
        </w:tc>
        <w:tc>
          <w:tcPr>
            <w:tcW w:w="0" w:type="auto"/>
            <w:hideMark/>
          </w:tcPr>
          <w:p w:rsidR="00C62440" w:rsidRPr="001A2BD1" w:rsidRDefault="00C62440" w:rsidP="00AD03AA"/>
        </w:tc>
        <w:tc>
          <w:tcPr>
            <w:tcW w:w="0" w:type="auto"/>
            <w:hideMark/>
          </w:tcPr>
          <w:p w:rsidR="00C62440" w:rsidRPr="001A2BD1" w:rsidRDefault="00C62440" w:rsidP="00AD03AA"/>
        </w:tc>
        <w:tc>
          <w:tcPr>
            <w:tcW w:w="1893" w:type="dxa"/>
            <w:hideMark/>
          </w:tcPr>
          <w:p w:rsidR="00C62440" w:rsidRPr="001A2BD1" w:rsidRDefault="00C62440" w:rsidP="00AD03AA">
            <w:pPr>
              <w:rPr>
                <w:sz w:val="20"/>
                <w:szCs w:val="20"/>
              </w:rPr>
            </w:pPr>
          </w:p>
        </w:tc>
        <w:tc>
          <w:tcPr>
            <w:tcW w:w="1410" w:type="dxa"/>
            <w:hideMark/>
          </w:tcPr>
          <w:p w:rsidR="00C62440" w:rsidRPr="001A2BD1" w:rsidRDefault="00C62440" w:rsidP="00AD03AA">
            <w:pPr>
              <w:rPr>
                <w:sz w:val="20"/>
                <w:szCs w:val="20"/>
              </w:rPr>
            </w:pPr>
          </w:p>
        </w:tc>
        <w:tc>
          <w:tcPr>
            <w:tcW w:w="1511" w:type="dxa"/>
            <w:hideMark/>
          </w:tcPr>
          <w:p w:rsidR="00C62440" w:rsidRPr="001A2BD1" w:rsidRDefault="00C62440" w:rsidP="00AD03AA">
            <w:pPr>
              <w:rPr>
                <w:sz w:val="20"/>
                <w:szCs w:val="20"/>
              </w:rPr>
            </w:pPr>
          </w:p>
        </w:tc>
      </w:tr>
      <w:tr w:rsidR="00C62440" w:rsidRPr="001A2BD1" w:rsidTr="00AD03AA">
        <w:trPr>
          <w:trHeight w:val="502"/>
          <w:jc w:val="center"/>
        </w:trPr>
        <w:tc>
          <w:tcPr>
            <w:tcW w:w="0" w:type="auto"/>
            <w:hideMark/>
          </w:tcPr>
          <w:p w:rsidR="00C62440" w:rsidRPr="001A2BD1" w:rsidRDefault="00C62440" w:rsidP="00AD03AA">
            <w:r w:rsidRPr="001A2BD1">
              <w:t>IE</w:t>
            </w:r>
          </w:p>
        </w:tc>
        <w:tc>
          <w:tcPr>
            <w:tcW w:w="0" w:type="auto"/>
            <w:hideMark/>
          </w:tcPr>
          <w:p w:rsidR="00C62440" w:rsidRPr="001A2BD1" w:rsidRDefault="00C62440" w:rsidP="00AD03AA">
            <w:r w:rsidRPr="001A2BD1">
              <w:t>769</w:t>
            </w:r>
          </w:p>
        </w:tc>
        <w:tc>
          <w:tcPr>
            <w:tcW w:w="0" w:type="auto"/>
            <w:hideMark/>
          </w:tcPr>
          <w:p w:rsidR="00C62440" w:rsidRPr="001A2BD1" w:rsidRDefault="00C62440" w:rsidP="00AD03AA">
            <w:r w:rsidRPr="001A2BD1">
              <w:t>.0676203</w:t>
            </w:r>
          </w:p>
        </w:tc>
        <w:tc>
          <w:tcPr>
            <w:tcW w:w="1893" w:type="dxa"/>
            <w:hideMark/>
          </w:tcPr>
          <w:p w:rsidR="00C62440" w:rsidRPr="001A2BD1" w:rsidRDefault="00C62440" w:rsidP="00AD03AA">
            <w:r w:rsidRPr="001A2BD1">
              <w:t>.2512566</w:t>
            </w:r>
          </w:p>
        </w:tc>
        <w:tc>
          <w:tcPr>
            <w:tcW w:w="1410" w:type="dxa"/>
            <w:hideMark/>
          </w:tcPr>
          <w:p w:rsidR="00C62440" w:rsidRPr="001A2BD1" w:rsidRDefault="00C62440" w:rsidP="00AD03AA">
            <w:r w:rsidRPr="001A2BD1">
              <w:t>0</w:t>
            </w:r>
          </w:p>
        </w:tc>
        <w:tc>
          <w:tcPr>
            <w:tcW w:w="1511" w:type="dxa"/>
            <w:hideMark/>
          </w:tcPr>
          <w:p w:rsidR="00C62440" w:rsidRPr="001A2BD1" w:rsidRDefault="00C62440" w:rsidP="00AD03AA">
            <w:r w:rsidRPr="001A2BD1">
              <w:t>1</w:t>
            </w:r>
          </w:p>
        </w:tc>
      </w:tr>
      <w:tr w:rsidR="00C62440" w:rsidRPr="001A2BD1" w:rsidTr="00AD03AA">
        <w:trPr>
          <w:trHeight w:val="475"/>
          <w:jc w:val="center"/>
        </w:trPr>
        <w:tc>
          <w:tcPr>
            <w:tcW w:w="0" w:type="auto"/>
            <w:hideMark/>
          </w:tcPr>
          <w:p w:rsidR="00C62440" w:rsidRPr="001A2BD1" w:rsidRDefault="00C62440" w:rsidP="00AD03AA">
            <w:r w:rsidRPr="001A2BD1">
              <w:t>SIZE</w:t>
            </w:r>
          </w:p>
        </w:tc>
        <w:tc>
          <w:tcPr>
            <w:tcW w:w="0" w:type="auto"/>
            <w:hideMark/>
          </w:tcPr>
          <w:p w:rsidR="00C62440" w:rsidRPr="001A2BD1" w:rsidRDefault="00C62440" w:rsidP="00AD03AA">
            <w:r w:rsidRPr="001A2BD1">
              <w:t>769</w:t>
            </w:r>
          </w:p>
        </w:tc>
        <w:tc>
          <w:tcPr>
            <w:tcW w:w="0" w:type="auto"/>
            <w:hideMark/>
          </w:tcPr>
          <w:p w:rsidR="00C62440" w:rsidRPr="001A2BD1" w:rsidRDefault="00C62440" w:rsidP="00AD03AA">
            <w:r w:rsidRPr="001A2BD1">
              <w:t>.7113134</w:t>
            </w:r>
          </w:p>
        </w:tc>
        <w:tc>
          <w:tcPr>
            <w:tcW w:w="1893" w:type="dxa"/>
            <w:hideMark/>
          </w:tcPr>
          <w:p w:rsidR="00C62440" w:rsidRPr="001A2BD1" w:rsidRDefault="00C62440" w:rsidP="00AD03AA">
            <w:r w:rsidRPr="001A2BD1">
              <w:t>.4534468</w:t>
            </w:r>
          </w:p>
        </w:tc>
        <w:tc>
          <w:tcPr>
            <w:tcW w:w="1410" w:type="dxa"/>
            <w:hideMark/>
          </w:tcPr>
          <w:p w:rsidR="00C62440" w:rsidRPr="001A2BD1" w:rsidRDefault="00C62440" w:rsidP="00AD03AA">
            <w:r w:rsidRPr="001A2BD1">
              <w:t>0</w:t>
            </w:r>
          </w:p>
        </w:tc>
        <w:tc>
          <w:tcPr>
            <w:tcW w:w="1511" w:type="dxa"/>
            <w:hideMark/>
          </w:tcPr>
          <w:p w:rsidR="00C62440" w:rsidRPr="001A2BD1" w:rsidRDefault="00C62440" w:rsidP="00AD03AA">
            <w:r w:rsidRPr="001A2BD1">
              <w:t>1</w:t>
            </w:r>
          </w:p>
        </w:tc>
      </w:tr>
    </w:tbl>
    <w:p w:rsidR="00C62440" w:rsidRPr="00D8339A" w:rsidRDefault="00C62440" w:rsidP="00C62440">
      <w:pPr>
        <w:pStyle w:val="Style1"/>
        <w:spacing w:line="360" w:lineRule="auto"/>
        <w:jc w:val="center"/>
        <w:rPr>
          <w:b w:val="0"/>
        </w:rPr>
      </w:pPr>
      <w:r>
        <w:rPr>
          <w:b w:val="0"/>
        </w:rPr>
        <w:t>Table 1</w:t>
      </w:r>
      <w:r w:rsidRPr="00730468">
        <w:rPr>
          <w:b w:val="0"/>
        </w:rPr>
        <w:t>. Descriptiv</w:t>
      </w:r>
      <w:r>
        <w:rPr>
          <w:b w:val="0"/>
        </w:rPr>
        <w:t>e statistics for the variables.</w:t>
      </w:r>
    </w:p>
    <w:p w:rsidR="00B75C91" w:rsidRDefault="00B75C91" w:rsidP="00EC4563">
      <w:pPr>
        <w:pStyle w:val="Style1"/>
        <w:spacing w:line="360" w:lineRule="auto"/>
        <w:jc w:val="both"/>
        <w:rPr>
          <w:b w:val="0"/>
        </w:rPr>
      </w:pPr>
    </w:p>
    <w:tbl>
      <w:tblPr>
        <w:tblW w:w="9408" w:type="dxa"/>
        <w:jc w:val="center"/>
        <w:tblLook w:val="04A0" w:firstRow="1" w:lastRow="0" w:firstColumn="1" w:lastColumn="0" w:noHBand="0" w:noVBand="1"/>
      </w:tblPr>
      <w:tblGrid>
        <w:gridCol w:w="923"/>
        <w:gridCol w:w="923"/>
        <w:gridCol w:w="736"/>
        <w:gridCol w:w="736"/>
        <w:gridCol w:w="737"/>
        <w:gridCol w:w="752"/>
        <w:gridCol w:w="737"/>
        <w:gridCol w:w="764"/>
        <w:gridCol w:w="737"/>
        <w:gridCol w:w="756"/>
        <w:gridCol w:w="737"/>
        <w:gridCol w:w="870"/>
      </w:tblGrid>
      <w:tr w:rsidR="00EC4563" w:rsidRPr="0054628E" w:rsidTr="00AD03AA">
        <w:trPr>
          <w:trHeight w:val="283"/>
          <w:jc w:val="center"/>
        </w:trPr>
        <w:tc>
          <w:tcPr>
            <w:tcW w:w="923" w:type="dxa"/>
            <w:tcBorders>
              <w:top w:val="nil"/>
              <w:left w:val="nil"/>
              <w:bottom w:val="single" w:sz="4" w:space="0" w:color="auto"/>
              <w:right w:val="single" w:sz="4" w:space="0" w:color="auto"/>
            </w:tcBorders>
            <w:shd w:val="clear" w:color="auto" w:fill="auto"/>
            <w:hideMark/>
          </w:tcPr>
          <w:p w:rsidR="00EC4563" w:rsidRPr="0054628E" w:rsidRDefault="00EC4563" w:rsidP="00AD03AA">
            <w:pPr>
              <w:rPr>
                <w:rFonts w:ascii="Calibri" w:hAnsi="Calibri"/>
                <w:color w:val="000000"/>
              </w:rPr>
            </w:pPr>
            <w:r w:rsidRPr="0054628E">
              <w:rPr>
                <w:rFonts w:ascii="Calibri" w:hAnsi="Calibri"/>
                <w:color w:val="000000"/>
              </w:rPr>
              <w:t> </w:t>
            </w:r>
          </w:p>
        </w:tc>
        <w:tc>
          <w:tcPr>
            <w:tcW w:w="923" w:type="dxa"/>
            <w:tcBorders>
              <w:top w:val="nil"/>
              <w:left w:val="nil"/>
              <w:bottom w:val="single" w:sz="4" w:space="0" w:color="auto"/>
              <w:right w:val="nil"/>
            </w:tcBorders>
            <w:shd w:val="clear" w:color="auto" w:fill="auto"/>
            <w:vAlign w:val="center"/>
            <w:hideMark/>
          </w:tcPr>
          <w:p w:rsidR="00EC4563" w:rsidRPr="0054628E" w:rsidRDefault="00EC4563" w:rsidP="00AD03AA">
            <w:pPr>
              <w:rPr>
                <w:color w:val="000000"/>
              </w:rPr>
            </w:pPr>
            <w:r w:rsidRPr="0054628E">
              <w:rPr>
                <w:color w:val="000000"/>
              </w:rPr>
              <w:t>MODE</w:t>
            </w:r>
          </w:p>
        </w:tc>
        <w:tc>
          <w:tcPr>
            <w:tcW w:w="736" w:type="dxa"/>
            <w:tcBorders>
              <w:top w:val="nil"/>
              <w:left w:val="nil"/>
              <w:bottom w:val="single" w:sz="4" w:space="0" w:color="auto"/>
              <w:right w:val="nil"/>
            </w:tcBorders>
            <w:shd w:val="clear" w:color="auto" w:fill="auto"/>
            <w:vAlign w:val="center"/>
            <w:hideMark/>
          </w:tcPr>
          <w:p w:rsidR="00EC4563" w:rsidRPr="0054628E" w:rsidRDefault="00EC4563" w:rsidP="00AD03AA">
            <w:pPr>
              <w:rPr>
                <w:color w:val="000000"/>
              </w:rPr>
            </w:pPr>
            <w:r w:rsidRPr="0054628E">
              <w:rPr>
                <w:color w:val="000000"/>
              </w:rPr>
              <w:t>ED</w:t>
            </w:r>
          </w:p>
        </w:tc>
        <w:tc>
          <w:tcPr>
            <w:tcW w:w="736" w:type="dxa"/>
            <w:tcBorders>
              <w:top w:val="nil"/>
              <w:left w:val="nil"/>
              <w:bottom w:val="single" w:sz="4" w:space="0" w:color="auto"/>
              <w:right w:val="nil"/>
            </w:tcBorders>
            <w:shd w:val="clear" w:color="auto" w:fill="auto"/>
            <w:vAlign w:val="center"/>
            <w:hideMark/>
          </w:tcPr>
          <w:p w:rsidR="00EC4563" w:rsidRPr="0054628E" w:rsidRDefault="00EC4563" w:rsidP="00AD03AA">
            <w:pPr>
              <w:rPr>
                <w:color w:val="000000"/>
              </w:rPr>
            </w:pPr>
            <w:r w:rsidRPr="0054628E">
              <w:rPr>
                <w:color w:val="000000"/>
              </w:rPr>
              <w:t>GD</w:t>
            </w:r>
          </w:p>
        </w:tc>
        <w:tc>
          <w:tcPr>
            <w:tcW w:w="737" w:type="dxa"/>
            <w:tcBorders>
              <w:top w:val="nil"/>
              <w:left w:val="nil"/>
              <w:bottom w:val="single" w:sz="4" w:space="0" w:color="auto"/>
              <w:right w:val="nil"/>
            </w:tcBorders>
            <w:shd w:val="clear" w:color="auto" w:fill="auto"/>
            <w:vAlign w:val="center"/>
            <w:hideMark/>
          </w:tcPr>
          <w:p w:rsidR="00EC4563" w:rsidRPr="0054628E" w:rsidRDefault="00EC4563" w:rsidP="00AD03AA">
            <w:pPr>
              <w:rPr>
                <w:color w:val="000000"/>
              </w:rPr>
            </w:pPr>
            <w:r w:rsidRPr="0054628E">
              <w:rPr>
                <w:color w:val="000000"/>
              </w:rPr>
              <w:t>CD</w:t>
            </w:r>
          </w:p>
        </w:tc>
        <w:tc>
          <w:tcPr>
            <w:tcW w:w="752" w:type="dxa"/>
            <w:tcBorders>
              <w:top w:val="nil"/>
              <w:left w:val="nil"/>
              <w:bottom w:val="single" w:sz="4" w:space="0" w:color="auto"/>
              <w:right w:val="nil"/>
            </w:tcBorders>
            <w:shd w:val="clear" w:color="auto" w:fill="auto"/>
            <w:vAlign w:val="center"/>
            <w:hideMark/>
          </w:tcPr>
          <w:p w:rsidR="00EC4563" w:rsidRPr="0054628E" w:rsidRDefault="00EC4563" w:rsidP="00AD03AA">
            <w:pPr>
              <w:rPr>
                <w:color w:val="000000"/>
              </w:rPr>
            </w:pPr>
            <w:r w:rsidRPr="0054628E">
              <w:rPr>
                <w:color w:val="000000"/>
              </w:rPr>
              <w:t>GoD</w:t>
            </w:r>
          </w:p>
        </w:tc>
        <w:tc>
          <w:tcPr>
            <w:tcW w:w="737" w:type="dxa"/>
            <w:tcBorders>
              <w:top w:val="nil"/>
              <w:left w:val="nil"/>
              <w:bottom w:val="single" w:sz="4" w:space="0" w:color="auto"/>
              <w:right w:val="nil"/>
            </w:tcBorders>
            <w:shd w:val="clear" w:color="auto" w:fill="auto"/>
            <w:vAlign w:val="center"/>
            <w:hideMark/>
          </w:tcPr>
          <w:p w:rsidR="00EC4563" w:rsidRPr="0054628E" w:rsidRDefault="00EC4563" w:rsidP="00AD03AA">
            <w:pPr>
              <w:rPr>
                <w:color w:val="000000"/>
              </w:rPr>
            </w:pPr>
            <w:r w:rsidRPr="0054628E">
              <w:rPr>
                <w:color w:val="000000"/>
              </w:rPr>
              <w:t>IE</w:t>
            </w:r>
          </w:p>
        </w:tc>
        <w:tc>
          <w:tcPr>
            <w:tcW w:w="764" w:type="dxa"/>
            <w:tcBorders>
              <w:top w:val="nil"/>
              <w:left w:val="nil"/>
              <w:bottom w:val="single" w:sz="4" w:space="0" w:color="auto"/>
              <w:right w:val="nil"/>
            </w:tcBorders>
            <w:shd w:val="clear" w:color="auto" w:fill="auto"/>
            <w:vAlign w:val="center"/>
            <w:hideMark/>
          </w:tcPr>
          <w:p w:rsidR="00EC4563" w:rsidRPr="0054628E" w:rsidRDefault="00EC4563" w:rsidP="00AD03AA">
            <w:pPr>
              <w:rPr>
                <w:color w:val="000000"/>
              </w:rPr>
            </w:pPr>
            <w:r w:rsidRPr="0054628E">
              <w:rPr>
                <w:color w:val="000000"/>
              </w:rPr>
              <w:t>SIZE</w:t>
            </w:r>
          </w:p>
        </w:tc>
        <w:tc>
          <w:tcPr>
            <w:tcW w:w="737" w:type="dxa"/>
            <w:tcBorders>
              <w:top w:val="nil"/>
              <w:left w:val="nil"/>
              <w:bottom w:val="single" w:sz="4" w:space="0" w:color="auto"/>
              <w:right w:val="nil"/>
            </w:tcBorders>
            <w:shd w:val="clear" w:color="auto" w:fill="auto"/>
            <w:vAlign w:val="center"/>
            <w:hideMark/>
          </w:tcPr>
          <w:p w:rsidR="00EC4563" w:rsidRPr="0054628E" w:rsidRDefault="00EC4563" w:rsidP="00AD03AA">
            <w:pPr>
              <w:rPr>
                <w:color w:val="000000"/>
              </w:rPr>
            </w:pPr>
            <w:r w:rsidRPr="0054628E">
              <w:rPr>
                <w:color w:val="000000"/>
              </w:rPr>
              <w:t>ST</w:t>
            </w:r>
          </w:p>
        </w:tc>
        <w:tc>
          <w:tcPr>
            <w:tcW w:w="756" w:type="dxa"/>
            <w:tcBorders>
              <w:top w:val="nil"/>
              <w:left w:val="nil"/>
              <w:bottom w:val="single" w:sz="4" w:space="0" w:color="auto"/>
              <w:right w:val="nil"/>
            </w:tcBorders>
            <w:shd w:val="clear" w:color="auto" w:fill="auto"/>
            <w:vAlign w:val="center"/>
            <w:hideMark/>
          </w:tcPr>
          <w:p w:rsidR="00EC4563" w:rsidRPr="0054628E" w:rsidRDefault="00EC4563" w:rsidP="00AD03AA">
            <w:pPr>
              <w:rPr>
                <w:color w:val="000000"/>
              </w:rPr>
            </w:pPr>
            <w:r w:rsidRPr="0054628E">
              <w:rPr>
                <w:color w:val="000000"/>
              </w:rPr>
              <w:t>ROL</w:t>
            </w:r>
          </w:p>
        </w:tc>
        <w:tc>
          <w:tcPr>
            <w:tcW w:w="737" w:type="dxa"/>
            <w:tcBorders>
              <w:top w:val="nil"/>
              <w:left w:val="nil"/>
              <w:bottom w:val="single" w:sz="4" w:space="0" w:color="auto"/>
              <w:right w:val="nil"/>
            </w:tcBorders>
            <w:shd w:val="clear" w:color="auto" w:fill="auto"/>
            <w:vAlign w:val="center"/>
            <w:hideMark/>
          </w:tcPr>
          <w:p w:rsidR="00EC4563" w:rsidRPr="0054628E" w:rsidRDefault="00EC4563" w:rsidP="00AD03AA">
            <w:pPr>
              <w:rPr>
                <w:color w:val="000000"/>
              </w:rPr>
            </w:pPr>
            <w:r w:rsidRPr="0054628E">
              <w:rPr>
                <w:color w:val="000000"/>
              </w:rPr>
              <w:t>PR</w:t>
            </w:r>
          </w:p>
        </w:tc>
        <w:tc>
          <w:tcPr>
            <w:tcW w:w="870" w:type="dxa"/>
            <w:tcBorders>
              <w:top w:val="nil"/>
              <w:left w:val="nil"/>
              <w:bottom w:val="single" w:sz="4" w:space="0" w:color="auto"/>
              <w:right w:val="nil"/>
            </w:tcBorders>
            <w:shd w:val="clear" w:color="auto" w:fill="auto"/>
            <w:vAlign w:val="center"/>
            <w:hideMark/>
          </w:tcPr>
          <w:p w:rsidR="00EC4563" w:rsidRPr="0054628E" w:rsidRDefault="00EC4563" w:rsidP="00AD03AA">
            <w:pPr>
              <w:rPr>
                <w:color w:val="000000"/>
              </w:rPr>
            </w:pPr>
            <w:r w:rsidRPr="0054628E">
              <w:rPr>
                <w:color w:val="000000"/>
              </w:rPr>
              <w:t>YEAR</w:t>
            </w:r>
          </w:p>
        </w:tc>
      </w:tr>
      <w:tr w:rsidR="00EC4563" w:rsidRPr="0054628E" w:rsidTr="00AD03AA">
        <w:trPr>
          <w:trHeight w:val="283"/>
          <w:jc w:val="center"/>
        </w:trPr>
        <w:tc>
          <w:tcPr>
            <w:tcW w:w="923" w:type="dxa"/>
            <w:tcBorders>
              <w:top w:val="nil"/>
              <w:left w:val="nil"/>
              <w:bottom w:val="nil"/>
              <w:right w:val="single" w:sz="4" w:space="0" w:color="auto"/>
            </w:tcBorders>
            <w:shd w:val="clear" w:color="auto" w:fill="auto"/>
            <w:vAlign w:val="center"/>
            <w:hideMark/>
          </w:tcPr>
          <w:p w:rsidR="00EC4563" w:rsidRPr="0054628E" w:rsidRDefault="00EC4563" w:rsidP="00AD03AA">
            <w:pPr>
              <w:rPr>
                <w:color w:val="000000"/>
              </w:rPr>
            </w:pPr>
            <w:r w:rsidRPr="0054628E">
              <w:rPr>
                <w:color w:val="000000"/>
              </w:rPr>
              <w:t>MODE</w:t>
            </w:r>
          </w:p>
        </w:tc>
        <w:tc>
          <w:tcPr>
            <w:tcW w:w="923"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1.00</w:t>
            </w:r>
          </w:p>
        </w:tc>
        <w:tc>
          <w:tcPr>
            <w:tcW w:w="736"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36"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37"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52"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37"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64"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37"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756"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737"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870"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r>
      <w:tr w:rsidR="00EC4563" w:rsidRPr="0054628E" w:rsidTr="00AD03AA">
        <w:trPr>
          <w:trHeight w:val="283"/>
          <w:jc w:val="center"/>
        </w:trPr>
        <w:tc>
          <w:tcPr>
            <w:tcW w:w="923" w:type="dxa"/>
            <w:tcBorders>
              <w:top w:val="nil"/>
              <w:left w:val="nil"/>
              <w:bottom w:val="nil"/>
              <w:right w:val="single" w:sz="4" w:space="0" w:color="auto"/>
            </w:tcBorders>
            <w:shd w:val="clear" w:color="auto" w:fill="auto"/>
            <w:vAlign w:val="center"/>
            <w:hideMark/>
          </w:tcPr>
          <w:p w:rsidR="00EC4563" w:rsidRPr="0054628E" w:rsidRDefault="00EC4563" w:rsidP="00AD03AA">
            <w:pPr>
              <w:rPr>
                <w:color w:val="000000"/>
              </w:rPr>
            </w:pPr>
            <w:r w:rsidRPr="0054628E">
              <w:rPr>
                <w:color w:val="000000"/>
              </w:rPr>
              <w:t>ED</w:t>
            </w:r>
          </w:p>
        </w:tc>
        <w:tc>
          <w:tcPr>
            <w:tcW w:w="923"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0.11</w:t>
            </w:r>
          </w:p>
        </w:tc>
        <w:tc>
          <w:tcPr>
            <w:tcW w:w="73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1.00</w:t>
            </w:r>
          </w:p>
        </w:tc>
        <w:tc>
          <w:tcPr>
            <w:tcW w:w="736"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37"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52"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37"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64"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37"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756"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737"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870"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r>
      <w:tr w:rsidR="00EC4563" w:rsidRPr="0054628E" w:rsidTr="00AD03AA">
        <w:trPr>
          <w:trHeight w:val="283"/>
          <w:jc w:val="center"/>
        </w:trPr>
        <w:tc>
          <w:tcPr>
            <w:tcW w:w="923" w:type="dxa"/>
            <w:tcBorders>
              <w:top w:val="nil"/>
              <w:left w:val="nil"/>
              <w:bottom w:val="nil"/>
              <w:right w:val="single" w:sz="4" w:space="0" w:color="auto"/>
            </w:tcBorders>
            <w:shd w:val="clear" w:color="auto" w:fill="auto"/>
            <w:vAlign w:val="center"/>
            <w:hideMark/>
          </w:tcPr>
          <w:p w:rsidR="00EC4563" w:rsidRPr="0054628E" w:rsidRDefault="00EC4563" w:rsidP="00AD03AA">
            <w:pPr>
              <w:rPr>
                <w:color w:val="000000"/>
              </w:rPr>
            </w:pPr>
            <w:r w:rsidRPr="0054628E">
              <w:rPr>
                <w:color w:val="000000"/>
              </w:rPr>
              <w:t>GD</w:t>
            </w:r>
          </w:p>
        </w:tc>
        <w:tc>
          <w:tcPr>
            <w:tcW w:w="923"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0.17</w:t>
            </w:r>
          </w:p>
        </w:tc>
        <w:tc>
          <w:tcPr>
            <w:tcW w:w="73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0.41</w:t>
            </w:r>
          </w:p>
        </w:tc>
        <w:tc>
          <w:tcPr>
            <w:tcW w:w="73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1.00</w:t>
            </w:r>
          </w:p>
        </w:tc>
        <w:tc>
          <w:tcPr>
            <w:tcW w:w="737"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52"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37"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64"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37"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756"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737"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870"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r>
      <w:tr w:rsidR="00EC4563" w:rsidRPr="0054628E" w:rsidTr="00AD03AA">
        <w:trPr>
          <w:trHeight w:val="283"/>
          <w:jc w:val="center"/>
        </w:trPr>
        <w:tc>
          <w:tcPr>
            <w:tcW w:w="923" w:type="dxa"/>
            <w:tcBorders>
              <w:top w:val="nil"/>
              <w:left w:val="nil"/>
              <w:bottom w:val="nil"/>
              <w:right w:val="single" w:sz="4" w:space="0" w:color="auto"/>
            </w:tcBorders>
            <w:shd w:val="clear" w:color="auto" w:fill="auto"/>
            <w:vAlign w:val="center"/>
            <w:hideMark/>
          </w:tcPr>
          <w:p w:rsidR="00EC4563" w:rsidRPr="0054628E" w:rsidRDefault="00EC4563" w:rsidP="00AD03AA">
            <w:pPr>
              <w:rPr>
                <w:color w:val="000000"/>
              </w:rPr>
            </w:pPr>
            <w:r w:rsidRPr="0054628E">
              <w:rPr>
                <w:color w:val="000000"/>
              </w:rPr>
              <w:t>CD</w:t>
            </w:r>
          </w:p>
        </w:tc>
        <w:tc>
          <w:tcPr>
            <w:tcW w:w="923"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-0.07</w:t>
            </w:r>
          </w:p>
        </w:tc>
        <w:tc>
          <w:tcPr>
            <w:tcW w:w="73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0.45</w:t>
            </w:r>
          </w:p>
        </w:tc>
        <w:tc>
          <w:tcPr>
            <w:tcW w:w="73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0.16</w:t>
            </w:r>
          </w:p>
        </w:tc>
        <w:tc>
          <w:tcPr>
            <w:tcW w:w="737"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1.00</w:t>
            </w:r>
          </w:p>
        </w:tc>
        <w:tc>
          <w:tcPr>
            <w:tcW w:w="752"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37"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64"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37"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756"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737"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870"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r>
      <w:tr w:rsidR="00EC4563" w:rsidRPr="0054628E" w:rsidTr="00AD03AA">
        <w:trPr>
          <w:trHeight w:val="283"/>
          <w:jc w:val="center"/>
        </w:trPr>
        <w:tc>
          <w:tcPr>
            <w:tcW w:w="923" w:type="dxa"/>
            <w:tcBorders>
              <w:top w:val="nil"/>
              <w:left w:val="nil"/>
              <w:bottom w:val="nil"/>
              <w:right w:val="single" w:sz="4" w:space="0" w:color="auto"/>
            </w:tcBorders>
            <w:shd w:val="clear" w:color="auto" w:fill="auto"/>
            <w:vAlign w:val="center"/>
            <w:hideMark/>
          </w:tcPr>
          <w:p w:rsidR="00EC4563" w:rsidRPr="0054628E" w:rsidRDefault="00EC4563" w:rsidP="00AD03AA">
            <w:pPr>
              <w:rPr>
                <w:color w:val="000000"/>
              </w:rPr>
            </w:pPr>
            <w:r w:rsidRPr="0054628E">
              <w:rPr>
                <w:color w:val="000000"/>
              </w:rPr>
              <w:t>GoD</w:t>
            </w:r>
          </w:p>
        </w:tc>
        <w:tc>
          <w:tcPr>
            <w:tcW w:w="923"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0.16</w:t>
            </w:r>
          </w:p>
        </w:tc>
        <w:tc>
          <w:tcPr>
            <w:tcW w:w="73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0.64</w:t>
            </w:r>
          </w:p>
        </w:tc>
        <w:tc>
          <w:tcPr>
            <w:tcW w:w="73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0.09</w:t>
            </w:r>
          </w:p>
        </w:tc>
        <w:tc>
          <w:tcPr>
            <w:tcW w:w="737"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0.31</w:t>
            </w:r>
          </w:p>
        </w:tc>
        <w:tc>
          <w:tcPr>
            <w:tcW w:w="752"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1.00</w:t>
            </w:r>
          </w:p>
        </w:tc>
        <w:tc>
          <w:tcPr>
            <w:tcW w:w="737"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64"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37"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756"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737"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870"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r>
      <w:tr w:rsidR="00EC4563" w:rsidRPr="0054628E" w:rsidTr="00AD03AA">
        <w:trPr>
          <w:trHeight w:val="283"/>
          <w:jc w:val="center"/>
        </w:trPr>
        <w:tc>
          <w:tcPr>
            <w:tcW w:w="923" w:type="dxa"/>
            <w:tcBorders>
              <w:top w:val="nil"/>
              <w:left w:val="nil"/>
              <w:bottom w:val="nil"/>
              <w:right w:val="single" w:sz="4" w:space="0" w:color="auto"/>
            </w:tcBorders>
            <w:shd w:val="clear" w:color="auto" w:fill="auto"/>
            <w:vAlign w:val="center"/>
            <w:hideMark/>
          </w:tcPr>
          <w:p w:rsidR="00EC4563" w:rsidRPr="0054628E" w:rsidRDefault="00EC4563" w:rsidP="00AD03AA">
            <w:pPr>
              <w:rPr>
                <w:color w:val="000000"/>
              </w:rPr>
            </w:pPr>
            <w:r w:rsidRPr="0054628E">
              <w:rPr>
                <w:color w:val="000000"/>
              </w:rPr>
              <w:t>IE</w:t>
            </w:r>
          </w:p>
        </w:tc>
        <w:tc>
          <w:tcPr>
            <w:tcW w:w="923"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0.10</w:t>
            </w:r>
          </w:p>
        </w:tc>
        <w:tc>
          <w:tcPr>
            <w:tcW w:w="73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0.01</w:t>
            </w:r>
          </w:p>
        </w:tc>
        <w:tc>
          <w:tcPr>
            <w:tcW w:w="73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0.05</w:t>
            </w:r>
          </w:p>
        </w:tc>
        <w:tc>
          <w:tcPr>
            <w:tcW w:w="737"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-0.01</w:t>
            </w:r>
          </w:p>
        </w:tc>
        <w:tc>
          <w:tcPr>
            <w:tcW w:w="752"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0.01</w:t>
            </w:r>
          </w:p>
        </w:tc>
        <w:tc>
          <w:tcPr>
            <w:tcW w:w="737"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1.00</w:t>
            </w:r>
          </w:p>
        </w:tc>
        <w:tc>
          <w:tcPr>
            <w:tcW w:w="764" w:type="dxa"/>
            <w:tcBorders>
              <w:top w:val="nil"/>
              <w:left w:val="nil"/>
              <w:bottom w:val="nil"/>
              <w:right w:val="nil"/>
            </w:tcBorders>
            <w:shd w:val="clear" w:color="auto" w:fill="auto"/>
            <w:hideMark/>
          </w:tcPr>
          <w:p w:rsidR="00EC4563" w:rsidRPr="0054628E" w:rsidRDefault="00EC4563" w:rsidP="00AD03AA">
            <w:pPr>
              <w:rPr>
                <w:rFonts w:ascii="Calibri" w:hAnsi="Calibri"/>
                <w:color w:val="000000"/>
              </w:rPr>
            </w:pPr>
          </w:p>
        </w:tc>
        <w:tc>
          <w:tcPr>
            <w:tcW w:w="737"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756"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737"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870"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r>
      <w:tr w:rsidR="00EC4563" w:rsidRPr="0054628E" w:rsidTr="00AD03AA">
        <w:trPr>
          <w:trHeight w:val="283"/>
          <w:jc w:val="center"/>
        </w:trPr>
        <w:tc>
          <w:tcPr>
            <w:tcW w:w="923" w:type="dxa"/>
            <w:tcBorders>
              <w:top w:val="nil"/>
              <w:left w:val="nil"/>
              <w:bottom w:val="nil"/>
              <w:right w:val="single" w:sz="4" w:space="0" w:color="auto"/>
            </w:tcBorders>
            <w:shd w:val="clear" w:color="auto" w:fill="auto"/>
            <w:vAlign w:val="center"/>
            <w:hideMark/>
          </w:tcPr>
          <w:p w:rsidR="00EC4563" w:rsidRPr="0054628E" w:rsidRDefault="00EC4563" w:rsidP="00AD03AA">
            <w:pPr>
              <w:rPr>
                <w:color w:val="000000"/>
              </w:rPr>
            </w:pPr>
            <w:r w:rsidRPr="0054628E">
              <w:rPr>
                <w:color w:val="000000"/>
              </w:rPr>
              <w:t>SIZE</w:t>
            </w:r>
          </w:p>
        </w:tc>
        <w:tc>
          <w:tcPr>
            <w:tcW w:w="923"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-0.08</w:t>
            </w:r>
          </w:p>
        </w:tc>
        <w:tc>
          <w:tcPr>
            <w:tcW w:w="73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0.00</w:t>
            </w:r>
          </w:p>
        </w:tc>
        <w:tc>
          <w:tcPr>
            <w:tcW w:w="73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-0.04</w:t>
            </w:r>
          </w:p>
        </w:tc>
        <w:tc>
          <w:tcPr>
            <w:tcW w:w="737"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0.16</w:t>
            </w:r>
          </w:p>
        </w:tc>
        <w:tc>
          <w:tcPr>
            <w:tcW w:w="752"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-0.03</w:t>
            </w:r>
          </w:p>
        </w:tc>
        <w:tc>
          <w:tcPr>
            <w:tcW w:w="737"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0.09</w:t>
            </w:r>
          </w:p>
        </w:tc>
        <w:tc>
          <w:tcPr>
            <w:tcW w:w="764"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1.00</w:t>
            </w:r>
          </w:p>
        </w:tc>
        <w:tc>
          <w:tcPr>
            <w:tcW w:w="737"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756"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737"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870"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r>
      <w:tr w:rsidR="00EC4563" w:rsidRPr="0054628E" w:rsidTr="00AD03AA">
        <w:trPr>
          <w:trHeight w:val="283"/>
          <w:jc w:val="center"/>
        </w:trPr>
        <w:tc>
          <w:tcPr>
            <w:tcW w:w="923" w:type="dxa"/>
            <w:tcBorders>
              <w:top w:val="nil"/>
              <w:left w:val="nil"/>
              <w:bottom w:val="nil"/>
              <w:right w:val="single" w:sz="4" w:space="0" w:color="auto"/>
            </w:tcBorders>
            <w:shd w:val="clear" w:color="auto" w:fill="auto"/>
            <w:vAlign w:val="center"/>
            <w:hideMark/>
          </w:tcPr>
          <w:p w:rsidR="00EC4563" w:rsidRPr="0054628E" w:rsidRDefault="00EC4563" w:rsidP="00AD03AA">
            <w:pPr>
              <w:rPr>
                <w:color w:val="000000"/>
              </w:rPr>
            </w:pPr>
            <w:r w:rsidRPr="0054628E">
              <w:rPr>
                <w:color w:val="000000"/>
              </w:rPr>
              <w:t>ST</w:t>
            </w:r>
          </w:p>
        </w:tc>
        <w:tc>
          <w:tcPr>
            <w:tcW w:w="923"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0.12</w:t>
            </w:r>
          </w:p>
        </w:tc>
        <w:tc>
          <w:tcPr>
            <w:tcW w:w="73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0.13</w:t>
            </w:r>
          </w:p>
        </w:tc>
        <w:tc>
          <w:tcPr>
            <w:tcW w:w="73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0.15</w:t>
            </w:r>
          </w:p>
        </w:tc>
        <w:tc>
          <w:tcPr>
            <w:tcW w:w="737"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-0.01</w:t>
            </w:r>
          </w:p>
        </w:tc>
        <w:tc>
          <w:tcPr>
            <w:tcW w:w="752"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0.06</w:t>
            </w:r>
          </w:p>
        </w:tc>
        <w:tc>
          <w:tcPr>
            <w:tcW w:w="737"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0.00</w:t>
            </w:r>
          </w:p>
        </w:tc>
        <w:tc>
          <w:tcPr>
            <w:tcW w:w="764"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-0.05</w:t>
            </w:r>
          </w:p>
        </w:tc>
        <w:tc>
          <w:tcPr>
            <w:tcW w:w="737"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1.00</w:t>
            </w:r>
          </w:p>
        </w:tc>
        <w:tc>
          <w:tcPr>
            <w:tcW w:w="756"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737"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870"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r>
      <w:tr w:rsidR="00EC4563" w:rsidRPr="0054628E" w:rsidTr="00AD03AA">
        <w:trPr>
          <w:trHeight w:val="283"/>
          <w:jc w:val="center"/>
        </w:trPr>
        <w:tc>
          <w:tcPr>
            <w:tcW w:w="923" w:type="dxa"/>
            <w:tcBorders>
              <w:top w:val="nil"/>
              <w:left w:val="nil"/>
              <w:bottom w:val="nil"/>
              <w:right w:val="single" w:sz="4" w:space="0" w:color="auto"/>
            </w:tcBorders>
            <w:shd w:val="clear" w:color="auto" w:fill="auto"/>
            <w:vAlign w:val="center"/>
            <w:hideMark/>
          </w:tcPr>
          <w:p w:rsidR="00EC4563" w:rsidRPr="0054628E" w:rsidRDefault="00EC4563" w:rsidP="00AD03AA">
            <w:pPr>
              <w:rPr>
                <w:color w:val="000000"/>
              </w:rPr>
            </w:pPr>
            <w:r w:rsidRPr="0054628E">
              <w:rPr>
                <w:color w:val="000000"/>
              </w:rPr>
              <w:t>ROL</w:t>
            </w:r>
          </w:p>
        </w:tc>
        <w:tc>
          <w:tcPr>
            <w:tcW w:w="923"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0.06</w:t>
            </w:r>
          </w:p>
        </w:tc>
        <w:tc>
          <w:tcPr>
            <w:tcW w:w="73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0.05</w:t>
            </w:r>
          </w:p>
        </w:tc>
        <w:tc>
          <w:tcPr>
            <w:tcW w:w="73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0.04</w:t>
            </w:r>
          </w:p>
        </w:tc>
        <w:tc>
          <w:tcPr>
            <w:tcW w:w="737"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0.05</w:t>
            </w:r>
          </w:p>
        </w:tc>
        <w:tc>
          <w:tcPr>
            <w:tcW w:w="752"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0.05</w:t>
            </w:r>
          </w:p>
        </w:tc>
        <w:tc>
          <w:tcPr>
            <w:tcW w:w="737"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-0.03</w:t>
            </w:r>
          </w:p>
        </w:tc>
        <w:tc>
          <w:tcPr>
            <w:tcW w:w="764"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-0.03</w:t>
            </w:r>
          </w:p>
        </w:tc>
        <w:tc>
          <w:tcPr>
            <w:tcW w:w="737"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-0.03</w:t>
            </w:r>
          </w:p>
        </w:tc>
        <w:tc>
          <w:tcPr>
            <w:tcW w:w="75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1.00</w:t>
            </w:r>
          </w:p>
        </w:tc>
        <w:tc>
          <w:tcPr>
            <w:tcW w:w="737"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c>
          <w:tcPr>
            <w:tcW w:w="870"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r>
      <w:tr w:rsidR="00EC4563" w:rsidRPr="0054628E" w:rsidTr="00AD03AA">
        <w:trPr>
          <w:trHeight w:val="283"/>
          <w:jc w:val="center"/>
        </w:trPr>
        <w:tc>
          <w:tcPr>
            <w:tcW w:w="923" w:type="dxa"/>
            <w:tcBorders>
              <w:top w:val="nil"/>
              <w:left w:val="nil"/>
              <w:bottom w:val="nil"/>
              <w:right w:val="single" w:sz="4" w:space="0" w:color="auto"/>
            </w:tcBorders>
            <w:shd w:val="clear" w:color="auto" w:fill="auto"/>
            <w:vAlign w:val="center"/>
            <w:hideMark/>
          </w:tcPr>
          <w:p w:rsidR="00EC4563" w:rsidRPr="0054628E" w:rsidRDefault="00EC4563" w:rsidP="00AD03AA">
            <w:pPr>
              <w:rPr>
                <w:color w:val="000000"/>
              </w:rPr>
            </w:pPr>
            <w:r w:rsidRPr="0054628E">
              <w:rPr>
                <w:color w:val="000000"/>
              </w:rPr>
              <w:t>PR</w:t>
            </w:r>
          </w:p>
        </w:tc>
        <w:tc>
          <w:tcPr>
            <w:tcW w:w="923"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0.05</w:t>
            </w:r>
          </w:p>
        </w:tc>
        <w:tc>
          <w:tcPr>
            <w:tcW w:w="73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0.11</w:t>
            </w:r>
          </w:p>
        </w:tc>
        <w:tc>
          <w:tcPr>
            <w:tcW w:w="73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0.03</w:t>
            </w:r>
          </w:p>
        </w:tc>
        <w:tc>
          <w:tcPr>
            <w:tcW w:w="737"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0.09</w:t>
            </w:r>
          </w:p>
        </w:tc>
        <w:tc>
          <w:tcPr>
            <w:tcW w:w="752"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0.13</w:t>
            </w:r>
          </w:p>
        </w:tc>
        <w:tc>
          <w:tcPr>
            <w:tcW w:w="737"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-0.04</w:t>
            </w:r>
          </w:p>
        </w:tc>
        <w:tc>
          <w:tcPr>
            <w:tcW w:w="764"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-0.01</w:t>
            </w:r>
          </w:p>
        </w:tc>
        <w:tc>
          <w:tcPr>
            <w:tcW w:w="737"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-0.05</w:t>
            </w:r>
          </w:p>
        </w:tc>
        <w:tc>
          <w:tcPr>
            <w:tcW w:w="75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0.57</w:t>
            </w:r>
          </w:p>
        </w:tc>
        <w:tc>
          <w:tcPr>
            <w:tcW w:w="737"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1.00</w:t>
            </w:r>
          </w:p>
        </w:tc>
        <w:tc>
          <w:tcPr>
            <w:tcW w:w="870" w:type="dxa"/>
            <w:tcBorders>
              <w:top w:val="nil"/>
              <w:left w:val="nil"/>
              <w:bottom w:val="nil"/>
              <w:right w:val="nil"/>
            </w:tcBorders>
            <w:shd w:val="clear" w:color="auto" w:fill="auto"/>
            <w:vAlign w:val="center"/>
            <w:hideMark/>
          </w:tcPr>
          <w:p w:rsidR="00EC4563" w:rsidRPr="0054628E" w:rsidRDefault="00EC4563" w:rsidP="00AD03AA">
            <w:pPr>
              <w:rPr>
                <w:color w:val="000000"/>
              </w:rPr>
            </w:pPr>
          </w:p>
        </w:tc>
      </w:tr>
      <w:tr w:rsidR="00EC4563" w:rsidRPr="0054628E" w:rsidTr="00AD03AA">
        <w:trPr>
          <w:trHeight w:val="283"/>
          <w:jc w:val="center"/>
        </w:trPr>
        <w:tc>
          <w:tcPr>
            <w:tcW w:w="923" w:type="dxa"/>
            <w:tcBorders>
              <w:top w:val="nil"/>
              <w:left w:val="nil"/>
              <w:bottom w:val="nil"/>
              <w:right w:val="single" w:sz="4" w:space="0" w:color="auto"/>
            </w:tcBorders>
            <w:shd w:val="clear" w:color="auto" w:fill="auto"/>
            <w:vAlign w:val="center"/>
            <w:hideMark/>
          </w:tcPr>
          <w:p w:rsidR="00EC4563" w:rsidRPr="0054628E" w:rsidRDefault="00EC4563" w:rsidP="00AD03AA">
            <w:pPr>
              <w:rPr>
                <w:color w:val="000000"/>
              </w:rPr>
            </w:pPr>
            <w:r w:rsidRPr="0054628E">
              <w:rPr>
                <w:color w:val="000000"/>
              </w:rPr>
              <w:t>YEAR</w:t>
            </w:r>
          </w:p>
        </w:tc>
        <w:tc>
          <w:tcPr>
            <w:tcW w:w="923"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0.16</w:t>
            </w:r>
          </w:p>
        </w:tc>
        <w:tc>
          <w:tcPr>
            <w:tcW w:w="73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0.25</w:t>
            </w:r>
          </w:p>
        </w:tc>
        <w:tc>
          <w:tcPr>
            <w:tcW w:w="73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0.02</w:t>
            </w:r>
          </w:p>
        </w:tc>
        <w:tc>
          <w:tcPr>
            <w:tcW w:w="737"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-0.05</w:t>
            </w:r>
          </w:p>
        </w:tc>
        <w:tc>
          <w:tcPr>
            <w:tcW w:w="752"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0.04</w:t>
            </w:r>
          </w:p>
        </w:tc>
        <w:tc>
          <w:tcPr>
            <w:tcW w:w="737"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0.07</w:t>
            </w:r>
          </w:p>
        </w:tc>
        <w:tc>
          <w:tcPr>
            <w:tcW w:w="764"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-0.11</w:t>
            </w:r>
          </w:p>
        </w:tc>
        <w:tc>
          <w:tcPr>
            <w:tcW w:w="737"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0.17</w:t>
            </w:r>
          </w:p>
        </w:tc>
        <w:tc>
          <w:tcPr>
            <w:tcW w:w="756"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0.07</w:t>
            </w:r>
          </w:p>
        </w:tc>
        <w:tc>
          <w:tcPr>
            <w:tcW w:w="737"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0.12</w:t>
            </w:r>
          </w:p>
        </w:tc>
        <w:tc>
          <w:tcPr>
            <w:tcW w:w="870" w:type="dxa"/>
            <w:tcBorders>
              <w:top w:val="nil"/>
              <w:left w:val="nil"/>
              <w:bottom w:val="nil"/>
              <w:right w:val="nil"/>
            </w:tcBorders>
            <w:shd w:val="clear" w:color="auto" w:fill="auto"/>
            <w:vAlign w:val="center"/>
            <w:hideMark/>
          </w:tcPr>
          <w:p w:rsidR="00EC4563" w:rsidRPr="0054628E" w:rsidRDefault="00EC4563" w:rsidP="00AD03AA">
            <w:pPr>
              <w:jc w:val="right"/>
              <w:rPr>
                <w:color w:val="000000"/>
              </w:rPr>
            </w:pPr>
            <w:r w:rsidRPr="0054628E">
              <w:rPr>
                <w:color w:val="000000"/>
              </w:rPr>
              <w:t>1.00</w:t>
            </w:r>
          </w:p>
        </w:tc>
      </w:tr>
    </w:tbl>
    <w:p w:rsidR="00EC4563" w:rsidRDefault="00EC4563" w:rsidP="00EC4563">
      <w:pPr>
        <w:pStyle w:val="Style1"/>
        <w:spacing w:line="360" w:lineRule="auto"/>
        <w:jc w:val="center"/>
        <w:rPr>
          <w:b w:val="0"/>
        </w:rPr>
      </w:pPr>
      <w:r w:rsidRPr="00730468">
        <w:rPr>
          <w:b w:val="0"/>
        </w:rPr>
        <w:t xml:space="preserve">Table </w:t>
      </w:r>
      <w:r w:rsidR="00C62440">
        <w:rPr>
          <w:b w:val="0"/>
        </w:rPr>
        <w:t>2</w:t>
      </w:r>
      <w:r w:rsidRPr="00730468">
        <w:rPr>
          <w:b w:val="0"/>
        </w:rPr>
        <w:t>. Correlation matrix of variables.</w:t>
      </w:r>
    </w:p>
    <w:p w:rsidR="00EC4563" w:rsidRDefault="00EC4563" w:rsidP="00EC4563">
      <w:pPr>
        <w:pStyle w:val="Style1"/>
        <w:spacing w:line="360" w:lineRule="auto"/>
        <w:jc w:val="both"/>
        <w:rPr>
          <w:b w:val="0"/>
          <w:noProof/>
        </w:rPr>
      </w:pPr>
      <w:r w:rsidRPr="00730468">
        <w:rPr>
          <w:b w:val="0"/>
        </w:rPr>
        <w:t xml:space="preserve">The review of bivariate correlation values indicates that multicollinearity is not a concern since </w:t>
      </w:r>
      <w:r w:rsidRPr="00730468">
        <w:rPr>
          <w:b w:val="0"/>
          <w:noProof/>
        </w:rPr>
        <w:t>all correlations between the independent variables are lower than 0.</w:t>
      </w:r>
      <w:r w:rsidRPr="00730468">
        <w:rPr>
          <w:b w:val="0"/>
        </w:rPr>
        <w:t xml:space="preserve">7. Therefore, all variables are kept in the model for the analysis. </w:t>
      </w:r>
      <w:r w:rsidRPr="00EC4563">
        <w:rPr>
          <w:b w:val="0"/>
        </w:rPr>
        <w:t xml:space="preserve">Following from that, </w:t>
      </w:r>
      <w:r w:rsidR="00B559FC" w:rsidRPr="00B559FC">
        <w:rPr>
          <w:b w:val="0"/>
          <w:noProof/>
        </w:rPr>
        <w:t>the outliner check is reported as follow:</w:t>
      </w:r>
    </w:p>
    <w:p w:rsidR="00B559FC" w:rsidRDefault="00B559FC" w:rsidP="00EC4563">
      <w:pPr>
        <w:pStyle w:val="Style1"/>
        <w:spacing w:line="360" w:lineRule="auto"/>
        <w:jc w:val="both"/>
        <w:rPr>
          <w:b w:val="0"/>
          <w:noProof/>
        </w:rPr>
      </w:pPr>
    </w:p>
    <w:tbl>
      <w:tblPr>
        <w:tblStyle w:val="TableGrid1"/>
        <w:tblW w:w="8109" w:type="dxa"/>
        <w:jc w:val="center"/>
        <w:tblLook w:val="04A0" w:firstRow="1" w:lastRow="0" w:firstColumn="1" w:lastColumn="0" w:noHBand="0" w:noVBand="1"/>
      </w:tblPr>
      <w:tblGrid>
        <w:gridCol w:w="1487"/>
        <w:gridCol w:w="1760"/>
        <w:gridCol w:w="2035"/>
        <w:gridCol w:w="2827"/>
      </w:tblGrid>
      <w:tr w:rsidR="00B559FC" w:rsidRPr="003837FA" w:rsidTr="00705E75">
        <w:trPr>
          <w:trHeight w:val="72"/>
          <w:jc w:val="center"/>
        </w:trPr>
        <w:tc>
          <w:tcPr>
            <w:tcW w:w="0" w:type="auto"/>
          </w:tcPr>
          <w:p w:rsidR="00B559FC" w:rsidRPr="003837FA" w:rsidRDefault="00B559FC" w:rsidP="00705E75"/>
        </w:tc>
        <w:tc>
          <w:tcPr>
            <w:tcW w:w="1760" w:type="dxa"/>
            <w:hideMark/>
          </w:tcPr>
          <w:p w:rsidR="00B559FC" w:rsidRPr="003837FA" w:rsidRDefault="00B559FC" w:rsidP="00705E75">
            <w:r w:rsidRPr="003837FA">
              <w:t xml:space="preserve">NUM </w:t>
            </w:r>
          </w:p>
        </w:tc>
        <w:tc>
          <w:tcPr>
            <w:tcW w:w="0" w:type="auto"/>
          </w:tcPr>
          <w:p w:rsidR="00B559FC" w:rsidRDefault="00B559FC" w:rsidP="00705E75">
            <w:r>
              <w:t>YEAR</w:t>
            </w:r>
          </w:p>
        </w:tc>
        <w:tc>
          <w:tcPr>
            <w:tcW w:w="2827" w:type="dxa"/>
            <w:vAlign w:val="center"/>
          </w:tcPr>
          <w:p w:rsidR="00B559FC" w:rsidRDefault="00B559FC" w:rsidP="00705E75">
            <w:r>
              <w:t>COUNTRY</w:t>
            </w:r>
          </w:p>
        </w:tc>
      </w:tr>
      <w:tr w:rsidR="00B559FC" w:rsidRPr="003837FA" w:rsidTr="00705E75">
        <w:trPr>
          <w:trHeight w:val="72"/>
          <w:jc w:val="center"/>
        </w:trPr>
        <w:tc>
          <w:tcPr>
            <w:tcW w:w="0" w:type="auto"/>
            <w:hideMark/>
          </w:tcPr>
          <w:p w:rsidR="00B559FC" w:rsidRPr="003837FA" w:rsidRDefault="00B559FC" w:rsidP="00705E75">
            <w:r w:rsidRPr="003837FA">
              <w:t>1.</w:t>
            </w:r>
          </w:p>
        </w:tc>
        <w:tc>
          <w:tcPr>
            <w:tcW w:w="0" w:type="auto"/>
            <w:hideMark/>
          </w:tcPr>
          <w:p w:rsidR="00B559FC" w:rsidRPr="003837FA" w:rsidRDefault="00B559FC" w:rsidP="00705E75">
            <w:r w:rsidRPr="003837FA">
              <w:t xml:space="preserve">542 </w:t>
            </w:r>
          </w:p>
        </w:tc>
        <w:tc>
          <w:tcPr>
            <w:tcW w:w="0" w:type="auto"/>
          </w:tcPr>
          <w:p w:rsidR="00B559FC" w:rsidRDefault="00B559FC" w:rsidP="00705E75">
            <w:r w:rsidRPr="00450EC0">
              <w:t xml:space="preserve"> 2011    </w:t>
            </w:r>
          </w:p>
        </w:tc>
        <w:tc>
          <w:tcPr>
            <w:tcW w:w="2827" w:type="dxa"/>
          </w:tcPr>
          <w:p w:rsidR="00B559FC" w:rsidRDefault="00B559FC" w:rsidP="00705E75">
            <w:r w:rsidRPr="00450EC0">
              <w:t xml:space="preserve">United States </w:t>
            </w:r>
          </w:p>
        </w:tc>
      </w:tr>
      <w:tr w:rsidR="00B559FC" w:rsidRPr="003837FA" w:rsidTr="00705E75">
        <w:trPr>
          <w:trHeight w:val="72"/>
          <w:jc w:val="center"/>
        </w:trPr>
        <w:tc>
          <w:tcPr>
            <w:tcW w:w="0" w:type="auto"/>
            <w:hideMark/>
          </w:tcPr>
          <w:p w:rsidR="00B559FC" w:rsidRPr="003837FA" w:rsidRDefault="00B559FC" w:rsidP="00705E75">
            <w:r w:rsidRPr="003837FA">
              <w:t>2.</w:t>
            </w:r>
          </w:p>
        </w:tc>
        <w:tc>
          <w:tcPr>
            <w:tcW w:w="0" w:type="auto"/>
            <w:hideMark/>
          </w:tcPr>
          <w:p w:rsidR="00B559FC" w:rsidRPr="003837FA" w:rsidRDefault="00B559FC" w:rsidP="00705E75">
            <w:r w:rsidRPr="003837FA">
              <w:t xml:space="preserve">390 </w:t>
            </w:r>
          </w:p>
        </w:tc>
        <w:tc>
          <w:tcPr>
            <w:tcW w:w="0" w:type="auto"/>
          </w:tcPr>
          <w:p w:rsidR="00B559FC" w:rsidRDefault="00B559FC" w:rsidP="00705E75">
            <w:r>
              <w:t>2008</w:t>
            </w:r>
          </w:p>
        </w:tc>
        <w:tc>
          <w:tcPr>
            <w:tcW w:w="2827" w:type="dxa"/>
            <w:vAlign w:val="center"/>
          </w:tcPr>
          <w:p w:rsidR="00B559FC" w:rsidRDefault="00B559FC" w:rsidP="00705E75">
            <w:r w:rsidRPr="00450EC0">
              <w:t>United States</w:t>
            </w:r>
          </w:p>
        </w:tc>
      </w:tr>
      <w:tr w:rsidR="00B559FC" w:rsidRPr="003837FA" w:rsidTr="00705E75">
        <w:trPr>
          <w:trHeight w:val="72"/>
          <w:jc w:val="center"/>
        </w:trPr>
        <w:tc>
          <w:tcPr>
            <w:tcW w:w="0" w:type="auto"/>
            <w:hideMark/>
          </w:tcPr>
          <w:p w:rsidR="00B559FC" w:rsidRPr="003837FA" w:rsidRDefault="00B559FC" w:rsidP="00705E75">
            <w:r w:rsidRPr="003837FA">
              <w:t>3.</w:t>
            </w:r>
          </w:p>
        </w:tc>
        <w:tc>
          <w:tcPr>
            <w:tcW w:w="0" w:type="auto"/>
            <w:hideMark/>
          </w:tcPr>
          <w:p w:rsidR="00B559FC" w:rsidRPr="003837FA" w:rsidRDefault="00B559FC" w:rsidP="00705E75">
            <w:r w:rsidRPr="003837FA">
              <w:t xml:space="preserve">562 </w:t>
            </w:r>
          </w:p>
        </w:tc>
        <w:tc>
          <w:tcPr>
            <w:tcW w:w="0" w:type="auto"/>
          </w:tcPr>
          <w:p w:rsidR="00B559FC" w:rsidRDefault="00B559FC" w:rsidP="00705E75">
            <w:r>
              <w:t>2012</w:t>
            </w:r>
          </w:p>
        </w:tc>
        <w:tc>
          <w:tcPr>
            <w:tcW w:w="2827" w:type="dxa"/>
            <w:vAlign w:val="center"/>
          </w:tcPr>
          <w:p w:rsidR="00B559FC" w:rsidRDefault="00B559FC" w:rsidP="00705E75">
            <w:r>
              <w:t>Germany</w:t>
            </w:r>
          </w:p>
        </w:tc>
      </w:tr>
      <w:tr w:rsidR="00B559FC" w:rsidRPr="003837FA" w:rsidTr="00705E75">
        <w:trPr>
          <w:trHeight w:val="72"/>
          <w:jc w:val="center"/>
        </w:trPr>
        <w:tc>
          <w:tcPr>
            <w:tcW w:w="0" w:type="auto"/>
            <w:hideMark/>
          </w:tcPr>
          <w:p w:rsidR="00B559FC" w:rsidRPr="003837FA" w:rsidRDefault="00B559FC" w:rsidP="00705E75">
            <w:r w:rsidRPr="003837FA">
              <w:t>4.</w:t>
            </w:r>
          </w:p>
        </w:tc>
        <w:tc>
          <w:tcPr>
            <w:tcW w:w="0" w:type="auto"/>
            <w:hideMark/>
          </w:tcPr>
          <w:p w:rsidR="00B559FC" w:rsidRPr="003837FA" w:rsidRDefault="00B559FC" w:rsidP="00705E75">
            <w:r w:rsidRPr="003837FA">
              <w:t xml:space="preserve">561 </w:t>
            </w:r>
          </w:p>
        </w:tc>
        <w:tc>
          <w:tcPr>
            <w:tcW w:w="0" w:type="auto"/>
          </w:tcPr>
          <w:p w:rsidR="00B559FC" w:rsidRDefault="00B559FC" w:rsidP="00705E75">
            <w:r>
              <w:t>2012</w:t>
            </w:r>
          </w:p>
        </w:tc>
        <w:tc>
          <w:tcPr>
            <w:tcW w:w="2827" w:type="dxa"/>
            <w:vAlign w:val="center"/>
          </w:tcPr>
          <w:p w:rsidR="00B559FC" w:rsidRDefault="00B559FC" w:rsidP="00705E75">
            <w:r>
              <w:t>France</w:t>
            </w:r>
          </w:p>
        </w:tc>
      </w:tr>
      <w:tr w:rsidR="00B559FC" w:rsidRPr="003837FA" w:rsidTr="00705E75">
        <w:trPr>
          <w:trHeight w:val="72"/>
          <w:jc w:val="center"/>
        </w:trPr>
        <w:tc>
          <w:tcPr>
            <w:tcW w:w="0" w:type="auto"/>
            <w:hideMark/>
          </w:tcPr>
          <w:p w:rsidR="00B559FC" w:rsidRPr="003837FA" w:rsidRDefault="00B559FC" w:rsidP="00705E75">
            <w:r w:rsidRPr="003837FA">
              <w:t>5.</w:t>
            </w:r>
          </w:p>
        </w:tc>
        <w:tc>
          <w:tcPr>
            <w:tcW w:w="0" w:type="auto"/>
            <w:hideMark/>
          </w:tcPr>
          <w:p w:rsidR="00B559FC" w:rsidRPr="003837FA" w:rsidRDefault="00B559FC" w:rsidP="00705E75">
            <w:r w:rsidRPr="003837FA">
              <w:t xml:space="preserve">711 </w:t>
            </w:r>
          </w:p>
        </w:tc>
        <w:tc>
          <w:tcPr>
            <w:tcW w:w="0" w:type="auto"/>
          </w:tcPr>
          <w:p w:rsidR="00B559FC" w:rsidRDefault="00B559FC" w:rsidP="00705E75">
            <w:r>
              <w:t>2015</w:t>
            </w:r>
          </w:p>
        </w:tc>
        <w:tc>
          <w:tcPr>
            <w:tcW w:w="2827" w:type="dxa"/>
            <w:vAlign w:val="center"/>
          </w:tcPr>
          <w:p w:rsidR="00B559FC" w:rsidRDefault="00B559FC" w:rsidP="00705E75">
            <w:r>
              <w:t xml:space="preserve">Germany </w:t>
            </w:r>
          </w:p>
        </w:tc>
      </w:tr>
      <w:tr w:rsidR="00B559FC" w:rsidRPr="003837FA" w:rsidTr="00705E75">
        <w:trPr>
          <w:trHeight w:val="72"/>
          <w:jc w:val="center"/>
        </w:trPr>
        <w:tc>
          <w:tcPr>
            <w:tcW w:w="0" w:type="auto"/>
            <w:hideMark/>
          </w:tcPr>
          <w:p w:rsidR="00B559FC" w:rsidRPr="003837FA" w:rsidRDefault="00B559FC" w:rsidP="00705E75">
            <w:r w:rsidRPr="003837FA">
              <w:t>6.</w:t>
            </w:r>
          </w:p>
        </w:tc>
        <w:tc>
          <w:tcPr>
            <w:tcW w:w="0" w:type="auto"/>
            <w:hideMark/>
          </w:tcPr>
          <w:p w:rsidR="00B559FC" w:rsidRPr="003837FA" w:rsidRDefault="00B559FC" w:rsidP="00705E75">
            <w:r w:rsidRPr="003837FA">
              <w:t xml:space="preserve">731 </w:t>
            </w:r>
          </w:p>
        </w:tc>
        <w:tc>
          <w:tcPr>
            <w:tcW w:w="0" w:type="auto"/>
          </w:tcPr>
          <w:p w:rsidR="00B559FC" w:rsidRDefault="00B559FC" w:rsidP="00705E75">
            <w:r>
              <w:t>2015</w:t>
            </w:r>
          </w:p>
        </w:tc>
        <w:tc>
          <w:tcPr>
            <w:tcW w:w="2827" w:type="dxa"/>
            <w:vAlign w:val="center"/>
          </w:tcPr>
          <w:p w:rsidR="00B559FC" w:rsidRDefault="00B559FC" w:rsidP="00705E75">
            <w:r>
              <w:t>Switzerland</w:t>
            </w:r>
          </w:p>
        </w:tc>
      </w:tr>
      <w:tr w:rsidR="00B559FC" w:rsidRPr="003837FA" w:rsidTr="00705E75">
        <w:trPr>
          <w:trHeight w:val="72"/>
          <w:jc w:val="center"/>
        </w:trPr>
        <w:tc>
          <w:tcPr>
            <w:tcW w:w="0" w:type="auto"/>
            <w:hideMark/>
          </w:tcPr>
          <w:p w:rsidR="00B559FC" w:rsidRPr="003837FA" w:rsidRDefault="00B559FC" w:rsidP="00705E75">
            <w:r w:rsidRPr="003837FA">
              <w:t>7.</w:t>
            </w:r>
          </w:p>
        </w:tc>
        <w:tc>
          <w:tcPr>
            <w:tcW w:w="0" w:type="auto"/>
            <w:hideMark/>
          </w:tcPr>
          <w:p w:rsidR="00B559FC" w:rsidRPr="003837FA" w:rsidRDefault="00B559FC" w:rsidP="00705E75">
            <w:r w:rsidRPr="003837FA">
              <w:t xml:space="preserve">316 </w:t>
            </w:r>
          </w:p>
        </w:tc>
        <w:tc>
          <w:tcPr>
            <w:tcW w:w="0" w:type="auto"/>
          </w:tcPr>
          <w:p w:rsidR="00B559FC" w:rsidRDefault="00B559FC" w:rsidP="00705E75">
            <w:r>
              <w:t>2007</w:t>
            </w:r>
          </w:p>
        </w:tc>
        <w:tc>
          <w:tcPr>
            <w:tcW w:w="2827" w:type="dxa"/>
            <w:vAlign w:val="center"/>
          </w:tcPr>
          <w:p w:rsidR="00B559FC" w:rsidRDefault="00B559FC" w:rsidP="00705E75">
            <w:r>
              <w:t>United States</w:t>
            </w:r>
          </w:p>
        </w:tc>
      </w:tr>
      <w:tr w:rsidR="00B559FC" w:rsidRPr="003837FA" w:rsidTr="00705E75">
        <w:trPr>
          <w:trHeight w:val="72"/>
          <w:jc w:val="center"/>
        </w:trPr>
        <w:tc>
          <w:tcPr>
            <w:tcW w:w="0" w:type="auto"/>
            <w:hideMark/>
          </w:tcPr>
          <w:p w:rsidR="00B559FC" w:rsidRPr="003837FA" w:rsidRDefault="00B559FC" w:rsidP="00705E75">
            <w:r w:rsidRPr="003837FA">
              <w:t>8.</w:t>
            </w:r>
          </w:p>
        </w:tc>
        <w:tc>
          <w:tcPr>
            <w:tcW w:w="0" w:type="auto"/>
            <w:hideMark/>
          </w:tcPr>
          <w:p w:rsidR="00B559FC" w:rsidRPr="003837FA" w:rsidRDefault="00B559FC" w:rsidP="00705E75">
            <w:r w:rsidRPr="003837FA">
              <w:t xml:space="preserve">634 </w:t>
            </w:r>
          </w:p>
        </w:tc>
        <w:tc>
          <w:tcPr>
            <w:tcW w:w="0" w:type="auto"/>
          </w:tcPr>
          <w:p w:rsidR="00B559FC" w:rsidRDefault="00B559FC" w:rsidP="00705E75">
            <w:r>
              <w:t>2013</w:t>
            </w:r>
          </w:p>
        </w:tc>
        <w:tc>
          <w:tcPr>
            <w:tcW w:w="2827" w:type="dxa"/>
            <w:vAlign w:val="center"/>
          </w:tcPr>
          <w:p w:rsidR="00B559FC" w:rsidRDefault="00B559FC" w:rsidP="00705E75">
            <w:r>
              <w:t>United States</w:t>
            </w:r>
          </w:p>
        </w:tc>
      </w:tr>
      <w:tr w:rsidR="00B559FC" w:rsidRPr="003837FA" w:rsidTr="00705E75">
        <w:trPr>
          <w:trHeight w:val="72"/>
          <w:jc w:val="center"/>
        </w:trPr>
        <w:tc>
          <w:tcPr>
            <w:tcW w:w="0" w:type="auto"/>
            <w:hideMark/>
          </w:tcPr>
          <w:p w:rsidR="00B559FC" w:rsidRPr="003837FA" w:rsidRDefault="00B559FC" w:rsidP="00705E75">
            <w:r w:rsidRPr="003837FA">
              <w:t>9.</w:t>
            </w:r>
          </w:p>
        </w:tc>
        <w:tc>
          <w:tcPr>
            <w:tcW w:w="0" w:type="auto"/>
            <w:hideMark/>
          </w:tcPr>
          <w:p w:rsidR="00B559FC" w:rsidRPr="003837FA" w:rsidRDefault="00B559FC" w:rsidP="00705E75">
            <w:r w:rsidRPr="003837FA">
              <w:t xml:space="preserve">531 </w:t>
            </w:r>
          </w:p>
        </w:tc>
        <w:tc>
          <w:tcPr>
            <w:tcW w:w="0" w:type="auto"/>
          </w:tcPr>
          <w:p w:rsidR="00B559FC" w:rsidRDefault="00B559FC" w:rsidP="00705E75">
            <w:r>
              <w:t>2011</w:t>
            </w:r>
          </w:p>
        </w:tc>
        <w:tc>
          <w:tcPr>
            <w:tcW w:w="2827" w:type="dxa"/>
            <w:vAlign w:val="center"/>
          </w:tcPr>
          <w:p w:rsidR="00B559FC" w:rsidRDefault="00B559FC" w:rsidP="00705E75">
            <w:r>
              <w:t>United Kingdom</w:t>
            </w:r>
          </w:p>
        </w:tc>
      </w:tr>
      <w:tr w:rsidR="00B559FC" w:rsidRPr="003837FA" w:rsidTr="00705E75">
        <w:trPr>
          <w:trHeight w:val="72"/>
          <w:jc w:val="center"/>
        </w:trPr>
        <w:tc>
          <w:tcPr>
            <w:tcW w:w="0" w:type="auto"/>
            <w:hideMark/>
          </w:tcPr>
          <w:p w:rsidR="00B559FC" w:rsidRPr="003837FA" w:rsidRDefault="00B559FC" w:rsidP="00705E75">
            <w:r w:rsidRPr="003837FA">
              <w:t>10.</w:t>
            </w:r>
          </w:p>
        </w:tc>
        <w:tc>
          <w:tcPr>
            <w:tcW w:w="0" w:type="auto"/>
            <w:hideMark/>
          </w:tcPr>
          <w:p w:rsidR="00B559FC" w:rsidRPr="003837FA" w:rsidRDefault="00B559FC" w:rsidP="00705E75">
            <w:r w:rsidRPr="003837FA">
              <w:t xml:space="preserve">701 </w:t>
            </w:r>
          </w:p>
        </w:tc>
        <w:tc>
          <w:tcPr>
            <w:tcW w:w="0" w:type="auto"/>
          </w:tcPr>
          <w:p w:rsidR="00B559FC" w:rsidRDefault="00B559FC" w:rsidP="00705E75">
            <w:r>
              <w:t>2015</w:t>
            </w:r>
          </w:p>
        </w:tc>
        <w:tc>
          <w:tcPr>
            <w:tcW w:w="2827" w:type="dxa"/>
            <w:vAlign w:val="center"/>
          </w:tcPr>
          <w:p w:rsidR="00B559FC" w:rsidRDefault="00B559FC" w:rsidP="00705E75">
            <w:r>
              <w:t>Australia</w:t>
            </w:r>
          </w:p>
        </w:tc>
      </w:tr>
      <w:tr w:rsidR="00B559FC" w:rsidRPr="003837FA" w:rsidTr="00705E75">
        <w:trPr>
          <w:trHeight w:val="72"/>
          <w:jc w:val="center"/>
        </w:trPr>
        <w:tc>
          <w:tcPr>
            <w:tcW w:w="0" w:type="auto"/>
            <w:hideMark/>
          </w:tcPr>
          <w:p w:rsidR="00B559FC" w:rsidRPr="003837FA" w:rsidRDefault="00B559FC" w:rsidP="00705E75">
            <w:r w:rsidRPr="003837FA">
              <w:t>11.</w:t>
            </w:r>
          </w:p>
        </w:tc>
        <w:tc>
          <w:tcPr>
            <w:tcW w:w="0" w:type="auto"/>
            <w:hideMark/>
          </w:tcPr>
          <w:p w:rsidR="00B559FC" w:rsidRPr="003837FA" w:rsidRDefault="00B559FC" w:rsidP="00705E75">
            <w:r w:rsidRPr="003837FA">
              <w:t xml:space="preserve">62 </w:t>
            </w:r>
          </w:p>
        </w:tc>
        <w:tc>
          <w:tcPr>
            <w:tcW w:w="0" w:type="auto"/>
          </w:tcPr>
          <w:p w:rsidR="00B559FC" w:rsidRDefault="00B559FC" w:rsidP="00705E75">
            <w:r>
              <w:t>2003</w:t>
            </w:r>
          </w:p>
        </w:tc>
        <w:tc>
          <w:tcPr>
            <w:tcW w:w="2827" w:type="dxa"/>
            <w:vAlign w:val="center"/>
          </w:tcPr>
          <w:p w:rsidR="00B559FC" w:rsidRDefault="00B559FC" w:rsidP="00705E75">
            <w:r>
              <w:t>Germany</w:t>
            </w:r>
          </w:p>
        </w:tc>
      </w:tr>
      <w:tr w:rsidR="00B559FC" w:rsidRPr="003837FA" w:rsidTr="00705E75">
        <w:trPr>
          <w:trHeight w:val="72"/>
          <w:jc w:val="center"/>
        </w:trPr>
        <w:tc>
          <w:tcPr>
            <w:tcW w:w="0" w:type="auto"/>
            <w:hideMark/>
          </w:tcPr>
          <w:p w:rsidR="00B559FC" w:rsidRPr="003837FA" w:rsidRDefault="00B559FC" w:rsidP="00705E75">
            <w:r w:rsidRPr="003837FA">
              <w:t>12.</w:t>
            </w:r>
          </w:p>
        </w:tc>
        <w:tc>
          <w:tcPr>
            <w:tcW w:w="0" w:type="auto"/>
            <w:hideMark/>
          </w:tcPr>
          <w:p w:rsidR="00B559FC" w:rsidRPr="003837FA" w:rsidRDefault="00B559FC" w:rsidP="00705E75">
            <w:r w:rsidRPr="003837FA">
              <w:t xml:space="preserve">482 </w:t>
            </w:r>
          </w:p>
        </w:tc>
        <w:tc>
          <w:tcPr>
            <w:tcW w:w="0" w:type="auto"/>
          </w:tcPr>
          <w:p w:rsidR="00B559FC" w:rsidRDefault="00B559FC" w:rsidP="00705E75">
            <w:r>
              <w:t>2010</w:t>
            </w:r>
          </w:p>
        </w:tc>
        <w:tc>
          <w:tcPr>
            <w:tcW w:w="2827" w:type="dxa"/>
            <w:vAlign w:val="center"/>
          </w:tcPr>
          <w:p w:rsidR="00B559FC" w:rsidRDefault="00B559FC" w:rsidP="00705E75">
            <w:r>
              <w:t xml:space="preserve">United Kingdom </w:t>
            </w:r>
          </w:p>
        </w:tc>
      </w:tr>
      <w:tr w:rsidR="00B559FC" w:rsidRPr="003837FA" w:rsidTr="00705E75">
        <w:trPr>
          <w:trHeight w:val="72"/>
          <w:jc w:val="center"/>
        </w:trPr>
        <w:tc>
          <w:tcPr>
            <w:tcW w:w="0" w:type="auto"/>
            <w:hideMark/>
          </w:tcPr>
          <w:p w:rsidR="00B559FC" w:rsidRPr="003837FA" w:rsidRDefault="00B559FC" w:rsidP="00705E75">
            <w:r w:rsidRPr="003837FA">
              <w:t>13.</w:t>
            </w:r>
          </w:p>
        </w:tc>
        <w:tc>
          <w:tcPr>
            <w:tcW w:w="0" w:type="auto"/>
            <w:hideMark/>
          </w:tcPr>
          <w:p w:rsidR="00B559FC" w:rsidRPr="003837FA" w:rsidRDefault="00B559FC" w:rsidP="00705E75">
            <w:r w:rsidRPr="003837FA">
              <w:t xml:space="preserve">275 </w:t>
            </w:r>
          </w:p>
        </w:tc>
        <w:tc>
          <w:tcPr>
            <w:tcW w:w="0" w:type="auto"/>
          </w:tcPr>
          <w:p w:rsidR="00B559FC" w:rsidRDefault="00B559FC" w:rsidP="00705E75">
            <w:r>
              <w:t>2007</w:t>
            </w:r>
          </w:p>
        </w:tc>
        <w:tc>
          <w:tcPr>
            <w:tcW w:w="2827" w:type="dxa"/>
            <w:vAlign w:val="center"/>
          </w:tcPr>
          <w:p w:rsidR="00B559FC" w:rsidRDefault="00B559FC" w:rsidP="00705E75">
            <w:r>
              <w:t>Canada</w:t>
            </w:r>
          </w:p>
        </w:tc>
      </w:tr>
      <w:tr w:rsidR="00B559FC" w:rsidRPr="003837FA" w:rsidTr="00705E75">
        <w:trPr>
          <w:trHeight w:val="72"/>
          <w:jc w:val="center"/>
        </w:trPr>
        <w:tc>
          <w:tcPr>
            <w:tcW w:w="0" w:type="auto"/>
            <w:hideMark/>
          </w:tcPr>
          <w:p w:rsidR="00B559FC" w:rsidRPr="003837FA" w:rsidRDefault="00B559FC" w:rsidP="00705E75">
            <w:r w:rsidRPr="003837FA">
              <w:t>14.</w:t>
            </w:r>
          </w:p>
        </w:tc>
        <w:tc>
          <w:tcPr>
            <w:tcW w:w="0" w:type="auto"/>
            <w:hideMark/>
          </w:tcPr>
          <w:p w:rsidR="00B559FC" w:rsidRPr="003837FA" w:rsidRDefault="00B559FC" w:rsidP="00705E75">
            <w:r w:rsidRPr="003837FA">
              <w:t xml:space="preserve">625 </w:t>
            </w:r>
          </w:p>
        </w:tc>
        <w:tc>
          <w:tcPr>
            <w:tcW w:w="0" w:type="auto"/>
          </w:tcPr>
          <w:p w:rsidR="00B559FC" w:rsidRDefault="00B559FC" w:rsidP="00705E75">
            <w:r>
              <w:t>2013</w:t>
            </w:r>
          </w:p>
        </w:tc>
        <w:tc>
          <w:tcPr>
            <w:tcW w:w="2827" w:type="dxa"/>
            <w:vAlign w:val="center"/>
          </w:tcPr>
          <w:p w:rsidR="00B559FC" w:rsidRDefault="00B559FC" w:rsidP="00705E75">
            <w:r>
              <w:t>Switzerland</w:t>
            </w:r>
          </w:p>
        </w:tc>
      </w:tr>
      <w:tr w:rsidR="00B559FC" w:rsidRPr="003837FA" w:rsidTr="00705E75">
        <w:trPr>
          <w:trHeight w:val="72"/>
          <w:jc w:val="center"/>
        </w:trPr>
        <w:tc>
          <w:tcPr>
            <w:tcW w:w="0" w:type="auto"/>
            <w:hideMark/>
          </w:tcPr>
          <w:p w:rsidR="00B559FC" w:rsidRPr="003837FA" w:rsidRDefault="00B559FC" w:rsidP="00705E75">
            <w:r w:rsidRPr="003837FA">
              <w:t>15.</w:t>
            </w:r>
          </w:p>
        </w:tc>
        <w:tc>
          <w:tcPr>
            <w:tcW w:w="0" w:type="auto"/>
            <w:hideMark/>
          </w:tcPr>
          <w:p w:rsidR="00B559FC" w:rsidRPr="003837FA" w:rsidRDefault="00B559FC" w:rsidP="00705E75">
            <w:r w:rsidRPr="003837FA">
              <w:t xml:space="preserve">576 </w:t>
            </w:r>
          </w:p>
        </w:tc>
        <w:tc>
          <w:tcPr>
            <w:tcW w:w="0" w:type="auto"/>
          </w:tcPr>
          <w:p w:rsidR="00B559FC" w:rsidRDefault="00B559FC" w:rsidP="00705E75">
            <w:r>
              <w:t>2012</w:t>
            </w:r>
          </w:p>
        </w:tc>
        <w:tc>
          <w:tcPr>
            <w:tcW w:w="2827" w:type="dxa"/>
            <w:vAlign w:val="center"/>
          </w:tcPr>
          <w:p w:rsidR="00B559FC" w:rsidRDefault="00B559FC" w:rsidP="00705E75">
            <w:r>
              <w:t>United Kingdom</w:t>
            </w:r>
          </w:p>
        </w:tc>
      </w:tr>
      <w:tr w:rsidR="00B559FC" w:rsidRPr="003837FA" w:rsidTr="00705E75">
        <w:trPr>
          <w:trHeight w:val="72"/>
          <w:jc w:val="center"/>
        </w:trPr>
        <w:tc>
          <w:tcPr>
            <w:tcW w:w="0" w:type="auto"/>
            <w:hideMark/>
          </w:tcPr>
          <w:p w:rsidR="00B559FC" w:rsidRPr="003837FA" w:rsidRDefault="00B559FC" w:rsidP="00705E75">
            <w:r w:rsidRPr="003837FA">
              <w:t>16.</w:t>
            </w:r>
          </w:p>
        </w:tc>
        <w:tc>
          <w:tcPr>
            <w:tcW w:w="0" w:type="auto"/>
            <w:hideMark/>
          </w:tcPr>
          <w:p w:rsidR="00B559FC" w:rsidRPr="003837FA" w:rsidRDefault="00B559FC" w:rsidP="00705E75">
            <w:r w:rsidRPr="003837FA">
              <w:t xml:space="preserve">368 </w:t>
            </w:r>
          </w:p>
        </w:tc>
        <w:tc>
          <w:tcPr>
            <w:tcW w:w="0" w:type="auto"/>
          </w:tcPr>
          <w:p w:rsidR="00B559FC" w:rsidRDefault="00B559FC" w:rsidP="00705E75">
            <w:r>
              <w:t>2008</w:t>
            </w:r>
          </w:p>
        </w:tc>
        <w:tc>
          <w:tcPr>
            <w:tcW w:w="2827" w:type="dxa"/>
            <w:vAlign w:val="center"/>
          </w:tcPr>
          <w:p w:rsidR="00B559FC" w:rsidRDefault="00B559FC" w:rsidP="00705E75">
            <w:r>
              <w:t>Japan</w:t>
            </w:r>
          </w:p>
        </w:tc>
      </w:tr>
      <w:tr w:rsidR="00B559FC" w:rsidRPr="003837FA" w:rsidTr="00705E75">
        <w:trPr>
          <w:trHeight w:val="72"/>
          <w:jc w:val="center"/>
        </w:trPr>
        <w:tc>
          <w:tcPr>
            <w:tcW w:w="0" w:type="auto"/>
            <w:hideMark/>
          </w:tcPr>
          <w:p w:rsidR="00B559FC" w:rsidRPr="003837FA" w:rsidRDefault="00B559FC" w:rsidP="00705E75">
            <w:r w:rsidRPr="003837FA">
              <w:t>17.</w:t>
            </w:r>
          </w:p>
        </w:tc>
        <w:tc>
          <w:tcPr>
            <w:tcW w:w="0" w:type="auto"/>
            <w:hideMark/>
          </w:tcPr>
          <w:p w:rsidR="00B559FC" w:rsidRPr="003837FA" w:rsidRDefault="00B559FC" w:rsidP="00705E75">
            <w:r w:rsidRPr="003837FA">
              <w:t xml:space="preserve">363 </w:t>
            </w:r>
          </w:p>
        </w:tc>
        <w:tc>
          <w:tcPr>
            <w:tcW w:w="0" w:type="auto"/>
          </w:tcPr>
          <w:p w:rsidR="00B559FC" w:rsidRDefault="00B559FC" w:rsidP="00705E75">
            <w:r>
              <w:t>2008</w:t>
            </w:r>
          </w:p>
        </w:tc>
        <w:tc>
          <w:tcPr>
            <w:tcW w:w="2827" w:type="dxa"/>
            <w:vAlign w:val="center"/>
          </w:tcPr>
          <w:p w:rsidR="00B559FC" w:rsidRDefault="00B559FC" w:rsidP="00705E75">
            <w:r>
              <w:t>Japan</w:t>
            </w:r>
          </w:p>
        </w:tc>
      </w:tr>
      <w:tr w:rsidR="00B559FC" w:rsidRPr="003837FA" w:rsidTr="00705E75">
        <w:trPr>
          <w:trHeight w:val="72"/>
          <w:jc w:val="center"/>
        </w:trPr>
        <w:tc>
          <w:tcPr>
            <w:tcW w:w="0" w:type="auto"/>
            <w:hideMark/>
          </w:tcPr>
          <w:p w:rsidR="00B559FC" w:rsidRPr="003837FA" w:rsidRDefault="00B559FC" w:rsidP="00705E75">
            <w:r w:rsidRPr="003837FA">
              <w:t>18.</w:t>
            </w:r>
          </w:p>
        </w:tc>
        <w:tc>
          <w:tcPr>
            <w:tcW w:w="0" w:type="auto"/>
            <w:hideMark/>
          </w:tcPr>
          <w:p w:rsidR="00B559FC" w:rsidRPr="003837FA" w:rsidRDefault="00B559FC" w:rsidP="00705E75">
            <w:r w:rsidRPr="003837FA">
              <w:t xml:space="preserve">444 </w:t>
            </w:r>
          </w:p>
        </w:tc>
        <w:tc>
          <w:tcPr>
            <w:tcW w:w="0" w:type="auto"/>
          </w:tcPr>
          <w:p w:rsidR="00B559FC" w:rsidRDefault="00B559FC" w:rsidP="00705E75">
            <w:r w:rsidRPr="007F1E0E">
              <w:t xml:space="preserve">2009    </w:t>
            </w:r>
          </w:p>
        </w:tc>
        <w:tc>
          <w:tcPr>
            <w:tcW w:w="2827" w:type="dxa"/>
            <w:vAlign w:val="center"/>
          </w:tcPr>
          <w:p w:rsidR="00B559FC" w:rsidRDefault="00B559FC" w:rsidP="00705E75">
            <w:r w:rsidRPr="007F1E0E">
              <w:t>United States</w:t>
            </w:r>
          </w:p>
        </w:tc>
      </w:tr>
      <w:tr w:rsidR="00B559FC" w:rsidRPr="003837FA" w:rsidTr="00705E75">
        <w:trPr>
          <w:trHeight w:val="72"/>
          <w:jc w:val="center"/>
        </w:trPr>
        <w:tc>
          <w:tcPr>
            <w:tcW w:w="0" w:type="auto"/>
            <w:hideMark/>
          </w:tcPr>
          <w:p w:rsidR="00B559FC" w:rsidRPr="003837FA" w:rsidRDefault="00B559FC" w:rsidP="00705E75">
            <w:r w:rsidRPr="003837FA">
              <w:t>19.</w:t>
            </w:r>
          </w:p>
        </w:tc>
        <w:tc>
          <w:tcPr>
            <w:tcW w:w="0" w:type="auto"/>
            <w:hideMark/>
          </w:tcPr>
          <w:p w:rsidR="00B559FC" w:rsidRPr="003837FA" w:rsidRDefault="00B559FC" w:rsidP="00705E75">
            <w:r w:rsidRPr="003837FA">
              <w:t xml:space="preserve">289 </w:t>
            </w:r>
          </w:p>
        </w:tc>
        <w:tc>
          <w:tcPr>
            <w:tcW w:w="0" w:type="auto"/>
          </w:tcPr>
          <w:p w:rsidR="00B559FC" w:rsidRDefault="00B559FC" w:rsidP="00705E75">
            <w:r w:rsidRPr="007F1E0E">
              <w:t>2007</w:t>
            </w:r>
          </w:p>
        </w:tc>
        <w:tc>
          <w:tcPr>
            <w:tcW w:w="2827" w:type="dxa"/>
            <w:vAlign w:val="center"/>
          </w:tcPr>
          <w:p w:rsidR="00B559FC" w:rsidRDefault="00B559FC" w:rsidP="00705E75">
            <w:r w:rsidRPr="007F1E0E">
              <w:t>Italy</w:t>
            </w:r>
          </w:p>
        </w:tc>
      </w:tr>
      <w:tr w:rsidR="00B559FC" w:rsidRPr="003837FA" w:rsidTr="00705E75">
        <w:trPr>
          <w:trHeight w:val="72"/>
          <w:jc w:val="center"/>
        </w:trPr>
        <w:tc>
          <w:tcPr>
            <w:tcW w:w="0" w:type="auto"/>
            <w:hideMark/>
          </w:tcPr>
          <w:p w:rsidR="00B559FC" w:rsidRPr="003837FA" w:rsidRDefault="00B559FC" w:rsidP="00705E75">
            <w:r w:rsidRPr="003837FA">
              <w:t>20.</w:t>
            </w:r>
          </w:p>
        </w:tc>
        <w:tc>
          <w:tcPr>
            <w:tcW w:w="0" w:type="auto"/>
            <w:hideMark/>
          </w:tcPr>
          <w:p w:rsidR="00B559FC" w:rsidRPr="003837FA" w:rsidRDefault="00B559FC" w:rsidP="00705E75">
            <w:r w:rsidRPr="003837FA">
              <w:t xml:space="preserve">304 </w:t>
            </w:r>
          </w:p>
        </w:tc>
        <w:tc>
          <w:tcPr>
            <w:tcW w:w="0" w:type="auto"/>
          </w:tcPr>
          <w:p w:rsidR="00B559FC" w:rsidRDefault="00B559FC" w:rsidP="00705E75">
            <w:r w:rsidRPr="007F1E0E">
              <w:t>2007</w:t>
            </w:r>
          </w:p>
        </w:tc>
        <w:tc>
          <w:tcPr>
            <w:tcW w:w="2827" w:type="dxa"/>
            <w:vAlign w:val="center"/>
          </w:tcPr>
          <w:p w:rsidR="00B559FC" w:rsidRDefault="00B559FC" w:rsidP="00705E75">
            <w:r w:rsidRPr="007F1E0E">
              <w:t>United Kingdom</w:t>
            </w:r>
          </w:p>
        </w:tc>
      </w:tr>
      <w:tr w:rsidR="00B559FC" w:rsidRPr="003837FA" w:rsidTr="00705E75">
        <w:trPr>
          <w:trHeight w:val="72"/>
          <w:jc w:val="center"/>
        </w:trPr>
        <w:tc>
          <w:tcPr>
            <w:tcW w:w="0" w:type="auto"/>
            <w:hideMark/>
          </w:tcPr>
          <w:p w:rsidR="00B559FC" w:rsidRPr="003837FA" w:rsidRDefault="00B559FC" w:rsidP="00705E75">
            <w:r w:rsidRPr="003837FA">
              <w:t>768.</w:t>
            </w:r>
          </w:p>
        </w:tc>
        <w:tc>
          <w:tcPr>
            <w:tcW w:w="0" w:type="auto"/>
            <w:hideMark/>
          </w:tcPr>
          <w:p w:rsidR="00B559FC" w:rsidRPr="003837FA" w:rsidRDefault="00B559FC" w:rsidP="00705E75">
            <w:r w:rsidRPr="003837FA">
              <w:t xml:space="preserve">134 </w:t>
            </w:r>
          </w:p>
        </w:tc>
        <w:tc>
          <w:tcPr>
            <w:tcW w:w="0" w:type="auto"/>
          </w:tcPr>
          <w:p w:rsidR="00B559FC" w:rsidRDefault="00B559FC" w:rsidP="00705E75">
            <w:r w:rsidRPr="007F1E0E">
              <w:t>2004</w:t>
            </w:r>
          </w:p>
        </w:tc>
        <w:tc>
          <w:tcPr>
            <w:tcW w:w="2827" w:type="dxa"/>
            <w:vAlign w:val="center"/>
          </w:tcPr>
          <w:p w:rsidR="00B559FC" w:rsidRDefault="00B559FC" w:rsidP="00705E75">
            <w:r w:rsidRPr="007F1E0E">
              <w:t>United Kingdom</w:t>
            </w:r>
          </w:p>
        </w:tc>
      </w:tr>
      <w:tr w:rsidR="00B559FC" w:rsidRPr="003837FA" w:rsidTr="00705E75">
        <w:trPr>
          <w:trHeight w:val="72"/>
          <w:jc w:val="center"/>
        </w:trPr>
        <w:tc>
          <w:tcPr>
            <w:tcW w:w="0" w:type="auto"/>
            <w:hideMark/>
          </w:tcPr>
          <w:p w:rsidR="00B559FC" w:rsidRPr="003837FA" w:rsidRDefault="00B559FC" w:rsidP="00705E75">
            <w:r w:rsidRPr="003837FA">
              <w:t>769.</w:t>
            </w:r>
          </w:p>
        </w:tc>
        <w:tc>
          <w:tcPr>
            <w:tcW w:w="0" w:type="auto"/>
            <w:hideMark/>
          </w:tcPr>
          <w:p w:rsidR="00B559FC" w:rsidRPr="003837FA" w:rsidRDefault="00B559FC" w:rsidP="00705E75">
            <w:r w:rsidRPr="003837FA">
              <w:t xml:space="preserve">420 </w:t>
            </w:r>
          </w:p>
        </w:tc>
        <w:tc>
          <w:tcPr>
            <w:tcW w:w="0" w:type="auto"/>
          </w:tcPr>
          <w:p w:rsidR="00B559FC" w:rsidRDefault="00B559FC" w:rsidP="00705E75">
            <w:r w:rsidRPr="007F1E0E">
              <w:t>2009</w:t>
            </w:r>
          </w:p>
        </w:tc>
        <w:tc>
          <w:tcPr>
            <w:tcW w:w="2827" w:type="dxa"/>
            <w:vAlign w:val="center"/>
          </w:tcPr>
          <w:p w:rsidR="00B559FC" w:rsidRDefault="00B559FC" w:rsidP="00705E75">
            <w:r w:rsidRPr="007F1E0E">
              <w:t>Israel</w:t>
            </w:r>
          </w:p>
        </w:tc>
      </w:tr>
    </w:tbl>
    <w:p w:rsidR="00B559FC" w:rsidRPr="00730468" w:rsidRDefault="00B559FC" w:rsidP="00B559FC">
      <w:pPr>
        <w:pStyle w:val="Style1"/>
        <w:spacing w:line="360" w:lineRule="auto"/>
        <w:jc w:val="center"/>
        <w:rPr>
          <w:b w:val="0"/>
        </w:rPr>
      </w:pPr>
      <w:r w:rsidRPr="00730468">
        <w:rPr>
          <w:b w:val="0"/>
        </w:rPr>
        <w:t>Table 6. Outliers check</w:t>
      </w:r>
    </w:p>
    <w:p w:rsidR="00B559FC" w:rsidRPr="00516892" w:rsidRDefault="00B559FC" w:rsidP="00B559FC">
      <w:pPr>
        <w:pStyle w:val="Style1"/>
        <w:spacing w:line="360" w:lineRule="auto"/>
        <w:jc w:val="both"/>
      </w:pPr>
      <w:r w:rsidRPr="00730468">
        <w:rPr>
          <w:b w:val="0"/>
        </w:rPr>
        <w:t>The outlier check results in 22 outliner companies. I try to run the model with and without 22 outliners and because after removal 22 companies, there is just a very small change in the size of the coefficients and there are no changes in the signs of the coefficients or in whether they are significant, removal does not seem to be necessary and</w:t>
      </w:r>
      <w:r>
        <w:rPr>
          <w:b w:val="0"/>
        </w:rPr>
        <w:t xml:space="preserve"> the results seem rather robust.</w:t>
      </w:r>
      <w:r w:rsidRPr="00B559FC">
        <w:t xml:space="preserve"> </w:t>
      </w:r>
      <w:r w:rsidRPr="00B559FC">
        <w:rPr>
          <w:b w:val="0"/>
        </w:rPr>
        <w:t>Finally, a Hosmer &amp; Lemshow test is conducted to examine the fitness of the model to the data.</w:t>
      </w:r>
    </w:p>
    <w:tbl>
      <w:tblPr>
        <w:tblW w:w="6999" w:type="dxa"/>
        <w:jc w:val="center"/>
        <w:tblCellSpacing w:w="15" w:type="dxa"/>
        <w:tblBorders>
          <w:top w:val="single" w:sz="4" w:space="0" w:color="auto"/>
          <w:left w:val="single" w:sz="4" w:space="0" w:color="auto"/>
          <w:bottom w:val="single" w:sz="4" w:space="0" w:color="auto"/>
          <w:right w:val="single" w:sz="4" w:space="0" w:color="auto"/>
        </w:tblBorders>
        <w:tblCellMar>
          <w:top w:w="15" w:type="dxa"/>
          <w:left w:w="15" w:type="dxa"/>
          <w:bottom w:w="15" w:type="dxa"/>
          <w:right w:w="15" w:type="dxa"/>
        </w:tblCellMar>
        <w:tblLook w:val="04A0" w:firstRow="1" w:lastRow="0" w:firstColumn="1" w:lastColumn="0" w:noHBand="0" w:noVBand="1"/>
      </w:tblPr>
      <w:tblGrid>
        <w:gridCol w:w="6999"/>
      </w:tblGrid>
      <w:tr w:rsidR="00EC4563" w:rsidRPr="003837FA" w:rsidTr="00B559FC">
        <w:trPr>
          <w:trHeight w:val="382"/>
          <w:tblCellSpacing w:w="15" w:type="dxa"/>
          <w:jc w:val="center"/>
        </w:trPr>
        <w:tc>
          <w:tcPr>
            <w:tcW w:w="0" w:type="auto"/>
            <w:vAlign w:val="center"/>
            <w:hideMark/>
          </w:tcPr>
          <w:p w:rsidR="00EC4563" w:rsidRPr="003837FA" w:rsidRDefault="00EC4563" w:rsidP="00AD03AA">
            <w:pPr>
              <w:rPr>
                <w:u w:val="single"/>
              </w:rPr>
            </w:pPr>
            <w:r w:rsidRPr="003837FA">
              <w:rPr>
                <w:u w:val="single"/>
              </w:rPr>
              <w:t>Logistic model for MODE, goodness-of-fit test</w:t>
            </w:r>
          </w:p>
        </w:tc>
      </w:tr>
      <w:tr w:rsidR="00EC4563" w:rsidRPr="003837FA" w:rsidTr="00B559FC">
        <w:trPr>
          <w:trHeight w:val="382"/>
          <w:tblCellSpacing w:w="15" w:type="dxa"/>
          <w:jc w:val="center"/>
        </w:trPr>
        <w:tc>
          <w:tcPr>
            <w:tcW w:w="0" w:type="auto"/>
            <w:vAlign w:val="center"/>
            <w:hideMark/>
          </w:tcPr>
          <w:p w:rsidR="00EC4563" w:rsidRPr="003837FA" w:rsidRDefault="00EC4563" w:rsidP="00AD03AA">
            <w:r w:rsidRPr="003837FA">
              <w:t>number of observations = 769</w:t>
            </w:r>
          </w:p>
        </w:tc>
      </w:tr>
      <w:tr w:rsidR="00EC4563" w:rsidRPr="003837FA" w:rsidTr="00B559FC">
        <w:trPr>
          <w:trHeight w:val="382"/>
          <w:tblCellSpacing w:w="15" w:type="dxa"/>
          <w:jc w:val="center"/>
        </w:trPr>
        <w:tc>
          <w:tcPr>
            <w:tcW w:w="0" w:type="auto"/>
            <w:vAlign w:val="center"/>
            <w:hideMark/>
          </w:tcPr>
          <w:p w:rsidR="00EC4563" w:rsidRPr="003837FA" w:rsidRDefault="00EC4563" w:rsidP="00AD03AA">
            <w:r w:rsidRPr="003837FA">
              <w:t>number of covariate patterns = 641</w:t>
            </w:r>
          </w:p>
        </w:tc>
      </w:tr>
      <w:tr w:rsidR="00EC4563" w:rsidRPr="003837FA" w:rsidTr="00B559FC">
        <w:trPr>
          <w:trHeight w:val="382"/>
          <w:tblCellSpacing w:w="15" w:type="dxa"/>
          <w:jc w:val="center"/>
        </w:trPr>
        <w:tc>
          <w:tcPr>
            <w:tcW w:w="0" w:type="auto"/>
            <w:vAlign w:val="center"/>
            <w:hideMark/>
          </w:tcPr>
          <w:p w:rsidR="00EC4563" w:rsidRPr="003837FA" w:rsidRDefault="00EC4563" w:rsidP="00AD03AA">
            <w:r w:rsidRPr="003837FA">
              <w:t>Pearson chi2(630) = 651.68</w:t>
            </w:r>
          </w:p>
        </w:tc>
      </w:tr>
      <w:tr w:rsidR="00EC4563" w:rsidRPr="003837FA" w:rsidTr="00B559FC">
        <w:trPr>
          <w:trHeight w:val="382"/>
          <w:tblCellSpacing w:w="15" w:type="dxa"/>
          <w:jc w:val="center"/>
        </w:trPr>
        <w:tc>
          <w:tcPr>
            <w:tcW w:w="0" w:type="auto"/>
            <w:vAlign w:val="center"/>
            <w:hideMark/>
          </w:tcPr>
          <w:p w:rsidR="00EC4563" w:rsidRPr="003837FA" w:rsidRDefault="00EC4563" w:rsidP="00AD03AA">
            <w:r w:rsidRPr="003837FA">
              <w:t>Prob &gt; chi2 = 0.2668</w:t>
            </w:r>
          </w:p>
        </w:tc>
      </w:tr>
    </w:tbl>
    <w:p w:rsidR="00B559FC" w:rsidRDefault="00EC4563" w:rsidP="00EC4563">
      <w:pPr>
        <w:spacing w:line="360" w:lineRule="auto"/>
        <w:jc w:val="center"/>
      </w:pPr>
      <w:r w:rsidRPr="00730468">
        <w:t>Table 5. Hosmer &amp; Lemshow test.</w:t>
      </w:r>
    </w:p>
    <w:p w:rsidR="00B559FC" w:rsidRDefault="00B559FC" w:rsidP="00B559FC"/>
    <w:p w:rsidR="00EC4563" w:rsidRPr="00C62440" w:rsidRDefault="00EC4563" w:rsidP="00C62440">
      <w:pPr>
        <w:spacing w:line="360" w:lineRule="auto"/>
        <w:rPr>
          <w:noProof/>
        </w:rPr>
      </w:pPr>
      <w:r w:rsidRPr="00730468">
        <w:t>The Hosmer &amp; Lemshow test shows a non-significant p statistic (p&gt;.05), indicating the good fit of the model with the data.</w:t>
      </w:r>
      <w:r w:rsidR="00C62440">
        <w:t xml:space="preserve"> </w:t>
      </w:r>
    </w:p>
    <w:sectPr w:rsidR="00EC4563" w:rsidRPr="00C62440" w:rsidSect="00B023EE">
      <w:headerReference w:type="default" r:id="rId15"/>
      <w:footerReference w:type="default" r:id="rId16"/>
      <w:footerReference w:type="first" r:id="rId1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7092" w:rsidRDefault="00DD7092" w:rsidP="00541F37">
      <w:r>
        <w:separator/>
      </w:r>
    </w:p>
  </w:endnote>
  <w:endnote w:type="continuationSeparator" w:id="0">
    <w:p w:rsidR="00DD7092" w:rsidRDefault="00DD7092" w:rsidP="00541F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4270168"/>
      <w:docPartObj>
        <w:docPartGallery w:val="Page Numbers (Bottom of Page)"/>
        <w:docPartUnique/>
      </w:docPartObj>
    </w:sdtPr>
    <w:sdtEndPr>
      <w:rPr>
        <w:noProof/>
      </w:rPr>
    </w:sdtEndPr>
    <w:sdtContent>
      <w:p w:rsidR="00705E75" w:rsidRDefault="00705E75">
        <w:pPr>
          <w:pStyle w:val="Footer"/>
          <w:jc w:val="center"/>
        </w:pPr>
        <w:r>
          <w:fldChar w:fldCharType="begin"/>
        </w:r>
        <w:r>
          <w:instrText xml:space="preserve"> PAGE   \* MERGEFORMAT </w:instrText>
        </w:r>
        <w:r>
          <w:fldChar w:fldCharType="separate"/>
        </w:r>
        <w:r w:rsidR="00B023EE">
          <w:rPr>
            <w:noProof/>
          </w:rPr>
          <w:t>2</w:t>
        </w:r>
        <w:r>
          <w:rPr>
            <w:noProof/>
          </w:rPr>
          <w:fldChar w:fldCharType="end"/>
        </w:r>
      </w:p>
    </w:sdtContent>
  </w:sdt>
  <w:p w:rsidR="00705E75" w:rsidRDefault="00705E7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5E75" w:rsidRDefault="00705E75" w:rsidP="006130DE">
    <w:pPr>
      <w:pStyle w:val="Footer"/>
      <w:tabs>
        <w:tab w:val="left" w:pos="3946"/>
      </w:tabs>
    </w:pPr>
    <w:r>
      <w:tab/>
    </w:r>
  </w:p>
  <w:p w:rsidR="00705E75" w:rsidRDefault="00705E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7092" w:rsidRDefault="00DD7092" w:rsidP="00541F37">
      <w:r>
        <w:separator/>
      </w:r>
    </w:p>
  </w:footnote>
  <w:footnote w:type="continuationSeparator" w:id="0">
    <w:p w:rsidR="00DD7092" w:rsidRDefault="00DD7092" w:rsidP="00541F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5E75" w:rsidRDefault="00705E75" w:rsidP="00F7094D">
    <w:pPr>
      <w:pStyle w:val="Header"/>
      <w:tabs>
        <w:tab w:val="clear" w:pos="4680"/>
        <w:tab w:val="clear" w:pos="9360"/>
        <w:tab w:val="left" w:pos="3224"/>
      </w:tabs>
    </w:pPr>
    <w:r>
      <w:t>Vo Thi Nhu Quynh</w:t>
    </w:r>
    <w:r>
      <w:tab/>
    </w:r>
  </w:p>
  <w:p w:rsidR="00705E75" w:rsidRDefault="00705E75">
    <w:pPr>
      <w:pStyle w:val="Header"/>
    </w:pPr>
    <w:r>
      <w:t>S4778987</w:t>
    </w:r>
  </w:p>
  <w:p w:rsidR="00705E75" w:rsidRDefault="00705E7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2E6EF6"/>
    <w:multiLevelType w:val="hybridMultilevel"/>
    <w:tmpl w:val="424A96AA"/>
    <w:lvl w:ilvl="0" w:tplc="DF5C4DA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A1E3441"/>
    <w:multiLevelType w:val="hybridMultilevel"/>
    <w:tmpl w:val="CAA246A0"/>
    <w:lvl w:ilvl="0" w:tplc="E834BFB2">
      <w:start w:val="1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A6B3342"/>
    <w:multiLevelType w:val="multilevel"/>
    <w:tmpl w:val="10DC034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2580584D"/>
    <w:multiLevelType w:val="multilevel"/>
    <w:tmpl w:val="A5FAE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9B545BE"/>
    <w:multiLevelType w:val="hybridMultilevel"/>
    <w:tmpl w:val="492C72AC"/>
    <w:lvl w:ilvl="0" w:tplc="2EEC7170">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1F708FE"/>
    <w:multiLevelType w:val="multilevel"/>
    <w:tmpl w:val="509AA5CE"/>
    <w:lvl w:ilvl="0">
      <w:start w:val="1"/>
      <w:numFmt w:val="decimal"/>
      <w:lvlText w:val="%1."/>
      <w:lvlJc w:val="left"/>
      <w:pPr>
        <w:ind w:left="720" w:hanging="360"/>
      </w:pPr>
      <w:rPr>
        <w:rFonts w:hint="default"/>
        <w:b/>
      </w:rPr>
    </w:lvl>
    <w:lvl w:ilvl="1">
      <w:start w:val="1"/>
      <w:numFmt w:val="decimal"/>
      <w:pStyle w:val="Heading2"/>
      <w:isLgl/>
      <w:lvlText w:val="%1.%2."/>
      <w:lvlJc w:val="left"/>
      <w:pPr>
        <w:ind w:left="720" w:hanging="360"/>
      </w:pPr>
      <w:rPr>
        <w:rFonts w:hint="default"/>
      </w:rPr>
    </w:lvl>
    <w:lvl w:ilvl="2">
      <w:start w:val="1"/>
      <w:numFmt w:val="decimal"/>
      <w:isLgl/>
      <w:lvlText w:val="%1.%2.%3."/>
      <w:lvlJc w:val="left"/>
      <w:pPr>
        <w:ind w:left="1080" w:hanging="72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48FF26A5"/>
    <w:multiLevelType w:val="hybridMultilevel"/>
    <w:tmpl w:val="4DBA28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A782146"/>
    <w:multiLevelType w:val="multilevel"/>
    <w:tmpl w:val="C984674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628F506E"/>
    <w:multiLevelType w:val="hybridMultilevel"/>
    <w:tmpl w:val="402C355A"/>
    <w:lvl w:ilvl="0" w:tplc="92A8B0A6">
      <w:start w:val="1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78F35C5"/>
    <w:multiLevelType w:val="hybridMultilevel"/>
    <w:tmpl w:val="002A95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8D87D64"/>
    <w:multiLevelType w:val="hybridMultilevel"/>
    <w:tmpl w:val="A9F82A1C"/>
    <w:lvl w:ilvl="0" w:tplc="3560209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5B86A70"/>
    <w:multiLevelType w:val="hybridMultilevel"/>
    <w:tmpl w:val="4DFC0C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7B941DB"/>
    <w:multiLevelType w:val="multilevel"/>
    <w:tmpl w:val="C984674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7"/>
  </w:num>
  <w:num w:numId="2">
    <w:abstractNumId w:val="2"/>
  </w:num>
  <w:num w:numId="3">
    <w:abstractNumId w:val="3"/>
  </w:num>
  <w:num w:numId="4">
    <w:abstractNumId w:val="0"/>
  </w:num>
  <w:num w:numId="5">
    <w:abstractNumId w:val="8"/>
  </w:num>
  <w:num w:numId="6">
    <w:abstractNumId w:val="1"/>
  </w:num>
  <w:num w:numId="7">
    <w:abstractNumId w:val="10"/>
  </w:num>
  <w:num w:numId="8">
    <w:abstractNumId w:val="6"/>
  </w:num>
  <w:num w:numId="9">
    <w:abstractNumId w:val="12"/>
  </w:num>
  <w:num w:numId="10">
    <w:abstractNumId w:val="4"/>
  </w:num>
  <w:num w:numId="11">
    <w:abstractNumId w:val="5"/>
  </w:num>
  <w:num w:numId="12">
    <w:abstractNumId w:val="11"/>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MTEyN7UwMjQyNbEwNzNQ0lEKTi0uzszPAykwrgUAEOKoHiwAAAA="/>
  </w:docVars>
  <w:rsids>
    <w:rsidRoot w:val="003569A5"/>
    <w:rsid w:val="00000632"/>
    <w:rsid w:val="00003D9A"/>
    <w:rsid w:val="000040FD"/>
    <w:rsid w:val="00004700"/>
    <w:rsid w:val="00004C99"/>
    <w:rsid w:val="00007A38"/>
    <w:rsid w:val="0001019B"/>
    <w:rsid w:val="000116F1"/>
    <w:rsid w:val="00011FAF"/>
    <w:rsid w:val="000138C8"/>
    <w:rsid w:val="00026128"/>
    <w:rsid w:val="00026A7F"/>
    <w:rsid w:val="000305B6"/>
    <w:rsid w:val="00031BCA"/>
    <w:rsid w:val="0003375A"/>
    <w:rsid w:val="00033D9B"/>
    <w:rsid w:val="000343E4"/>
    <w:rsid w:val="00035737"/>
    <w:rsid w:val="0003690C"/>
    <w:rsid w:val="00036B0D"/>
    <w:rsid w:val="00036E75"/>
    <w:rsid w:val="000408EA"/>
    <w:rsid w:val="00043CA6"/>
    <w:rsid w:val="0005069A"/>
    <w:rsid w:val="000512D7"/>
    <w:rsid w:val="00051D52"/>
    <w:rsid w:val="000539D4"/>
    <w:rsid w:val="00053A47"/>
    <w:rsid w:val="0005458C"/>
    <w:rsid w:val="00057BE8"/>
    <w:rsid w:val="00061143"/>
    <w:rsid w:val="00064C1B"/>
    <w:rsid w:val="00065924"/>
    <w:rsid w:val="0007052A"/>
    <w:rsid w:val="00070864"/>
    <w:rsid w:val="00072221"/>
    <w:rsid w:val="00077262"/>
    <w:rsid w:val="00077A36"/>
    <w:rsid w:val="00081519"/>
    <w:rsid w:val="0008340C"/>
    <w:rsid w:val="0008407F"/>
    <w:rsid w:val="00084FAB"/>
    <w:rsid w:val="00087ECC"/>
    <w:rsid w:val="000906DB"/>
    <w:rsid w:val="000947B3"/>
    <w:rsid w:val="00094843"/>
    <w:rsid w:val="000A2479"/>
    <w:rsid w:val="000A6A8C"/>
    <w:rsid w:val="000B080F"/>
    <w:rsid w:val="000B0833"/>
    <w:rsid w:val="000B22F0"/>
    <w:rsid w:val="000B47DF"/>
    <w:rsid w:val="000B5515"/>
    <w:rsid w:val="000B6128"/>
    <w:rsid w:val="000B74DD"/>
    <w:rsid w:val="000B7AC0"/>
    <w:rsid w:val="000C1BAD"/>
    <w:rsid w:val="000C3BF0"/>
    <w:rsid w:val="000C761E"/>
    <w:rsid w:val="000C7A82"/>
    <w:rsid w:val="000D0776"/>
    <w:rsid w:val="000D0F67"/>
    <w:rsid w:val="000D46D1"/>
    <w:rsid w:val="000D4929"/>
    <w:rsid w:val="000D4C92"/>
    <w:rsid w:val="000E1AAE"/>
    <w:rsid w:val="000E40BF"/>
    <w:rsid w:val="000E6B6C"/>
    <w:rsid w:val="000F1D9E"/>
    <w:rsid w:val="000F2C9D"/>
    <w:rsid w:val="00101577"/>
    <w:rsid w:val="0010444E"/>
    <w:rsid w:val="001054A0"/>
    <w:rsid w:val="00111663"/>
    <w:rsid w:val="00113D11"/>
    <w:rsid w:val="00116D57"/>
    <w:rsid w:val="00117A76"/>
    <w:rsid w:val="0012098F"/>
    <w:rsid w:val="0012375C"/>
    <w:rsid w:val="0012411D"/>
    <w:rsid w:val="00124CB1"/>
    <w:rsid w:val="00126F6C"/>
    <w:rsid w:val="001272FF"/>
    <w:rsid w:val="00131877"/>
    <w:rsid w:val="001347BB"/>
    <w:rsid w:val="0015044B"/>
    <w:rsid w:val="001601F3"/>
    <w:rsid w:val="0016058B"/>
    <w:rsid w:val="00163651"/>
    <w:rsid w:val="0016565A"/>
    <w:rsid w:val="00170BFC"/>
    <w:rsid w:val="001719ED"/>
    <w:rsid w:val="00175BC4"/>
    <w:rsid w:val="00182623"/>
    <w:rsid w:val="00182BA0"/>
    <w:rsid w:val="001861FC"/>
    <w:rsid w:val="001865BE"/>
    <w:rsid w:val="001869D0"/>
    <w:rsid w:val="00187DA0"/>
    <w:rsid w:val="001941C4"/>
    <w:rsid w:val="0019469B"/>
    <w:rsid w:val="00194D32"/>
    <w:rsid w:val="00196E12"/>
    <w:rsid w:val="001A2391"/>
    <w:rsid w:val="001A2BD1"/>
    <w:rsid w:val="001A4F3C"/>
    <w:rsid w:val="001A51C4"/>
    <w:rsid w:val="001A58D3"/>
    <w:rsid w:val="001B041B"/>
    <w:rsid w:val="001B27D0"/>
    <w:rsid w:val="001B2812"/>
    <w:rsid w:val="001B5A81"/>
    <w:rsid w:val="001B6A76"/>
    <w:rsid w:val="001B71B4"/>
    <w:rsid w:val="001B7998"/>
    <w:rsid w:val="001B7A78"/>
    <w:rsid w:val="001C1247"/>
    <w:rsid w:val="001C2A97"/>
    <w:rsid w:val="001C6AC8"/>
    <w:rsid w:val="001C6DEA"/>
    <w:rsid w:val="001C703A"/>
    <w:rsid w:val="001C752D"/>
    <w:rsid w:val="001D0A26"/>
    <w:rsid w:val="001D2057"/>
    <w:rsid w:val="001D33D7"/>
    <w:rsid w:val="001D5C5A"/>
    <w:rsid w:val="001D6F32"/>
    <w:rsid w:val="001D74D6"/>
    <w:rsid w:val="001D7F50"/>
    <w:rsid w:val="001E29DE"/>
    <w:rsid w:val="001E2B3C"/>
    <w:rsid w:val="001E7924"/>
    <w:rsid w:val="001F443C"/>
    <w:rsid w:val="001F4BCA"/>
    <w:rsid w:val="001F769C"/>
    <w:rsid w:val="002016E1"/>
    <w:rsid w:val="0020411D"/>
    <w:rsid w:val="00206E86"/>
    <w:rsid w:val="002153A1"/>
    <w:rsid w:val="00216375"/>
    <w:rsid w:val="0021684F"/>
    <w:rsid w:val="00220075"/>
    <w:rsid w:val="00221C28"/>
    <w:rsid w:val="00221FBA"/>
    <w:rsid w:val="002251E1"/>
    <w:rsid w:val="00225262"/>
    <w:rsid w:val="002257A8"/>
    <w:rsid w:val="00225D79"/>
    <w:rsid w:val="00231EF0"/>
    <w:rsid w:val="002331A6"/>
    <w:rsid w:val="00233256"/>
    <w:rsid w:val="00236378"/>
    <w:rsid w:val="00237957"/>
    <w:rsid w:val="00241309"/>
    <w:rsid w:val="0024146D"/>
    <w:rsid w:val="00241531"/>
    <w:rsid w:val="002425D7"/>
    <w:rsid w:val="00243B8C"/>
    <w:rsid w:val="002446D8"/>
    <w:rsid w:val="00247007"/>
    <w:rsid w:val="00247A6B"/>
    <w:rsid w:val="002505F9"/>
    <w:rsid w:val="00252A54"/>
    <w:rsid w:val="00254CAC"/>
    <w:rsid w:val="002571AA"/>
    <w:rsid w:val="00260572"/>
    <w:rsid w:val="00260FEF"/>
    <w:rsid w:val="0026178A"/>
    <w:rsid w:val="002618AC"/>
    <w:rsid w:val="00262D0E"/>
    <w:rsid w:val="00266614"/>
    <w:rsid w:val="00270686"/>
    <w:rsid w:val="00270EFE"/>
    <w:rsid w:val="00271A85"/>
    <w:rsid w:val="0027350C"/>
    <w:rsid w:val="0027666E"/>
    <w:rsid w:val="0028286A"/>
    <w:rsid w:val="0029130C"/>
    <w:rsid w:val="00291EB6"/>
    <w:rsid w:val="002929CE"/>
    <w:rsid w:val="00294601"/>
    <w:rsid w:val="0029521E"/>
    <w:rsid w:val="002A18D1"/>
    <w:rsid w:val="002A1CB9"/>
    <w:rsid w:val="002A2DEF"/>
    <w:rsid w:val="002A3C54"/>
    <w:rsid w:val="002A3EB2"/>
    <w:rsid w:val="002A582D"/>
    <w:rsid w:val="002A767A"/>
    <w:rsid w:val="002A7707"/>
    <w:rsid w:val="002B18B1"/>
    <w:rsid w:val="002B4B9B"/>
    <w:rsid w:val="002B6CE0"/>
    <w:rsid w:val="002B7F11"/>
    <w:rsid w:val="002C1FB9"/>
    <w:rsid w:val="002C200C"/>
    <w:rsid w:val="002C250B"/>
    <w:rsid w:val="002D0879"/>
    <w:rsid w:val="002D12DA"/>
    <w:rsid w:val="002D3B90"/>
    <w:rsid w:val="002D7E1F"/>
    <w:rsid w:val="002D7F4B"/>
    <w:rsid w:val="002E14D8"/>
    <w:rsid w:val="002E3B04"/>
    <w:rsid w:val="002E417C"/>
    <w:rsid w:val="002E5D3A"/>
    <w:rsid w:val="002E7235"/>
    <w:rsid w:val="002E7EC2"/>
    <w:rsid w:val="002F0656"/>
    <w:rsid w:val="002F15C0"/>
    <w:rsid w:val="002F5532"/>
    <w:rsid w:val="0030209E"/>
    <w:rsid w:val="00302847"/>
    <w:rsid w:val="00302AF4"/>
    <w:rsid w:val="0030544D"/>
    <w:rsid w:val="00316501"/>
    <w:rsid w:val="003166F9"/>
    <w:rsid w:val="00317D4E"/>
    <w:rsid w:val="00320878"/>
    <w:rsid w:val="003229BD"/>
    <w:rsid w:val="00326EA4"/>
    <w:rsid w:val="00330C71"/>
    <w:rsid w:val="00330F53"/>
    <w:rsid w:val="003369F3"/>
    <w:rsid w:val="00340A6C"/>
    <w:rsid w:val="00341B40"/>
    <w:rsid w:val="0034327A"/>
    <w:rsid w:val="00344891"/>
    <w:rsid w:val="003463C9"/>
    <w:rsid w:val="00350A18"/>
    <w:rsid w:val="00350BA3"/>
    <w:rsid w:val="00350E6B"/>
    <w:rsid w:val="00354559"/>
    <w:rsid w:val="00354F42"/>
    <w:rsid w:val="003569A5"/>
    <w:rsid w:val="00356A6B"/>
    <w:rsid w:val="00357CB3"/>
    <w:rsid w:val="00360783"/>
    <w:rsid w:val="00363193"/>
    <w:rsid w:val="003653B3"/>
    <w:rsid w:val="00365CB4"/>
    <w:rsid w:val="00370E63"/>
    <w:rsid w:val="00372BCC"/>
    <w:rsid w:val="00373824"/>
    <w:rsid w:val="003738CA"/>
    <w:rsid w:val="00375751"/>
    <w:rsid w:val="00375959"/>
    <w:rsid w:val="00375B8D"/>
    <w:rsid w:val="00377E77"/>
    <w:rsid w:val="003814AC"/>
    <w:rsid w:val="00381531"/>
    <w:rsid w:val="00381799"/>
    <w:rsid w:val="0038189D"/>
    <w:rsid w:val="003829EF"/>
    <w:rsid w:val="00382A2F"/>
    <w:rsid w:val="003837FA"/>
    <w:rsid w:val="00390971"/>
    <w:rsid w:val="00390E74"/>
    <w:rsid w:val="00392C8B"/>
    <w:rsid w:val="00392F01"/>
    <w:rsid w:val="00395BDA"/>
    <w:rsid w:val="0039789A"/>
    <w:rsid w:val="003A0BAD"/>
    <w:rsid w:val="003A0C20"/>
    <w:rsid w:val="003A247D"/>
    <w:rsid w:val="003A6C6D"/>
    <w:rsid w:val="003B53D5"/>
    <w:rsid w:val="003C0BBA"/>
    <w:rsid w:val="003C28AC"/>
    <w:rsid w:val="003C4AFA"/>
    <w:rsid w:val="003C4F2B"/>
    <w:rsid w:val="003C5932"/>
    <w:rsid w:val="003C6518"/>
    <w:rsid w:val="003C684F"/>
    <w:rsid w:val="003D3E8D"/>
    <w:rsid w:val="003E17F7"/>
    <w:rsid w:val="003E265D"/>
    <w:rsid w:val="003E558C"/>
    <w:rsid w:val="003E759A"/>
    <w:rsid w:val="003F2B05"/>
    <w:rsid w:val="003F64B6"/>
    <w:rsid w:val="003F682B"/>
    <w:rsid w:val="003F7B1E"/>
    <w:rsid w:val="0040054D"/>
    <w:rsid w:val="00400B56"/>
    <w:rsid w:val="004014B3"/>
    <w:rsid w:val="00402D7E"/>
    <w:rsid w:val="00403B63"/>
    <w:rsid w:val="004051BE"/>
    <w:rsid w:val="004060C0"/>
    <w:rsid w:val="00407233"/>
    <w:rsid w:val="004144F5"/>
    <w:rsid w:val="00414E09"/>
    <w:rsid w:val="00415580"/>
    <w:rsid w:val="00417B5A"/>
    <w:rsid w:val="00417DBB"/>
    <w:rsid w:val="00421648"/>
    <w:rsid w:val="00421D59"/>
    <w:rsid w:val="00423B42"/>
    <w:rsid w:val="004251B6"/>
    <w:rsid w:val="00427016"/>
    <w:rsid w:val="004279BA"/>
    <w:rsid w:val="00427C6A"/>
    <w:rsid w:val="00433B5A"/>
    <w:rsid w:val="0043402B"/>
    <w:rsid w:val="00435F9C"/>
    <w:rsid w:val="0043624B"/>
    <w:rsid w:val="00442C3C"/>
    <w:rsid w:val="00445064"/>
    <w:rsid w:val="004459A3"/>
    <w:rsid w:val="0045227F"/>
    <w:rsid w:val="0045298A"/>
    <w:rsid w:val="00457FB2"/>
    <w:rsid w:val="004610E0"/>
    <w:rsid w:val="00461A4D"/>
    <w:rsid w:val="00462BA6"/>
    <w:rsid w:val="00462D64"/>
    <w:rsid w:val="00463BB5"/>
    <w:rsid w:val="004641E3"/>
    <w:rsid w:val="004703BA"/>
    <w:rsid w:val="0047165C"/>
    <w:rsid w:val="0047190F"/>
    <w:rsid w:val="00471E4D"/>
    <w:rsid w:val="004721B8"/>
    <w:rsid w:val="004739E5"/>
    <w:rsid w:val="004779F1"/>
    <w:rsid w:val="00477C4C"/>
    <w:rsid w:val="00477F8D"/>
    <w:rsid w:val="00481A9D"/>
    <w:rsid w:val="0048366E"/>
    <w:rsid w:val="004879E6"/>
    <w:rsid w:val="0049164A"/>
    <w:rsid w:val="0049209A"/>
    <w:rsid w:val="00492326"/>
    <w:rsid w:val="0049551A"/>
    <w:rsid w:val="004A07F1"/>
    <w:rsid w:val="004A0969"/>
    <w:rsid w:val="004A288B"/>
    <w:rsid w:val="004A3E2E"/>
    <w:rsid w:val="004A4238"/>
    <w:rsid w:val="004A4D14"/>
    <w:rsid w:val="004A7416"/>
    <w:rsid w:val="004A75B0"/>
    <w:rsid w:val="004A7806"/>
    <w:rsid w:val="004B2445"/>
    <w:rsid w:val="004B6E83"/>
    <w:rsid w:val="004B7DDD"/>
    <w:rsid w:val="004C22F7"/>
    <w:rsid w:val="004C3486"/>
    <w:rsid w:val="004C471E"/>
    <w:rsid w:val="004D00C7"/>
    <w:rsid w:val="004D17F4"/>
    <w:rsid w:val="004D2B24"/>
    <w:rsid w:val="004D42F5"/>
    <w:rsid w:val="004D7EA9"/>
    <w:rsid w:val="004E1818"/>
    <w:rsid w:val="004E4670"/>
    <w:rsid w:val="004E624A"/>
    <w:rsid w:val="004E6A15"/>
    <w:rsid w:val="004E7BA2"/>
    <w:rsid w:val="004F1047"/>
    <w:rsid w:val="004F43D4"/>
    <w:rsid w:val="004F54EE"/>
    <w:rsid w:val="004F6265"/>
    <w:rsid w:val="004F7AF3"/>
    <w:rsid w:val="005011EB"/>
    <w:rsid w:val="00504D6C"/>
    <w:rsid w:val="0050561C"/>
    <w:rsid w:val="00505F49"/>
    <w:rsid w:val="00516892"/>
    <w:rsid w:val="00516A12"/>
    <w:rsid w:val="00516E81"/>
    <w:rsid w:val="0051735C"/>
    <w:rsid w:val="00520865"/>
    <w:rsid w:val="00521850"/>
    <w:rsid w:val="005226D7"/>
    <w:rsid w:val="00525603"/>
    <w:rsid w:val="00525CDF"/>
    <w:rsid w:val="0052661D"/>
    <w:rsid w:val="0053103F"/>
    <w:rsid w:val="00534527"/>
    <w:rsid w:val="005362FC"/>
    <w:rsid w:val="00536AAC"/>
    <w:rsid w:val="00536E7A"/>
    <w:rsid w:val="00537E8D"/>
    <w:rsid w:val="00540CE1"/>
    <w:rsid w:val="00540FEB"/>
    <w:rsid w:val="00541F37"/>
    <w:rsid w:val="00542C79"/>
    <w:rsid w:val="00544390"/>
    <w:rsid w:val="00545A3B"/>
    <w:rsid w:val="0054628E"/>
    <w:rsid w:val="00546A8C"/>
    <w:rsid w:val="00552532"/>
    <w:rsid w:val="00552FEF"/>
    <w:rsid w:val="00553387"/>
    <w:rsid w:val="00553655"/>
    <w:rsid w:val="00553C0B"/>
    <w:rsid w:val="00554571"/>
    <w:rsid w:val="00555C9C"/>
    <w:rsid w:val="00563906"/>
    <w:rsid w:val="00566994"/>
    <w:rsid w:val="00570A3E"/>
    <w:rsid w:val="00573089"/>
    <w:rsid w:val="00574779"/>
    <w:rsid w:val="005749C3"/>
    <w:rsid w:val="00577913"/>
    <w:rsid w:val="00580771"/>
    <w:rsid w:val="0058175F"/>
    <w:rsid w:val="00583D3D"/>
    <w:rsid w:val="00587B09"/>
    <w:rsid w:val="00590002"/>
    <w:rsid w:val="0059164D"/>
    <w:rsid w:val="005916D0"/>
    <w:rsid w:val="00592827"/>
    <w:rsid w:val="00593539"/>
    <w:rsid w:val="005947FC"/>
    <w:rsid w:val="00595F5A"/>
    <w:rsid w:val="00596E81"/>
    <w:rsid w:val="00597695"/>
    <w:rsid w:val="005A02B1"/>
    <w:rsid w:val="005A23AC"/>
    <w:rsid w:val="005A33C7"/>
    <w:rsid w:val="005A33CB"/>
    <w:rsid w:val="005A4C61"/>
    <w:rsid w:val="005A5325"/>
    <w:rsid w:val="005A5E8F"/>
    <w:rsid w:val="005B1CD6"/>
    <w:rsid w:val="005B40B4"/>
    <w:rsid w:val="005B6835"/>
    <w:rsid w:val="005B6E01"/>
    <w:rsid w:val="005B72F8"/>
    <w:rsid w:val="005C1660"/>
    <w:rsid w:val="005C2291"/>
    <w:rsid w:val="005C2382"/>
    <w:rsid w:val="005C2903"/>
    <w:rsid w:val="005C5528"/>
    <w:rsid w:val="005C6505"/>
    <w:rsid w:val="005C6680"/>
    <w:rsid w:val="005D0937"/>
    <w:rsid w:val="005D2104"/>
    <w:rsid w:val="005D3AC1"/>
    <w:rsid w:val="005E1B2A"/>
    <w:rsid w:val="005E35BB"/>
    <w:rsid w:val="005F0740"/>
    <w:rsid w:val="005F58AA"/>
    <w:rsid w:val="005F7634"/>
    <w:rsid w:val="005F7F91"/>
    <w:rsid w:val="00602733"/>
    <w:rsid w:val="00602FD7"/>
    <w:rsid w:val="00603466"/>
    <w:rsid w:val="00605406"/>
    <w:rsid w:val="00605B7A"/>
    <w:rsid w:val="00607704"/>
    <w:rsid w:val="006130DE"/>
    <w:rsid w:val="00615D29"/>
    <w:rsid w:val="00617BE1"/>
    <w:rsid w:val="00617C53"/>
    <w:rsid w:val="0062185A"/>
    <w:rsid w:val="00624334"/>
    <w:rsid w:val="00624B6B"/>
    <w:rsid w:val="0062572B"/>
    <w:rsid w:val="0063415B"/>
    <w:rsid w:val="00636CF8"/>
    <w:rsid w:val="00637F81"/>
    <w:rsid w:val="0064009E"/>
    <w:rsid w:val="006412C4"/>
    <w:rsid w:val="00641746"/>
    <w:rsid w:val="006424F4"/>
    <w:rsid w:val="0064386B"/>
    <w:rsid w:val="0064417B"/>
    <w:rsid w:val="006444AC"/>
    <w:rsid w:val="006449B6"/>
    <w:rsid w:val="00644BED"/>
    <w:rsid w:val="0065082A"/>
    <w:rsid w:val="00652ACB"/>
    <w:rsid w:val="00653A58"/>
    <w:rsid w:val="00653E4B"/>
    <w:rsid w:val="00654EA4"/>
    <w:rsid w:val="00656191"/>
    <w:rsid w:val="00661A17"/>
    <w:rsid w:val="00662302"/>
    <w:rsid w:val="0066351B"/>
    <w:rsid w:val="00666751"/>
    <w:rsid w:val="00671C0A"/>
    <w:rsid w:val="0067692C"/>
    <w:rsid w:val="00677EC8"/>
    <w:rsid w:val="006803F6"/>
    <w:rsid w:val="006832B0"/>
    <w:rsid w:val="006836C2"/>
    <w:rsid w:val="006836F8"/>
    <w:rsid w:val="006913E6"/>
    <w:rsid w:val="00694A1E"/>
    <w:rsid w:val="00697321"/>
    <w:rsid w:val="006A0B43"/>
    <w:rsid w:val="006A4356"/>
    <w:rsid w:val="006A4AE1"/>
    <w:rsid w:val="006A59A3"/>
    <w:rsid w:val="006A5B28"/>
    <w:rsid w:val="006A63C4"/>
    <w:rsid w:val="006A7804"/>
    <w:rsid w:val="006B62FC"/>
    <w:rsid w:val="006B7F73"/>
    <w:rsid w:val="006C2C76"/>
    <w:rsid w:val="006C7E69"/>
    <w:rsid w:val="006D173C"/>
    <w:rsid w:val="006D6E60"/>
    <w:rsid w:val="006E23A7"/>
    <w:rsid w:val="006E3EEC"/>
    <w:rsid w:val="006E48B2"/>
    <w:rsid w:val="006E682F"/>
    <w:rsid w:val="006F4B84"/>
    <w:rsid w:val="006F6D87"/>
    <w:rsid w:val="006F7445"/>
    <w:rsid w:val="007017E9"/>
    <w:rsid w:val="007023C4"/>
    <w:rsid w:val="00702DD3"/>
    <w:rsid w:val="007046AE"/>
    <w:rsid w:val="0070497A"/>
    <w:rsid w:val="00705DAA"/>
    <w:rsid w:val="00705E75"/>
    <w:rsid w:val="0070672B"/>
    <w:rsid w:val="00711047"/>
    <w:rsid w:val="00713A3E"/>
    <w:rsid w:val="00714209"/>
    <w:rsid w:val="007152EC"/>
    <w:rsid w:val="007167E1"/>
    <w:rsid w:val="00716881"/>
    <w:rsid w:val="00720484"/>
    <w:rsid w:val="0072114A"/>
    <w:rsid w:val="00722CE8"/>
    <w:rsid w:val="00722EF4"/>
    <w:rsid w:val="00725687"/>
    <w:rsid w:val="00727CBD"/>
    <w:rsid w:val="00730468"/>
    <w:rsid w:val="00730725"/>
    <w:rsid w:val="007309D1"/>
    <w:rsid w:val="00732D99"/>
    <w:rsid w:val="00734500"/>
    <w:rsid w:val="00740048"/>
    <w:rsid w:val="00741971"/>
    <w:rsid w:val="007425F7"/>
    <w:rsid w:val="007435E3"/>
    <w:rsid w:val="00743924"/>
    <w:rsid w:val="0075076E"/>
    <w:rsid w:val="00750C70"/>
    <w:rsid w:val="00751CF3"/>
    <w:rsid w:val="007563CC"/>
    <w:rsid w:val="00756B93"/>
    <w:rsid w:val="00761330"/>
    <w:rsid w:val="00770388"/>
    <w:rsid w:val="00771452"/>
    <w:rsid w:val="007726DC"/>
    <w:rsid w:val="0077429F"/>
    <w:rsid w:val="00781485"/>
    <w:rsid w:val="0078284C"/>
    <w:rsid w:val="00784A81"/>
    <w:rsid w:val="00785E9E"/>
    <w:rsid w:val="0078686A"/>
    <w:rsid w:val="00790E05"/>
    <w:rsid w:val="00792827"/>
    <w:rsid w:val="00792D97"/>
    <w:rsid w:val="00794BB2"/>
    <w:rsid w:val="007A131B"/>
    <w:rsid w:val="007A4F6B"/>
    <w:rsid w:val="007B296D"/>
    <w:rsid w:val="007C39A5"/>
    <w:rsid w:val="007C3B88"/>
    <w:rsid w:val="007C7132"/>
    <w:rsid w:val="007D3A92"/>
    <w:rsid w:val="007D56A9"/>
    <w:rsid w:val="007E1E98"/>
    <w:rsid w:val="007E49BB"/>
    <w:rsid w:val="007E4AFE"/>
    <w:rsid w:val="007E677F"/>
    <w:rsid w:val="007E77C2"/>
    <w:rsid w:val="007F152A"/>
    <w:rsid w:val="007F1E0E"/>
    <w:rsid w:val="007F2531"/>
    <w:rsid w:val="007F2B9F"/>
    <w:rsid w:val="007F3E33"/>
    <w:rsid w:val="008029A5"/>
    <w:rsid w:val="00803633"/>
    <w:rsid w:val="008037D1"/>
    <w:rsid w:val="00806558"/>
    <w:rsid w:val="008101FF"/>
    <w:rsid w:val="008117C5"/>
    <w:rsid w:val="00812AEE"/>
    <w:rsid w:val="0081348F"/>
    <w:rsid w:val="00814BA9"/>
    <w:rsid w:val="00814E09"/>
    <w:rsid w:val="00815B17"/>
    <w:rsid w:val="00816F64"/>
    <w:rsid w:val="00817420"/>
    <w:rsid w:val="008200C2"/>
    <w:rsid w:val="008225CD"/>
    <w:rsid w:val="00824E11"/>
    <w:rsid w:val="00825E8C"/>
    <w:rsid w:val="00826AFB"/>
    <w:rsid w:val="00827B79"/>
    <w:rsid w:val="00831AF9"/>
    <w:rsid w:val="00832CD8"/>
    <w:rsid w:val="008334AD"/>
    <w:rsid w:val="00833C89"/>
    <w:rsid w:val="00834706"/>
    <w:rsid w:val="00834B48"/>
    <w:rsid w:val="00834E14"/>
    <w:rsid w:val="008358F2"/>
    <w:rsid w:val="008379AB"/>
    <w:rsid w:val="00843964"/>
    <w:rsid w:val="00846651"/>
    <w:rsid w:val="0084777C"/>
    <w:rsid w:val="0085081B"/>
    <w:rsid w:val="0085397C"/>
    <w:rsid w:val="0085582B"/>
    <w:rsid w:val="00857281"/>
    <w:rsid w:val="00860F96"/>
    <w:rsid w:val="00860FE6"/>
    <w:rsid w:val="00861172"/>
    <w:rsid w:val="00862C80"/>
    <w:rsid w:val="00863314"/>
    <w:rsid w:val="0086433F"/>
    <w:rsid w:val="00864846"/>
    <w:rsid w:val="008729DF"/>
    <w:rsid w:val="008766DC"/>
    <w:rsid w:val="00876AF1"/>
    <w:rsid w:val="00881826"/>
    <w:rsid w:val="008821D9"/>
    <w:rsid w:val="0088256F"/>
    <w:rsid w:val="00887492"/>
    <w:rsid w:val="008874F8"/>
    <w:rsid w:val="0089041D"/>
    <w:rsid w:val="00890CF7"/>
    <w:rsid w:val="00890FDA"/>
    <w:rsid w:val="008917F9"/>
    <w:rsid w:val="00892F42"/>
    <w:rsid w:val="008A1360"/>
    <w:rsid w:val="008A27AC"/>
    <w:rsid w:val="008A33B3"/>
    <w:rsid w:val="008A3F2D"/>
    <w:rsid w:val="008A5387"/>
    <w:rsid w:val="008A5E86"/>
    <w:rsid w:val="008A6197"/>
    <w:rsid w:val="008A63A7"/>
    <w:rsid w:val="008A7895"/>
    <w:rsid w:val="008B1CED"/>
    <w:rsid w:val="008B243E"/>
    <w:rsid w:val="008B4118"/>
    <w:rsid w:val="008B4441"/>
    <w:rsid w:val="008B5B56"/>
    <w:rsid w:val="008B7A9C"/>
    <w:rsid w:val="008C23B3"/>
    <w:rsid w:val="008C673D"/>
    <w:rsid w:val="008C6FC6"/>
    <w:rsid w:val="008C752B"/>
    <w:rsid w:val="008D07DC"/>
    <w:rsid w:val="008D2F7D"/>
    <w:rsid w:val="008E0480"/>
    <w:rsid w:val="008E3CB5"/>
    <w:rsid w:val="008E5D05"/>
    <w:rsid w:val="008F11A9"/>
    <w:rsid w:val="008F23DA"/>
    <w:rsid w:val="008F2D2D"/>
    <w:rsid w:val="008F42C3"/>
    <w:rsid w:val="00901366"/>
    <w:rsid w:val="009055A6"/>
    <w:rsid w:val="0090574E"/>
    <w:rsid w:val="00906385"/>
    <w:rsid w:val="00914FF6"/>
    <w:rsid w:val="00920A73"/>
    <w:rsid w:val="0092206D"/>
    <w:rsid w:val="00922D7C"/>
    <w:rsid w:val="00927B67"/>
    <w:rsid w:val="00931F76"/>
    <w:rsid w:val="00932F90"/>
    <w:rsid w:val="00933CFB"/>
    <w:rsid w:val="00934889"/>
    <w:rsid w:val="00937ABF"/>
    <w:rsid w:val="00941AAF"/>
    <w:rsid w:val="009431BC"/>
    <w:rsid w:val="00943657"/>
    <w:rsid w:val="00943B74"/>
    <w:rsid w:val="00943EFB"/>
    <w:rsid w:val="00944329"/>
    <w:rsid w:val="00944573"/>
    <w:rsid w:val="00946007"/>
    <w:rsid w:val="00950264"/>
    <w:rsid w:val="0095054B"/>
    <w:rsid w:val="00953019"/>
    <w:rsid w:val="00953392"/>
    <w:rsid w:val="00955B8C"/>
    <w:rsid w:val="0095655F"/>
    <w:rsid w:val="00962EDA"/>
    <w:rsid w:val="009631A4"/>
    <w:rsid w:val="00963EF0"/>
    <w:rsid w:val="00965FA9"/>
    <w:rsid w:val="00971C12"/>
    <w:rsid w:val="009725A4"/>
    <w:rsid w:val="0097279C"/>
    <w:rsid w:val="00972D42"/>
    <w:rsid w:val="00972D43"/>
    <w:rsid w:val="00973B54"/>
    <w:rsid w:val="00973D6D"/>
    <w:rsid w:val="00974C2A"/>
    <w:rsid w:val="00974E6B"/>
    <w:rsid w:val="00975224"/>
    <w:rsid w:val="009817B6"/>
    <w:rsid w:val="00983BD8"/>
    <w:rsid w:val="00983F58"/>
    <w:rsid w:val="00985AE6"/>
    <w:rsid w:val="00985F17"/>
    <w:rsid w:val="00990FBB"/>
    <w:rsid w:val="00992880"/>
    <w:rsid w:val="009945F9"/>
    <w:rsid w:val="009A293D"/>
    <w:rsid w:val="009A47AA"/>
    <w:rsid w:val="009A611B"/>
    <w:rsid w:val="009B030F"/>
    <w:rsid w:val="009B12CA"/>
    <w:rsid w:val="009B31C5"/>
    <w:rsid w:val="009B487B"/>
    <w:rsid w:val="009C1CAD"/>
    <w:rsid w:val="009C4247"/>
    <w:rsid w:val="009C4B91"/>
    <w:rsid w:val="009C6497"/>
    <w:rsid w:val="009C7459"/>
    <w:rsid w:val="009C7554"/>
    <w:rsid w:val="009D245E"/>
    <w:rsid w:val="009D4A07"/>
    <w:rsid w:val="009D51D9"/>
    <w:rsid w:val="009D525A"/>
    <w:rsid w:val="009E1A7A"/>
    <w:rsid w:val="009E1C05"/>
    <w:rsid w:val="009E3FDA"/>
    <w:rsid w:val="009E6326"/>
    <w:rsid w:val="009E669A"/>
    <w:rsid w:val="009E7705"/>
    <w:rsid w:val="009E7D04"/>
    <w:rsid w:val="009F28B7"/>
    <w:rsid w:val="009F7B1C"/>
    <w:rsid w:val="00A012F5"/>
    <w:rsid w:val="00A01D89"/>
    <w:rsid w:val="00A06C03"/>
    <w:rsid w:val="00A07EF4"/>
    <w:rsid w:val="00A07F34"/>
    <w:rsid w:val="00A1006C"/>
    <w:rsid w:val="00A11705"/>
    <w:rsid w:val="00A13352"/>
    <w:rsid w:val="00A20D5C"/>
    <w:rsid w:val="00A278B8"/>
    <w:rsid w:val="00A27958"/>
    <w:rsid w:val="00A30556"/>
    <w:rsid w:val="00A329BD"/>
    <w:rsid w:val="00A340E2"/>
    <w:rsid w:val="00A35EE1"/>
    <w:rsid w:val="00A3787D"/>
    <w:rsid w:val="00A46764"/>
    <w:rsid w:val="00A46E4D"/>
    <w:rsid w:val="00A47586"/>
    <w:rsid w:val="00A50BF9"/>
    <w:rsid w:val="00A50C5A"/>
    <w:rsid w:val="00A514F5"/>
    <w:rsid w:val="00A51F74"/>
    <w:rsid w:val="00A5277C"/>
    <w:rsid w:val="00A53DD5"/>
    <w:rsid w:val="00A54C5C"/>
    <w:rsid w:val="00A56082"/>
    <w:rsid w:val="00A565F0"/>
    <w:rsid w:val="00A573D1"/>
    <w:rsid w:val="00A60257"/>
    <w:rsid w:val="00A629DD"/>
    <w:rsid w:val="00A65326"/>
    <w:rsid w:val="00A729B2"/>
    <w:rsid w:val="00A72E13"/>
    <w:rsid w:val="00A73635"/>
    <w:rsid w:val="00A73761"/>
    <w:rsid w:val="00A73777"/>
    <w:rsid w:val="00A77195"/>
    <w:rsid w:val="00A774A0"/>
    <w:rsid w:val="00A862B6"/>
    <w:rsid w:val="00A910A7"/>
    <w:rsid w:val="00A9126D"/>
    <w:rsid w:val="00A92BCB"/>
    <w:rsid w:val="00A92EAE"/>
    <w:rsid w:val="00A940C0"/>
    <w:rsid w:val="00AA3F9D"/>
    <w:rsid w:val="00AB12AD"/>
    <w:rsid w:val="00AB1388"/>
    <w:rsid w:val="00AB287E"/>
    <w:rsid w:val="00AB3B33"/>
    <w:rsid w:val="00AB7020"/>
    <w:rsid w:val="00AC09FE"/>
    <w:rsid w:val="00AC0B45"/>
    <w:rsid w:val="00AC2F7B"/>
    <w:rsid w:val="00AC4A52"/>
    <w:rsid w:val="00AC4D00"/>
    <w:rsid w:val="00AC521A"/>
    <w:rsid w:val="00AC63A3"/>
    <w:rsid w:val="00AD03AA"/>
    <w:rsid w:val="00AD219C"/>
    <w:rsid w:val="00AD666F"/>
    <w:rsid w:val="00AD7B09"/>
    <w:rsid w:val="00AE12A1"/>
    <w:rsid w:val="00AE3056"/>
    <w:rsid w:val="00AE5640"/>
    <w:rsid w:val="00AE6D66"/>
    <w:rsid w:val="00AE700D"/>
    <w:rsid w:val="00AF2CEF"/>
    <w:rsid w:val="00AF48B7"/>
    <w:rsid w:val="00AF50B7"/>
    <w:rsid w:val="00AF6183"/>
    <w:rsid w:val="00AF6C76"/>
    <w:rsid w:val="00AF75E9"/>
    <w:rsid w:val="00B002E2"/>
    <w:rsid w:val="00B004E3"/>
    <w:rsid w:val="00B023C9"/>
    <w:rsid w:val="00B023EE"/>
    <w:rsid w:val="00B04085"/>
    <w:rsid w:val="00B053FB"/>
    <w:rsid w:val="00B05D29"/>
    <w:rsid w:val="00B06D7D"/>
    <w:rsid w:val="00B07069"/>
    <w:rsid w:val="00B07829"/>
    <w:rsid w:val="00B10579"/>
    <w:rsid w:val="00B11703"/>
    <w:rsid w:val="00B14C1F"/>
    <w:rsid w:val="00B16529"/>
    <w:rsid w:val="00B17743"/>
    <w:rsid w:val="00B178C4"/>
    <w:rsid w:val="00B23E55"/>
    <w:rsid w:val="00B33744"/>
    <w:rsid w:val="00B35C5F"/>
    <w:rsid w:val="00B369CB"/>
    <w:rsid w:val="00B375C8"/>
    <w:rsid w:val="00B400EC"/>
    <w:rsid w:val="00B41204"/>
    <w:rsid w:val="00B434C2"/>
    <w:rsid w:val="00B452AA"/>
    <w:rsid w:val="00B45F0A"/>
    <w:rsid w:val="00B46259"/>
    <w:rsid w:val="00B4689A"/>
    <w:rsid w:val="00B47230"/>
    <w:rsid w:val="00B5048E"/>
    <w:rsid w:val="00B50581"/>
    <w:rsid w:val="00B50BD9"/>
    <w:rsid w:val="00B50C67"/>
    <w:rsid w:val="00B54F2A"/>
    <w:rsid w:val="00B55939"/>
    <w:rsid w:val="00B559FC"/>
    <w:rsid w:val="00B615D8"/>
    <w:rsid w:val="00B62F1A"/>
    <w:rsid w:val="00B65A02"/>
    <w:rsid w:val="00B65E13"/>
    <w:rsid w:val="00B65FFD"/>
    <w:rsid w:val="00B661F3"/>
    <w:rsid w:val="00B66CE8"/>
    <w:rsid w:val="00B707C6"/>
    <w:rsid w:val="00B7095C"/>
    <w:rsid w:val="00B70ABA"/>
    <w:rsid w:val="00B72BBC"/>
    <w:rsid w:val="00B73491"/>
    <w:rsid w:val="00B749B4"/>
    <w:rsid w:val="00B74B2D"/>
    <w:rsid w:val="00B7592D"/>
    <w:rsid w:val="00B75C91"/>
    <w:rsid w:val="00B82771"/>
    <w:rsid w:val="00B8326E"/>
    <w:rsid w:val="00B8485B"/>
    <w:rsid w:val="00B85229"/>
    <w:rsid w:val="00B9297A"/>
    <w:rsid w:val="00B92E53"/>
    <w:rsid w:val="00B933C2"/>
    <w:rsid w:val="00B974C8"/>
    <w:rsid w:val="00BA2739"/>
    <w:rsid w:val="00BA2C63"/>
    <w:rsid w:val="00BA53AC"/>
    <w:rsid w:val="00BA57FE"/>
    <w:rsid w:val="00BB08E0"/>
    <w:rsid w:val="00BB417C"/>
    <w:rsid w:val="00BB5BDD"/>
    <w:rsid w:val="00BB615A"/>
    <w:rsid w:val="00BC063A"/>
    <w:rsid w:val="00BC2E9C"/>
    <w:rsid w:val="00BC3164"/>
    <w:rsid w:val="00BC3C66"/>
    <w:rsid w:val="00BC54AB"/>
    <w:rsid w:val="00BD01E3"/>
    <w:rsid w:val="00BD14BF"/>
    <w:rsid w:val="00BD3A58"/>
    <w:rsid w:val="00BD4EFC"/>
    <w:rsid w:val="00BE04B6"/>
    <w:rsid w:val="00BE1F04"/>
    <w:rsid w:val="00BE3443"/>
    <w:rsid w:val="00BF7F43"/>
    <w:rsid w:val="00C00089"/>
    <w:rsid w:val="00C02A51"/>
    <w:rsid w:val="00C03112"/>
    <w:rsid w:val="00C03129"/>
    <w:rsid w:val="00C04F31"/>
    <w:rsid w:val="00C06CF7"/>
    <w:rsid w:val="00C113C6"/>
    <w:rsid w:val="00C136C0"/>
    <w:rsid w:val="00C15865"/>
    <w:rsid w:val="00C2440D"/>
    <w:rsid w:val="00C258CE"/>
    <w:rsid w:val="00C263C5"/>
    <w:rsid w:val="00C310D5"/>
    <w:rsid w:val="00C313C1"/>
    <w:rsid w:val="00C34B84"/>
    <w:rsid w:val="00C35698"/>
    <w:rsid w:val="00C3781E"/>
    <w:rsid w:val="00C40966"/>
    <w:rsid w:val="00C41778"/>
    <w:rsid w:val="00C42272"/>
    <w:rsid w:val="00C42A21"/>
    <w:rsid w:val="00C42E41"/>
    <w:rsid w:val="00C4421B"/>
    <w:rsid w:val="00C476EF"/>
    <w:rsid w:val="00C47737"/>
    <w:rsid w:val="00C512D9"/>
    <w:rsid w:val="00C514A5"/>
    <w:rsid w:val="00C519AA"/>
    <w:rsid w:val="00C54C85"/>
    <w:rsid w:val="00C554D2"/>
    <w:rsid w:val="00C55858"/>
    <w:rsid w:val="00C56486"/>
    <w:rsid w:val="00C5672F"/>
    <w:rsid w:val="00C567B2"/>
    <w:rsid w:val="00C574BE"/>
    <w:rsid w:val="00C57B44"/>
    <w:rsid w:val="00C62440"/>
    <w:rsid w:val="00C654D9"/>
    <w:rsid w:val="00C656E5"/>
    <w:rsid w:val="00C70948"/>
    <w:rsid w:val="00C70EF5"/>
    <w:rsid w:val="00C72138"/>
    <w:rsid w:val="00C726A0"/>
    <w:rsid w:val="00C73BFD"/>
    <w:rsid w:val="00C74D19"/>
    <w:rsid w:val="00C811F5"/>
    <w:rsid w:val="00C841AB"/>
    <w:rsid w:val="00C85198"/>
    <w:rsid w:val="00C8554A"/>
    <w:rsid w:val="00C8681B"/>
    <w:rsid w:val="00C879F8"/>
    <w:rsid w:val="00C90E5C"/>
    <w:rsid w:val="00C912BA"/>
    <w:rsid w:val="00C92EBF"/>
    <w:rsid w:val="00C93BC6"/>
    <w:rsid w:val="00C93D0E"/>
    <w:rsid w:val="00C955D6"/>
    <w:rsid w:val="00CA018F"/>
    <w:rsid w:val="00CA604E"/>
    <w:rsid w:val="00CB0624"/>
    <w:rsid w:val="00CB0694"/>
    <w:rsid w:val="00CB14BE"/>
    <w:rsid w:val="00CB280E"/>
    <w:rsid w:val="00CB6615"/>
    <w:rsid w:val="00CB6CE6"/>
    <w:rsid w:val="00CC1F12"/>
    <w:rsid w:val="00CC33BE"/>
    <w:rsid w:val="00CC3B84"/>
    <w:rsid w:val="00CC55FB"/>
    <w:rsid w:val="00CD0446"/>
    <w:rsid w:val="00CD2CFA"/>
    <w:rsid w:val="00CD3A63"/>
    <w:rsid w:val="00CD3A9D"/>
    <w:rsid w:val="00CE0487"/>
    <w:rsid w:val="00CE3197"/>
    <w:rsid w:val="00CE33A4"/>
    <w:rsid w:val="00CE4CA7"/>
    <w:rsid w:val="00CE6077"/>
    <w:rsid w:val="00CF27D5"/>
    <w:rsid w:val="00CF3BE5"/>
    <w:rsid w:val="00CF60FB"/>
    <w:rsid w:val="00D0115C"/>
    <w:rsid w:val="00D0487F"/>
    <w:rsid w:val="00D1271A"/>
    <w:rsid w:val="00D1363D"/>
    <w:rsid w:val="00D14E74"/>
    <w:rsid w:val="00D176D8"/>
    <w:rsid w:val="00D21041"/>
    <w:rsid w:val="00D2143D"/>
    <w:rsid w:val="00D2273C"/>
    <w:rsid w:val="00D26176"/>
    <w:rsid w:val="00D30847"/>
    <w:rsid w:val="00D40FD4"/>
    <w:rsid w:val="00D44EEB"/>
    <w:rsid w:val="00D5023F"/>
    <w:rsid w:val="00D5200E"/>
    <w:rsid w:val="00D538FB"/>
    <w:rsid w:val="00D54627"/>
    <w:rsid w:val="00D56072"/>
    <w:rsid w:val="00D570E2"/>
    <w:rsid w:val="00D6021B"/>
    <w:rsid w:val="00D603F0"/>
    <w:rsid w:val="00D62A4C"/>
    <w:rsid w:val="00D64EC1"/>
    <w:rsid w:val="00D710FA"/>
    <w:rsid w:val="00D71157"/>
    <w:rsid w:val="00D72BC5"/>
    <w:rsid w:val="00D72D75"/>
    <w:rsid w:val="00D72F5A"/>
    <w:rsid w:val="00D7526D"/>
    <w:rsid w:val="00D756B7"/>
    <w:rsid w:val="00D75A5E"/>
    <w:rsid w:val="00D75DAF"/>
    <w:rsid w:val="00D7699E"/>
    <w:rsid w:val="00D76DDA"/>
    <w:rsid w:val="00D80784"/>
    <w:rsid w:val="00D8339A"/>
    <w:rsid w:val="00D8498C"/>
    <w:rsid w:val="00D85606"/>
    <w:rsid w:val="00D8713F"/>
    <w:rsid w:val="00D87C7E"/>
    <w:rsid w:val="00D90C89"/>
    <w:rsid w:val="00D90F75"/>
    <w:rsid w:val="00D91CA5"/>
    <w:rsid w:val="00D929FF"/>
    <w:rsid w:val="00D954CB"/>
    <w:rsid w:val="00D95DD4"/>
    <w:rsid w:val="00DA0F87"/>
    <w:rsid w:val="00DA15E2"/>
    <w:rsid w:val="00DA5F5A"/>
    <w:rsid w:val="00DB0C96"/>
    <w:rsid w:val="00DB321E"/>
    <w:rsid w:val="00DB3C04"/>
    <w:rsid w:val="00DB58DA"/>
    <w:rsid w:val="00DC3FEB"/>
    <w:rsid w:val="00DC63DE"/>
    <w:rsid w:val="00DD2679"/>
    <w:rsid w:val="00DD7092"/>
    <w:rsid w:val="00DD737B"/>
    <w:rsid w:val="00DE21A5"/>
    <w:rsid w:val="00DE3311"/>
    <w:rsid w:val="00DF10E3"/>
    <w:rsid w:val="00DF22FF"/>
    <w:rsid w:val="00DF2E26"/>
    <w:rsid w:val="00DF3F76"/>
    <w:rsid w:val="00DF57CF"/>
    <w:rsid w:val="00E02953"/>
    <w:rsid w:val="00E0591C"/>
    <w:rsid w:val="00E2136F"/>
    <w:rsid w:val="00E220EF"/>
    <w:rsid w:val="00E22D19"/>
    <w:rsid w:val="00E245FD"/>
    <w:rsid w:val="00E24645"/>
    <w:rsid w:val="00E2602A"/>
    <w:rsid w:val="00E2705D"/>
    <w:rsid w:val="00E3242F"/>
    <w:rsid w:val="00E34262"/>
    <w:rsid w:val="00E41F8F"/>
    <w:rsid w:val="00E44418"/>
    <w:rsid w:val="00E5183B"/>
    <w:rsid w:val="00E52909"/>
    <w:rsid w:val="00E53040"/>
    <w:rsid w:val="00E53C3C"/>
    <w:rsid w:val="00E54734"/>
    <w:rsid w:val="00E5586E"/>
    <w:rsid w:val="00E56CA5"/>
    <w:rsid w:val="00E60EF7"/>
    <w:rsid w:val="00E62BDA"/>
    <w:rsid w:val="00E6490E"/>
    <w:rsid w:val="00E64EAA"/>
    <w:rsid w:val="00E67596"/>
    <w:rsid w:val="00E70AE9"/>
    <w:rsid w:val="00E72B83"/>
    <w:rsid w:val="00E73045"/>
    <w:rsid w:val="00E74051"/>
    <w:rsid w:val="00E745ED"/>
    <w:rsid w:val="00E769B6"/>
    <w:rsid w:val="00E84585"/>
    <w:rsid w:val="00E87AFD"/>
    <w:rsid w:val="00E87EDF"/>
    <w:rsid w:val="00E97529"/>
    <w:rsid w:val="00EA0F7D"/>
    <w:rsid w:val="00EA1603"/>
    <w:rsid w:val="00EA28A3"/>
    <w:rsid w:val="00EA657F"/>
    <w:rsid w:val="00EA7E0C"/>
    <w:rsid w:val="00EB0F02"/>
    <w:rsid w:val="00EB2A9E"/>
    <w:rsid w:val="00EB435B"/>
    <w:rsid w:val="00EC0BE9"/>
    <w:rsid w:val="00EC1B6E"/>
    <w:rsid w:val="00EC1E63"/>
    <w:rsid w:val="00EC2220"/>
    <w:rsid w:val="00EC322D"/>
    <w:rsid w:val="00EC4563"/>
    <w:rsid w:val="00EC4901"/>
    <w:rsid w:val="00EC6C76"/>
    <w:rsid w:val="00ED174E"/>
    <w:rsid w:val="00ED2064"/>
    <w:rsid w:val="00ED3532"/>
    <w:rsid w:val="00ED3D14"/>
    <w:rsid w:val="00ED42C5"/>
    <w:rsid w:val="00ED49F6"/>
    <w:rsid w:val="00EE1B21"/>
    <w:rsid w:val="00EE41C0"/>
    <w:rsid w:val="00EE61C1"/>
    <w:rsid w:val="00EF012B"/>
    <w:rsid w:val="00EF16C2"/>
    <w:rsid w:val="00EF31AE"/>
    <w:rsid w:val="00EF70E4"/>
    <w:rsid w:val="00EF79E3"/>
    <w:rsid w:val="00F00A00"/>
    <w:rsid w:val="00F0220B"/>
    <w:rsid w:val="00F02763"/>
    <w:rsid w:val="00F05A87"/>
    <w:rsid w:val="00F06511"/>
    <w:rsid w:val="00F10AEF"/>
    <w:rsid w:val="00F210F0"/>
    <w:rsid w:val="00F24AFA"/>
    <w:rsid w:val="00F251ED"/>
    <w:rsid w:val="00F25E59"/>
    <w:rsid w:val="00F260B2"/>
    <w:rsid w:val="00F26BAF"/>
    <w:rsid w:val="00F32A20"/>
    <w:rsid w:val="00F32DE9"/>
    <w:rsid w:val="00F3463A"/>
    <w:rsid w:val="00F3465A"/>
    <w:rsid w:val="00F36632"/>
    <w:rsid w:val="00F37386"/>
    <w:rsid w:val="00F40B6F"/>
    <w:rsid w:val="00F4167B"/>
    <w:rsid w:val="00F4285B"/>
    <w:rsid w:val="00F4623D"/>
    <w:rsid w:val="00F462BD"/>
    <w:rsid w:val="00F46416"/>
    <w:rsid w:val="00F478E5"/>
    <w:rsid w:val="00F5084A"/>
    <w:rsid w:val="00F50A13"/>
    <w:rsid w:val="00F52AC7"/>
    <w:rsid w:val="00F548BA"/>
    <w:rsid w:val="00F5607A"/>
    <w:rsid w:val="00F56181"/>
    <w:rsid w:val="00F60E02"/>
    <w:rsid w:val="00F63F04"/>
    <w:rsid w:val="00F65E94"/>
    <w:rsid w:val="00F6723D"/>
    <w:rsid w:val="00F67A08"/>
    <w:rsid w:val="00F7094D"/>
    <w:rsid w:val="00F7138D"/>
    <w:rsid w:val="00F71A7F"/>
    <w:rsid w:val="00F736C5"/>
    <w:rsid w:val="00F7655C"/>
    <w:rsid w:val="00F80588"/>
    <w:rsid w:val="00F80BFD"/>
    <w:rsid w:val="00F83BD9"/>
    <w:rsid w:val="00F8401A"/>
    <w:rsid w:val="00F85C18"/>
    <w:rsid w:val="00F87E42"/>
    <w:rsid w:val="00F87E7E"/>
    <w:rsid w:val="00F92E9A"/>
    <w:rsid w:val="00F94D6D"/>
    <w:rsid w:val="00F95568"/>
    <w:rsid w:val="00FA1FAC"/>
    <w:rsid w:val="00FA3D82"/>
    <w:rsid w:val="00FA50F2"/>
    <w:rsid w:val="00FA6394"/>
    <w:rsid w:val="00FA6DBC"/>
    <w:rsid w:val="00FB1A41"/>
    <w:rsid w:val="00FB4031"/>
    <w:rsid w:val="00FB6898"/>
    <w:rsid w:val="00FB7413"/>
    <w:rsid w:val="00FC4560"/>
    <w:rsid w:val="00FC4BA1"/>
    <w:rsid w:val="00FC58D9"/>
    <w:rsid w:val="00FC653B"/>
    <w:rsid w:val="00FC68AE"/>
    <w:rsid w:val="00FD169D"/>
    <w:rsid w:val="00FD4994"/>
    <w:rsid w:val="00FD4CA1"/>
    <w:rsid w:val="00FD7E3E"/>
    <w:rsid w:val="00FE0939"/>
    <w:rsid w:val="00FE535B"/>
    <w:rsid w:val="00FE7E01"/>
    <w:rsid w:val="00FF29BE"/>
    <w:rsid w:val="00FF3722"/>
    <w:rsid w:val="00FF39BA"/>
    <w:rsid w:val="00FF422F"/>
    <w:rsid w:val="00FF43FC"/>
    <w:rsid w:val="00FF5854"/>
    <w:rsid w:val="00FF7041"/>
    <w:rsid w:val="00FF77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5E86"/>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BD4EF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ListParagraph"/>
    <w:next w:val="Normal"/>
    <w:link w:val="Heading2Char"/>
    <w:uiPriority w:val="9"/>
    <w:unhideWhenUsed/>
    <w:qFormat/>
    <w:rsid w:val="00545A3B"/>
    <w:pPr>
      <w:numPr>
        <w:ilvl w:val="1"/>
        <w:numId w:val="11"/>
      </w:numPr>
      <w:jc w:val="both"/>
      <w:outlineLvl w:val="1"/>
    </w:pPr>
    <w:rPr>
      <w:b/>
      <w:color w:val="000000" w:themeColor="text1"/>
    </w:rPr>
  </w:style>
  <w:style w:type="paragraph" w:styleId="Heading3">
    <w:name w:val="heading 3"/>
    <w:basedOn w:val="ListParagraph"/>
    <w:next w:val="Normal"/>
    <w:link w:val="Heading3Char"/>
    <w:uiPriority w:val="9"/>
    <w:unhideWhenUsed/>
    <w:qFormat/>
    <w:rsid w:val="00F7094D"/>
    <w:pPr>
      <w:ind w:left="0"/>
      <w:jc w:val="both"/>
      <w:outlineLvl w:val="2"/>
    </w:pPr>
    <w:rPr>
      <w:b/>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92E53"/>
    <w:pPr>
      <w:ind w:left="720"/>
      <w:contextualSpacing/>
    </w:pPr>
  </w:style>
  <w:style w:type="paragraph" w:styleId="NormalWeb">
    <w:name w:val="Normal (Web)"/>
    <w:basedOn w:val="Normal"/>
    <w:uiPriority w:val="99"/>
    <w:unhideWhenUsed/>
    <w:rsid w:val="008379AB"/>
    <w:pPr>
      <w:spacing w:before="100" w:beforeAutospacing="1" w:after="100" w:afterAutospacing="1"/>
    </w:pPr>
  </w:style>
  <w:style w:type="character" w:styleId="Strong">
    <w:name w:val="Strong"/>
    <w:basedOn w:val="DefaultParagraphFont"/>
    <w:uiPriority w:val="22"/>
    <w:qFormat/>
    <w:rsid w:val="008379AB"/>
    <w:rPr>
      <w:b/>
      <w:bCs/>
    </w:rPr>
  </w:style>
  <w:style w:type="character" w:styleId="Hyperlink">
    <w:name w:val="Hyperlink"/>
    <w:basedOn w:val="DefaultParagraphFont"/>
    <w:uiPriority w:val="99"/>
    <w:unhideWhenUsed/>
    <w:rsid w:val="008379AB"/>
    <w:rPr>
      <w:color w:val="0000FF" w:themeColor="hyperlink"/>
      <w:u w:val="single"/>
    </w:rPr>
  </w:style>
  <w:style w:type="character" w:styleId="PlaceholderText">
    <w:name w:val="Placeholder Text"/>
    <w:basedOn w:val="DefaultParagraphFont"/>
    <w:uiPriority w:val="99"/>
    <w:semiHidden/>
    <w:rsid w:val="00725687"/>
    <w:rPr>
      <w:color w:val="808080"/>
    </w:rPr>
  </w:style>
  <w:style w:type="paragraph" w:styleId="BalloonText">
    <w:name w:val="Balloon Text"/>
    <w:basedOn w:val="Normal"/>
    <w:link w:val="BalloonTextChar"/>
    <w:uiPriority w:val="99"/>
    <w:semiHidden/>
    <w:unhideWhenUsed/>
    <w:rsid w:val="00725687"/>
    <w:rPr>
      <w:rFonts w:ascii="Tahoma" w:hAnsi="Tahoma" w:cs="Tahoma"/>
      <w:sz w:val="16"/>
      <w:szCs w:val="16"/>
    </w:rPr>
  </w:style>
  <w:style w:type="character" w:customStyle="1" w:styleId="BalloonTextChar">
    <w:name w:val="Balloon Text Char"/>
    <w:basedOn w:val="DefaultParagraphFont"/>
    <w:link w:val="BalloonText"/>
    <w:uiPriority w:val="99"/>
    <w:semiHidden/>
    <w:rsid w:val="00725687"/>
    <w:rPr>
      <w:rFonts w:ascii="Tahoma" w:hAnsi="Tahoma" w:cs="Tahoma"/>
      <w:sz w:val="16"/>
      <w:szCs w:val="16"/>
    </w:rPr>
  </w:style>
  <w:style w:type="character" w:customStyle="1" w:styleId="pageheading">
    <w:name w:val="pageheading"/>
    <w:basedOn w:val="DefaultParagraphFont"/>
    <w:rsid w:val="008A5E86"/>
  </w:style>
  <w:style w:type="character" w:customStyle="1" w:styleId="apple-converted-space">
    <w:name w:val="apple-converted-space"/>
    <w:basedOn w:val="DefaultParagraphFont"/>
    <w:rsid w:val="008A5E86"/>
  </w:style>
  <w:style w:type="character" w:customStyle="1" w:styleId="prevyear">
    <w:name w:val="prevyear"/>
    <w:basedOn w:val="DefaultParagraphFont"/>
    <w:rsid w:val="008A5E86"/>
  </w:style>
  <w:style w:type="paragraph" w:styleId="Header">
    <w:name w:val="header"/>
    <w:basedOn w:val="Normal"/>
    <w:link w:val="HeaderChar"/>
    <w:uiPriority w:val="99"/>
    <w:unhideWhenUsed/>
    <w:rsid w:val="00541F37"/>
    <w:pPr>
      <w:tabs>
        <w:tab w:val="center" w:pos="4680"/>
        <w:tab w:val="right" w:pos="9360"/>
      </w:tabs>
    </w:pPr>
  </w:style>
  <w:style w:type="character" w:customStyle="1" w:styleId="HeaderChar">
    <w:name w:val="Header Char"/>
    <w:basedOn w:val="DefaultParagraphFont"/>
    <w:link w:val="Header"/>
    <w:uiPriority w:val="99"/>
    <w:rsid w:val="00541F37"/>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541F37"/>
    <w:pPr>
      <w:tabs>
        <w:tab w:val="center" w:pos="4680"/>
        <w:tab w:val="right" w:pos="9360"/>
      </w:tabs>
    </w:pPr>
  </w:style>
  <w:style w:type="character" w:customStyle="1" w:styleId="FooterChar">
    <w:name w:val="Footer Char"/>
    <w:basedOn w:val="DefaultParagraphFont"/>
    <w:link w:val="Footer"/>
    <w:uiPriority w:val="99"/>
    <w:rsid w:val="00541F37"/>
    <w:rPr>
      <w:rFonts w:ascii="Times New Roman" w:eastAsia="Times New Roman" w:hAnsi="Times New Roman" w:cs="Times New Roman"/>
      <w:sz w:val="24"/>
      <w:szCs w:val="24"/>
    </w:rPr>
  </w:style>
  <w:style w:type="paragraph" w:customStyle="1" w:styleId="Style1">
    <w:name w:val="Style1"/>
    <w:basedOn w:val="Normal"/>
    <w:link w:val="Style1Char"/>
    <w:qFormat/>
    <w:rsid w:val="00CE3197"/>
    <w:rPr>
      <w:b/>
      <w:color w:val="000000" w:themeColor="text1"/>
    </w:rPr>
  </w:style>
  <w:style w:type="character" w:customStyle="1" w:styleId="Heading1Char">
    <w:name w:val="Heading 1 Char"/>
    <w:basedOn w:val="DefaultParagraphFont"/>
    <w:link w:val="Heading1"/>
    <w:uiPriority w:val="9"/>
    <w:rsid w:val="00BD4EFC"/>
    <w:rPr>
      <w:rFonts w:asciiTheme="majorHAnsi" w:eastAsiaTheme="majorEastAsia" w:hAnsiTheme="majorHAnsi" w:cstheme="majorBidi"/>
      <w:b/>
      <w:bCs/>
      <w:color w:val="365F91" w:themeColor="accent1" w:themeShade="BF"/>
      <w:sz w:val="28"/>
      <w:szCs w:val="28"/>
    </w:rPr>
  </w:style>
  <w:style w:type="character" w:customStyle="1" w:styleId="Style1Char">
    <w:name w:val="Style1 Char"/>
    <w:basedOn w:val="DefaultParagraphFont"/>
    <w:link w:val="Style1"/>
    <w:rsid w:val="00CE3197"/>
    <w:rPr>
      <w:rFonts w:ascii="Times New Roman" w:eastAsia="Times New Roman" w:hAnsi="Times New Roman" w:cs="Times New Roman"/>
      <w:b/>
      <w:color w:val="000000" w:themeColor="text1"/>
      <w:sz w:val="24"/>
      <w:szCs w:val="24"/>
    </w:rPr>
  </w:style>
  <w:style w:type="paragraph" w:styleId="TOCHeading">
    <w:name w:val="TOC Heading"/>
    <w:basedOn w:val="Heading1"/>
    <w:next w:val="Normal"/>
    <w:uiPriority w:val="39"/>
    <w:unhideWhenUsed/>
    <w:qFormat/>
    <w:rsid w:val="00BD4EFC"/>
    <w:pPr>
      <w:spacing w:line="276" w:lineRule="auto"/>
      <w:outlineLvl w:val="9"/>
    </w:pPr>
    <w:rPr>
      <w:lang w:eastAsia="ja-JP"/>
    </w:rPr>
  </w:style>
  <w:style w:type="paragraph" w:styleId="TOC2">
    <w:name w:val="toc 2"/>
    <w:basedOn w:val="Normal"/>
    <w:next w:val="Normal"/>
    <w:autoRedefine/>
    <w:uiPriority w:val="39"/>
    <w:unhideWhenUsed/>
    <w:qFormat/>
    <w:rsid w:val="00BD4EFC"/>
    <w:pPr>
      <w:spacing w:after="100" w:line="276" w:lineRule="auto"/>
      <w:ind w:left="220"/>
    </w:pPr>
    <w:rPr>
      <w:rFonts w:asciiTheme="minorHAnsi" w:eastAsiaTheme="minorEastAsia" w:hAnsiTheme="minorHAnsi" w:cstheme="minorBidi"/>
      <w:sz w:val="22"/>
      <w:szCs w:val="22"/>
      <w:lang w:eastAsia="ja-JP"/>
    </w:rPr>
  </w:style>
  <w:style w:type="paragraph" w:styleId="TOC1">
    <w:name w:val="toc 1"/>
    <w:basedOn w:val="Normal"/>
    <w:next w:val="Normal"/>
    <w:autoRedefine/>
    <w:uiPriority w:val="39"/>
    <w:unhideWhenUsed/>
    <w:qFormat/>
    <w:rsid w:val="00BD4EFC"/>
    <w:pPr>
      <w:spacing w:after="100" w:line="276" w:lineRule="auto"/>
    </w:pPr>
    <w:rPr>
      <w:rFonts w:asciiTheme="minorHAnsi" w:eastAsiaTheme="minorEastAsia" w:hAnsiTheme="minorHAnsi" w:cstheme="minorBidi"/>
      <w:sz w:val="22"/>
      <w:szCs w:val="22"/>
      <w:lang w:eastAsia="ja-JP"/>
    </w:rPr>
  </w:style>
  <w:style w:type="paragraph" w:styleId="TOC3">
    <w:name w:val="toc 3"/>
    <w:basedOn w:val="Normal"/>
    <w:next w:val="Normal"/>
    <w:autoRedefine/>
    <w:uiPriority w:val="39"/>
    <w:unhideWhenUsed/>
    <w:qFormat/>
    <w:rsid w:val="00BD4EFC"/>
    <w:pPr>
      <w:spacing w:after="100" w:line="276" w:lineRule="auto"/>
      <w:ind w:left="440"/>
    </w:pPr>
    <w:rPr>
      <w:rFonts w:asciiTheme="minorHAnsi" w:eastAsiaTheme="minorEastAsia" w:hAnsiTheme="minorHAnsi" w:cstheme="minorBidi"/>
      <w:sz w:val="22"/>
      <w:szCs w:val="22"/>
      <w:lang w:eastAsia="ja-JP"/>
    </w:rPr>
  </w:style>
  <w:style w:type="character" w:customStyle="1" w:styleId="Heading2Char">
    <w:name w:val="Heading 2 Char"/>
    <w:basedOn w:val="DefaultParagraphFont"/>
    <w:link w:val="Heading2"/>
    <w:uiPriority w:val="9"/>
    <w:rsid w:val="00545A3B"/>
    <w:rPr>
      <w:rFonts w:ascii="Times New Roman" w:eastAsia="Times New Roman" w:hAnsi="Times New Roman" w:cs="Times New Roman"/>
      <w:b/>
      <w:color w:val="000000" w:themeColor="text1"/>
      <w:sz w:val="24"/>
      <w:szCs w:val="24"/>
    </w:rPr>
  </w:style>
  <w:style w:type="table" w:customStyle="1" w:styleId="TableGrid1">
    <w:name w:val="Table Grid1"/>
    <w:basedOn w:val="TableNormal"/>
    <w:next w:val="TableGrid"/>
    <w:uiPriority w:val="39"/>
    <w:rsid w:val="000F2C9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0F2C9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F7094D"/>
    <w:rPr>
      <w:rFonts w:ascii="Times New Roman" w:eastAsia="Times New Roman" w:hAnsi="Times New Roman" w:cs="Times New Roman"/>
      <w:b/>
      <w:color w:val="000000" w:themeColor="text1"/>
      <w:sz w:val="24"/>
      <w:szCs w:val="24"/>
    </w:rPr>
  </w:style>
  <w:style w:type="character" w:customStyle="1" w:styleId="ls63">
    <w:name w:val="ls63"/>
    <w:basedOn w:val="DefaultParagraphFont"/>
    <w:rsid w:val="001D7F50"/>
  </w:style>
  <w:style w:type="character" w:customStyle="1" w:styleId="ff3">
    <w:name w:val="ff3"/>
    <w:basedOn w:val="DefaultParagraphFont"/>
    <w:rsid w:val="001D7F50"/>
  </w:style>
  <w:style w:type="character" w:customStyle="1" w:styleId="ls7">
    <w:name w:val="ls7"/>
    <w:basedOn w:val="DefaultParagraphFont"/>
    <w:rsid w:val="001D7F50"/>
  </w:style>
  <w:style w:type="character" w:customStyle="1" w:styleId="ff1">
    <w:name w:val="ff1"/>
    <w:basedOn w:val="DefaultParagraphFont"/>
    <w:rsid w:val="001D7F50"/>
  </w:style>
  <w:style w:type="character" w:customStyle="1" w:styleId="ls16">
    <w:name w:val="ls16"/>
    <w:basedOn w:val="DefaultParagraphFont"/>
    <w:rsid w:val="001D7F50"/>
  </w:style>
  <w:style w:type="table" w:styleId="MediumList1-Accent1">
    <w:name w:val="Medium List 1 Accent 1"/>
    <w:basedOn w:val="TableNormal"/>
    <w:uiPriority w:val="65"/>
    <w:rsid w:val="0029130C"/>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character" w:styleId="CommentReference">
    <w:name w:val="annotation reference"/>
    <w:basedOn w:val="DefaultParagraphFont"/>
    <w:uiPriority w:val="99"/>
    <w:semiHidden/>
    <w:unhideWhenUsed/>
    <w:rsid w:val="001B5A81"/>
    <w:rPr>
      <w:sz w:val="16"/>
      <w:szCs w:val="16"/>
    </w:rPr>
  </w:style>
  <w:style w:type="paragraph" w:styleId="CommentText">
    <w:name w:val="annotation text"/>
    <w:basedOn w:val="Normal"/>
    <w:link w:val="CommentTextChar"/>
    <w:uiPriority w:val="99"/>
    <w:semiHidden/>
    <w:unhideWhenUsed/>
    <w:rsid w:val="001B5A81"/>
    <w:rPr>
      <w:sz w:val="20"/>
      <w:szCs w:val="20"/>
    </w:rPr>
  </w:style>
  <w:style w:type="character" w:customStyle="1" w:styleId="CommentTextChar">
    <w:name w:val="Comment Text Char"/>
    <w:basedOn w:val="DefaultParagraphFont"/>
    <w:link w:val="CommentText"/>
    <w:uiPriority w:val="99"/>
    <w:semiHidden/>
    <w:rsid w:val="001B5A8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1B5A81"/>
    <w:rPr>
      <w:b/>
      <w:bCs/>
    </w:rPr>
  </w:style>
  <w:style w:type="character" w:customStyle="1" w:styleId="CommentSubjectChar">
    <w:name w:val="Comment Subject Char"/>
    <w:basedOn w:val="CommentTextChar"/>
    <w:link w:val="CommentSubject"/>
    <w:uiPriority w:val="99"/>
    <w:semiHidden/>
    <w:rsid w:val="001B5A81"/>
    <w:rPr>
      <w:rFonts w:ascii="Times New Roman" w:eastAsia="Times New Roman" w:hAnsi="Times New Roman" w:cs="Times New Roman"/>
      <w:b/>
      <w:bCs/>
      <w:sz w:val="20"/>
      <w:szCs w:val="20"/>
    </w:rPr>
  </w:style>
  <w:style w:type="paragraph" w:styleId="NoSpacing">
    <w:name w:val="No Spacing"/>
    <w:uiPriority w:val="1"/>
    <w:qFormat/>
    <w:rsid w:val="006A0B43"/>
    <w:pPr>
      <w:spacing w:after="0"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5E86"/>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BD4EF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ListParagraph"/>
    <w:next w:val="Normal"/>
    <w:link w:val="Heading2Char"/>
    <w:uiPriority w:val="9"/>
    <w:unhideWhenUsed/>
    <w:qFormat/>
    <w:rsid w:val="00545A3B"/>
    <w:pPr>
      <w:numPr>
        <w:ilvl w:val="1"/>
        <w:numId w:val="11"/>
      </w:numPr>
      <w:jc w:val="both"/>
      <w:outlineLvl w:val="1"/>
    </w:pPr>
    <w:rPr>
      <w:b/>
      <w:color w:val="000000" w:themeColor="text1"/>
    </w:rPr>
  </w:style>
  <w:style w:type="paragraph" w:styleId="Heading3">
    <w:name w:val="heading 3"/>
    <w:basedOn w:val="ListParagraph"/>
    <w:next w:val="Normal"/>
    <w:link w:val="Heading3Char"/>
    <w:uiPriority w:val="9"/>
    <w:unhideWhenUsed/>
    <w:qFormat/>
    <w:rsid w:val="00F7094D"/>
    <w:pPr>
      <w:ind w:left="0"/>
      <w:jc w:val="both"/>
      <w:outlineLvl w:val="2"/>
    </w:pPr>
    <w:rPr>
      <w:b/>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92E53"/>
    <w:pPr>
      <w:ind w:left="720"/>
      <w:contextualSpacing/>
    </w:pPr>
  </w:style>
  <w:style w:type="paragraph" w:styleId="NormalWeb">
    <w:name w:val="Normal (Web)"/>
    <w:basedOn w:val="Normal"/>
    <w:uiPriority w:val="99"/>
    <w:unhideWhenUsed/>
    <w:rsid w:val="008379AB"/>
    <w:pPr>
      <w:spacing w:before="100" w:beforeAutospacing="1" w:after="100" w:afterAutospacing="1"/>
    </w:pPr>
  </w:style>
  <w:style w:type="character" w:styleId="Strong">
    <w:name w:val="Strong"/>
    <w:basedOn w:val="DefaultParagraphFont"/>
    <w:uiPriority w:val="22"/>
    <w:qFormat/>
    <w:rsid w:val="008379AB"/>
    <w:rPr>
      <w:b/>
      <w:bCs/>
    </w:rPr>
  </w:style>
  <w:style w:type="character" w:styleId="Hyperlink">
    <w:name w:val="Hyperlink"/>
    <w:basedOn w:val="DefaultParagraphFont"/>
    <w:uiPriority w:val="99"/>
    <w:unhideWhenUsed/>
    <w:rsid w:val="008379AB"/>
    <w:rPr>
      <w:color w:val="0000FF" w:themeColor="hyperlink"/>
      <w:u w:val="single"/>
    </w:rPr>
  </w:style>
  <w:style w:type="character" w:styleId="PlaceholderText">
    <w:name w:val="Placeholder Text"/>
    <w:basedOn w:val="DefaultParagraphFont"/>
    <w:uiPriority w:val="99"/>
    <w:semiHidden/>
    <w:rsid w:val="00725687"/>
    <w:rPr>
      <w:color w:val="808080"/>
    </w:rPr>
  </w:style>
  <w:style w:type="paragraph" w:styleId="BalloonText">
    <w:name w:val="Balloon Text"/>
    <w:basedOn w:val="Normal"/>
    <w:link w:val="BalloonTextChar"/>
    <w:uiPriority w:val="99"/>
    <w:semiHidden/>
    <w:unhideWhenUsed/>
    <w:rsid w:val="00725687"/>
    <w:rPr>
      <w:rFonts w:ascii="Tahoma" w:hAnsi="Tahoma" w:cs="Tahoma"/>
      <w:sz w:val="16"/>
      <w:szCs w:val="16"/>
    </w:rPr>
  </w:style>
  <w:style w:type="character" w:customStyle="1" w:styleId="BalloonTextChar">
    <w:name w:val="Balloon Text Char"/>
    <w:basedOn w:val="DefaultParagraphFont"/>
    <w:link w:val="BalloonText"/>
    <w:uiPriority w:val="99"/>
    <w:semiHidden/>
    <w:rsid w:val="00725687"/>
    <w:rPr>
      <w:rFonts w:ascii="Tahoma" w:hAnsi="Tahoma" w:cs="Tahoma"/>
      <w:sz w:val="16"/>
      <w:szCs w:val="16"/>
    </w:rPr>
  </w:style>
  <w:style w:type="character" w:customStyle="1" w:styleId="pageheading">
    <w:name w:val="pageheading"/>
    <w:basedOn w:val="DefaultParagraphFont"/>
    <w:rsid w:val="008A5E86"/>
  </w:style>
  <w:style w:type="character" w:customStyle="1" w:styleId="apple-converted-space">
    <w:name w:val="apple-converted-space"/>
    <w:basedOn w:val="DefaultParagraphFont"/>
    <w:rsid w:val="008A5E86"/>
  </w:style>
  <w:style w:type="character" w:customStyle="1" w:styleId="prevyear">
    <w:name w:val="prevyear"/>
    <w:basedOn w:val="DefaultParagraphFont"/>
    <w:rsid w:val="008A5E86"/>
  </w:style>
  <w:style w:type="paragraph" w:styleId="Header">
    <w:name w:val="header"/>
    <w:basedOn w:val="Normal"/>
    <w:link w:val="HeaderChar"/>
    <w:uiPriority w:val="99"/>
    <w:unhideWhenUsed/>
    <w:rsid w:val="00541F37"/>
    <w:pPr>
      <w:tabs>
        <w:tab w:val="center" w:pos="4680"/>
        <w:tab w:val="right" w:pos="9360"/>
      </w:tabs>
    </w:pPr>
  </w:style>
  <w:style w:type="character" w:customStyle="1" w:styleId="HeaderChar">
    <w:name w:val="Header Char"/>
    <w:basedOn w:val="DefaultParagraphFont"/>
    <w:link w:val="Header"/>
    <w:uiPriority w:val="99"/>
    <w:rsid w:val="00541F37"/>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541F37"/>
    <w:pPr>
      <w:tabs>
        <w:tab w:val="center" w:pos="4680"/>
        <w:tab w:val="right" w:pos="9360"/>
      </w:tabs>
    </w:pPr>
  </w:style>
  <w:style w:type="character" w:customStyle="1" w:styleId="FooterChar">
    <w:name w:val="Footer Char"/>
    <w:basedOn w:val="DefaultParagraphFont"/>
    <w:link w:val="Footer"/>
    <w:uiPriority w:val="99"/>
    <w:rsid w:val="00541F37"/>
    <w:rPr>
      <w:rFonts w:ascii="Times New Roman" w:eastAsia="Times New Roman" w:hAnsi="Times New Roman" w:cs="Times New Roman"/>
      <w:sz w:val="24"/>
      <w:szCs w:val="24"/>
    </w:rPr>
  </w:style>
  <w:style w:type="paragraph" w:customStyle="1" w:styleId="Style1">
    <w:name w:val="Style1"/>
    <w:basedOn w:val="Normal"/>
    <w:link w:val="Style1Char"/>
    <w:qFormat/>
    <w:rsid w:val="00CE3197"/>
    <w:rPr>
      <w:b/>
      <w:color w:val="000000" w:themeColor="text1"/>
    </w:rPr>
  </w:style>
  <w:style w:type="character" w:customStyle="1" w:styleId="Heading1Char">
    <w:name w:val="Heading 1 Char"/>
    <w:basedOn w:val="DefaultParagraphFont"/>
    <w:link w:val="Heading1"/>
    <w:uiPriority w:val="9"/>
    <w:rsid w:val="00BD4EFC"/>
    <w:rPr>
      <w:rFonts w:asciiTheme="majorHAnsi" w:eastAsiaTheme="majorEastAsia" w:hAnsiTheme="majorHAnsi" w:cstheme="majorBidi"/>
      <w:b/>
      <w:bCs/>
      <w:color w:val="365F91" w:themeColor="accent1" w:themeShade="BF"/>
      <w:sz w:val="28"/>
      <w:szCs w:val="28"/>
    </w:rPr>
  </w:style>
  <w:style w:type="character" w:customStyle="1" w:styleId="Style1Char">
    <w:name w:val="Style1 Char"/>
    <w:basedOn w:val="DefaultParagraphFont"/>
    <w:link w:val="Style1"/>
    <w:rsid w:val="00CE3197"/>
    <w:rPr>
      <w:rFonts w:ascii="Times New Roman" w:eastAsia="Times New Roman" w:hAnsi="Times New Roman" w:cs="Times New Roman"/>
      <w:b/>
      <w:color w:val="000000" w:themeColor="text1"/>
      <w:sz w:val="24"/>
      <w:szCs w:val="24"/>
    </w:rPr>
  </w:style>
  <w:style w:type="paragraph" w:styleId="TOCHeading">
    <w:name w:val="TOC Heading"/>
    <w:basedOn w:val="Heading1"/>
    <w:next w:val="Normal"/>
    <w:uiPriority w:val="39"/>
    <w:unhideWhenUsed/>
    <w:qFormat/>
    <w:rsid w:val="00BD4EFC"/>
    <w:pPr>
      <w:spacing w:line="276" w:lineRule="auto"/>
      <w:outlineLvl w:val="9"/>
    </w:pPr>
    <w:rPr>
      <w:lang w:eastAsia="ja-JP"/>
    </w:rPr>
  </w:style>
  <w:style w:type="paragraph" w:styleId="TOC2">
    <w:name w:val="toc 2"/>
    <w:basedOn w:val="Normal"/>
    <w:next w:val="Normal"/>
    <w:autoRedefine/>
    <w:uiPriority w:val="39"/>
    <w:unhideWhenUsed/>
    <w:qFormat/>
    <w:rsid w:val="00BD4EFC"/>
    <w:pPr>
      <w:spacing w:after="100" w:line="276" w:lineRule="auto"/>
      <w:ind w:left="220"/>
    </w:pPr>
    <w:rPr>
      <w:rFonts w:asciiTheme="minorHAnsi" w:eastAsiaTheme="minorEastAsia" w:hAnsiTheme="minorHAnsi" w:cstheme="minorBidi"/>
      <w:sz w:val="22"/>
      <w:szCs w:val="22"/>
      <w:lang w:eastAsia="ja-JP"/>
    </w:rPr>
  </w:style>
  <w:style w:type="paragraph" w:styleId="TOC1">
    <w:name w:val="toc 1"/>
    <w:basedOn w:val="Normal"/>
    <w:next w:val="Normal"/>
    <w:autoRedefine/>
    <w:uiPriority w:val="39"/>
    <w:unhideWhenUsed/>
    <w:qFormat/>
    <w:rsid w:val="00BD4EFC"/>
    <w:pPr>
      <w:spacing w:after="100" w:line="276" w:lineRule="auto"/>
    </w:pPr>
    <w:rPr>
      <w:rFonts w:asciiTheme="minorHAnsi" w:eastAsiaTheme="minorEastAsia" w:hAnsiTheme="minorHAnsi" w:cstheme="minorBidi"/>
      <w:sz w:val="22"/>
      <w:szCs w:val="22"/>
      <w:lang w:eastAsia="ja-JP"/>
    </w:rPr>
  </w:style>
  <w:style w:type="paragraph" w:styleId="TOC3">
    <w:name w:val="toc 3"/>
    <w:basedOn w:val="Normal"/>
    <w:next w:val="Normal"/>
    <w:autoRedefine/>
    <w:uiPriority w:val="39"/>
    <w:unhideWhenUsed/>
    <w:qFormat/>
    <w:rsid w:val="00BD4EFC"/>
    <w:pPr>
      <w:spacing w:after="100" w:line="276" w:lineRule="auto"/>
      <w:ind w:left="440"/>
    </w:pPr>
    <w:rPr>
      <w:rFonts w:asciiTheme="minorHAnsi" w:eastAsiaTheme="minorEastAsia" w:hAnsiTheme="minorHAnsi" w:cstheme="minorBidi"/>
      <w:sz w:val="22"/>
      <w:szCs w:val="22"/>
      <w:lang w:eastAsia="ja-JP"/>
    </w:rPr>
  </w:style>
  <w:style w:type="character" w:customStyle="1" w:styleId="Heading2Char">
    <w:name w:val="Heading 2 Char"/>
    <w:basedOn w:val="DefaultParagraphFont"/>
    <w:link w:val="Heading2"/>
    <w:uiPriority w:val="9"/>
    <w:rsid w:val="00545A3B"/>
    <w:rPr>
      <w:rFonts w:ascii="Times New Roman" w:eastAsia="Times New Roman" w:hAnsi="Times New Roman" w:cs="Times New Roman"/>
      <w:b/>
      <w:color w:val="000000" w:themeColor="text1"/>
      <w:sz w:val="24"/>
      <w:szCs w:val="24"/>
    </w:rPr>
  </w:style>
  <w:style w:type="table" w:customStyle="1" w:styleId="TableGrid1">
    <w:name w:val="Table Grid1"/>
    <w:basedOn w:val="TableNormal"/>
    <w:next w:val="TableGrid"/>
    <w:uiPriority w:val="39"/>
    <w:rsid w:val="000F2C9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0F2C9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F7094D"/>
    <w:rPr>
      <w:rFonts w:ascii="Times New Roman" w:eastAsia="Times New Roman" w:hAnsi="Times New Roman" w:cs="Times New Roman"/>
      <w:b/>
      <w:color w:val="000000" w:themeColor="text1"/>
      <w:sz w:val="24"/>
      <w:szCs w:val="24"/>
    </w:rPr>
  </w:style>
  <w:style w:type="character" w:customStyle="1" w:styleId="ls63">
    <w:name w:val="ls63"/>
    <w:basedOn w:val="DefaultParagraphFont"/>
    <w:rsid w:val="001D7F50"/>
  </w:style>
  <w:style w:type="character" w:customStyle="1" w:styleId="ff3">
    <w:name w:val="ff3"/>
    <w:basedOn w:val="DefaultParagraphFont"/>
    <w:rsid w:val="001D7F50"/>
  </w:style>
  <w:style w:type="character" w:customStyle="1" w:styleId="ls7">
    <w:name w:val="ls7"/>
    <w:basedOn w:val="DefaultParagraphFont"/>
    <w:rsid w:val="001D7F50"/>
  </w:style>
  <w:style w:type="character" w:customStyle="1" w:styleId="ff1">
    <w:name w:val="ff1"/>
    <w:basedOn w:val="DefaultParagraphFont"/>
    <w:rsid w:val="001D7F50"/>
  </w:style>
  <w:style w:type="character" w:customStyle="1" w:styleId="ls16">
    <w:name w:val="ls16"/>
    <w:basedOn w:val="DefaultParagraphFont"/>
    <w:rsid w:val="001D7F50"/>
  </w:style>
  <w:style w:type="table" w:styleId="MediumList1-Accent1">
    <w:name w:val="Medium List 1 Accent 1"/>
    <w:basedOn w:val="TableNormal"/>
    <w:uiPriority w:val="65"/>
    <w:rsid w:val="0029130C"/>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character" w:styleId="CommentReference">
    <w:name w:val="annotation reference"/>
    <w:basedOn w:val="DefaultParagraphFont"/>
    <w:uiPriority w:val="99"/>
    <w:semiHidden/>
    <w:unhideWhenUsed/>
    <w:rsid w:val="001B5A81"/>
    <w:rPr>
      <w:sz w:val="16"/>
      <w:szCs w:val="16"/>
    </w:rPr>
  </w:style>
  <w:style w:type="paragraph" w:styleId="CommentText">
    <w:name w:val="annotation text"/>
    <w:basedOn w:val="Normal"/>
    <w:link w:val="CommentTextChar"/>
    <w:uiPriority w:val="99"/>
    <w:semiHidden/>
    <w:unhideWhenUsed/>
    <w:rsid w:val="001B5A81"/>
    <w:rPr>
      <w:sz w:val="20"/>
      <w:szCs w:val="20"/>
    </w:rPr>
  </w:style>
  <w:style w:type="character" w:customStyle="1" w:styleId="CommentTextChar">
    <w:name w:val="Comment Text Char"/>
    <w:basedOn w:val="DefaultParagraphFont"/>
    <w:link w:val="CommentText"/>
    <w:uiPriority w:val="99"/>
    <w:semiHidden/>
    <w:rsid w:val="001B5A8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1B5A81"/>
    <w:rPr>
      <w:b/>
      <w:bCs/>
    </w:rPr>
  </w:style>
  <w:style w:type="character" w:customStyle="1" w:styleId="CommentSubjectChar">
    <w:name w:val="Comment Subject Char"/>
    <w:basedOn w:val="CommentTextChar"/>
    <w:link w:val="CommentSubject"/>
    <w:uiPriority w:val="99"/>
    <w:semiHidden/>
    <w:rsid w:val="001B5A81"/>
    <w:rPr>
      <w:rFonts w:ascii="Times New Roman" w:eastAsia="Times New Roman" w:hAnsi="Times New Roman" w:cs="Times New Roman"/>
      <w:b/>
      <w:bCs/>
      <w:sz w:val="20"/>
      <w:szCs w:val="20"/>
    </w:rPr>
  </w:style>
  <w:style w:type="paragraph" w:styleId="NoSpacing">
    <w:name w:val="No Spacing"/>
    <w:uiPriority w:val="1"/>
    <w:qFormat/>
    <w:rsid w:val="006A0B43"/>
    <w:pPr>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96702">
      <w:bodyDiv w:val="1"/>
      <w:marLeft w:val="0"/>
      <w:marRight w:val="0"/>
      <w:marTop w:val="0"/>
      <w:marBottom w:val="0"/>
      <w:divBdr>
        <w:top w:val="none" w:sz="0" w:space="0" w:color="auto"/>
        <w:left w:val="none" w:sz="0" w:space="0" w:color="auto"/>
        <w:bottom w:val="none" w:sz="0" w:space="0" w:color="auto"/>
        <w:right w:val="none" w:sz="0" w:space="0" w:color="auto"/>
      </w:divBdr>
    </w:div>
    <w:div w:id="57674134">
      <w:bodyDiv w:val="1"/>
      <w:marLeft w:val="0"/>
      <w:marRight w:val="0"/>
      <w:marTop w:val="0"/>
      <w:marBottom w:val="0"/>
      <w:divBdr>
        <w:top w:val="none" w:sz="0" w:space="0" w:color="auto"/>
        <w:left w:val="none" w:sz="0" w:space="0" w:color="auto"/>
        <w:bottom w:val="none" w:sz="0" w:space="0" w:color="auto"/>
        <w:right w:val="none" w:sz="0" w:space="0" w:color="auto"/>
      </w:divBdr>
    </w:div>
    <w:div w:id="130709230">
      <w:bodyDiv w:val="1"/>
      <w:marLeft w:val="0"/>
      <w:marRight w:val="0"/>
      <w:marTop w:val="0"/>
      <w:marBottom w:val="0"/>
      <w:divBdr>
        <w:top w:val="none" w:sz="0" w:space="0" w:color="auto"/>
        <w:left w:val="none" w:sz="0" w:space="0" w:color="auto"/>
        <w:bottom w:val="none" w:sz="0" w:space="0" w:color="auto"/>
        <w:right w:val="none" w:sz="0" w:space="0" w:color="auto"/>
      </w:divBdr>
    </w:div>
    <w:div w:id="231164878">
      <w:bodyDiv w:val="1"/>
      <w:marLeft w:val="0"/>
      <w:marRight w:val="0"/>
      <w:marTop w:val="0"/>
      <w:marBottom w:val="0"/>
      <w:divBdr>
        <w:top w:val="none" w:sz="0" w:space="0" w:color="auto"/>
        <w:left w:val="none" w:sz="0" w:space="0" w:color="auto"/>
        <w:bottom w:val="none" w:sz="0" w:space="0" w:color="auto"/>
        <w:right w:val="none" w:sz="0" w:space="0" w:color="auto"/>
      </w:divBdr>
    </w:div>
    <w:div w:id="309484861">
      <w:bodyDiv w:val="1"/>
      <w:marLeft w:val="0"/>
      <w:marRight w:val="0"/>
      <w:marTop w:val="0"/>
      <w:marBottom w:val="0"/>
      <w:divBdr>
        <w:top w:val="none" w:sz="0" w:space="0" w:color="auto"/>
        <w:left w:val="none" w:sz="0" w:space="0" w:color="auto"/>
        <w:bottom w:val="none" w:sz="0" w:space="0" w:color="auto"/>
        <w:right w:val="none" w:sz="0" w:space="0" w:color="auto"/>
      </w:divBdr>
      <w:divsChild>
        <w:div w:id="529102635">
          <w:marLeft w:val="360"/>
          <w:marRight w:val="360"/>
          <w:marTop w:val="240"/>
          <w:marBottom w:val="300"/>
          <w:divBdr>
            <w:top w:val="none" w:sz="0" w:space="0" w:color="auto"/>
            <w:left w:val="none" w:sz="0" w:space="0" w:color="auto"/>
            <w:bottom w:val="none" w:sz="0" w:space="0" w:color="auto"/>
            <w:right w:val="none" w:sz="0" w:space="0" w:color="auto"/>
          </w:divBdr>
        </w:div>
        <w:div w:id="1176847549">
          <w:marLeft w:val="0"/>
          <w:marRight w:val="0"/>
          <w:marTop w:val="240"/>
          <w:marBottom w:val="240"/>
          <w:divBdr>
            <w:top w:val="none" w:sz="0" w:space="0" w:color="auto"/>
            <w:left w:val="none" w:sz="0" w:space="0" w:color="auto"/>
            <w:bottom w:val="none" w:sz="0" w:space="0" w:color="auto"/>
            <w:right w:val="none" w:sz="0" w:space="0" w:color="auto"/>
          </w:divBdr>
        </w:div>
      </w:divsChild>
    </w:div>
    <w:div w:id="327711816">
      <w:bodyDiv w:val="1"/>
      <w:marLeft w:val="0"/>
      <w:marRight w:val="0"/>
      <w:marTop w:val="0"/>
      <w:marBottom w:val="0"/>
      <w:divBdr>
        <w:top w:val="none" w:sz="0" w:space="0" w:color="auto"/>
        <w:left w:val="none" w:sz="0" w:space="0" w:color="auto"/>
        <w:bottom w:val="none" w:sz="0" w:space="0" w:color="auto"/>
        <w:right w:val="none" w:sz="0" w:space="0" w:color="auto"/>
      </w:divBdr>
    </w:div>
    <w:div w:id="355498032">
      <w:bodyDiv w:val="1"/>
      <w:marLeft w:val="0"/>
      <w:marRight w:val="0"/>
      <w:marTop w:val="0"/>
      <w:marBottom w:val="0"/>
      <w:divBdr>
        <w:top w:val="none" w:sz="0" w:space="0" w:color="auto"/>
        <w:left w:val="none" w:sz="0" w:space="0" w:color="auto"/>
        <w:bottom w:val="none" w:sz="0" w:space="0" w:color="auto"/>
        <w:right w:val="none" w:sz="0" w:space="0" w:color="auto"/>
      </w:divBdr>
    </w:div>
    <w:div w:id="399445171">
      <w:bodyDiv w:val="1"/>
      <w:marLeft w:val="0"/>
      <w:marRight w:val="0"/>
      <w:marTop w:val="0"/>
      <w:marBottom w:val="0"/>
      <w:divBdr>
        <w:top w:val="none" w:sz="0" w:space="0" w:color="auto"/>
        <w:left w:val="none" w:sz="0" w:space="0" w:color="auto"/>
        <w:bottom w:val="none" w:sz="0" w:space="0" w:color="auto"/>
        <w:right w:val="none" w:sz="0" w:space="0" w:color="auto"/>
      </w:divBdr>
      <w:divsChild>
        <w:div w:id="835850255">
          <w:marLeft w:val="0"/>
          <w:marRight w:val="0"/>
          <w:marTop w:val="0"/>
          <w:marBottom w:val="0"/>
          <w:divBdr>
            <w:top w:val="none" w:sz="0" w:space="0" w:color="auto"/>
            <w:left w:val="none" w:sz="0" w:space="0" w:color="auto"/>
            <w:bottom w:val="none" w:sz="0" w:space="0" w:color="auto"/>
            <w:right w:val="none" w:sz="0" w:space="0" w:color="auto"/>
          </w:divBdr>
        </w:div>
      </w:divsChild>
    </w:div>
    <w:div w:id="408232008">
      <w:bodyDiv w:val="1"/>
      <w:marLeft w:val="0"/>
      <w:marRight w:val="0"/>
      <w:marTop w:val="0"/>
      <w:marBottom w:val="0"/>
      <w:divBdr>
        <w:top w:val="none" w:sz="0" w:space="0" w:color="auto"/>
        <w:left w:val="none" w:sz="0" w:space="0" w:color="auto"/>
        <w:bottom w:val="none" w:sz="0" w:space="0" w:color="auto"/>
        <w:right w:val="none" w:sz="0" w:space="0" w:color="auto"/>
      </w:divBdr>
    </w:div>
    <w:div w:id="489638206">
      <w:bodyDiv w:val="1"/>
      <w:marLeft w:val="0"/>
      <w:marRight w:val="0"/>
      <w:marTop w:val="0"/>
      <w:marBottom w:val="0"/>
      <w:divBdr>
        <w:top w:val="none" w:sz="0" w:space="0" w:color="auto"/>
        <w:left w:val="none" w:sz="0" w:space="0" w:color="auto"/>
        <w:bottom w:val="none" w:sz="0" w:space="0" w:color="auto"/>
        <w:right w:val="none" w:sz="0" w:space="0" w:color="auto"/>
      </w:divBdr>
    </w:div>
    <w:div w:id="529146952">
      <w:bodyDiv w:val="1"/>
      <w:marLeft w:val="0"/>
      <w:marRight w:val="0"/>
      <w:marTop w:val="0"/>
      <w:marBottom w:val="0"/>
      <w:divBdr>
        <w:top w:val="none" w:sz="0" w:space="0" w:color="auto"/>
        <w:left w:val="none" w:sz="0" w:space="0" w:color="auto"/>
        <w:bottom w:val="none" w:sz="0" w:space="0" w:color="auto"/>
        <w:right w:val="none" w:sz="0" w:space="0" w:color="auto"/>
      </w:divBdr>
    </w:div>
    <w:div w:id="641428863">
      <w:bodyDiv w:val="1"/>
      <w:marLeft w:val="0"/>
      <w:marRight w:val="0"/>
      <w:marTop w:val="0"/>
      <w:marBottom w:val="0"/>
      <w:divBdr>
        <w:top w:val="none" w:sz="0" w:space="0" w:color="auto"/>
        <w:left w:val="none" w:sz="0" w:space="0" w:color="auto"/>
        <w:bottom w:val="none" w:sz="0" w:space="0" w:color="auto"/>
        <w:right w:val="none" w:sz="0" w:space="0" w:color="auto"/>
      </w:divBdr>
    </w:div>
    <w:div w:id="651561287">
      <w:bodyDiv w:val="1"/>
      <w:marLeft w:val="0"/>
      <w:marRight w:val="0"/>
      <w:marTop w:val="0"/>
      <w:marBottom w:val="0"/>
      <w:divBdr>
        <w:top w:val="none" w:sz="0" w:space="0" w:color="auto"/>
        <w:left w:val="none" w:sz="0" w:space="0" w:color="auto"/>
        <w:bottom w:val="none" w:sz="0" w:space="0" w:color="auto"/>
        <w:right w:val="none" w:sz="0" w:space="0" w:color="auto"/>
      </w:divBdr>
    </w:div>
    <w:div w:id="661474516">
      <w:bodyDiv w:val="1"/>
      <w:marLeft w:val="0"/>
      <w:marRight w:val="0"/>
      <w:marTop w:val="0"/>
      <w:marBottom w:val="0"/>
      <w:divBdr>
        <w:top w:val="none" w:sz="0" w:space="0" w:color="auto"/>
        <w:left w:val="none" w:sz="0" w:space="0" w:color="auto"/>
        <w:bottom w:val="none" w:sz="0" w:space="0" w:color="auto"/>
        <w:right w:val="none" w:sz="0" w:space="0" w:color="auto"/>
      </w:divBdr>
    </w:div>
    <w:div w:id="730159391">
      <w:bodyDiv w:val="1"/>
      <w:marLeft w:val="0"/>
      <w:marRight w:val="0"/>
      <w:marTop w:val="0"/>
      <w:marBottom w:val="0"/>
      <w:divBdr>
        <w:top w:val="none" w:sz="0" w:space="0" w:color="auto"/>
        <w:left w:val="none" w:sz="0" w:space="0" w:color="auto"/>
        <w:bottom w:val="none" w:sz="0" w:space="0" w:color="auto"/>
        <w:right w:val="none" w:sz="0" w:space="0" w:color="auto"/>
      </w:divBdr>
      <w:divsChild>
        <w:div w:id="1272855262">
          <w:marLeft w:val="0"/>
          <w:marRight w:val="0"/>
          <w:marTop w:val="0"/>
          <w:marBottom w:val="0"/>
          <w:divBdr>
            <w:top w:val="none" w:sz="0" w:space="0" w:color="auto"/>
            <w:left w:val="none" w:sz="0" w:space="0" w:color="auto"/>
            <w:bottom w:val="none" w:sz="0" w:space="0" w:color="auto"/>
            <w:right w:val="none" w:sz="0" w:space="0" w:color="auto"/>
          </w:divBdr>
        </w:div>
        <w:div w:id="21634477">
          <w:marLeft w:val="0"/>
          <w:marRight w:val="0"/>
          <w:marTop w:val="0"/>
          <w:marBottom w:val="0"/>
          <w:divBdr>
            <w:top w:val="none" w:sz="0" w:space="0" w:color="auto"/>
            <w:left w:val="none" w:sz="0" w:space="0" w:color="auto"/>
            <w:bottom w:val="none" w:sz="0" w:space="0" w:color="auto"/>
            <w:right w:val="none" w:sz="0" w:space="0" w:color="auto"/>
          </w:divBdr>
        </w:div>
        <w:div w:id="1949774249">
          <w:marLeft w:val="0"/>
          <w:marRight w:val="0"/>
          <w:marTop w:val="0"/>
          <w:marBottom w:val="0"/>
          <w:divBdr>
            <w:top w:val="none" w:sz="0" w:space="0" w:color="auto"/>
            <w:left w:val="none" w:sz="0" w:space="0" w:color="auto"/>
            <w:bottom w:val="none" w:sz="0" w:space="0" w:color="auto"/>
            <w:right w:val="none" w:sz="0" w:space="0" w:color="auto"/>
          </w:divBdr>
        </w:div>
        <w:div w:id="851575289">
          <w:marLeft w:val="0"/>
          <w:marRight w:val="0"/>
          <w:marTop w:val="0"/>
          <w:marBottom w:val="0"/>
          <w:divBdr>
            <w:top w:val="none" w:sz="0" w:space="0" w:color="auto"/>
            <w:left w:val="none" w:sz="0" w:space="0" w:color="auto"/>
            <w:bottom w:val="none" w:sz="0" w:space="0" w:color="auto"/>
            <w:right w:val="none" w:sz="0" w:space="0" w:color="auto"/>
          </w:divBdr>
        </w:div>
        <w:div w:id="615913720">
          <w:marLeft w:val="0"/>
          <w:marRight w:val="0"/>
          <w:marTop w:val="0"/>
          <w:marBottom w:val="0"/>
          <w:divBdr>
            <w:top w:val="none" w:sz="0" w:space="0" w:color="auto"/>
            <w:left w:val="none" w:sz="0" w:space="0" w:color="auto"/>
            <w:bottom w:val="none" w:sz="0" w:space="0" w:color="auto"/>
            <w:right w:val="none" w:sz="0" w:space="0" w:color="auto"/>
          </w:divBdr>
        </w:div>
        <w:div w:id="1792741700">
          <w:marLeft w:val="0"/>
          <w:marRight w:val="0"/>
          <w:marTop w:val="0"/>
          <w:marBottom w:val="0"/>
          <w:divBdr>
            <w:top w:val="none" w:sz="0" w:space="0" w:color="auto"/>
            <w:left w:val="none" w:sz="0" w:space="0" w:color="auto"/>
            <w:bottom w:val="none" w:sz="0" w:space="0" w:color="auto"/>
            <w:right w:val="none" w:sz="0" w:space="0" w:color="auto"/>
          </w:divBdr>
        </w:div>
        <w:div w:id="2050761985">
          <w:marLeft w:val="0"/>
          <w:marRight w:val="0"/>
          <w:marTop w:val="0"/>
          <w:marBottom w:val="0"/>
          <w:divBdr>
            <w:top w:val="none" w:sz="0" w:space="0" w:color="auto"/>
            <w:left w:val="none" w:sz="0" w:space="0" w:color="auto"/>
            <w:bottom w:val="none" w:sz="0" w:space="0" w:color="auto"/>
            <w:right w:val="none" w:sz="0" w:space="0" w:color="auto"/>
          </w:divBdr>
        </w:div>
        <w:div w:id="423763378">
          <w:marLeft w:val="0"/>
          <w:marRight w:val="0"/>
          <w:marTop w:val="0"/>
          <w:marBottom w:val="0"/>
          <w:divBdr>
            <w:top w:val="none" w:sz="0" w:space="0" w:color="auto"/>
            <w:left w:val="none" w:sz="0" w:space="0" w:color="auto"/>
            <w:bottom w:val="none" w:sz="0" w:space="0" w:color="auto"/>
            <w:right w:val="none" w:sz="0" w:space="0" w:color="auto"/>
          </w:divBdr>
        </w:div>
        <w:div w:id="1088847161">
          <w:marLeft w:val="0"/>
          <w:marRight w:val="0"/>
          <w:marTop w:val="0"/>
          <w:marBottom w:val="0"/>
          <w:divBdr>
            <w:top w:val="none" w:sz="0" w:space="0" w:color="auto"/>
            <w:left w:val="none" w:sz="0" w:space="0" w:color="auto"/>
            <w:bottom w:val="none" w:sz="0" w:space="0" w:color="auto"/>
            <w:right w:val="none" w:sz="0" w:space="0" w:color="auto"/>
          </w:divBdr>
        </w:div>
        <w:div w:id="247927257">
          <w:marLeft w:val="0"/>
          <w:marRight w:val="0"/>
          <w:marTop w:val="0"/>
          <w:marBottom w:val="0"/>
          <w:divBdr>
            <w:top w:val="none" w:sz="0" w:space="0" w:color="auto"/>
            <w:left w:val="none" w:sz="0" w:space="0" w:color="auto"/>
            <w:bottom w:val="none" w:sz="0" w:space="0" w:color="auto"/>
            <w:right w:val="none" w:sz="0" w:space="0" w:color="auto"/>
          </w:divBdr>
        </w:div>
        <w:div w:id="1180854766">
          <w:marLeft w:val="0"/>
          <w:marRight w:val="0"/>
          <w:marTop w:val="0"/>
          <w:marBottom w:val="0"/>
          <w:divBdr>
            <w:top w:val="none" w:sz="0" w:space="0" w:color="auto"/>
            <w:left w:val="none" w:sz="0" w:space="0" w:color="auto"/>
            <w:bottom w:val="none" w:sz="0" w:space="0" w:color="auto"/>
            <w:right w:val="none" w:sz="0" w:space="0" w:color="auto"/>
          </w:divBdr>
        </w:div>
        <w:div w:id="1836460015">
          <w:marLeft w:val="0"/>
          <w:marRight w:val="0"/>
          <w:marTop w:val="0"/>
          <w:marBottom w:val="0"/>
          <w:divBdr>
            <w:top w:val="none" w:sz="0" w:space="0" w:color="auto"/>
            <w:left w:val="none" w:sz="0" w:space="0" w:color="auto"/>
            <w:bottom w:val="none" w:sz="0" w:space="0" w:color="auto"/>
            <w:right w:val="none" w:sz="0" w:space="0" w:color="auto"/>
          </w:divBdr>
        </w:div>
        <w:div w:id="226961400">
          <w:marLeft w:val="0"/>
          <w:marRight w:val="0"/>
          <w:marTop w:val="0"/>
          <w:marBottom w:val="0"/>
          <w:divBdr>
            <w:top w:val="none" w:sz="0" w:space="0" w:color="auto"/>
            <w:left w:val="none" w:sz="0" w:space="0" w:color="auto"/>
            <w:bottom w:val="none" w:sz="0" w:space="0" w:color="auto"/>
            <w:right w:val="none" w:sz="0" w:space="0" w:color="auto"/>
          </w:divBdr>
        </w:div>
        <w:div w:id="1753044443">
          <w:marLeft w:val="0"/>
          <w:marRight w:val="0"/>
          <w:marTop w:val="0"/>
          <w:marBottom w:val="0"/>
          <w:divBdr>
            <w:top w:val="none" w:sz="0" w:space="0" w:color="auto"/>
            <w:left w:val="none" w:sz="0" w:space="0" w:color="auto"/>
            <w:bottom w:val="none" w:sz="0" w:space="0" w:color="auto"/>
            <w:right w:val="none" w:sz="0" w:space="0" w:color="auto"/>
          </w:divBdr>
        </w:div>
        <w:div w:id="1187135544">
          <w:marLeft w:val="0"/>
          <w:marRight w:val="0"/>
          <w:marTop w:val="0"/>
          <w:marBottom w:val="0"/>
          <w:divBdr>
            <w:top w:val="none" w:sz="0" w:space="0" w:color="auto"/>
            <w:left w:val="none" w:sz="0" w:space="0" w:color="auto"/>
            <w:bottom w:val="none" w:sz="0" w:space="0" w:color="auto"/>
            <w:right w:val="none" w:sz="0" w:space="0" w:color="auto"/>
          </w:divBdr>
        </w:div>
        <w:div w:id="972097743">
          <w:marLeft w:val="0"/>
          <w:marRight w:val="0"/>
          <w:marTop w:val="0"/>
          <w:marBottom w:val="0"/>
          <w:divBdr>
            <w:top w:val="none" w:sz="0" w:space="0" w:color="auto"/>
            <w:left w:val="none" w:sz="0" w:space="0" w:color="auto"/>
            <w:bottom w:val="none" w:sz="0" w:space="0" w:color="auto"/>
            <w:right w:val="none" w:sz="0" w:space="0" w:color="auto"/>
          </w:divBdr>
        </w:div>
        <w:div w:id="1724867915">
          <w:marLeft w:val="0"/>
          <w:marRight w:val="0"/>
          <w:marTop w:val="0"/>
          <w:marBottom w:val="0"/>
          <w:divBdr>
            <w:top w:val="none" w:sz="0" w:space="0" w:color="auto"/>
            <w:left w:val="none" w:sz="0" w:space="0" w:color="auto"/>
            <w:bottom w:val="none" w:sz="0" w:space="0" w:color="auto"/>
            <w:right w:val="none" w:sz="0" w:space="0" w:color="auto"/>
          </w:divBdr>
        </w:div>
        <w:div w:id="402024856">
          <w:marLeft w:val="0"/>
          <w:marRight w:val="0"/>
          <w:marTop w:val="0"/>
          <w:marBottom w:val="0"/>
          <w:divBdr>
            <w:top w:val="none" w:sz="0" w:space="0" w:color="auto"/>
            <w:left w:val="none" w:sz="0" w:space="0" w:color="auto"/>
            <w:bottom w:val="none" w:sz="0" w:space="0" w:color="auto"/>
            <w:right w:val="none" w:sz="0" w:space="0" w:color="auto"/>
          </w:divBdr>
        </w:div>
        <w:div w:id="108281922">
          <w:marLeft w:val="0"/>
          <w:marRight w:val="0"/>
          <w:marTop w:val="0"/>
          <w:marBottom w:val="0"/>
          <w:divBdr>
            <w:top w:val="none" w:sz="0" w:space="0" w:color="auto"/>
            <w:left w:val="none" w:sz="0" w:space="0" w:color="auto"/>
            <w:bottom w:val="none" w:sz="0" w:space="0" w:color="auto"/>
            <w:right w:val="none" w:sz="0" w:space="0" w:color="auto"/>
          </w:divBdr>
        </w:div>
        <w:div w:id="991830214">
          <w:marLeft w:val="0"/>
          <w:marRight w:val="0"/>
          <w:marTop w:val="0"/>
          <w:marBottom w:val="0"/>
          <w:divBdr>
            <w:top w:val="none" w:sz="0" w:space="0" w:color="auto"/>
            <w:left w:val="none" w:sz="0" w:space="0" w:color="auto"/>
            <w:bottom w:val="none" w:sz="0" w:space="0" w:color="auto"/>
            <w:right w:val="none" w:sz="0" w:space="0" w:color="auto"/>
          </w:divBdr>
        </w:div>
        <w:div w:id="1413820173">
          <w:marLeft w:val="0"/>
          <w:marRight w:val="0"/>
          <w:marTop w:val="0"/>
          <w:marBottom w:val="0"/>
          <w:divBdr>
            <w:top w:val="none" w:sz="0" w:space="0" w:color="auto"/>
            <w:left w:val="none" w:sz="0" w:space="0" w:color="auto"/>
            <w:bottom w:val="none" w:sz="0" w:space="0" w:color="auto"/>
            <w:right w:val="none" w:sz="0" w:space="0" w:color="auto"/>
          </w:divBdr>
        </w:div>
        <w:div w:id="272442939">
          <w:marLeft w:val="0"/>
          <w:marRight w:val="0"/>
          <w:marTop w:val="0"/>
          <w:marBottom w:val="0"/>
          <w:divBdr>
            <w:top w:val="none" w:sz="0" w:space="0" w:color="auto"/>
            <w:left w:val="none" w:sz="0" w:space="0" w:color="auto"/>
            <w:bottom w:val="none" w:sz="0" w:space="0" w:color="auto"/>
            <w:right w:val="none" w:sz="0" w:space="0" w:color="auto"/>
          </w:divBdr>
        </w:div>
        <w:div w:id="737822888">
          <w:marLeft w:val="0"/>
          <w:marRight w:val="0"/>
          <w:marTop w:val="0"/>
          <w:marBottom w:val="0"/>
          <w:divBdr>
            <w:top w:val="none" w:sz="0" w:space="0" w:color="auto"/>
            <w:left w:val="none" w:sz="0" w:space="0" w:color="auto"/>
            <w:bottom w:val="none" w:sz="0" w:space="0" w:color="auto"/>
            <w:right w:val="none" w:sz="0" w:space="0" w:color="auto"/>
          </w:divBdr>
        </w:div>
        <w:div w:id="66417397">
          <w:marLeft w:val="0"/>
          <w:marRight w:val="0"/>
          <w:marTop w:val="0"/>
          <w:marBottom w:val="0"/>
          <w:divBdr>
            <w:top w:val="none" w:sz="0" w:space="0" w:color="auto"/>
            <w:left w:val="none" w:sz="0" w:space="0" w:color="auto"/>
            <w:bottom w:val="none" w:sz="0" w:space="0" w:color="auto"/>
            <w:right w:val="none" w:sz="0" w:space="0" w:color="auto"/>
          </w:divBdr>
        </w:div>
        <w:div w:id="1363479210">
          <w:marLeft w:val="0"/>
          <w:marRight w:val="0"/>
          <w:marTop w:val="0"/>
          <w:marBottom w:val="0"/>
          <w:divBdr>
            <w:top w:val="none" w:sz="0" w:space="0" w:color="auto"/>
            <w:left w:val="none" w:sz="0" w:space="0" w:color="auto"/>
            <w:bottom w:val="none" w:sz="0" w:space="0" w:color="auto"/>
            <w:right w:val="none" w:sz="0" w:space="0" w:color="auto"/>
          </w:divBdr>
        </w:div>
        <w:div w:id="773674009">
          <w:marLeft w:val="0"/>
          <w:marRight w:val="0"/>
          <w:marTop w:val="0"/>
          <w:marBottom w:val="0"/>
          <w:divBdr>
            <w:top w:val="none" w:sz="0" w:space="0" w:color="auto"/>
            <w:left w:val="none" w:sz="0" w:space="0" w:color="auto"/>
            <w:bottom w:val="none" w:sz="0" w:space="0" w:color="auto"/>
            <w:right w:val="none" w:sz="0" w:space="0" w:color="auto"/>
          </w:divBdr>
        </w:div>
        <w:div w:id="1508980138">
          <w:marLeft w:val="0"/>
          <w:marRight w:val="0"/>
          <w:marTop w:val="0"/>
          <w:marBottom w:val="0"/>
          <w:divBdr>
            <w:top w:val="none" w:sz="0" w:space="0" w:color="auto"/>
            <w:left w:val="none" w:sz="0" w:space="0" w:color="auto"/>
            <w:bottom w:val="none" w:sz="0" w:space="0" w:color="auto"/>
            <w:right w:val="none" w:sz="0" w:space="0" w:color="auto"/>
          </w:divBdr>
        </w:div>
        <w:div w:id="1232621520">
          <w:marLeft w:val="0"/>
          <w:marRight w:val="0"/>
          <w:marTop w:val="0"/>
          <w:marBottom w:val="0"/>
          <w:divBdr>
            <w:top w:val="none" w:sz="0" w:space="0" w:color="auto"/>
            <w:left w:val="none" w:sz="0" w:space="0" w:color="auto"/>
            <w:bottom w:val="none" w:sz="0" w:space="0" w:color="auto"/>
            <w:right w:val="none" w:sz="0" w:space="0" w:color="auto"/>
          </w:divBdr>
        </w:div>
        <w:div w:id="92358418">
          <w:marLeft w:val="0"/>
          <w:marRight w:val="0"/>
          <w:marTop w:val="0"/>
          <w:marBottom w:val="0"/>
          <w:divBdr>
            <w:top w:val="none" w:sz="0" w:space="0" w:color="auto"/>
            <w:left w:val="none" w:sz="0" w:space="0" w:color="auto"/>
            <w:bottom w:val="none" w:sz="0" w:space="0" w:color="auto"/>
            <w:right w:val="none" w:sz="0" w:space="0" w:color="auto"/>
          </w:divBdr>
        </w:div>
        <w:div w:id="271742352">
          <w:marLeft w:val="0"/>
          <w:marRight w:val="0"/>
          <w:marTop w:val="0"/>
          <w:marBottom w:val="0"/>
          <w:divBdr>
            <w:top w:val="none" w:sz="0" w:space="0" w:color="auto"/>
            <w:left w:val="none" w:sz="0" w:space="0" w:color="auto"/>
            <w:bottom w:val="none" w:sz="0" w:space="0" w:color="auto"/>
            <w:right w:val="none" w:sz="0" w:space="0" w:color="auto"/>
          </w:divBdr>
        </w:div>
        <w:div w:id="1034161437">
          <w:marLeft w:val="0"/>
          <w:marRight w:val="0"/>
          <w:marTop w:val="0"/>
          <w:marBottom w:val="0"/>
          <w:divBdr>
            <w:top w:val="none" w:sz="0" w:space="0" w:color="auto"/>
            <w:left w:val="none" w:sz="0" w:space="0" w:color="auto"/>
            <w:bottom w:val="none" w:sz="0" w:space="0" w:color="auto"/>
            <w:right w:val="none" w:sz="0" w:space="0" w:color="auto"/>
          </w:divBdr>
        </w:div>
        <w:div w:id="377046463">
          <w:marLeft w:val="0"/>
          <w:marRight w:val="0"/>
          <w:marTop w:val="0"/>
          <w:marBottom w:val="0"/>
          <w:divBdr>
            <w:top w:val="none" w:sz="0" w:space="0" w:color="auto"/>
            <w:left w:val="none" w:sz="0" w:space="0" w:color="auto"/>
            <w:bottom w:val="none" w:sz="0" w:space="0" w:color="auto"/>
            <w:right w:val="none" w:sz="0" w:space="0" w:color="auto"/>
          </w:divBdr>
        </w:div>
        <w:div w:id="1017316580">
          <w:marLeft w:val="0"/>
          <w:marRight w:val="0"/>
          <w:marTop w:val="0"/>
          <w:marBottom w:val="0"/>
          <w:divBdr>
            <w:top w:val="none" w:sz="0" w:space="0" w:color="auto"/>
            <w:left w:val="none" w:sz="0" w:space="0" w:color="auto"/>
            <w:bottom w:val="none" w:sz="0" w:space="0" w:color="auto"/>
            <w:right w:val="none" w:sz="0" w:space="0" w:color="auto"/>
          </w:divBdr>
        </w:div>
        <w:div w:id="711343584">
          <w:marLeft w:val="0"/>
          <w:marRight w:val="0"/>
          <w:marTop w:val="0"/>
          <w:marBottom w:val="0"/>
          <w:divBdr>
            <w:top w:val="none" w:sz="0" w:space="0" w:color="auto"/>
            <w:left w:val="none" w:sz="0" w:space="0" w:color="auto"/>
            <w:bottom w:val="none" w:sz="0" w:space="0" w:color="auto"/>
            <w:right w:val="none" w:sz="0" w:space="0" w:color="auto"/>
          </w:divBdr>
        </w:div>
        <w:div w:id="1296646127">
          <w:marLeft w:val="0"/>
          <w:marRight w:val="0"/>
          <w:marTop w:val="0"/>
          <w:marBottom w:val="0"/>
          <w:divBdr>
            <w:top w:val="none" w:sz="0" w:space="0" w:color="auto"/>
            <w:left w:val="none" w:sz="0" w:space="0" w:color="auto"/>
            <w:bottom w:val="none" w:sz="0" w:space="0" w:color="auto"/>
            <w:right w:val="none" w:sz="0" w:space="0" w:color="auto"/>
          </w:divBdr>
        </w:div>
        <w:div w:id="1188984041">
          <w:marLeft w:val="0"/>
          <w:marRight w:val="0"/>
          <w:marTop w:val="0"/>
          <w:marBottom w:val="0"/>
          <w:divBdr>
            <w:top w:val="none" w:sz="0" w:space="0" w:color="auto"/>
            <w:left w:val="none" w:sz="0" w:space="0" w:color="auto"/>
            <w:bottom w:val="none" w:sz="0" w:space="0" w:color="auto"/>
            <w:right w:val="none" w:sz="0" w:space="0" w:color="auto"/>
          </w:divBdr>
        </w:div>
        <w:div w:id="1191190456">
          <w:marLeft w:val="0"/>
          <w:marRight w:val="0"/>
          <w:marTop w:val="0"/>
          <w:marBottom w:val="0"/>
          <w:divBdr>
            <w:top w:val="none" w:sz="0" w:space="0" w:color="auto"/>
            <w:left w:val="none" w:sz="0" w:space="0" w:color="auto"/>
            <w:bottom w:val="none" w:sz="0" w:space="0" w:color="auto"/>
            <w:right w:val="none" w:sz="0" w:space="0" w:color="auto"/>
          </w:divBdr>
        </w:div>
        <w:div w:id="1878853950">
          <w:marLeft w:val="0"/>
          <w:marRight w:val="0"/>
          <w:marTop w:val="0"/>
          <w:marBottom w:val="0"/>
          <w:divBdr>
            <w:top w:val="none" w:sz="0" w:space="0" w:color="auto"/>
            <w:left w:val="none" w:sz="0" w:space="0" w:color="auto"/>
            <w:bottom w:val="none" w:sz="0" w:space="0" w:color="auto"/>
            <w:right w:val="none" w:sz="0" w:space="0" w:color="auto"/>
          </w:divBdr>
        </w:div>
        <w:div w:id="683093461">
          <w:marLeft w:val="0"/>
          <w:marRight w:val="0"/>
          <w:marTop w:val="0"/>
          <w:marBottom w:val="0"/>
          <w:divBdr>
            <w:top w:val="none" w:sz="0" w:space="0" w:color="auto"/>
            <w:left w:val="none" w:sz="0" w:space="0" w:color="auto"/>
            <w:bottom w:val="none" w:sz="0" w:space="0" w:color="auto"/>
            <w:right w:val="none" w:sz="0" w:space="0" w:color="auto"/>
          </w:divBdr>
        </w:div>
        <w:div w:id="1326473490">
          <w:marLeft w:val="0"/>
          <w:marRight w:val="0"/>
          <w:marTop w:val="0"/>
          <w:marBottom w:val="0"/>
          <w:divBdr>
            <w:top w:val="none" w:sz="0" w:space="0" w:color="auto"/>
            <w:left w:val="none" w:sz="0" w:space="0" w:color="auto"/>
            <w:bottom w:val="none" w:sz="0" w:space="0" w:color="auto"/>
            <w:right w:val="none" w:sz="0" w:space="0" w:color="auto"/>
          </w:divBdr>
        </w:div>
        <w:div w:id="177237982">
          <w:marLeft w:val="0"/>
          <w:marRight w:val="0"/>
          <w:marTop w:val="0"/>
          <w:marBottom w:val="0"/>
          <w:divBdr>
            <w:top w:val="none" w:sz="0" w:space="0" w:color="auto"/>
            <w:left w:val="none" w:sz="0" w:space="0" w:color="auto"/>
            <w:bottom w:val="none" w:sz="0" w:space="0" w:color="auto"/>
            <w:right w:val="none" w:sz="0" w:space="0" w:color="auto"/>
          </w:divBdr>
        </w:div>
        <w:div w:id="1218934746">
          <w:marLeft w:val="0"/>
          <w:marRight w:val="0"/>
          <w:marTop w:val="0"/>
          <w:marBottom w:val="0"/>
          <w:divBdr>
            <w:top w:val="none" w:sz="0" w:space="0" w:color="auto"/>
            <w:left w:val="none" w:sz="0" w:space="0" w:color="auto"/>
            <w:bottom w:val="none" w:sz="0" w:space="0" w:color="auto"/>
            <w:right w:val="none" w:sz="0" w:space="0" w:color="auto"/>
          </w:divBdr>
        </w:div>
        <w:div w:id="306589595">
          <w:marLeft w:val="0"/>
          <w:marRight w:val="0"/>
          <w:marTop w:val="0"/>
          <w:marBottom w:val="0"/>
          <w:divBdr>
            <w:top w:val="none" w:sz="0" w:space="0" w:color="auto"/>
            <w:left w:val="none" w:sz="0" w:space="0" w:color="auto"/>
            <w:bottom w:val="none" w:sz="0" w:space="0" w:color="auto"/>
            <w:right w:val="none" w:sz="0" w:space="0" w:color="auto"/>
          </w:divBdr>
        </w:div>
        <w:div w:id="1451166290">
          <w:marLeft w:val="0"/>
          <w:marRight w:val="0"/>
          <w:marTop w:val="0"/>
          <w:marBottom w:val="0"/>
          <w:divBdr>
            <w:top w:val="none" w:sz="0" w:space="0" w:color="auto"/>
            <w:left w:val="none" w:sz="0" w:space="0" w:color="auto"/>
            <w:bottom w:val="none" w:sz="0" w:space="0" w:color="auto"/>
            <w:right w:val="none" w:sz="0" w:space="0" w:color="auto"/>
          </w:divBdr>
        </w:div>
        <w:div w:id="1852798398">
          <w:marLeft w:val="0"/>
          <w:marRight w:val="0"/>
          <w:marTop w:val="0"/>
          <w:marBottom w:val="0"/>
          <w:divBdr>
            <w:top w:val="none" w:sz="0" w:space="0" w:color="auto"/>
            <w:left w:val="none" w:sz="0" w:space="0" w:color="auto"/>
            <w:bottom w:val="none" w:sz="0" w:space="0" w:color="auto"/>
            <w:right w:val="none" w:sz="0" w:space="0" w:color="auto"/>
          </w:divBdr>
        </w:div>
        <w:div w:id="366874803">
          <w:marLeft w:val="0"/>
          <w:marRight w:val="0"/>
          <w:marTop w:val="0"/>
          <w:marBottom w:val="0"/>
          <w:divBdr>
            <w:top w:val="none" w:sz="0" w:space="0" w:color="auto"/>
            <w:left w:val="none" w:sz="0" w:space="0" w:color="auto"/>
            <w:bottom w:val="none" w:sz="0" w:space="0" w:color="auto"/>
            <w:right w:val="none" w:sz="0" w:space="0" w:color="auto"/>
          </w:divBdr>
        </w:div>
      </w:divsChild>
    </w:div>
    <w:div w:id="740444602">
      <w:bodyDiv w:val="1"/>
      <w:marLeft w:val="0"/>
      <w:marRight w:val="0"/>
      <w:marTop w:val="0"/>
      <w:marBottom w:val="0"/>
      <w:divBdr>
        <w:top w:val="none" w:sz="0" w:space="0" w:color="auto"/>
        <w:left w:val="none" w:sz="0" w:space="0" w:color="auto"/>
        <w:bottom w:val="none" w:sz="0" w:space="0" w:color="auto"/>
        <w:right w:val="none" w:sz="0" w:space="0" w:color="auto"/>
      </w:divBdr>
    </w:div>
    <w:div w:id="765813119">
      <w:bodyDiv w:val="1"/>
      <w:marLeft w:val="0"/>
      <w:marRight w:val="0"/>
      <w:marTop w:val="0"/>
      <w:marBottom w:val="0"/>
      <w:divBdr>
        <w:top w:val="none" w:sz="0" w:space="0" w:color="auto"/>
        <w:left w:val="none" w:sz="0" w:space="0" w:color="auto"/>
        <w:bottom w:val="none" w:sz="0" w:space="0" w:color="auto"/>
        <w:right w:val="none" w:sz="0" w:space="0" w:color="auto"/>
      </w:divBdr>
    </w:div>
    <w:div w:id="775247605">
      <w:bodyDiv w:val="1"/>
      <w:marLeft w:val="0"/>
      <w:marRight w:val="0"/>
      <w:marTop w:val="0"/>
      <w:marBottom w:val="0"/>
      <w:divBdr>
        <w:top w:val="none" w:sz="0" w:space="0" w:color="auto"/>
        <w:left w:val="none" w:sz="0" w:space="0" w:color="auto"/>
        <w:bottom w:val="none" w:sz="0" w:space="0" w:color="auto"/>
        <w:right w:val="none" w:sz="0" w:space="0" w:color="auto"/>
      </w:divBdr>
    </w:div>
    <w:div w:id="812522567">
      <w:bodyDiv w:val="1"/>
      <w:marLeft w:val="0"/>
      <w:marRight w:val="0"/>
      <w:marTop w:val="0"/>
      <w:marBottom w:val="0"/>
      <w:divBdr>
        <w:top w:val="none" w:sz="0" w:space="0" w:color="auto"/>
        <w:left w:val="none" w:sz="0" w:space="0" w:color="auto"/>
        <w:bottom w:val="none" w:sz="0" w:space="0" w:color="auto"/>
        <w:right w:val="none" w:sz="0" w:space="0" w:color="auto"/>
      </w:divBdr>
    </w:div>
    <w:div w:id="840852708">
      <w:bodyDiv w:val="1"/>
      <w:marLeft w:val="0"/>
      <w:marRight w:val="0"/>
      <w:marTop w:val="0"/>
      <w:marBottom w:val="0"/>
      <w:divBdr>
        <w:top w:val="none" w:sz="0" w:space="0" w:color="auto"/>
        <w:left w:val="none" w:sz="0" w:space="0" w:color="auto"/>
        <w:bottom w:val="none" w:sz="0" w:space="0" w:color="auto"/>
        <w:right w:val="none" w:sz="0" w:space="0" w:color="auto"/>
      </w:divBdr>
    </w:div>
    <w:div w:id="894321082">
      <w:bodyDiv w:val="1"/>
      <w:marLeft w:val="0"/>
      <w:marRight w:val="0"/>
      <w:marTop w:val="0"/>
      <w:marBottom w:val="0"/>
      <w:divBdr>
        <w:top w:val="none" w:sz="0" w:space="0" w:color="auto"/>
        <w:left w:val="none" w:sz="0" w:space="0" w:color="auto"/>
        <w:bottom w:val="none" w:sz="0" w:space="0" w:color="auto"/>
        <w:right w:val="none" w:sz="0" w:space="0" w:color="auto"/>
      </w:divBdr>
    </w:div>
    <w:div w:id="912348078">
      <w:bodyDiv w:val="1"/>
      <w:marLeft w:val="0"/>
      <w:marRight w:val="0"/>
      <w:marTop w:val="0"/>
      <w:marBottom w:val="0"/>
      <w:divBdr>
        <w:top w:val="none" w:sz="0" w:space="0" w:color="auto"/>
        <w:left w:val="none" w:sz="0" w:space="0" w:color="auto"/>
        <w:bottom w:val="none" w:sz="0" w:space="0" w:color="auto"/>
        <w:right w:val="none" w:sz="0" w:space="0" w:color="auto"/>
      </w:divBdr>
    </w:div>
    <w:div w:id="936252756">
      <w:bodyDiv w:val="1"/>
      <w:marLeft w:val="0"/>
      <w:marRight w:val="0"/>
      <w:marTop w:val="0"/>
      <w:marBottom w:val="0"/>
      <w:divBdr>
        <w:top w:val="none" w:sz="0" w:space="0" w:color="auto"/>
        <w:left w:val="none" w:sz="0" w:space="0" w:color="auto"/>
        <w:bottom w:val="none" w:sz="0" w:space="0" w:color="auto"/>
        <w:right w:val="none" w:sz="0" w:space="0" w:color="auto"/>
      </w:divBdr>
    </w:div>
    <w:div w:id="950740498">
      <w:bodyDiv w:val="1"/>
      <w:marLeft w:val="0"/>
      <w:marRight w:val="0"/>
      <w:marTop w:val="0"/>
      <w:marBottom w:val="0"/>
      <w:divBdr>
        <w:top w:val="none" w:sz="0" w:space="0" w:color="auto"/>
        <w:left w:val="none" w:sz="0" w:space="0" w:color="auto"/>
        <w:bottom w:val="none" w:sz="0" w:space="0" w:color="auto"/>
        <w:right w:val="none" w:sz="0" w:space="0" w:color="auto"/>
      </w:divBdr>
    </w:div>
    <w:div w:id="957761675">
      <w:bodyDiv w:val="1"/>
      <w:marLeft w:val="0"/>
      <w:marRight w:val="0"/>
      <w:marTop w:val="0"/>
      <w:marBottom w:val="0"/>
      <w:divBdr>
        <w:top w:val="none" w:sz="0" w:space="0" w:color="auto"/>
        <w:left w:val="none" w:sz="0" w:space="0" w:color="auto"/>
        <w:bottom w:val="none" w:sz="0" w:space="0" w:color="auto"/>
        <w:right w:val="none" w:sz="0" w:space="0" w:color="auto"/>
      </w:divBdr>
    </w:div>
    <w:div w:id="1000890402">
      <w:bodyDiv w:val="1"/>
      <w:marLeft w:val="0"/>
      <w:marRight w:val="0"/>
      <w:marTop w:val="0"/>
      <w:marBottom w:val="0"/>
      <w:divBdr>
        <w:top w:val="none" w:sz="0" w:space="0" w:color="auto"/>
        <w:left w:val="none" w:sz="0" w:space="0" w:color="auto"/>
        <w:bottom w:val="none" w:sz="0" w:space="0" w:color="auto"/>
        <w:right w:val="none" w:sz="0" w:space="0" w:color="auto"/>
      </w:divBdr>
      <w:divsChild>
        <w:div w:id="1039742777">
          <w:marLeft w:val="0"/>
          <w:marRight w:val="0"/>
          <w:marTop w:val="0"/>
          <w:marBottom w:val="0"/>
          <w:divBdr>
            <w:top w:val="none" w:sz="0" w:space="0" w:color="auto"/>
            <w:left w:val="none" w:sz="0" w:space="0" w:color="auto"/>
            <w:bottom w:val="none" w:sz="0" w:space="0" w:color="auto"/>
            <w:right w:val="none" w:sz="0" w:space="0" w:color="auto"/>
          </w:divBdr>
        </w:div>
      </w:divsChild>
    </w:div>
    <w:div w:id="1029599221">
      <w:bodyDiv w:val="1"/>
      <w:marLeft w:val="0"/>
      <w:marRight w:val="0"/>
      <w:marTop w:val="0"/>
      <w:marBottom w:val="0"/>
      <w:divBdr>
        <w:top w:val="none" w:sz="0" w:space="0" w:color="auto"/>
        <w:left w:val="none" w:sz="0" w:space="0" w:color="auto"/>
        <w:bottom w:val="none" w:sz="0" w:space="0" w:color="auto"/>
        <w:right w:val="none" w:sz="0" w:space="0" w:color="auto"/>
      </w:divBdr>
    </w:div>
    <w:div w:id="1118451052">
      <w:bodyDiv w:val="1"/>
      <w:marLeft w:val="0"/>
      <w:marRight w:val="0"/>
      <w:marTop w:val="0"/>
      <w:marBottom w:val="0"/>
      <w:divBdr>
        <w:top w:val="none" w:sz="0" w:space="0" w:color="auto"/>
        <w:left w:val="none" w:sz="0" w:space="0" w:color="auto"/>
        <w:bottom w:val="none" w:sz="0" w:space="0" w:color="auto"/>
        <w:right w:val="none" w:sz="0" w:space="0" w:color="auto"/>
      </w:divBdr>
      <w:divsChild>
        <w:div w:id="598217940">
          <w:marLeft w:val="0"/>
          <w:marRight w:val="0"/>
          <w:marTop w:val="0"/>
          <w:marBottom w:val="0"/>
          <w:divBdr>
            <w:top w:val="none" w:sz="0" w:space="0" w:color="auto"/>
            <w:left w:val="none" w:sz="0" w:space="0" w:color="auto"/>
            <w:bottom w:val="none" w:sz="0" w:space="0" w:color="auto"/>
            <w:right w:val="none" w:sz="0" w:space="0" w:color="auto"/>
          </w:divBdr>
        </w:div>
        <w:div w:id="452017927">
          <w:marLeft w:val="0"/>
          <w:marRight w:val="0"/>
          <w:marTop w:val="0"/>
          <w:marBottom w:val="0"/>
          <w:divBdr>
            <w:top w:val="none" w:sz="0" w:space="0" w:color="auto"/>
            <w:left w:val="none" w:sz="0" w:space="0" w:color="auto"/>
            <w:bottom w:val="none" w:sz="0" w:space="0" w:color="auto"/>
            <w:right w:val="none" w:sz="0" w:space="0" w:color="auto"/>
          </w:divBdr>
        </w:div>
        <w:div w:id="93403472">
          <w:marLeft w:val="0"/>
          <w:marRight w:val="0"/>
          <w:marTop w:val="0"/>
          <w:marBottom w:val="0"/>
          <w:divBdr>
            <w:top w:val="none" w:sz="0" w:space="0" w:color="auto"/>
            <w:left w:val="none" w:sz="0" w:space="0" w:color="auto"/>
            <w:bottom w:val="none" w:sz="0" w:space="0" w:color="auto"/>
            <w:right w:val="none" w:sz="0" w:space="0" w:color="auto"/>
          </w:divBdr>
        </w:div>
        <w:div w:id="1379083603">
          <w:marLeft w:val="0"/>
          <w:marRight w:val="0"/>
          <w:marTop w:val="0"/>
          <w:marBottom w:val="0"/>
          <w:divBdr>
            <w:top w:val="none" w:sz="0" w:space="0" w:color="auto"/>
            <w:left w:val="none" w:sz="0" w:space="0" w:color="auto"/>
            <w:bottom w:val="none" w:sz="0" w:space="0" w:color="auto"/>
            <w:right w:val="none" w:sz="0" w:space="0" w:color="auto"/>
          </w:divBdr>
        </w:div>
        <w:div w:id="1999188821">
          <w:marLeft w:val="0"/>
          <w:marRight w:val="0"/>
          <w:marTop w:val="0"/>
          <w:marBottom w:val="0"/>
          <w:divBdr>
            <w:top w:val="none" w:sz="0" w:space="0" w:color="auto"/>
            <w:left w:val="none" w:sz="0" w:space="0" w:color="auto"/>
            <w:bottom w:val="none" w:sz="0" w:space="0" w:color="auto"/>
            <w:right w:val="none" w:sz="0" w:space="0" w:color="auto"/>
          </w:divBdr>
        </w:div>
        <w:div w:id="1487014650">
          <w:marLeft w:val="0"/>
          <w:marRight w:val="0"/>
          <w:marTop w:val="0"/>
          <w:marBottom w:val="0"/>
          <w:divBdr>
            <w:top w:val="none" w:sz="0" w:space="0" w:color="auto"/>
            <w:left w:val="none" w:sz="0" w:space="0" w:color="auto"/>
            <w:bottom w:val="none" w:sz="0" w:space="0" w:color="auto"/>
            <w:right w:val="none" w:sz="0" w:space="0" w:color="auto"/>
          </w:divBdr>
        </w:div>
        <w:div w:id="683214062">
          <w:marLeft w:val="0"/>
          <w:marRight w:val="0"/>
          <w:marTop w:val="0"/>
          <w:marBottom w:val="0"/>
          <w:divBdr>
            <w:top w:val="none" w:sz="0" w:space="0" w:color="auto"/>
            <w:left w:val="none" w:sz="0" w:space="0" w:color="auto"/>
            <w:bottom w:val="none" w:sz="0" w:space="0" w:color="auto"/>
            <w:right w:val="none" w:sz="0" w:space="0" w:color="auto"/>
          </w:divBdr>
        </w:div>
        <w:div w:id="658310875">
          <w:marLeft w:val="0"/>
          <w:marRight w:val="0"/>
          <w:marTop w:val="0"/>
          <w:marBottom w:val="0"/>
          <w:divBdr>
            <w:top w:val="none" w:sz="0" w:space="0" w:color="auto"/>
            <w:left w:val="none" w:sz="0" w:space="0" w:color="auto"/>
            <w:bottom w:val="none" w:sz="0" w:space="0" w:color="auto"/>
            <w:right w:val="none" w:sz="0" w:space="0" w:color="auto"/>
          </w:divBdr>
        </w:div>
        <w:div w:id="465858089">
          <w:marLeft w:val="0"/>
          <w:marRight w:val="0"/>
          <w:marTop w:val="0"/>
          <w:marBottom w:val="0"/>
          <w:divBdr>
            <w:top w:val="none" w:sz="0" w:space="0" w:color="auto"/>
            <w:left w:val="none" w:sz="0" w:space="0" w:color="auto"/>
            <w:bottom w:val="none" w:sz="0" w:space="0" w:color="auto"/>
            <w:right w:val="none" w:sz="0" w:space="0" w:color="auto"/>
          </w:divBdr>
        </w:div>
        <w:div w:id="1103108784">
          <w:marLeft w:val="0"/>
          <w:marRight w:val="0"/>
          <w:marTop w:val="0"/>
          <w:marBottom w:val="0"/>
          <w:divBdr>
            <w:top w:val="none" w:sz="0" w:space="0" w:color="auto"/>
            <w:left w:val="none" w:sz="0" w:space="0" w:color="auto"/>
            <w:bottom w:val="none" w:sz="0" w:space="0" w:color="auto"/>
            <w:right w:val="none" w:sz="0" w:space="0" w:color="auto"/>
          </w:divBdr>
        </w:div>
        <w:div w:id="1413820225">
          <w:marLeft w:val="0"/>
          <w:marRight w:val="0"/>
          <w:marTop w:val="0"/>
          <w:marBottom w:val="0"/>
          <w:divBdr>
            <w:top w:val="none" w:sz="0" w:space="0" w:color="auto"/>
            <w:left w:val="none" w:sz="0" w:space="0" w:color="auto"/>
            <w:bottom w:val="none" w:sz="0" w:space="0" w:color="auto"/>
            <w:right w:val="none" w:sz="0" w:space="0" w:color="auto"/>
          </w:divBdr>
        </w:div>
        <w:div w:id="1977176484">
          <w:marLeft w:val="0"/>
          <w:marRight w:val="0"/>
          <w:marTop w:val="0"/>
          <w:marBottom w:val="0"/>
          <w:divBdr>
            <w:top w:val="none" w:sz="0" w:space="0" w:color="auto"/>
            <w:left w:val="none" w:sz="0" w:space="0" w:color="auto"/>
            <w:bottom w:val="none" w:sz="0" w:space="0" w:color="auto"/>
            <w:right w:val="none" w:sz="0" w:space="0" w:color="auto"/>
          </w:divBdr>
        </w:div>
        <w:div w:id="865364279">
          <w:marLeft w:val="0"/>
          <w:marRight w:val="0"/>
          <w:marTop w:val="0"/>
          <w:marBottom w:val="0"/>
          <w:divBdr>
            <w:top w:val="none" w:sz="0" w:space="0" w:color="auto"/>
            <w:left w:val="none" w:sz="0" w:space="0" w:color="auto"/>
            <w:bottom w:val="none" w:sz="0" w:space="0" w:color="auto"/>
            <w:right w:val="none" w:sz="0" w:space="0" w:color="auto"/>
          </w:divBdr>
        </w:div>
        <w:div w:id="2045444355">
          <w:marLeft w:val="0"/>
          <w:marRight w:val="0"/>
          <w:marTop w:val="0"/>
          <w:marBottom w:val="0"/>
          <w:divBdr>
            <w:top w:val="none" w:sz="0" w:space="0" w:color="auto"/>
            <w:left w:val="none" w:sz="0" w:space="0" w:color="auto"/>
            <w:bottom w:val="none" w:sz="0" w:space="0" w:color="auto"/>
            <w:right w:val="none" w:sz="0" w:space="0" w:color="auto"/>
          </w:divBdr>
        </w:div>
        <w:div w:id="1633292628">
          <w:marLeft w:val="0"/>
          <w:marRight w:val="0"/>
          <w:marTop w:val="0"/>
          <w:marBottom w:val="0"/>
          <w:divBdr>
            <w:top w:val="none" w:sz="0" w:space="0" w:color="auto"/>
            <w:left w:val="none" w:sz="0" w:space="0" w:color="auto"/>
            <w:bottom w:val="none" w:sz="0" w:space="0" w:color="auto"/>
            <w:right w:val="none" w:sz="0" w:space="0" w:color="auto"/>
          </w:divBdr>
        </w:div>
        <w:div w:id="1091973136">
          <w:marLeft w:val="0"/>
          <w:marRight w:val="0"/>
          <w:marTop w:val="0"/>
          <w:marBottom w:val="0"/>
          <w:divBdr>
            <w:top w:val="none" w:sz="0" w:space="0" w:color="auto"/>
            <w:left w:val="none" w:sz="0" w:space="0" w:color="auto"/>
            <w:bottom w:val="none" w:sz="0" w:space="0" w:color="auto"/>
            <w:right w:val="none" w:sz="0" w:space="0" w:color="auto"/>
          </w:divBdr>
        </w:div>
        <w:div w:id="2114860225">
          <w:marLeft w:val="0"/>
          <w:marRight w:val="0"/>
          <w:marTop w:val="0"/>
          <w:marBottom w:val="0"/>
          <w:divBdr>
            <w:top w:val="none" w:sz="0" w:space="0" w:color="auto"/>
            <w:left w:val="none" w:sz="0" w:space="0" w:color="auto"/>
            <w:bottom w:val="none" w:sz="0" w:space="0" w:color="auto"/>
            <w:right w:val="none" w:sz="0" w:space="0" w:color="auto"/>
          </w:divBdr>
        </w:div>
        <w:div w:id="1581911524">
          <w:marLeft w:val="0"/>
          <w:marRight w:val="0"/>
          <w:marTop w:val="0"/>
          <w:marBottom w:val="0"/>
          <w:divBdr>
            <w:top w:val="none" w:sz="0" w:space="0" w:color="auto"/>
            <w:left w:val="none" w:sz="0" w:space="0" w:color="auto"/>
            <w:bottom w:val="none" w:sz="0" w:space="0" w:color="auto"/>
            <w:right w:val="none" w:sz="0" w:space="0" w:color="auto"/>
          </w:divBdr>
        </w:div>
        <w:div w:id="23530483">
          <w:marLeft w:val="0"/>
          <w:marRight w:val="0"/>
          <w:marTop w:val="0"/>
          <w:marBottom w:val="0"/>
          <w:divBdr>
            <w:top w:val="none" w:sz="0" w:space="0" w:color="auto"/>
            <w:left w:val="none" w:sz="0" w:space="0" w:color="auto"/>
            <w:bottom w:val="none" w:sz="0" w:space="0" w:color="auto"/>
            <w:right w:val="none" w:sz="0" w:space="0" w:color="auto"/>
          </w:divBdr>
        </w:div>
        <w:div w:id="2045400634">
          <w:marLeft w:val="0"/>
          <w:marRight w:val="0"/>
          <w:marTop w:val="0"/>
          <w:marBottom w:val="0"/>
          <w:divBdr>
            <w:top w:val="none" w:sz="0" w:space="0" w:color="auto"/>
            <w:left w:val="none" w:sz="0" w:space="0" w:color="auto"/>
            <w:bottom w:val="none" w:sz="0" w:space="0" w:color="auto"/>
            <w:right w:val="none" w:sz="0" w:space="0" w:color="auto"/>
          </w:divBdr>
        </w:div>
        <w:div w:id="343022917">
          <w:marLeft w:val="0"/>
          <w:marRight w:val="0"/>
          <w:marTop w:val="0"/>
          <w:marBottom w:val="0"/>
          <w:divBdr>
            <w:top w:val="none" w:sz="0" w:space="0" w:color="auto"/>
            <w:left w:val="none" w:sz="0" w:space="0" w:color="auto"/>
            <w:bottom w:val="none" w:sz="0" w:space="0" w:color="auto"/>
            <w:right w:val="none" w:sz="0" w:space="0" w:color="auto"/>
          </w:divBdr>
        </w:div>
        <w:div w:id="1886216881">
          <w:marLeft w:val="0"/>
          <w:marRight w:val="0"/>
          <w:marTop w:val="0"/>
          <w:marBottom w:val="0"/>
          <w:divBdr>
            <w:top w:val="none" w:sz="0" w:space="0" w:color="auto"/>
            <w:left w:val="none" w:sz="0" w:space="0" w:color="auto"/>
            <w:bottom w:val="none" w:sz="0" w:space="0" w:color="auto"/>
            <w:right w:val="none" w:sz="0" w:space="0" w:color="auto"/>
          </w:divBdr>
        </w:div>
      </w:divsChild>
    </w:div>
    <w:div w:id="1250852664">
      <w:bodyDiv w:val="1"/>
      <w:marLeft w:val="0"/>
      <w:marRight w:val="0"/>
      <w:marTop w:val="0"/>
      <w:marBottom w:val="0"/>
      <w:divBdr>
        <w:top w:val="none" w:sz="0" w:space="0" w:color="auto"/>
        <w:left w:val="none" w:sz="0" w:space="0" w:color="auto"/>
        <w:bottom w:val="none" w:sz="0" w:space="0" w:color="auto"/>
        <w:right w:val="none" w:sz="0" w:space="0" w:color="auto"/>
      </w:divBdr>
      <w:divsChild>
        <w:div w:id="647708869">
          <w:marLeft w:val="0"/>
          <w:marRight w:val="0"/>
          <w:marTop w:val="0"/>
          <w:marBottom w:val="0"/>
          <w:divBdr>
            <w:top w:val="none" w:sz="0" w:space="0" w:color="auto"/>
            <w:left w:val="none" w:sz="0" w:space="0" w:color="auto"/>
            <w:bottom w:val="none" w:sz="0" w:space="0" w:color="auto"/>
            <w:right w:val="none" w:sz="0" w:space="0" w:color="auto"/>
          </w:divBdr>
        </w:div>
        <w:div w:id="1532300195">
          <w:marLeft w:val="0"/>
          <w:marRight w:val="0"/>
          <w:marTop w:val="0"/>
          <w:marBottom w:val="0"/>
          <w:divBdr>
            <w:top w:val="none" w:sz="0" w:space="0" w:color="auto"/>
            <w:left w:val="none" w:sz="0" w:space="0" w:color="auto"/>
            <w:bottom w:val="none" w:sz="0" w:space="0" w:color="auto"/>
            <w:right w:val="none" w:sz="0" w:space="0" w:color="auto"/>
          </w:divBdr>
        </w:div>
        <w:div w:id="1936667261">
          <w:marLeft w:val="0"/>
          <w:marRight w:val="0"/>
          <w:marTop w:val="0"/>
          <w:marBottom w:val="0"/>
          <w:divBdr>
            <w:top w:val="none" w:sz="0" w:space="0" w:color="auto"/>
            <w:left w:val="none" w:sz="0" w:space="0" w:color="auto"/>
            <w:bottom w:val="none" w:sz="0" w:space="0" w:color="auto"/>
            <w:right w:val="none" w:sz="0" w:space="0" w:color="auto"/>
          </w:divBdr>
        </w:div>
        <w:div w:id="1779636061">
          <w:marLeft w:val="0"/>
          <w:marRight w:val="0"/>
          <w:marTop w:val="0"/>
          <w:marBottom w:val="0"/>
          <w:divBdr>
            <w:top w:val="none" w:sz="0" w:space="0" w:color="auto"/>
            <w:left w:val="none" w:sz="0" w:space="0" w:color="auto"/>
            <w:bottom w:val="none" w:sz="0" w:space="0" w:color="auto"/>
            <w:right w:val="none" w:sz="0" w:space="0" w:color="auto"/>
          </w:divBdr>
        </w:div>
      </w:divsChild>
    </w:div>
    <w:div w:id="1325744350">
      <w:bodyDiv w:val="1"/>
      <w:marLeft w:val="0"/>
      <w:marRight w:val="0"/>
      <w:marTop w:val="0"/>
      <w:marBottom w:val="0"/>
      <w:divBdr>
        <w:top w:val="none" w:sz="0" w:space="0" w:color="auto"/>
        <w:left w:val="none" w:sz="0" w:space="0" w:color="auto"/>
        <w:bottom w:val="none" w:sz="0" w:space="0" w:color="auto"/>
        <w:right w:val="none" w:sz="0" w:space="0" w:color="auto"/>
      </w:divBdr>
      <w:divsChild>
        <w:div w:id="858078569">
          <w:marLeft w:val="0"/>
          <w:marRight w:val="0"/>
          <w:marTop w:val="0"/>
          <w:marBottom w:val="0"/>
          <w:divBdr>
            <w:top w:val="none" w:sz="0" w:space="0" w:color="auto"/>
            <w:left w:val="none" w:sz="0" w:space="0" w:color="auto"/>
            <w:bottom w:val="none" w:sz="0" w:space="0" w:color="auto"/>
            <w:right w:val="none" w:sz="0" w:space="0" w:color="auto"/>
          </w:divBdr>
        </w:div>
        <w:div w:id="62485949">
          <w:marLeft w:val="0"/>
          <w:marRight w:val="0"/>
          <w:marTop w:val="0"/>
          <w:marBottom w:val="0"/>
          <w:divBdr>
            <w:top w:val="none" w:sz="0" w:space="0" w:color="auto"/>
            <w:left w:val="none" w:sz="0" w:space="0" w:color="auto"/>
            <w:bottom w:val="none" w:sz="0" w:space="0" w:color="auto"/>
            <w:right w:val="none" w:sz="0" w:space="0" w:color="auto"/>
          </w:divBdr>
        </w:div>
        <w:div w:id="2142182945">
          <w:marLeft w:val="0"/>
          <w:marRight w:val="0"/>
          <w:marTop w:val="0"/>
          <w:marBottom w:val="0"/>
          <w:divBdr>
            <w:top w:val="none" w:sz="0" w:space="0" w:color="auto"/>
            <w:left w:val="none" w:sz="0" w:space="0" w:color="auto"/>
            <w:bottom w:val="none" w:sz="0" w:space="0" w:color="auto"/>
            <w:right w:val="none" w:sz="0" w:space="0" w:color="auto"/>
          </w:divBdr>
        </w:div>
        <w:div w:id="1966278834">
          <w:marLeft w:val="0"/>
          <w:marRight w:val="0"/>
          <w:marTop w:val="0"/>
          <w:marBottom w:val="0"/>
          <w:divBdr>
            <w:top w:val="none" w:sz="0" w:space="0" w:color="auto"/>
            <w:left w:val="none" w:sz="0" w:space="0" w:color="auto"/>
            <w:bottom w:val="none" w:sz="0" w:space="0" w:color="auto"/>
            <w:right w:val="none" w:sz="0" w:space="0" w:color="auto"/>
          </w:divBdr>
        </w:div>
        <w:div w:id="731543580">
          <w:marLeft w:val="0"/>
          <w:marRight w:val="0"/>
          <w:marTop w:val="0"/>
          <w:marBottom w:val="0"/>
          <w:divBdr>
            <w:top w:val="none" w:sz="0" w:space="0" w:color="auto"/>
            <w:left w:val="none" w:sz="0" w:space="0" w:color="auto"/>
            <w:bottom w:val="none" w:sz="0" w:space="0" w:color="auto"/>
            <w:right w:val="none" w:sz="0" w:space="0" w:color="auto"/>
          </w:divBdr>
        </w:div>
        <w:div w:id="2142961911">
          <w:marLeft w:val="0"/>
          <w:marRight w:val="0"/>
          <w:marTop w:val="0"/>
          <w:marBottom w:val="0"/>
          <w:divBdr>
            <w:top w:val="none" w:sz="0" w:space="0" w:color="auto"/>
            <w:left w:val="none" w:sz="0" w:space="0" w:color="auto"/>
            <w:bottom w:val="none" w:sz="0" w:space="0" w:color="auto"/>
            <w:right w:val="none" w:sz="0" w:space="0" w:color="auto"/>
          </w:divBdr>
        </w:div>
        <w:div w:id="204564784">
          <w:marLeft w:val="0"/>
          <w:marRight w:val="0"/>
          <w:marTop w:val="0"/>
          <w:marBottom w:val="0"/>
          <w:divBdr>
            <w:top w:val="none" w:sz="0" w:space="0" w:color="auto"/>
            <w:left w:val="none" w:sz="0" w:space="0" w:color="auto"/>
            <w:bottom w:val="none" w:sz="0" w:space="0" w:color="auto"/>
            <w:right w:val="none" w:sz="0" w:space="0" w:color="auto"/>
          </w:divBdr>
        </w:div>
        <w:div w:id="200364485">
          <w:marLeft w:val="0"/>
          <w:marRight w:val="0"/>
          <w:marTop w:val="0"/>
          <w:marBottom w:val="0"/>
          <w:divBdr>
            <w:top w:val="none" w:sz="0" w:space="0" w:color="auto"/>
            <w:left w:val="none" w:sz="0" w:space="0" w:color="auto"/>
            <w:bottom w:val="none" w:sz="0" w:space="0" w:color="auto"/>
            <w:right w:val="none" w:sz="0" w:space="0" w:color="auto"/>
          </w:divBdr>
        </w:div>
        <w:div w:id="426582772">
          <w:marLeft w:val="0"/>
          <w:marRight w:val="0"/>
          <w:marTop w:val="0"/>
          <w:marBottom w:val="0"/>
          <w:divBdr>
            <w:top w:val="none" w:sz="0" w:space="0" w:color="auto"/>
            <w:left w:val="none" w:sz="0" w:space="0" w:color="auto"/>
            <w:bottom w:val="none" w:sz="0" w:space="0" w:color="auto"/>
            <w:right w:val="none" w:sz="0" w:space="0" w:color="auto"/>
          </w:divBdr>
        </w:div>
        <w:div w:id="5789433">
          <w:marLeft w:val="0"/>
          <w:marRight w:val="0"/>
          <w:marTop w:val="0"/>
          <w:marBottom w:val="0"/>
          <w:divBdr>
            <w:top w:val="none" w:sz="0" w:space="0" w:color="auto"/>
            <w:left w:val="none" w:sz="0" w:space="0" w:color="auto"/>
            <w:bottom w:val="none" w:sz="0" w:space="0" w:color="auto"/>
            <w:right w:val="none" w:sz="0" w:space="0" w:color="auto"/>
          </w:divBdr>
        </w:div>
        <w:div w:id="672340219">
          <w:marLeft w:val="0"/>
          <w:marRight w:val="0"/>
          <w:marTop w:val="0"/>
          <w:marBottom w:val="0"/>
          <w:divBdr>
            <w:top w:val="none" w:sz="0" w:space="0" w:color="auto"/>
            <w:left w:val="none" w:sz="0" w:space="0" w:color="auto"/>
            <w:bottom w:val="none" w:sz="0" w:space="0" w:color="auto"/>
            <w:right w:val="none" w:sz="0" w:space="0" w:color="auto"/>
          </w:divBdr>
        </w:div>
        <w:div w:id="1595549066">
          <w:marLeft w:val="0"/>
          <w:marRight w:val="0"/>
          <w:marTop w:val="0"/>
          <w:marBottom w:val="0"/>
          <w:divBdr>
            <w:top w:val="none" w:sz="0" w:space="0" w:color="auto"/>
            <w:left w:val="none" w:sz="0" w:space="0" w:color="auto"/>
            <w:bottom w:val="none" w:sz="0" w:space="0" w:color="auto"/>
            <w:right w:val="none" w:sz="0" w:space="0" w:color="auto"/>
          </w:divBdr>
        </w:div>
        <w:div w:id="845290632">
          <w:marLeft w:val="0"/>
          <w:marRight w:val="0"/>
          <w:marTop w:val="0"/>
          <w:marBottom w:val="0"/>
          <w:divBdr>
            <w:top w:val="none" w:sz="0" w:space="0" w:color="auto"/>
            <w:left w:val="none" w:sz="0" w:space="0" w:color="auto"/>
            <w:bottom w:val="none" w:sz="0" w:space="0" w:color="auto"/>
            <w:right w:val="none" w:sz="0" w:space="0" w:color="auto"/>
          </w:divBdr>
        </w:div>
        <w:div w:id="602347157">
          <w:marLeft w:val="0"/>
          <w:marRight w:val="0"/>
          <w:marTop w:val="0"/>
          <w:marBottom w:val="0"/>
          <w:divBdr>
            <w:top w:val="none" w:sz="0" w:space="0" w:color="auto"/>
            <w:left w:val="none" w:sz="0" w:space="0" w:color="auto"/>
            <w:bottom w:val="none" w:sz="0" w:space="0" w:color="auto"/>
            <w:right w:val="none" w:sz="0" w:space="0" w:color="auto"/>
          </w:divBdr>
        </w:div>
        <w:div w:id="1436705504">
          <w:marLeft w:val="0"/>
          <w:marRight w:val="0"/>
          <w:marTop w:val="0"/>
          <w:marBottom w:val="0"/>
          <w:divBdr>
            <w:top w:val="none" w:sz="0" w:space="0" w:color="auto"/>
            <w:left w:val="none" w:sz="0" w:space="0" w:color="auto"/>
            <w:bottom w:val="none" w:sz="0" w:space="0" w:color="auto"/>
            <w:right w:val="none" w:sz="0" w:space="0" w:color="auto"/>
          </w:divBdr>
        </w:div>
      </w:divsChild>
    </w:div>
    <w:div w:id="1366906301">
      <w:bodyDiv w:val="1"/>
      <w:marLeft w:val="0"/>
      <w:marRight w:val="0"/>
      <w:marTop w:val="0"/>
      <w:marBottom w:val="0"/>
      <w:divBdr>
        <w:top w:val="none" w:sz="0" w:space="0" w:color="auto"/>
        <w:left w:val="none" w:sz="0" w:space="0" w:color="auto"/>
        <w:bottom w:val="none" w:sz="0" w:space="0" w:color="auto"/>
        <w:right w:val="none" w:sz="0" w:space="0" w:color="auto"/>
      </w:divBdr>
    </w:div>
    <w:div w:id="1566911808">
      <w:bodyDiv w:val="1"/>
      <w:marLeft w:val="0"/>
      <w:marRight w:val="0"/>
      <w:marTop w:val="0"/>
      <w:marBottom w:val="0"/>
      <w:divBdr>
        <w:top w:val="none" w:sz="0" w:space="0" w:color="auto"/>
        <w:left w:val="none" w:sz="0" w:space="0" w:color="auto"/>
        <w:bottom w:val="none" w:sz="0" w:space="0" w:color="auto"/>
        <w:right w:val="none" w:sz="0" w:space="0" w:color="auto"/>
      </w:divBdr>
    </w:div>
    <w:div w:id="1733771370">
      <w:bodyDiv w:val="1"/>
      <w:marLeft w:val="0"/>
      <w:marRight w:val="0"/>
      <w:marTop w:val="0"/>
      <w:marBottom w:val="0"/>
      <w:divBdr>
        <w:top w:val="none" w:sz="0" w:space="0" w:color="auto"/>
        <w:left w:val="none" w:sz="0" w:space="0" w:color="auto"/>
        <w:bottom w:val="none" w:sz="0" w:space="0" w:color="auto"/>
        <w:right w:val="none" w:sz="0" w:space="0" w:color="auto"/>
      </w:divBdr>
    </w:div>
    <w:div w:id="1734766877">
      <w:bodyDiv w:val="1"/>
      <w:marLeft w:val="0"/>
      <w:marRight w:val="0"/>
      <w:marTop w:val="0"/>
      <w:marBottom w:val="0"/>
      <w:divBdr>
        <w:top w:val="none" w:sz="0" w:space="0" w:color="auto"/>
        <w:left w:val="none" w:sz="0" w:space="0" w:color="auto"/>
        <w:bottom w:val="none" w:sz="0" w:space="0" w:color="auto"/>
        <w:right w:val="none" w:sz="0" w:space="0" w:color="auto"/>
      </w:divBdr>
    </w:div>
    <w:div w:id="1759449942">
      <w:bodyDiv w:val="1"/>
      <w:marLeft w:val="0"/>
      <w:marRight w:val="0"/>
      <w:marTop w:val="0"/>
      <w:marBottom w:val="0"/>
      <w:divBdr>
        <w:top w:val="none" w:sz="0" w:space="0" w:color="auto"/>
        <w:left w:val="none" w:sz="0" w:space="0" w:color="auto"/>
        <w:bottom w:val="none" w:sz="0" w:space="0" w:color="auto"/>
        <w:right w:val="none" w:sz="0" w:space="0" w:color="auto"/>
      </w:divBdr>
    </w:div>
    <w:div w:id="1817721654">
      <w:bodyDiv w:val="1"/>
      <w:marLeft w:val="0"/>
      <w:marRight w:val="0"/>
      <w:marTop w:val="0"/>
      <w:marBottom w:val="0"/>
      <w:divBdr>
        <w:top w:val="none" w:sz="0" w:space="0" w:color="auto"/>
        <w:left w:val="none" w:sz="0" w:space="0" w:color="auto"/>
        <w:bottom w:val="none" w:sz="0" w:space="0" w:color="auto"/>
        <w:right w:val="none" w:sz="0" w:space="0" w:color="auto"/>
      </w:divBdr>
    </w:div>
    <w:div w:id="1844935259">
      <w:bodyDiv w:val="1"/>
      <w:marLeft w:val="0"/>
      <w:marRight w:val="0"/>
      <w:marTop w:val="0"/>
      <w:marBottom w:val="0"/>
      <w:divBdr>
        <w:top w:val="none" w:sz="0" w:space="0" w:color="auto"/>
        <w:left w:val="none" w:sz="0" w:space="0" w:color="auto"/>
        <w:bottom w:val="none" w:sz="0" w:space="0" w:color="auto"/>
        <w:right w:val="none" w:sz="0" w:space="0" w:color="auto"/>
      </w:divBdr>
    </w:div>
    <w:div w:id="1871721256">
      <w:bodyDiv w:val="1"/>
      <w:marLeft w:val="0"/>
      <w:marRight w:val="0"/>
      <w:marTop w:val="0"/>
      <w:marBottom w:val="0"/>
      <w:divBdr>
        <w:top w:val="none" w:sz="0" w:space="0" w:color="auto"/>
        <w:left w:val="none" w:sz="0" w:space="0" w:color="auto"/>
        <w:bottom w:val="none" w:sz="0" w:space="0" w:color="auto"/>
        <w:right w:val="none" w:sz="0" w:space="0" w:color="auto"/>
      </w:divBdr>
    </w:div>
    <w:div w:id="1884558308">
      <w:bodyDiv w:val="1"/>
      <w:marLeft w:val="0"/>
      <w:marRight w:val="0"/>
      <w:marTop w:val="0"/>
      <w:marBottom w:val="0"/>
      <w:divBdr>
        <w:top w:val="none" w:sz="0" w:space="0" w:color="auto"/>
        <w:left w:val="none" w:sz="0" w:space="0" w:color="auto"/>
        <w:bottom w:val="none" w:sz="0" w:space="0" w:color="auto"/>
        <w:right w:val="none" w:sz="0" w:space="0" w:color="auto"/>
      </w:divBdr>
    </w:div>
    <w:div w:id="1923374355">
      <w:bodyDiv w:val="1"/>
      <w:marLeft w:val="0"/>
      <w:marRight w:val="0"/>
      <w:marTop w:val="0"/>
      <w:marBottom w:val="0"/>
      <w:divBdr>
        <w:top w:val="none" w:sz="0" w:space="0" w:color="auto"/>
        <w:left w:val="none" w:sz="0" w:space="0" w:color="auto"/>
        <w:bottom w:val="none" w:sz="0" w:space="0" w:color="auto"/>
        <w:right w:val="none" w:sz="0" w:space="0" w:color="auto"/>
      </w:divBdr>
    </w:div>
    <w:div w:id="2037001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geert-hofstede.com/vietnam.htm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timeanddate.com/worldclock/distanceresult.html?p1=16&amp;p2=95"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data.worldbank.org/indicator/NY.GDP.PCAP.CD"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geert-hofsted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7D0EC0-8DB9-45A7-8E55-B9EAB1FA07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58</Pages>
  <Words>17641</Words>
  <Characters>100555</Characters>
  <Application>Microsoft Office Word</Application>
  <DocSecurity>0</DocSecurity>
  <Lines>837</Lines>
  <Paragraphs>235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117961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ABC</dc:creator>
  <cp:lastModifiedBy>ABC</cp:lastModifiedBy>
  <cp:revision>5</cp:revision>
  <dcterms:created xsi:type="dcterms:W3CDTF">2017-07-31T19:43:00Z</dcterms:created>
  <dcterms:modified xsi:type="dcterms:W3CDTF">2017-08-08T08:31:00Z</dcterms:modified>
</cp:coreProperties>
</file>