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398468784"/>
        <w:docPartObj>
          <w:docPartGallery w:val="Cover Pages"/>
          <w:docPartUnique/>
        </w:docPartObj>
      </w:sdtPr>
      <w:sdtEndPr>
        <w:rPr>
          <w:rFonts w:cs="Times New Roman"/>
          <w:szCs w:val="24"/>
        </w:rPr>
      </w:sdtEndPr>
      <w:sdtContent>
        <w:p w14:paraId="321D9017" w14:textId="7F32F936" w:rsidR="00724BEA" w:rsidRDefault="00724BEA">
          <w:r>
            <w:rPr>
              <w:noProof/>
            </w:rPr>
            <mc:AlternateContent>
              <mc:Choice Requires="wpg">
                <w:drawing>
                  <wp:anchor distT="0" distB="0" distL="114300" distR="114300" simplePos="0" relativeHeight="251658241" behindDoc="0" locked="0" layoutInCell="1" allowOverlap="1" wp14:anchorId="332D9839" wp14:editId="7735A2B0">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e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hthoek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hthoek 151"/>
                            <wps:cNvSpPr/>
                            <wps:spPr>
                              <a:xfrm>
                                <a:off x="0" y="0"/>
                                <a:ext cx="7315200" cy="1216152"/>
                              </a:xfrm>
                              <a:prstGeom prst="rect">
                                <a:avLst/>
                              </a:prstGeom>
                              <a:blipFill>
                                <a:blip r:embed="rId8"/>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0D6812F2" id="Groep 149" o:spid="_x0000_s1026" style="position:absolute;margin-left:0;margin-top:0;width:8in;height:95.7pt;z-index:251658241;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">
                    <v:shape id="Rechthoek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hthoek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9" o:title="" recolor="t" rotate="t" type="frame"/>
                    </v:rect>
                    <w10:wrap anchorx="page" anchory="page"/>
                  </v:group>
                </w:pict>
              </mc:Fallback>
            </mc:AlternateContent>
          </w:r>
          <w:r>
            <w:rPr>
              <w:noProof/>
            </w:rPr>
            <mc:AlternateContent>
              <mc:Choice Requires="wps">
                <w:drawing>
                  <wp:anchor distT="0" distB="0" distL="114300" distR="114300" simplePos="0" relativeHeight="251658240" behindDoc="0" locked="0" layoutInCell="1" allowOverlap="1" wp14:anchorId="3CDE20F1" wp14:editId="618F92BD">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kstvak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7AC9891" w14:textId="5D7D8AA3" w:rsidR="00724BEA" w:rsidRDefault="00B006F2">
                                <w:pPr>
                                  <w:jc w:val="right"/>
                                  <w:rPr>
                                    <w:color w:val="4472C4" w:themeColor="accent1"/>
                                    <w:sz w:val="64"/>
                                    <w:szCs w:val="64"/>
                                  </w:rPr>
                                </w:pPr>
                                <w:sdt>
                                  <w:sdtPr>
                                    <w:rPr>
                                      <w:caps/>
                                      <w:color w:val="4472C4" w:themeColor="accent1"/>
                                      <w:sz w:val="64"/>
                                      <w:szCs w:val="64"/>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716F92">
                                      <w:rPr>
                                        <w:caps/>
                                        <w:color w:val="4472C4" w:themeColor="accent1"/>
                                        <w:sz w:val="64"/>
                                        <w:szCs w:val="64"/>
                                      </w:rPr>
                                      <w:t>Europa</w:t>
                                    </w:r>
                                    <w:r w:rsidR="0079784C">
                                      <w:rPr>
                                        <w:caps/>
                                        <w:color w:val="4472C4" w:themeColor="accent1"/>
                                        <w:sz w:val="64"/>
                                        <w:szCs w:val="64"/>
                                      </w:rPr>
                                      <w:t>: dichtbij of ver-van-mijn-bed</w:t>
                                    </w:r>
                                    <w:r w:rsidR="00796C6F">
                                      <w:rPr>
                                        <w:caps/>
                                        <w:color w:val="4472C4" w:themeColor="accent1"/>
                                        <w:sz w:val="64"/>
                                        <w:szCs w:val="64"/>
                                      </w:rPr>
                                      <w:t>-</w:t>
                                    </w:r>
                                    <w:r w:rsidR="0079784C">
                                      <w:rPr>
                                        <w:caps/>
                                        <w:color w:val="4472C4" w:themeColor="accent1"/>
                                        <w:sz w:val="64"/>
                                        <w:szCs w:val="64"/>
                                      </w:rPr>
                                      <w:t>show?</w:t>
                                    </w:r>
                                  </w:sdtContent>
                                </w:sdt>
                              </w:p>
                              <w:sdt>
                                <w:sdtPr>
                                  <w:rPr>
                                    <w:color w:val="404040" w:themeColor="text1" w:themeTint="BF"/>
                                    <w:sz w:val="36"/>
                                    <w:szCs w:val="36"/>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7365B43C" w14:textId="642BB2E6" w:rsidR="00724BEA" w:rsidRDefault="00AC0165">
                                    <w:pPr>
                                      <w:jc w:val="right"/>
                                      <w:rPr>
                                        <w:smallCaps/>
                                        <w:color w:val="404040" w:themeColor="text1" w:themeTint="BF"/>
                                        <w:sz w:val="36"/>
                                        <w:szCs w:val="36"/>
                                      </w:rPr>
                                    </w:pPr>
                                    <w:r>
                                      <w:rPr>
                                        <w:color w:val="404040" w:themeColor="text1" w:themeTint="BF"/>
                                        <w:sz w:val="36"/>
                                        <w:szCs w:val="36"/>
                                      </w:rPr>
                                      <w:t xml:space="preserve">Een toetsend onderzoek </w:t>
                                    </w:r>
                                    <w:r w:rsidR="00634DC8">
                                      <w:rPr>
                                        <w:color w:val="404040" w:themeColor="text1" w:themeTint="BF"/>
                                        <w:sz w:val="36"/>
                                        <w:szCs w:val="36"/>
                                      </w:rPr>
                                      <w:t xml:space="preserve">naar </w:t>
                                    </w:r>
                                    <w:r w:rsidR="00EB3CA9">
                                      <w:rPr>
                                        <w:color w:val="404040" w:themeColor="text1" w:themeTint="BF"/>
                                        <w:sz w:val="36"/>
                                        <w:szCs w:val="36"/>
                                      </w:rPr>
                                      <w:t>politiek-bestuurlijke</w:t>
                                    </w:r>
                                    <w:r>
                                      <w:rPr>
                                        <w:color w:val="404040" w:themeColor="text1" w:themeTint="BF"/>
                                        <w:sz w:val="36"/>
                                        <w:szCs w:val="36"/>
                                      </w:rPr>
                                      <w:t xml:space="preserve"> Europeanisering bij Nederlandse gemeenten</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3CDE20F1" id="_x0000_t202" coordsize="21600,21600" o:spt="202" path="m,l,21600r21600,l21600,xe">
                    <v:stroke joinstyle="miter"/>
                    <v:path gradientshapeok="t" o:connecttype="rect"/>
                  </v:shapetype>
                  <v:shape id="Tekstvak 154" o:spid="_x0000_s1026" type="#_x0000_t202" style="position:absolute;left:0;text-align:left;margin-left:0;margin-top:0;width:8in;height:286.5pt;z-index:251658240;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" filled="f" stroked="f" strokeweight=".5pt">
                    <v:textbox inset="126pt,0,54pt,0">
                      <w:txbxContent>
                        <w:p w14:paraId="37AC9891" w14:textId="5D7D8AA3" w:rsidR="00724BEA" w:rsidRDefault="00B006F2">
                          <w:pPr>
                            <w:jc w:val="right"/>
                            <w:rPr>
                              <w:color w:val="4472C4" w:themeColor="accent1"/>
                              <w:sz w:val="64"/>
                              <w:szCs w:val="64"/>
                            </w:rPr>
                          </w:pPr>
                          <w:sdt>
                            <w:sdtPr>
                              <w:rPr>
                                <w:caps/>
                                <w:color w:val="4472C4" w:themeColor="accent1"/>
                                <w:sz w:val="64"/>
                                <w:szCs w:val="64"/>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716F92">
                                <w:rPr>
                                  <w:caps/>
                                  <w:color w:val="4472C4" w:themeColor="accent1"/>
                                  <w:sz w:val="64"/>
                                  <w:szCs w:val="64"/>
                                </w:rPr>
                                <w:t>Europa</w:t>
                              </w:r>
                              <w:r w:rsidR="0079784C">
                                <w:rPr>
                                  <w:caps/>
                                  <w:color w:val="4472C4" w:themeColor="accent1"/>
                                  <w:sz w:val="64"/>
                                  <w:szCs w:val="64"/>
                                </w:rPr>
                                <w:t>: dichtbij of ver-van-mijn-bed</w:t>
                              </w:r>
                              <w:r w:rsidR="00796C6F">
                                <w:rPr>
                                  <w:caps/>
                                  <w:color w:val="4472C4" w:themeColor="accent1"/>
                                  <w:sz w:val="64"/>
                                  <w:szCs w:val="64"/>
                                </w:rPr>
                                <w:t>-</w:t>
                              </w:r>
                              <w:r w:rsidR="0079784C">
                                <w:rPr>
                                  <w:caps/>
                                  <w:color w:val="4472C4" w:themeColor="accent1"/>
                                  <w:sz w:val="64"/>
                                  <w:szCs w:val="64"/>
                                </w:rPr>
                                <w:t>show?</w:t>
                              </w:r>
                            </w:sdtContent>
                          </w:sdt>
                        </w:p>
                        <w:sdt>
                          <w:sdtPr>
                            <w:rPr>
                              <w:color w:val="404040" w:themeColor="text1" w:themeTint="BF"/>
                              <w:sz w:val="36"/>
                              <w:szCs w:val="36"/>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7365B43C" w14:textId="642BB2E6" w:rsidR="00724BEA" w:rsidRDefault="00AC0165">
                              <w:pPr>
                                <w:jc w:val="right"/>
                                <w:rPr>
                                  <w:smallCaps/>
                                  <w:color w:val="404040" w:themeColor="text1" w:themeTint="BF"/>
                                  <w:sz w:val="36"/>
                                  <w:szCs w:val="36"/>
                                </w:rPr>
                              </w:pPr>
                              <w:r>
                                <w:rPr>
                                  <w:color w:val="404040" w:themeColor="text1" w:themeTint="BF"/>
                                  <w:sz w:val="36"/>
                                  <w:szCs w:val="36"/>
                                </w:rPr>
                                <w:t xml:space="preserve">Een toetsend onderzoek </w:t>
                              </w:r>
                              <w:r w:rsidR="00634DC8">
                                <w:rPr>
                                  <w:color w:val="404040" w:themeColor="text1" w:themeTint="BF"/>
                                  <w:sz w:val="36"/>
                                  <w:szCs w:val="36"/>
                                </w:rPr>
                                <w:t xml:space="preserve">naar </w:t>
                              </w:r>
                              <w:r w:rsidR="00EB3CA9">
                                <w:rPr>
                                  <w:color w:val="404040" w:themeColor="text1" w:themeTint="BF"/>
                                  <w:sz w:val="36"/>
                                  <w:szCs w:val="36"/>
                                </w:rPr>
                                <w:t>politiek-bestuurlijke</w:t>
                              </w:r>
                              <w:r>
                                <w:rPr>
                                  <w:color w:val="404040" w:themeColor="text1" w:themeTint="BF"/>
                                  <w:sz w:val="36"/>
                                  <w:szCs w:val="36"/>
                                </w:rPr>
                                <w:t xml:space="preserve"> Europeanisering bij Nederlandse gemeenten</w:t>
                              </w:r>
                            </w:p>
                          </w:sdtContent>
                        </w:sdt>
                      </w:txbxContent>
                    </v:textbox>
                    <w10:wrap type="square" anchorx="page" anchory="page"/>
                  </v:shape>
                </w:pict>
              </mc:Fallback>
            </mc:AlternateContent>
          </w:r>
        </w:p>
        <w:p w14:paraId="4ACA37B1" w14:textId="14129321" w:rsidR="00D0660E" w:rsidRPr="00F0033B" w:rsidRDefault="00073EC1">
          <w:pPr>
            <w:rPr>
              <w:rFonts w:cs="Times New Roman"/>
              <w:szCs w:val="24"/>
            </w:rPr>
          </w:pPr>
          <w:r>
            <w:rPr>
              <w:noProof/>
            </w:rPr>
            <mc:AlternateContent>
              <mc:Choice Requires="wps">
                <w:drawing>
                  <wp:anchor distT="0" distB="0" distL="114300" distR="114300" simplePos="0" relativeHeight="251658242" behindDoc="0" locked="0" layoutInCell="1" allowOverlap="1" wp14:anchorId="42A82E5B" wp14:editId="358ED3EE">
                    <wp:simplePos x="0" y="0"/>
                    <wp:positionH relativeFrom="margin">
                      <wp:align>left</wp:align>
                    </wp:positionH>
                    <wp:positionV relativeFrom="page">
                      <wp:posOffset>7124700</wp:posOffset>
                    </wp:positionV>
                    <wp:extent cx="5189220" cy="3176905"/>
                    <wp:effectExtent l="0" t="0" r="0" b="4445"/>
                    <wp:wrapSquare wrapText="bothSides"/>
                    <wp:docPr id="153" name="Tekstvak 153"/>
                    <wp:cNvGraphicFramePr/>
                    <a:graphic xmlns:a="http://schemas.openxmlformats.org/drawingml/2006/main">
                      <a:graphicData uri="http://schemas.microsoft.com/office/word/2010/wordprocessingShape">
                        <wps:wsp>
                          <wps:cNvSpPr txBox="1"/>
                          <wps:spPr>
                            <a:xfrm>
                              <a:off x="0" y="0"/>
                              <a:ext cx="5189220" cy="3176905"/>
                            </a:xfrm>
                            <a:prstGeom prst="rect">
                              <a:avLst/>
                            </a:prstGeom>
                            <a:noFill/>
                            <a:ln w="6350">
                              <a:noFill/>
                            </a:ln>
                            <a:effectLst/>
                          </wps:spPr>
                          <wps:txbx>
                            <w:txbxContent>
                              <w:p w14:paraId="0FBB83B5" w14:textId="77777777" w:rsidR="00073EC1" w:rsidRPr="003A3F9E" w:rsidRDefault="00B006F2" w:rsidP="00073EC1">
                                <w:pPr>
                                  <w:pStyle w:val="Geenafstand"/>
                                  <w:jc w:val="center"/>
                                  <w:rPr>
                                    <w:color w:val="595959" w:themeColor="text1" w:themeTint="A6"/>
                                    <w:sz w:val="20"/>
                                    <w:szCs w:val="20"/>
                                  </w:rPr>
                                </w:pPr>
                                <w:sdt>
                                  <w:sdtPr>
                                    <w:rPr>
                                      <w:color w:val="595959" w:themeColor="text1" w:themeTint="A6"/>
                                      <w:sz w:val="20"/>
                                      <w:szCs w:val="20"/>
                                    </w:rPr>
                                    <w:alias w:val="Samenvatting"/>
                                    <w:tag w:val=""/>
                                    <w:id w:val="1375273687"/>
                                    <w:showingPlcHdr/>
                                    <w:dataBinding w:prefixMappings="xmlns:ns0='http://schemas.microsoft.com/office/2006/coverPageProps' " w:xpath="/ns0:CoverPageProperties[1]/ns0:Abstract[1]" w:storeItemID="{55AF091B-3C7A-41E3-B477-F2FDAA23CFDA}"/>
                                    <w:text w:multiLine="1"/>
                                  </w:sdtPr>
                                  <w:sdtEndPr/>
                                  <w:sdtContent>
                                    <w:r w:rsidR="00073EC1" w:rsidRPr="003A3F9E">
                                      <w:rPr>
                                        <w:color w:val="595959" w:themeColor="text1" w:themeTint="A6"/>
                                        <w:sz w:val="20"/>
                                        <w:szCs w:val="20"/>
                                      </w:rPr>
                                      <w:t xml:space="preserve">     </w:t>
                                    </w:r>
                                  </w:sdtContent>
                                </w:sdt>
                                <w:r w:rsidR="00073EC1" w:rsidRPr="003A3F9E">
                                  <w:rPr>
                                    <w:color w:val="595959" w:themeColor="text1" w:themeTint="A6"/>
                                    <w:sz w:val="20"/>
                                    <w:szCs w:val="20"/>
                                  </w:rPr>
                                  <w:t>S.D.B. (Sander) Elemans</w:t>
                                </w:r>
                              </w:p>
                              <w:p w14:paraId="27B87625" w14:textId="77777777" w:rsidR="00073EC1" w:rsidRPr="003A3F9E" w:rsidRDefault="00073EC1" w:rsidP="00073EC1">
                                <w:pPr>
                                  <w:pStyle w:val="Geenafstand"/>
                                  <w:jc w:val="center"/>
                                  <w:rPr>
                                    <w:color w:val="595959" w:themeColor="text1" w:themeTint="A6"/>
                                    <w:sz w:val="20"/>
                                    <w:szCs w:val="20"/>
                                  </w:rPr>
                                </w:pPr>
                              </w:p>
                              <w:p w14:paraId="6A99368A" w14:textId="77777777" w:rsidR="00073EC1" w:rsidRDefault="00073EC1" w:rsidP="00073EC1">
                                <w:pPr>
                                  <w:pStyle w:val="Geenafstand"/>
                                  <w:jc w:val="center"/>
                                  <w:rPr>
                                    <w:color w:val="595959" w:themeColor="text1" w:themeTint="A6"/>
                                    <w:sz w:val="20"/>
                                    <w:szCs w:val="20"/>
                                  </w:rPr>
                                </w:pPr>
                                <w:r>
                                  <w:rPr>
                                    <w:color w:val="595959" w:themeColor="text1" w:themeTint="A6"/>
                                    <w:sz w:val="20"/>
                                    <w:szCs w:val="20"/>
                                  </w:rPr>
                                  <w:t>Radboud Universiteit Nijmegen</w:t>
                                </w:r>
                                <w:r>
                                  <w:rPr>
                                    <w:color w:val="595959" w:themeColor="text1" w:themeTint="A6"/>
                                    <w:sz w:val="20"/>
                                    <w:szCs w:val="20"/>
                                  </w:rPr>
                                  <w:br/>
                                  <w:t>Faculteit der Managementwetenschappen</w:t>
                                </w:r>
                              </w:p>
                              <w:p w14:paraId="12CE48D1" w14:textId="77777777" w:rsidR="00073EC1" w:rsidRDefault="00073EC1" w:rsidP="00073EC1">
                                <w:pPr>
                                  <w:pStyle w:val="Geenafstand"/>
                                  <w:jc w:val="center"/>
                                  <w:rPr>
                                    <w:color w:val="595959" w:themeColor="text1" w:themeTint="A6"/>
                                    <w:sz w:val="20"/>
                                    <w:szCs w:val="20"/>
                                  </w:rPr>
                                </w:pPr>
                              </w:p>
                              <w:p w14:paraId="0ECC36FF" w14:textId="05DC4C3D" w:rsidR="00073EC1" w:rsidRDefault="00073EC1" w:rsidP="00073EC1">
                                <w:pPr>
                                  <w:pStyle w:val="Geenafstand"/>
                                  <w:jc w:val="center"/>
                                  <w:rPr>
                                    <w:color w:val="595959" w:themeColor="text1" w:themeTint="A6"/>
                                    <w:sz w:val="20"/>
                                    <w:szCs w:val="20"/>
                                  </w:rPr>
                                </w:pPr>
                                <w:r>
                                  <w:rPr>
                                    <w:color w:val="595959" w:themeColor="text1" w:themeTint="A6"/>
                                    <w:sz w:val="20"/>
                                    <w:szCs w:val="20"/>
                                  </w:rPr>
                                  <w:t>Master</w:t>
                                </w:r>
                                <w:r w:rsidR="00E600D4">
                                  <w:rPr>
                                    <w:color w:val="595959" w:themeColor="text1" w:themeTint="A6"/>
                                    <w:sz w:val="20"/>
                                    <w:szCs w:val="20"/>
                                  </w:rPr>
                                  <w:t>artikel</w:t>
                                </w:r>
                                <w:r>
                                  <w:rPr>
                                    <w:color w:val="595959" w:themeColor="text1" w:themeTint="A6"/>
                                    <w:sz w:val="20"/>
                                    <w:szCs w:val="20"/>
                                  </w:rPr>
                                  <w:t xml:space="preserve"> Bestuurskunde</w:t>
                                </w:r>
                              </w:p>
                              <w:p w14:paraId="4B668989" w14:textId="77777777" w:rsidR="00073EC1" w:rsidRDefault="00073EC1" w:rsidP="00073EC1">
                                <w:pPr>
                                  <w:pStyle w:val="Geenafstand"/>
                                  <w:jc w:val="center"/>
                                  <w:rPr>
                                    <w:color w:val="595959" w:themeColor="text1" w:themeTint="A6"/>
                                    <w:sz w:val="20"/>
                                    <w:szCs w:val="20"/>
                                  </w:rPr>
                                </w:pPr>
                                <w:r>
                                  <w:rPr>
                                    <w:color w:val="595959" w:themeColor="text1" w:themeTint="A6"/>
                                    <w:sz w:val="20"/>
                                    <w:szCs w:val="20"/>
                                  </w:rPr>
                                  <w:t>Specialisatie Publiek Management</w:t>
                                </w:r>
                              </w:p>
                              <w:p w14:paraId="09AFB092" w14:textId="77DA4DA4" w:rsidR="00073EC1" w:rsidRDefault="00073EC1" w:rsidP="00073EC1">
                                <w:pPr>
                                  <w:pStyle w:val="Geenafstand"/>
                                  <w:jc w:val="center"/>
                                  <w:rPr>
                                    <w:color w:val="595959" w:themeColor="text1" w:themeTint="A6"/>
                                    <w:sz w:val="20"/>
                                    <w:szCs w:val="20"/>
                                  </w:rPr>
                                </w:pPr>
                                <w:r>
                                  <w:rPr>
                                    <w:color w:val="595959" w:themeColor="text1" w:themeTint="A6"/>
                                    <w:sz w:val="20"/>
                                    <w:szCs w:val="20"/>
                                  </w:rPr>
                                  <w:br/>
                                  <w:t>Begeleider universiteit:</w:t>
                                </w:r>
                                <w:r w:rsidR="009C39BD">
                                  <w:rPr>
                                    <w:color w:val="595959" w:themeColor="text1" w:themeTint="A6"/>
                                    <w:sz w:val="20"/>
                                    <w:szCs w:val="20"/>
                                  </w:rPr>
                                  <w:t xml:space="preserve"> </w:t>
                                </w:r>
                                <w:r w:rsidR="002F4F4A">
                                  <w:rPr>
                                    <w:color w:val="595959" w:themeColor="text1" w:themeTint="A6"/>
                                    <w:sz w:val="20"/>
                                    <w:szCs w:val="20"/>
                                  </w:rPr>
                                  <w:t>d</w:t>
                                </w:r>
                                <w:r w:rsidR="001166F8">
                                  <w:rPr>
                                    <w:color w:val="595959" w:themeColor="text1" w:themeTint="A6"/>
                                    <w:sz w:val="20"/>
                                    <w:szCs w:val="20"/>
                                  </w:rPr>
                                  <w:t>r. P.</w:t>
                                </w:r>
                                <w:r w:rsidR="00D17A3C">
                                  <w:rPr>
                                    <w:color w:val="595959" w:themeColor="text1" w:themeTint="A6"/>
                                    <w:sz w:val="20"/>
                                    <w:szCs w:val="20"/>
                                  </w:rPr>
                                  <w:t>J.</w:t>
                                </w:r>
                                <w:r w:rsidR="001166F8">
                                  <w:rPr>
                                    <w:color w:val="595959" w:themeColor="text1" w:themeTint="A6"/>
                                    <w:sz w:val="20"/>
                                    <w:szCs w:val="20"/>
                                  </w:rPr>
                                  <w:t xml:space="preserve"> Zwaan</w:t>
                                </w:r>
                              </w:p>
                              <w:p w14:paraId="0CE17F99" w14:textId="3726F40F" w:rsidR="005B1944" w:rsidRDefault="005B1944" w:rsidP="00073EC1">
                                <w:pPr>
                                  <w:pStyle w:val="Geenafstand"/>
                                  <w:jc w:val="center"/>
                                  <w:rPr>
                                    <w:color w:val="595959" w:themeColor="text1" w:themeTint="A6"/>
                                    <w:sz w:val="20"/>
                                    <w:szCs w:val="20"/>
                                  </w:rPr>
                                </w:pPr>
                                <w:r w:rsidRPr="005B1944">
                                  <w:rPr>
                                    <w:color w:val="595959" w:themeColor="text1" w:themeTint="A6"/>
                                    <w:sz w:val="20"/>
                                    <w:szCs w:val="20"/>
                                  </w:rPr>
                                  <w:t>Begeleider stage: drs. M.A.C.M. Eijkens</w:t>
                                </w:r>
                              </w:p>
                              <w:p w14:paraId="34158005" w14:textId="77777777" w:rsidR="00073EC1" w:rsidRDefault="00073EC1" w:rsidP="00073EC1">
                                <w:pPr>
                                  <w:pStyle w:val="Geenafstand"/>
                                  <w:jc w:val="center"/>
                                  <w:rPr>
                                    <w:color w:val="595959" w:themeColor="text1" w:themeTint="A6"/>
                                    <w:sz w:val="20"/>
                                    <w:szCs w:val="20"/>
                                  </w:rPr>
                                </w:pPr>
                              </w:p>
                              <w:p w14:paraId="37DD1563" w14:textId="7E3F469C" w:rsidR="00073EC1" w:rsidRDefault="00073EC1" w:rsidP="00073EC1">
                                <w:pPr>
                                  <w:pStyle w:val="Geenafstand"/>
                                  <w:jc w:val="center"/>
                                  <w:rPr>
                                    <w:color w:val="595959" w:themeColor="text1" w:themeTint="A6"/>
                                    <w:sz w:val="20"/>
                                    <w:szCs w:val="20"/>
                                  </w:rPr>
                                </w:pPr>
                                <w:r>
                                  <w:rPr>
                                    <w:color w:val="595959" w:themeColor="text1" w:themeTint="A6"/>
                                    <w:sz w:val="20"/>
                                    <w:szCs w:val="20"/>
                                  </w:rPr>
                                  <w:t>Fe</w:t>
                                </w:r>
                                <w:r w:rsidR="00E600D4">
                                  <w:rPr>
                                    <w:color w:val="595959" w:themeColor="text1" w:themeTint="A6"/>
                                    <w:sz w:val="20"/>
                                    <w:szCs w:val="20"/>
                                  </w:rPr>
                                  <w:t>bruari</w:t>
                                </w:r>
                                <w:r>
                                  <w:rPr>
                                    <w:color w:val="595959" w:themeColor="text1" w:themeTint="A6"/>
                                    <w:sz w:val="20"/>
                                    <w:szCs w:val="20"/>
                                  </w:rPr>
                                  <w:t xml:space="preserve"> 2023</w:t>
                                </w:r>
                              </w:p>
                              <w:p w14:paraId="378A3B13" w14:textId="2110D8B9" w:rsidR="00073EC1" w:rsidRDefault="00073EC1" w:rsidP="00073EC1">
                                <w:pPr>
                                  <w:pStyle w:val="Geenafstand"/>
                                  <w:jc w:val="center"/>
                                  <w:rPr>
                                    <w:color w:val="595959" w:themeColor="text1" w:themeTint="A6"/>
                                    <w:sz w:val="20"/>
                                    <w:szCs w:val="20"/>
                                  </w:rPr>
                                </w:pPr>
                                <w:r w:rsidRPr="0095472F">
                                  <w:rPr>
                                    <w:color w:val="595959" w:themeColor="text1" w:themeTint="A6"/>
                                    <w:sz w:val="20"/>
                                    <w:szCs w:val="20"/>
                                  </w:rPr>
                                  <w:t>Aantal woorden</w:t>
                                </w:r>
                                <w:r w:rsidR="007F534F">
                                  <w:rPr>
                                    <w:color w:val="595959" w:themeColor="text1" w:themeTint="A6"/>
                                    <w:sz w:val="20"/>
                                    <w:szCs w:val="20"/>
                                  </w:rPr>
                                  <w:t xml:space="preserve">: </w:t>
                                </w:r>
                                <w:r w:rsidR="00AF3A3D" w:rsidRPr="0095472F">
                                  <w:rPr>
                                    <w:color w:val="595959" w:themeColor="text1" w:themeTint="A6"/>
                                    <w:sz w:val="20"/>
                                    <w:szCs w:val="20"/>
                                  </w:rPr>
                                  <w:t>11.</w:t>
                                </w:r>
                                <w:r w:rsidR="0095472F" w:rsidRPr="0095472F">
                                  <w:rPr>
                                    <w:color w:val="595959" w:themeColor="text1" w:themeTint="A6"/>
                                    <w:sz w:val="20"/>
                                    <w:szCs w:val="20"/>
                                  </w:rPr>
                                  <w:t>2</w:t>
                                </w:r>
                                <w:r w:rsidR="00F815F5">
                                  <w:rPr>
                                    <w:color w:val="595959" w:themeColor="text1" w:themeTint="A6"/>
                                    <w:sz w:val="20"/>
                                    <w:szCs w:val="20"/>
                                  </w:rPr>
                                  <w:t>69</w:t>
                                </w:r>
                              </w:p>
                              <w:p w14:paraId="4D092603" w14:textId="77777777" w:rsidR="00073EC1" w:rsidRDefault="00073EC1" w:rsidP="00073EC1">
                                <w:pPr>
                                  <w:pStyle w:val="Geenafstand"/>
                                  <w:jc w:val="center"/>
                                  <w:rPr>
                                    <w:color w:val="595959" w:themeColor="text1" w:themeTint="A6"/>
                                    <w:sz w:val="20"/>
                                    <w:szCs w:val="20"/>
                                  </w:rPr>
                                </w:pPr>
                              </w:p>
                              <w:p w14:paraId="73042052" w14:textId="77777777" w:rsidR="00073EC1" w:rsidRDefault="00073EC1" w:rsidP="00073EC1">
                                <w:pPr>
                                  <w:pStyle w:val="Geenafstand"/>
                                  <w:jc w:val="center"/>
                                  <w:rPr>
                                    <w:color w:val="595959" w:themeColor="text1" w:themeTint="A6"/>
                                    <w:sz w:val="20"/>
                                    <w:szCs w:val="20"/>
                                  </w:rPr>
                                </w:pPr>
                                <w:r>
                                  <w:rPr>
                                    <w:noProof/>
                                  </w:rPr>
                                  <w:drawing>
                                    <wp:inline distT="0" distB="0" distL="0" distR="0" wp14:anchorId="0058E4D3" wp14:editId="6D4F3004">
                                      <wp:extent cx="1210186" cy="814754"/>
                                      <wp:effectExtent l="0" t="0" r="9525" b="444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8958" cy="827392"/>
                                              </a:xfrm>
                                              <a:prstGeom prst="rect">
                                                <a:avLst/>
                                              </a:prstGeom>
                                              <a:noFill/>
                                            </pic:spPr>
                                          </pic:pic>
                                        </a:graphicData>
                                      </a:graphic>
                                    </wp:inline>
                                  </w:drawing>
                                </w:r>
                                <w:r>
                                  <w:rPr>
                                    <w:color w:val="595959" w:themeColor="text1" w:themeTint="A6"/>
                                    <w:sz w:val="20"/>
                                    <w:szCs w:val="20"/>
                                  </w:rPr>
                                  <w:t xml:space="preserve"> </w:t>
                                </w:r>
                                <w:r>
                                  <w:rPr>
                                    <w:noProof/>
                                  </w:rPr>
                                  <w:drawing>
                                    <wp:inline distT="0" distB="0" distL="0" distR="0" wp14:anchorId="11F20098" wp14:editId="0C0D81BE">
                                      <wp:extent cx="1326905" cy="592370"/>
                                      <wp:effectExtent l="0" t="0" r="6985" b="0"/>
                                      <wp:docPr id="14" name="Afbeelding 14" descr="Afbeelding met tekst, venst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descr="Afbeelding met tekst, venster&#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57595" cy="606071"/>
                                              </a:xfrm>
                                              <a:prstGeom prst="rect">
                                                <a:avLst/>
                                              </a:prstGeom>
                                              <a:noFill/>
                                            </pic:spPr>
                                          </pic:pic>
                                        </a:graphicData>
                                      </a:graphic>
                                    </wp:inline>
                                  </w:drawing>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2A82E5B" id="Tekstvak 153" o:spid="_x0000_s1027" type="#_x0000_t202" style="position:absolute;left:0;text-align:left;margin-left:0;margin-top:561pt;width:408.6pt;height:250.1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" filled="f" stroked="f" strokeweight=".5pt">
                    <v:textbox inset="126pt,0,54pt,0">
                      <w:txbxContent>
                        <w:p w14:paraId="0FBB83B5" w14:textId="77777777" w:rsidR="00073EC1" w:rsidRPr="003A3F9E" w:rsidRDefault="00B006F2" w:rsidP="00073EC1">
                          <w:pPr>
                            <w:pStyle w:val="Geenafstand"/>
                            <w:jc w:val="center"/>
                            <w:rPr>
                              <w:color w:val="595959" w:themeColor="text1" w:themeTint="A6"/>
                              <w:sz w:val="20"/>
                              <w:szCs w:val="20"/>
                            </w:rPr>
                          </w:pPr>
                          <w:sdt>
                            <w:sdtPr>
                              <w:rPr>
                                <w:color w:val="595959" w:themeColor="text1" w:themeTint="A6"/>
                                <w:sz w:val="20"/>
                                <w:szCs w:val="20"/>
                              </w:rPr>
                              <w:alias w:val="Samenvatting"/>
                              <w:tag w:val=""/>
                              <w:id w:val="1375273687"/>
                              <w:showingPlcHdr/>
                              <w:dataBinding w:prefixMappings="xmlns:ns0='http://schemas.microsoft.com/office/2006/coverPageProps' " w:xpath="/ns0:CoverPageProperties[1]/ns0:Abstract[1]" w:storeItemID="{55AF091B-3C7A-41E3-B477-F2FDAA23CFDA}"/>
                              <w:text w:multiLine="1"/>
                            </w:sdtPr>
                            <w:sdtEndPr/>
                            <w:sdtContent>
                              <w:r w:rsidR="00073EC1" w:rsidRPr="003A3F9E">
                                <w:rPr>
                                  <w:color w:val="595959" w:themeColor="text1" w:themeTint="A6"/>
                                  <w:sz w:val="20"/>
                                  <w:szCs w:val="20"/>
                                </w:rPr>
                                <w:t xml:space="preserve">     </w:t>
                              </w:r>
                            </w:sdtContent>
                          </w:sdt>
                          <w:r w:rsidR="00073EC1" w:rsidRPr="003A3F9E">
                            <w:rPr>
                              <w:color w:val="595959" w:themeColor="text1" w:themeTint="A6"/>
                              <w:sz w:val="20"/>
                              <w:szCs w:val="20"/>
                            </w:rPr>
                            <w:t>S.D.B. (Sander) Elemans</w:t>
                          </w:r>
                        </w:p>
                        <w:p w14:paraId="27B87625" w14:textId="77777777" w:rsidR="00073EC1" w:rsidRPr="003A3F9E" w:rsidRDefault="00073EC1" w:rsidP="00073EC1">
                          <w:pPr>
                            <w:pStyle w:val="Geenafstand"/>
                            <w:jc w:val="center"/>
                            <w:rPr>
                              <w:color w:val="595959" w:themeColor="text1" w:themeTint="A6"/>
                              <w:sz w:val="20"/>
                              <w:szCs w:val="20"/>
                            </w:rPr>
                          </w:pPr>
                        </w:p>
                        <w:p w14:paraId="6A99368A" w14:textId="77777777" w:rsidR="00073EC1" w:rsidRDefault="00073EC1" w:rsidP="00073EC1">
                          <w:pPr>
                            <w:pStyle w:val="Geenafstand"/>
                            <w:jc w:val="center"/>
                            <w:rPr>
                              <w:color w:val="595959" w:themeColor="text1" w:themeTint="A6"/>
                              <w:sz w:val="20"/>
                              <w:szCs w:val="20"/>
                            </w:rPr>
                          </w:pPr>
                          <w:r>
                            <w:rPr>
                              <w:color w:val="595959" w:themeColor="text1" w:themeTint="A6"/>
                              <w:sz w:val="20"/>
                              <w:szCs w:val="20"/>
                            </w:rPr>
                            <w:t>Radboud Universiteit Nijmegen</w:t>
                          </w:r>
                          <w:r>
                            <w:rPr>
                              <w:color w:val="595959" w:themeColor="text1" w:themeTint="A6"/>
                              <w:sz w:val="20"/>
                              <w:szCs w:val="20"/>
                            </w:rPr>
                            <w:br/>
                            <w:t>Faculteit der Managementwetenschappen</w:t>
                          </w:r>
                        </w:p>
                        <w:p w14:paraId="12CE48D1" w14:textId="77777777" w:rsidR="00073EC1" w:rsidRDefault="00073EC1" w:rsidP="00073EC1">
                          <w:pPr>
                            <w:pStyle w:val="Geenafstand"/>
                            <w:jc w:val="center"/>
                            <w:rPr>
                              <w:color w:val="595959" w:themeColor="text1" w:themeTint="A6"/>
                              <w:sz w:val="20"/>
                              <w:szCs w:val="20"/>
                            </w:rPr>
                          </w:pPr>
                        </w:p>
                        <w:p w14:paraId="0ECC36FF" w14:textId="05DC4C3D" w:rsidR="00073EC1" w:rsidRDefault="00073EC1" w:rsidP="00073EC1">
                          <w:pPr>
                            <w:pStyle w:val="Geenafstand"/>
                            <w:jc w:val="center"/>
                            <w:rPr>
                              <w:color w:val="595959" w:themeColor="text1" w:themeTint="A6"/>
                              <w:sz w:val="20"/>
                              <w:szCs w:val="20"/>
                            </w:rPr>
                          </w:pPr>
                          <w:r>
                            <w:rPr>
                              <w:color w:val="595959" w:themeColor="text1" w:themeTint="A6"/>
                              <w:sz w:val="20"/>
                              <w:szCs w:val="20"/>
                            </w:rPr>
                            <w:t>Master</w:t>
                          </w:r>
                          <w:r w:rsidR="00E600D4">
                            <w:rPr>
                              <w:color w:val="595959" w:themeColor="text1" w:themeTint="A6"/>
                              <w:sz w:val="20"/>
                              <w:szCs w:val="20"/>
                            </w:rPr>
                            <w:t>artikel</w:t>
                          </w:r>
                          <w:r>
                            <w:rPr>
                              <w:color w:val="595959" w:themeColor="text1" w:themeTint="A6"/>
                              <w:sz w:val="20"/>
                              <w:szCs w:val="20"/>
                            </w:rPr>
                            <w:t xml:space="preserve"> Bestuurskunde</w:t>
                          </w:r>
                        </w:p>
                        <w:p w14:paraId="4B668989" w14:textId="77777777" w:rsidR="00073EC1" w:rsidRDefault="00073EC1" w:rsidP="00073EC1">
                          <w:pPr>
                            <w:pStyle w:val="Geenafstand"/>
                            <w:jc w:val="center"/>
                            <w:rPr>
                              <w:color w:val="595959" w:themeColor="text1" w:themeTint="A6"/>
                              <w:sz w:val="20"/>
                              <w:szCs w:val="20"/>
                            </w:rPr>
                          </w:pPr>
                          <w:r>
                            <w:rPr>
                              <w:color w:val="595959" w:themeColor="text1" w:themeTint="A6"/>
                              <w:sz w:val="20"/>
                              <w:szCs w:val="20"/>
                            </w:rPr>
                            <w:t>Specialisatie Publiek Management</w:t>
                          </w:r>
                        </w:p>
                        <w:p w14:paraId="09AFB092" w14:textId="77DA4DA4" w:rsidR="00073EC1" w:rsidRDefault="00073EC1" w:rsidP="00073EC1">
                          <w:pPr>
                            <w:pStyle w:val="Geenafstand"/>
                            <w:jc w:val="center"/>
                            <w:rPr>
                              <w:color w:val="595959" w:themeColor="text1" w:themeTint="A6"/>
                              <w:sz w:val="20"/>
                              <w:szCs w:val="20"/>
                            </w:rPr>
                          </w:pPr>
                          <w:r>
                            <w:rPr>
                              <w:color w:val="595959" w:themeColor="text1" w:themeTint="A6"/>
                              <w:sz w:val="20"/>
                              <w:szCs w:val="20"/>
                            </w:rPr>
                            <w:br/>
                            <w:t>Begeleider universiteit:</w:t>
                          </w:r>
                          <w:r w:rsidR="009C39BD">
                            <w:rPr>
                              <w:color w:val="595959" w:themeColor="text1" w:themeTint="A6"/>
                              <w:sz w:val="20"/>
                              <w:szCs w:val="20"/>
                            </w:rPr>
                            <w:t xml:space="preserve"> </w:t>
                          </w:r>
                          <w:r w:rsidR="002F4F4A">
                            <w:rPr>
                              <w:color w:val="595959" w:themeColor="text1" w:themeTint="A6"/>
                              <w:sz w:val="20"/>
                              <w:szCs w:val="20"/>
                            </w:rPr>
                            <w:t>d</w:t>
                          </w:r>
                          <w:r w:rsidR="001166F8">
                            <w:rPr>
                              <w:color w:val="595959" w:themeColor="text1" w:themeTint="A6"/>
                              <w:sz w:val="20"/>
                              <w:szCs w:val="20"/>
                            </w:rPr>
                            <w:t>r. P.</w:t>
                          </w:r>
                          <w:r w:rsidR="00D17A3C">
                            <w:rPr>
                              <w:color w:val="595959" w:themeColor="text1" w:themeTint="A6"/>
                              <w:sz w:val="20"/>
                              <w:szCs w:val="20"/>
                            </w:rPr>
                            <w:t>J.</w:t>
                          </w:r>
                          <w:r w:rsidR="001166F8">
                            <w:rPr>
                              <w:color w:val="595959" w:themeColor="text1" w:themeTint="A6"/>
                              <w:sz w:val="20"/>
                              <w:szCs w:val="20"/>
                            </w:rPr>
                            <w:t xml:space="preserve"> Zwaan</w:t>
                          </w:r>
                        </w:p>
                        <w:p w14:paraId="0CE17F99" w14:textId="3726F40F" w:rsidR="005B1944" w:rsidRDefault="005B1944" w:rsidP="00073EC1">
                          <w:pPr>
                            <w:pStyle w:val="Geenafstand"/>
                            <w:jc w:val="center"/>
                            <w:rPr>
                              <w:color w:val="595959" w:themeColor="text1" w:themeTint="A6"/>
                              <w:sz w:val="20"/>
                              <w:szCs w:val="20"/>
                            </w:rPr>
                          </w:pPr>
                          <w:r w:rsidRPr="005B1944">
                            <w:rPr>
                              <w:color w:val="595959" w:themeColor="text1" w:themeTint="A6"/>
                              <w:sz w:val="20"/>
                              <w:szCs w:val="20"/>
                            </w:rPr>
                            <w:t>Begeleider stage: drs. M.A.C.M. Eijkens</w:t>
                          </w:r>
                        </w:p>
                        <w:p w14:paraId="34158005" w14:textId="77777777" w:rsidR="00073EC1" w:rsidRDefault="00073EC1" w:rsidP="00073EC1">
                          <w:pPr>
                            <w:pStyle w:val="Geenafstand"/>
                            <w:jc w:val="center"/>
                            <w:rPr>
                              <w:color w:val="595959" w:themeColor="text1" w:themeTint="A6"/>
                              <w:sz w:val="20"/>
                              <w:szCs w:val="20"/>
                            </w:rPr>
                          </w:pPr>
                        </w:p>
                        <w:p w14:paraId="37DD1563" w14:textId="7E3F469C" w:rsidR="00073EC1" w:rsidRDefault="00073EC1" w:rsidP="00073EC1">
                          <w:pPr>
                            <w:pStyle w:val="Geenafstand"/>
                            <w:jc w:val="center"/>
                            <w:rPr>
                              <w:color w:val="595959" w:themeColor="text1" w:themeTint="A6"/>
                              <w:sz w:val="20"/>
                              <w:szCs w:val="20"/>
                            </w:rPr>
                          </w:pPr>
                          <w:r>
                            <w:rPr>
                              <w:color w:val="595959" w:themeColor="text1" w:themeTint="A6"/>
                              <w:sz w:val="20"/>
                              <w:szCs w:val="20"/>
                            </w:rPr>
                            <w:t>Fe</w:t>
                          </w:r>
                          <w:r w:rsidR="00E600D4">
                            <w:rPr>
                              <w:color w:val="595959" w:themeColor="text1" w:themeTint="A6"/>
                              <w:sz w:val="20"/>
                              <w:szCs w:val="20"/>
                            </w:rPr>
                            <w:t>bruari</w:t>
                          </w:r>
                          <w:r>
                            <w:rPr>
                              <w:color w:val="595959" w:themeColor="text1" w:themeTint="A6"/>
                              <w:sz w:val="20"/>
                              <w:szCs w:val="20"/>
                            </w:rPr>
                            <w:t xml:space="preserve"> 2023</w:t>
                          </w:r>
                        </w:p>
                        <w:p w14:paraId="378A3B13" w14:textId="2110D8B9" w:rsidR="00073EC1" w:rsidRDefault="00073EC1" w:rsidP="00073EC1">
                          <w:pPr>
                            <w:pStyle w:val="Geenafstand"/>
                            <w:jc w:val="center"/>
                            <w:rPr>
                              <w:color w:val="595959" w:themeColor="text1" w:themeTint="A6"/>
                              <w:sz w:val="20"/>
                              <w:szCs w:val="20"/>
                            </w:rPr>
                          </w:pPr>
                          <w:r w:rsidRPr="0095472F">
                            <w:rPr>
                              <w:color w:val="595959" w:themeColor="text1" w:themeTint="A6"/>
                              <w:sz w:val="20"/>
                              <w:szCs w:val="20"/>
                            </w:rPr>
                            <w:t>Aantal woorden</w:t>
                          </w:r>
                          <w:r w:rsidR="007F534F">
                            <w:rPr>
                              <w:color w:val="595959" w:themeColor="text1" w:themeTint="A6"/>
                              <w:sz w:val="20"/>
                              <w:szCs w:val="20"/>
                            </w:rPr>
                            <w:t xml:space="preserve">: </w:t>
                          </w:r>
                          <w:r w:rsidR="00AF3A3D" w:rsidRPr="0095472F">
                            <w:rPr>
                              <w:color w:val="595959" w:themeColor="text1" w:themeTint="A6"/>
                              <w:sz w:val="20"/>
                              <w:szCs w:val="20"/>
                            </w:rPr>
                            <w:t>11.</w:t>
                          </w:r>
                          <w:r w:rsidR="0095472F" w:rsidRPr="0095472F">
                            <w:rPr>
                              <w:color w:val="595959" w:themeColor="text1" w:themeTint="A6"/>
                              <w:sz w:val="20"/>
                              <w:szCs w:val="20"/>
                            </w:rPr>
                            <w:t>2</w:t>
                          </w:r>
                          <w:r w:rsidR="00F815F5">
                            <w:rPr>
                              <w:color w:val="595959" w:themeColor="text1" w:themeTint="A6"/>
                              <w:sz w:val="20"/>
                              <w:szCs w:val="20"/>
                            </w:rPr>
                            <w:t>69</w:t>
                          </w:r>
                        </w:p>
                        <w:p w14:paraId="4D092603" w14:textId="77777777" w:rsidR="00073EC1" w:rsidRDefault="00073EC1" w:rsidP="00073EC1">
                          <w:pPr>
                            <w:pStyle w:val="Geenafstand"/>
                            <w:jc w:val="center"/>
                            <w:rPr>
                              <w:color w:val="595959" w:themeColor="text1" w:themeTint="A6"/>
                              <w:sz w:val="20"/>
                              <w:szCs w:val="20"/>
                            </w:rPr>
                          </w:pPr>
                        </w:p>
                        <w:p w14:paraId="73042052" w14:textId="77777777" w:rsidR="00073EC1" w:rsidRDefault="00073EC1" w:rsidP="00073EC1">
                          <w:pPr>
                            <w:pStyle w:val="Geenafstand"/>
                            <w:jc w:val="center"/>
                            <w:rPr>
                              <w:color w:val="595959" w:themeColor="text1" w:themeTint="A6"/>
                              <w:sz w:val="20"/>
                              <w:szCs w:val="20"/>
                            </w:rPr>
                          </w:pPr>
                          <w:r>
                            <w:rPr>
                              <w:noProof/>
                            </w:rPr>
                            <w:drawing>
                              <wp:inline distT="0" distB="0" distL="0" distR="0" wp14:anchorId="0058E4D3" wp14:editId="6D4F3004">
                                <wp:extent cx="1210186" cy="814754"/>
                                <wp:effectExtent l="0" t="0" r="9525" b="4445"/>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8958" cy="827392"/>
                                        </a:xfrm>
                                        <a:prstGeom prst="rect">
                                          <a:avLst/>
                                        </a:prstGeom>
                                        <a:noFill/>
                                      </pic:spPr>
                                    </pic:pic>
                                  </a:graphicData>
                                </a:graphic>
                              </wp:inline>
                            </w:drawing>
                          </w:r>
                          <w:r>
                            <w:rPr>
                              <w:color w:val="595959" w:themeColor="text1" w:themeTint="A6"/>
                              <w:sz w:val="20"/>
                              <w:szCs w:val="20"/>
                            </w:rPr>
                            <w:t xml:space="preserve"> </w:t>
                          </w:r>
                          <w:r>
                            <w:rPr>
                              <w:noProof/>
                            </w:rPr>
                            <w:drawing>
                              <wp:inline distT="0" distB="0" distL="0" distR="0" wp14:anchorId="11F20098" wp14:editId="0C0D81BE">
                                <wp:extent cx="1326905" cy="592370"/>
                                <wp:effectExtent l="0" t="0" r="6985" b="0"/>
                                <wp:docPr id="14" name="Afbeelding 14" descr="Afbeelding met tekst, venst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beelding 5" descr="Afbeelding met tekst, venster&#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57595" cy="606071"/>
                                        </a:xfrm>
                                        <a:prstGeom prst="rect">
                                          <a:avLst/>
                                        </a:prstGeom>
                                        <a:noFill/>
                                      </pic:spPr>
                                    </pic:pic>
                                  </a:graphicData>
                                </a:graphic>
                              </wp:inline>
                            </w:drawing>
                          </w:r>
                        </w:p>
                      </w:txbxContent>
                    </v:textbox>
                    <w10:wrap type="square" anchorx="margin" anchory="page"/>
                  </v:shape>
                </w:pict>
              </mc:Fallback>
            </mc:AlternateContent>
          </w:r>
          <w:r w:rsidR="00724BEA">
            <w:rPr>
              <w:rFonts w:cs="Times New Roman"/>
              <w:szCs w:val="24"/>
            </w:rPr>
            <w:br w:type="page"/>
          </w:r>
        </w:p>
      </w:sdtContent>
    </w:sdt>
    <w:p w14:paraId="017A5868" w14:textId="2D5758B4" w:rsidR="00E80038" w:rsidRDefault="007D1FD0" w:rsidP="00D0660E">
      <w:pPr>
        <w:pStyle w:val="Kop1"/>
      </w:pPr>
      <w:r>
        <w:lastRenderedPageBreak/>
        <w:t xml:space="preserve">Abstract </w:t>
      </w:r>
    </w:p>
    <w:p w14:paraId="485E0CAA" w14:textId="0E152D75" w:rsidR="001E18A5" w:rsidRDefault="001E18A5" w:rsidP="001E18A5">
      <w:r>
        <w:t>Door de voortschrijdende Europese integratie is de Europese Unie in toenemende mate relevant voor gemeenten. De manier waarop zij met deze ontwikkeling omgaan verschilt echter aanzienlijk: waar sommigen actief aandacht besteden aan de ontwikkelingen op Europees niveau (politiek-bestuurlijke Europeanisering), vinden anderen ‘Brussel’ vooral een ver-van-mijn-bed</w:t>
      </w:r>
      <w:r w:rsidR="00796C6F">
        <w:t>-</w:t>
      </w:r>
      <w:r>
        <w:t xml:space="preserve">show. Door een gebrek aan kwantitatief onderzoek naar dit onderwerp bestaat er in de literatuur discussie over de vraag welke factoren exact dit verschil in Europeanisering onder gemeenten verklaren. </w:t>
      </w:r>
      <w:r w:rsidR="00164B01">
        <w:t>De ontvangst van EU-gelden</w:t>
      </w:r>
      <w:r>
        <w:t xml:space="preserve">, inwoneraantal, ligging aan de grens en de opstelling van het gemeentebestuur worden veelal genoemd, maar hun relatie tot Europeanisering is onderwerp van academisch debat. Door middel van het gebruik van de Europeaniseringsladder, een kwantitatieve inhoudsanalyse van 1.076 gemeentelijke coalitieakkoorden en een multinomiale logistische regressieanalyse is de bijdrage van de genoemde variabelen </w:t>
      </w:r>
      <w:r w:rsidR="00040FE9">
        <w:t>getoetst</w:t>
      </w:r>
      <w:r w:rsidR="002165DE">
        <w:t>.</w:t>
      </w:r>
      <w:r>
        <w:t xml:space="preserve"> De uitkomsten wijzen uit dat inwoneraantal en eerdere aandacht voor Europa de belangrijkste factoren zijn voor Europeanisering bij Nederlandse gemeenten. In mindere mate waren ligging aan de grens en het ontvangen van Europees middelen van belang. Deze resultaten onderstrepen de invloed van het inwoneraantal en plaatsen een kanttekening bij het grote belang dat in de literatuur veelal gehecht wordt aan het ontvangen van Europese gelden.</w:t>
      </w:r>
    </w:p>
    <w:p w14:paraId="1547A46C" w14:textId="5B18BD88" w:rsidR="0023257D" w:rsidRDefault="001E18A5" w:rsidP="001E18A5">
      <w:r>
        <w:t>Key Words: Europeanisering, Europese integratie, gemeenten, Nederland, coalitieakkoord, Europese fondsen</w:t>
      </w:r>
      <w:r w:rsidR="0023257D">
        <w:br w:type="page"/>
      </w:r>
    </w:p>
    <w:p w14:paraId="489A89AF" w14:textId="4D6EB162" w:rsidR="00D0660E" w:rsidRDefault="0023257D" w:rsidP="0023257D">
      <w:pPr>
        <w:pStyle w:val="Kop1"/>
        <w:numPr>
          <w:ilvl w:val="0"/>
          <w:numId w:val="1"/>
        </w:numPr>
      </w:pPr>
      <w:bookmarkStart w:id="0" w:name="_Toc118209594"/>
      <w:r>
        <w:lastRenderedPageBreak/>
        <w:t>Inleiding</w:t>
      </w:r>
      <w:bookmarkEnd w:id="0"/>
    </w:p>
    <w:p w14:paraId="6B3C127D" w14:textId="78D8208D" w:rsidR="00BD32F8" w:rsidRDefault="000E2C68" w:rsidP="00715D69">
      <w:r>
        <w:t xml:space="preserve">De </w:t>
      </w:r>
      <w:r w:rsidR="00197701">
        <w:t>ambitie</w:t>
      </w:r>
      <w:r>
        <w:t xml:space="preserve"> om te komen tot een ‘</w:t>
      </w:r>
      <w:r w:rsidR="00197701">
        <w:t>ever closer union</w:t>
      </w:r>
      <w:r>
        <w:t>’</w:t>
      </w:r>
      <w:r w:rsidR="00197701">
        <w:t xml:space="preserve"> is binnen de Europese Unie (EU) </w:t>
      </w:r>
      <w:r w:rsidR="00486FF1">
        <w:t xml:space="preserve">een </w:t>
      </w:r>
      <w:r w:rsidR="00381487">
        <w:t xml:space="preserve">streven dat teruggaat tot het begin </w:t>
      </w:r>
      <w:r w:rsidR="00D844B2">
        <w:t>van de samenwerking</w:t>
      </w:r>
      <w:r w:rsidR="00F56E13">
        <w:t xml:space="preserve"> </w:t>
      </w:r>
      <w:r w:rsidR="00835144">
        <w:t>(</w:t>
      </w:r>
      <w:r w:rsidR="00EB0510">
        <w:t>The Treaty of Rome, 1957</w:t>
      </w:r>
      <w:r w:rsidR="0080287A">
        <w:t xml:space="preserve">). </w:t>
      </w:r>
      <w:r w:rsidR="007263E3">
        <w:t>Bij dit streven d</w:t>
      </w:r>
      <w:r w:rsidR="00C05DAD">
        <w:t xml:space="preserve">acht men </w:t>
      </w:r>
      <w:r w:rsidR="007263E3">
        <w:t xml:space="preserve">in eerste instantie aan </w:t>
      </w:r>
      <w:r w:rsidR="009261F8">
        <w:t>de soevereine lidstaten</w:t>
      </w:r>
      <w:r w:rsidR="009133B5">
        <w:t xml:space="preserve">, maar de tijd dat </w:t>
      </w:r>
      <w:r w:rsidR="006B493F">
        <w:t xml:space="preserve">de </w:t>
      </w:r>
      <w:r w:rsidR="009133B5">
        <w:t xml:space="preserve">EU zich alleen verhoudt tot </w:t>
      </w:r>
      <w:r w:rsidR="009261F8">
        <w:t>nationale overheden is pass</w:t>
      </w:r>
      <w:r w:rsidR="003C51F6">
        <w:t>é</w:t>
      </w:r>
      <w:r w:rsidR="009261F8">
        <w:t>.</w:t>
      </w:r>
      <w:r w:rsidR="00A55439">
        <w:t xml:space="preserve"> </w:t>
      </w:r>
      <w:r w:rsidR="007E51A0">
        <w:t xml:space="preserve">Zo zijn </w:t>
      </w:r>
      <w:r w:rsidR="00121180">
        <w:t xml:space="preserve">decentrale overheden </w:t>
      </w:r>
      <w:r w:rsidR="007E51A0">
        <w:t>een belangrijke actor in het uitvoeren van EU-regelgeving,</w:t>
      </w:r>
      <w:r w:rsidR="00551857">
        <w:t xml:space="preserve"> ontvangen zij </w:t>
      </w:r>
      <w:r w:rsidR="003A39F0">
        <w:t>financiële</w:t>
      </w:r>
      <w:r w:rsidR="00551857">
        <w:t xml:space="preserve"> middelen vanuit ‘Brussel’ ter ondersteuning van bepaalde beleidsdomeinen en proberen </w:t>
      </w:r>
      <w:r w:rsidR="00F80C1E">
        <w:t>sommige</w:t>
      </w:r>
      <w:r w:rsidR="00121180">
        <w:t xml:space="preserve">n </w:t>
      </w:r>
      <w:r w:rsidR="00551857">
        <w:t xml:space="preserve">ook zelf het Europese besluitvormingsproces te </w:t>
      </w:r>
      <w:r w:rsidR="0080365A">
        <w:t>beïnvloeden</w:t>
      </w:r>
      <w:r w:rsidR="00551857">
        <w:t xml:space="preserve"> (</w:t>
      </w:r>
      <w:r w:rsidR="003A39F0">
        <w:t>John, 200</w:t>
      </w:r>
      <w:r w:rsidR="00C77CEF">
        <w:t>1</w:t>
      </w:r>
      <w:r w:rsidR="003A39F0">
        <w:t>, p. 71).</w:t>
      </w:r>
      <w:r w:rsidR="00081A62">
        <w:t xml:space="preserve"> </w:t>
      </w:r>
      <w:r w:rsidR="00B80ED4">
        <w:t xml:space="preserve">Volgens </w:t>
      </w:r>
      <w:r w:rsidR="00437844">
        <w:t xml:space="preserve">Hooghe en Marks (2001) </w:t>
      </w:r>
      <w:r w:rsidR="00BF1ED4">
        <w:t>kenmerkt het huidige Europa zich door</w:t>
      </w:r>
      <w:r w:rsidR="00A96F1E">
        <w:t xml:space="preserve"> een horizontaal netwerk van</w:t>
      </w:r>
      <w:r w:rsidR="00BF1ED4">
        <w:t xml:space="preserve"> </w:t>
      </w:r>
      <w:r w:rsidR="00BE713F">
        <w:t xml:space="preserve">wederzijdse afhankelijkheden tussen </w:t>
      </w:r>
      <w:r w:rsidR="003913A7">
        <w:t>Unie</w:t>
      </w:r>
      <w:r w:rsidR="00BE713F">
        <w:t>, lidstaten en decentrale overheden</w:t>
      </w:r>
      <w:r w:rsidR="00A96F1E">
        <w:t>; hetgeen zij multi</w:t>
      </w:r>
      <w:r w:rsidR="00BA7237">
        <w:t>-</w:t>
      </w:r>
      <w:r w:rsidR="00A96F1E">
        <w:t xml:space="preserve">level governance of meerlagig bestuur noemen. </w:t>
      </w:r>
      <w:r w:rsidR="00BE713F">
        <w:t xml:space="preserve"> </w:t>
      </w:r>
      <w:r w:rsidR="00BF1ED4">
        <w:t xml:space="preserve"> </w:t>
      </w:r>
      <w:r w:rsidR="009D5E57">
        <w:tab/>
      </w:r>
      <w:r w:rsidR="009D5E57">
        <w:tab/>
      </w:r>
      <w:r w:rsidR="009D5E57">
        <w:tab/>
      </w:r>
      <w:r w:rsidR="009D5E57">
        <w:tab/>
      </w:r>
      <w:r w:rsidR="009D5E57">
        <w:tab/>
      </w:r>
      <w:r w:rsidR="009D5E57">
        <w:tab/>
      </w:r>
      <w:r w:rsidR="009D5E57">
        <w:tab/>
      </w:r>
      <w:r w:rsidR="009D5E57">
        <w:tab/>
      </w:r>
      <w:r w:rsidR="00E41798">
        <w:t xml:space="preserve">Volgens Van den Berg (2011, p. 24) heeft multi-level governance zowel gevolgen voor de </w:t>
      </w:r>
      <w:r w:rsidR="00427D90">
        <w:t>verhouding tussen binnenlandse bestuurslagen</w:t>
      </w:r>
      <w:r w:rsidR="00922988">
        <w:t xml:space="preserve"> </w:t>
      </w:r>
      <w:r w:rsidR="00427D90">
        <w:t xml:space="preserve">als voor een individuele bestuurslaag an sich. </w:t>
      </w:r>
      <w:r w:rsidR="003C2576">
        <w:t xml:space="preserve">Dit laatstgenoemde gevolg, </w:t>
      </w:r>
      <w:r w:rsidR="00982069">
        <w:t xml:space="preserve">waarbij het gaat om </w:t>
      </w:r>
      <w:r w:rsidR="003C2576">
        <w:t xml:space="preserve">het aanpassen van de processen en organisatie </w:t>
      </w:r>
      <w:r w:rsidR="002878A2">
        <w:t>binnen een bestuurslaag</w:t>
      </w:r>
      <w:r w:rsidR="003C2576">
        <w:t>, wordt in de literatuur Europeanisering genoemd</w:t>
      </w:r>
      <w:r w:rsidR="0059068C">
        <w:t>, waarbij</w:t>
      </w:r>
      <w:r w:rsidR="00AE0273">
        <w:t xml:space="preserve"> in dit artikel de focus ligt op decentrale overheden.</w:t>
      </w:r>
      <w:r w:rsidR="003C2576">
        <w:t xml:space="preserve"> </w:t>
      </w:r>
      <w:r w:rsidR="00F92F36">
        <w:t>Alhoewel Europeanisering van het lokaal bestuur zich op meerdere manieren manife</w:t>
      </w:r>
      <w:r w:rsidR="007610D0">
        <w:t xml:space="preserve">steert, staat in dit artikel de politiek-bestuurlijke </w:t>
      </w:r>
      <w:r w:rsidR="009D37D0">
        <w:t>dimensie centraal.</w:t>
      </w:r>
      <w:r w:rsidR="00095F59">
        <w:tab/>
      </w:r>
      <w:r w:rsidR="008E7EE6">
        <w:tab/>
      </w:r>
      <w:r w:rsidR="008E7EE6">
        <w:tab/>
      </w:r>
      <w:r w:rsidR="008E7EE6">
        <w:tab/>
      </w:r>
      <w:r w:rsidR="008E7EE6">
        <w:tab/>
      </w:r>
      <w:r w:rsidR="008E7EE6">
        <w:tab/>
      </w:r>
      <w:r w:rsidR="008E7EE6">
        <w:tab/>
      </w:r>
      <w:r w:rsidR="008E7EE6">
        <w:tab/>
      </w:r>
      <w:r w:rsidR="008E7EE6">
        <w:tab/>
      </w:r>
      <w:r w:rsidR="008E7EE6">
        <w:tab/>
      </w:r>
      <w:r w:rsidR="008E7EE6">
        <w:tab/>
      </w:r>
      <w:r w:rsidR="008E7EE6">
        <w:tab/>
      </w:r>
      <w:r w:rsidR="00177297">
        <w:t xml:space="preserve">Een </w:t>
      </w:r>
      <w:r w:rsidR="0089209C">
        <w:t xml:space="preserve">inventarisatie van </w:t>
      </w:r>
      <w:r w:rsidR="00D17030">
        <w:t>de mate van</w:t>
      </w:r>
      <w:r w:rsidR="005B50C9">
        <w:t xml:space="preserve"> </w:t>
      </w:r>
      <w:r w:rsidR="0009180F">
        <w:t xml:space="preserve">Europeanisering </w:t>
      </w:r>
      <w:r w:rsidR="005B50C9">
        <w:t xml:space="preserve">op gemeentelijk niveau leert dat niet ieder gemeentebestuur </w:t>
      </w:r>
      <w:r w:rsidR="00D879CC">
        <w:t>zich oriënteert</w:t>
      </w:r>
      <w:r w:rsidR="0099062E">
        <w:t xml:space="preserve"> op de Europese Unie</w:t>
      </w:r>
      <w:r w:rsidR="00D879CC">
        <w:t xml:space="preserve"> </w:t>
      </w:r>
      <w:r w:rsidR="002E2A78">
        <w:t>en haar kansen en bed</w:t>
      </w:r>
      <w:r w:rsidR="0083649C">
        <w:t>reigingen voor de gemeentelijke organisatie (</w:t>
      </w:r>
      <w:r w:rsidR="00EE2DDD">
        <w:t>Rob, 2013;</w:t>
      </w:r>
      <w:r w:rsidR="0067036B">
        <w:t xml:space="preserve"> </w:t>
      </w:r>
      <w:r w:rsidR="00085BB7">
        <w:t xml:space="preserve">Verhelst, </w:t>
      </w:r>
      <w:r w:rsidR="0067036B">
        <w:t>2017</w:t>
      </w:r>
      <w:r w:rsidR="00E61F3B">
        <w:t>a</w:t>
      </w:r>
      <w:r w:rsidR="00EE2DDD">
        <w:t xml:space="preserve">; </w:t>
      </w:r>
      <w:r w:rsidR="00352716">
        <w:t>Gröbe</w:t>
      </w:r>
      <w:r w:rsidR="00EE2DDD">
        <w:t xml:space="preserve"> et al., 2022</w:t>
      </w:r>
      <w:r w:rsidR="00900182">
        <w:t xml:space="preserve">). </w:t>
      </w:r>
      <w:r w:rsidR="005773FA">
        <w:t xml:space="preserve">Waar sommige gemeenten bezig zijn om </w:t>
      </w:r>
      <w:r w:rsidR="00150E75">
        <w:t>‘Europ</w:t>
      </w:r>
      <w:r w:rsidR="003611B0">
        <w:t>a</w:t>
      </w:r>
      <w:r w:rsidR="00150E75">
        <w:t>bewust’ of ‘Europaproof’</w:t>
      </w:r>
      <w:r w:rsidR="005B6D88">
        <w:t xml:space="preserve"> te worden</w:t>
      </w:r>
      <w:r w:rsidR="00150E75">
        <w:t>, is voor andere gemeenten</w:t>
      </w:r>
      <w:r w:rsidR="00B27020">
        <w:t xml:space="preserve"> </w:t>
      </w:r>
      <w:r w:rsidR="00DB4A6C">
        <w:t>‘</w:t>
      </w:r>
      <w:r w:rsidR="00B27020">
        <w:t>Brussel</w:t>
      </w:r>
      <w:r w:rsidR="00DB4A6C">
        <w:t>’</w:t>
      </w:r>
      <w:r w:rsidR="00B27020">
        <w:t xml:space="preserve"> vooral een ver-van-mijn-bed</w:t>
      </w:r>
      <w:r w:rsidR="00796C6F">
        <w:t>-</w:t>
      </w:r>
      <w:r w:rsidR="00B27020">
        <w:t xml:space="preserve">show waar weinig aandacht aan </w:t>
      </w:r>
      <w:r w:rsidR="005E49CD">
        <w:t xml:space="preserve">wordt besteed. </w:t>
      </w:r>
      <w:r w:rsidR="00B115EE">
        <w:t>Balme en Le Gales (1997</w:t>
      </w:r>
      <w:r w:rsidR="000E4F3D">
        <w:t>, p. 146</w:t>
      </w:r>
      <w:r w:rsidR="00B115EE">
        <w:t xml:space="preserve">) spreken in dit verband over een onderscheid tussen ‘bright stars’ </w:t>
      </w:r>
      <w:r w:rsidR="009C30F4">
        <w:t>en</w:t>
      </w:r>
      <w:r w:rsidR="009A19FB">
        <w:t xml:space="preserve"> ‘</w:t>
      </w:r>
      <w:r w:rsidR="009C30F4">
        <w:t>black holes</w:t>
      </w:r>
      <w:r w:rsidR="009A19FB">
        <w:t>’</w:t>
      </w:r>
      <w:r w:rsidR="009C30F4">
        <w:t xml:space="preserve">. </w:t>
      </w:r>
      <w:r w:rsidR="005B6D88">
        <w:t>Ook in Nederland bestaa</w:t>
      </w:r>
      <w:r w:rsidR="001C55A0">
        <w:t>n</w:t>
      </w:r>
      <w:r w:rsidR="005B6D88">
        <w:t xml:space="preserve"> er verschil</w:t>
      </w:r>
      <w:r w:rsidR="001C55A0">
        <w:t>len</w:t>
      </w:r>
      <w:r w:rsidR="005B6D88">
        <w:t xml:space="preserve"> in de mate waarin gemeenten </w:t>
      </w:r>
      <w:r w:rsidR="0061479A">
        <w:t>te kenmerken zij</w:t>
      </w:r>
      <w:r w:rsidR="007A02F5">
        <w:t xml:space="preserve">n als </w:t>
      </w:r>
      <w:r w:rsidR="00533C60">
        <w:t>‘Europabewust’</w:t>
      </w:r>
      <w:r w:rsidR="00A20C57">
        <w:t xml:space="preserve">: zo blijkt uit een inventarisatie van Zwaan en Van Genugten (2014) en Elemans et al. (2019) </w:t>
      </w:r>
      <w:r w:rsidR="00154D35">
        <w:t xml:space="preserve">dat </w:t>
      </w:r>
      <w:r w:rsidR="008C0C80">
        <w:t xml:space="preserve">de </w:t>
      </w:r>
      <w:r w:rsidR="00154D35">
        <w:t>EU in sommige gemeenten actief op de politiek</w:t>
      </w:r>
      <w:r w:rsidR="00207DE9">
        <w:t>-</w:t>
      </w:r>
      <w:r w:rsidR="00154D35">
        <w:t xml:space="preserve">bestuurlijke agenda staat, </w:t>
      </w:r>
      <w:r w:rsidR="00E134C2">
        <w:t xml:space="preserve">terwijl andere gemeenten hier geen aandacht voor hebben. </w:t>
      </w:r>
      <w:r w:rsidR="000702B6">
        <w:tab/>
      </w:r>
      <w:r w:rsidR="00157317">
        <w:t>Waar</w:t>
      </w:r>
      <w:r w:rsidR="004A63C2">
        <w:t xml:space="preserve"> in</w:t>
      </w:r>
      <w:r w:rsidR="00157317">
        <w:t xml:space="preserve"> de literatuur over</w:t>
      </w:r>
      <w:r w:rsidR="00924C4F">
        <w:t xml:space="preserve"> </w:t>
      </w:r>
      <w:r w:rsidR="00157317">
        <w:t xml:space="preserve">Europeanisering bij lokale overheden </w:t>
      </w:r>
      <w:r w:rsidR="00335A13">
        <w:t>tegenstrijdig</w:t>
      </w:r>
      <w:r w:rsidR="004A63C2">
        <w:t>-</w:t>
      </w:r>
      <w:r w:rsidR="00335A13">
        <w:t xml:space="preserve"> en tot op zekere hoogte onduidelijkheid over bestaat, is de vraag wat dit verschil in Europeanisering bij gemeenten exact verklaar</w:t>
      </w:r>
      <w:r w:rsidR="00104738">
        <w:t>t</w:t>
      </w:r>
      <w:r w:rsidR="00335A13">
        <w:t xml:space="preserve">. </w:t>
      </w:r>
      <w:r w:rsidR="00874A83">
        <w:t xml:space="preserve">Verschillende factoren worden als oorzaak </w:t>
      </w:r>
      <w:r w:rsidR="008E1054">
        <w:t>g</w:t>
      </w:r>
      <w:r w:rsidR="00874A83">
        <w:t xml:space="preserve">enoemd, maar hun exacte bijdrage </w:t>
      </w:r>
      <w:r w:rsidR="00391447">
        <w:t xml:space="preserve">aan </w:t>
      </w:r>
      <w:r w:rsidR="00874A83">
        <w:t xml:space="preserve">en verhouding tot Europeanisering </w:t>
      </w:r>
      <w:r w:rsidR="00601534">
        <w:t>op gemeentelijk niveau</w:t>
      </w:r>
      <w:r w:rsidR="00874A83">
        <w:t xml:space="preserve"> </w:t>
      </w:r>
      <w:r w:rsidR="004D0CC6">
        <w:t xml:space="preserve">blijft </w:t>
      </w:r>
      <w:r w:rsidR="006F2029">
        <w:t>ambigue</w:t>
      </w:r>
      <w:r w:rsidR="004D0CC6">
        <w:t xml:space="preserve">. </w:t>
      </w:r>
      <w:r w:rsidR="009E353A" w:rsidRPr="001869F6">
        <w:t>Volgens</w:t>
      </w:r>
      <w:r w:rsidR="004F545C" w:rsidRPr="001869F6">
        <w:t xml:space="preserve"> auteurs als </w:t>
      </w:r>
      <w:r w:rsidR="00A65166" w:rsidRPr="001869F6">
        <w:t>Schultze (2003, pp. 122-123</w:t>
      </w:r>
      <w:r w:rsidR="00446805" w:rsidRPr="001869F6">
        <w:t>),</w:t>
      </w:r>
      <w:r w:rsidR="0051315F" w:rsidRPr="0051315F">
        <w:t xml:space="preserve"> Verhelst</w:t>
      </w:r>
      <w:r w:rsidR="0051315F">
        <w:t xml:space="preserve"> (</w:t>
      </w:r>
      <w:r w:rsidR="0051315F" w:rsidRPr="0051315F">
        <w:t>2017b, p. 75</w:t>
      </w:r>
      <w:r w:rsidR="006744F8" w:rsidRPr="001869F6">
        <w:t xml:space="preserve">) </w:t>
      </w:r>
      <w:r w:rsidR="00284526" w:rsidRPr="001869F6">
        <w:t>en</w:t>
      </w:r>
      <w:r w:rsidR="00CD6129" w:rsidRPr="001869F6">
        <w:t xml:space="preserve"> </w:t>
      </w:r>
      <w:r w:rsidR="00352716">
        <w:t>Gröbe</w:t>
      </w:r>
      <w:r w:rsidR="00CF4A48" w:rsidRPr="001869F6">
        <w:t xml:space="preserve"> et al. (2022, </w:t>
      </w:r>
      <w:r w:rsidR="00CF4A48" w:rsidRPr="001869F6">
        <w:lastRenderedPageBreak/>
        <w:t xml:space="preserve">p. </w:t>
      </w:r>
      <w:r w:rsidR="003851A3" w:rsidRPr="001869F6">
        <w:t>15)</w:t>
      </w:r>
      <w:r w:rsidR="00CD6129" w:rsidRPr="001869F6">
        <w:t xml:space="preserve"> </w:t>
      </w:r>
      <w:r w:rsidR="006744F8" w:rsidRPr="001869F6">
        <w:t xml:space="preserve">speelt </w:t>
      </w:r>
      <w:r w:rsidR="008C78CA" w:rsidRPr="001869F6">
        <w:t xml:space="preserve">bijvoorbeeld </w:t>
      </w:r>
      <w:r w:rsidR="006744F8" w:rsidRPr="001869F6">
        <w:t xml:space="preserve">de omvang van de gemeente </w:t>
      </w:r>
      <w:r w:rsidR="00B86425" w:rsidRPr="001869F6">
        <w:t>gemeten naar</w:t>
      </w:r>
      <w:r w:rsidR="006744F8" w:rsidRPr="001869F6">
        <w:t xml:space="preserve"> </w:t>
      </w:r>
      <w:r w:rsidR="00292437">
        <w:t xml:space="preserve">het </w:t>
      </w:r>
      <w:r w:rsidR="006744F8" w:rsidRPr="001869F6">
        <w:t>inwoneraantal een belangrijke rol</w:t>
      </w:r>
      <w:r w:rsidR="00525B7A" w:rsidRPr="001869F6">
        <w:t>;</w:t>
      </w:r>
      <w:r w:rsidR="006744F8">
        <w:t xml:space="preserve"> anderen </w:t>
      </w:r>
      <w:r w:rsidR="000D658C">
        <w:t>leggen de</w:t>
      </w:r>
      <w:r w:rsidR="0016676D">
        <w:t xml:space="preserve"> nadruk op </w:t>
      </w:r>
      <w:r w:rsidR="004F545C">
        <w:t>de hoeveelheid financiële middelen</w:t>
      </w:r>
      <w:r w:rsidR="0016676D">
        <w:t xml:space="preserve"> die</w:t>
      </w:r>
      <w:r w:rsidR="00B77290">
        <w:t xml:space="preserve"> een</w:t>
      </w:r>
      <w:r w:rsidR="0016676D">
        <w:t xml:space="preserve"> gemeente vanuit </w:t>
      </w:r>
      <w:r w:rsidR="007C1A8E">
        <w:t>‘</w:t>
      </w:r>
      <w:r w:rsidR="0016676D">
        <w:t>Brussel</w:t>
      </w:r>
      <w:r w:rsidR="007C1A8E">
        <w:t>’</w:t>
      </w:r>
      <w:r w:rsidR="0016676D">
        <w:t xml:space="preserve"> ontvan</w:t>
      </w:r>
      <w:r w:rsidR="00B77290">
        <w:t>gt</w:t>
      </w:r>
      <w:r w:rsidR="008C78CA">
        <w:t xml:space="preserve"> (</w:t>
      </w:r>
      <w:r w:rsidR="00ED794E">
        <w:t>John, 2001</w:t>
      </w:r>
      <w:r w:rsidR="000F6FFC">
        <w:t>, p. 69</w:t>
      </w:r>
      <w:r w:rsidR="006F421F">
        <w:t>;</w:t>
      </w:r>
      <w:r w:rsidR="00371961">
        <w:t xml:space="preserve"> De Rooij, 2002, p. 447</w:t>
      </w:r>
      <w:r w:rsidR="008C78CA">
        <w:t>)</w:t>
      </w:r>
      <w:r w:rsidR="0016676D">
        <w:t xml:space="preserve">. </w:t>
      </w:r>
      <w:r w:rsidR="00B2657D">
        <w:t xml:space="preserve">Ook </w:t>
      </w:r>
      <w:r w:rsidR="00810A19">
        <w:t xml:space="preserve">de ligging aan de interne grens van een EU-lidstaat </w:t>
      </w:r>
      <w:r w:rsidR="00B2657D">
        <w:t>(</w:t>
      </w:r>
      <w:r w:rsidR="00B2657D" w:rsidRPr="00366FDA">
        <w:t xml:space="preserve">Wolters, 1997, pp. 51-52, </w:t>
      </w:r>
      <w:r w:rsidR="00352716">
        <w:t>Gröbe</w:t>
      </w:r>
      <w:r w:rsidR="00B2657D" w:rsidRPr="00366FDA">
        <w:t xml:space="preserve"> et al., 2022, p. 14</w:t>
      </w:r>
      <w:r w:rsidR="00B2657D">
        <w:t xml:space="preserve">) </w:t>
      </w:r>
      <w:r w:rsidR="009D4833">
        <w:t>wordt</w:t>
      </w:r>
      <w:r w:rsidR="00964A1F">
        <w:t xml:space="preserve"> als verklaring</w:t>
      </w:r>
      <w:r w:rsidR="005F41E0">
        <w:t xml:space="preserve"> genoemd. </w:t>
      </w:r>
      <w:r w:rsidR="004F7F4F">
        <w:t>Een laatste verklarende factor die</w:t>
      </w:r>
      <w:r w:rsidR="00325EF6">
        <w:t xml:space="preserve"> </w:t>
      </w:r>
      <w:r w:rsidR="004F7F4F">
        <w:t xml:space="preserve">in de literatuur naar voren komt is </w:t>
      </w:r>
      <w:r w:rsidR="00CD47EB">
        <w:t>de</w:t>
      </w:r>
      <w:r w:rsidR="00C1697B">
        <w:t xml:space="preserve"> </w:t>
      </w:r>
      <w:r w:rsidR="00FB18C2">
        <w:t>opstelling</w:t>
      </w:r>
      <w:r w:rsidR="00C1697B">
        <w:t xml:space="preserve"> van het gemeentebestuur</w:t>
      </w:r>
      <w:r w:rsidR="00CD47EB">
        <w:t xml:space="preserve">: </w:t>
      </w:r>
      <w:r w:rsidR="00325EF6">
        <w:t>volgens</w:t>
      </w:r>
      <w:r w:rsidR="009B5FE3">
        <w:t xml:space="preserve"> Hamedinger en Wolfhardt (2010, p. </w:t>
      </w:r>
      <w:r w:rsidR="00982A6B">
        <w:t xml:space="preserve">234) en Bever et al. (2011, pp. 13-29) </w:t>
      </w:r>
      <w:r w:rsidR="0059654C">
        <w:t xml:space="preserve">zijn </w:t>
      </w:r>
      <w:r w:rsidR="00BF5238">
        <w:t xml:space="preserve">besturen die bestaan uit </w:t>
      </w:r>
      <w:r w:rsidR="00763D79">
        <w:t>e</w:t>
      </w:r>
      <w:r w:rsidR="0059654C">
        <w:t xml:space="preserve">urofiele partijen eerder geneigd actief in te zetten op Europeanisering </w:t>
      </w:r>
      <w:r w:rsidR="00957BA2">
        <w:t>binnen hun gemeenten. Zij schrijven dit</w:t>
      </w:r>
      <w:r w:rsidR="00524FE4">
        <w:t xml:space="preserve"> toe aan een verhoogde intrinsieke motivatie bij dergelijke </w:t>
      </w:r>
      <w:r w:rsidR="00C3400C">
        <w:t>actoren</w:t>
      </w:r>
      <w:r w:rsidR="00524FE4">
        <w:t xml:space="preserve"> om aandacht te besteden aan Europa.</w:t>
      </w:r>
      <w:r w:rsidR="00F7402A">
        <w:tab/>
      </w:r>
      <w:r w:rsidR="00662B8F">
        <w:t>De</w:t>
      </w:r>
      <w:r w:rsidR="00FA22C4">
        <w:t xml:space="preserve"> </w:t>
      </w:r>
      <w:r w:rsidR="00F841CB">
        <w:t>verk</w:t>
      </w:r>
      <w:r w:rsidR="003E0CB1">
        <w:t xml:space="preserve">laringskracht van de </w:t>
      </w:r>
      <w:r w:rsidR="00FA22C4">
        <w:t>genoemde</w:t>
      </w:r>
      <w:r w:rsidR="00B30BA7">
        <w:t xml:space="preserve"> variabelen </w:t>
      </w:r>
      <w:r w:rsidR="003E0CB1">
        <w:t>is</w:t>
      </w:r>
      <w:r w:rsidR="0042199F">
        <w:t xml:space="preserve"> echter </w:t>
      </w:r>
      <w:r w:rsidR="00B30BA7">
        <w:t>niet onomstreden</w:t>
      </w:r>
      <w:r w:rsidR="0042199F">
        <w:t>. Z</w:t>
      </w:r>
      <w:r w:rsidR="00B30BA7">
        <w:t xml:space="preserve">o gaat </w:t>
      </w:r>
      <w:r w:rsidR="00503788">
        <w:t xml:space="preserve">het onderzoek van </w:t>
      </w:r>
      <w:r w:rsidR="00B30BA7">
        <w:t>De Rooij (2002</w:t>
      </w:r>
      <w:r w:rsidR="00EE218F">
        <w:t>, p. 447</w:t>
      </w:r>
      <w:r w:rsidR="00B30BA7">
        <w:t xml:space="preserve">) bijvoorbeeld in tegen de </w:t>
      </w:r>
      <w:r w:rsidR="00007461">
        <w:t xml:space="preserve">gedachte dat grensgemeenten </w:t>
      </w:r>
      <w:r w:rsidR="001B4DD9">
        <w:t>meer o</w:t>
      </w:r>
      <w:r w:rsidR="00D1329C">
        <w:t>og hebben voor Europa</w:t>
      </w:r>
      <w:r w:rsidR="00007461">
        <w:t xml:space="preserve">: in zijn onderzoek </w:t>
      </w:r>
      <w:r w:rsidR="001B0A15">
        <w:t>heeft deze variabele</w:t>
      </w:r>
      <w:r w:rsidR="00007461">
        <w:t xml:space="preserve"> geen verklarende kracht. </w:t>
      </w:r>
      <w:r w:rsidR="00F73549">
        <w:t xml:space="preserve">Ook de </w:t>
      </w:r>
      <w:r w:rsidR="00FB18C2">
        <w:t>opstelling</w:t>
      </w:r>
      <w:r w:rsidR="00FD0327">
        <w:t xml:space="preserve"> </w:t>
      </w:r>
      <w:r w:rsidR="00F73549">
        <w:t xml:space="preserve">van het gemeentebestuur </w:t>
      </w:r>
      <w:r w:rsidR="001B0A15">
        <w:t>is een variabele waar debat over bestaat</w:t>
      </w:r>
      <w:r w:rsidR="00DD383E">
        <w:t xml:space="preserve">: </w:t>
      </w:r>
      <w:r w:rsidR="00352716">
        <w:t>Gröbe</w:t>
      </w:r>
      <w:r w:rsidR="00EE218F">
        <w:t xml:space="preserve"> et al. (2022, p. </w:t>
      </w:r>
      <w:r w:rsidR="00362106">
        <w:t>1</w:t>
      </w:r>
      <w:r w:rsidR="004456A5">
        <w:t xml:space="preserve">6) </w:t>
      </w:r>
      <w:r w:rsidR="00DD5E69">
        <w:t xml:space="preserve">vindt bij een toetsing </w:t>
      </w:r>
      <w:r w:rsidR="00D1329C">
        <w:t>g</w:t>
      </w:r>
      <w:r w:rsidR="00DD5E69">
        <w:t xml:space="preserve">een significant verband tussen de mate van Europeanisering binnen een gemeente en de politieke kleur. </w:t>
      </w:r>
      <w:r w:rsidR="00E27464">
        <w:t xml:space="preserve">Over </w:t>
      </w:r>
      <w:r w:rsidR="006732CC">
        <w:t xml:space="preserve">het </w:t>
      </w:r>
      <w:r w:rsidR="004058EB">
        <w:t xml:space="preserve">ontvangen van EU-middelen bestaat weliswaar meer consensus, maar hier staat de vorm van Europeanisering die </w:t>
      </w:r>
      <w:r w:rsidR="006732CC">
        <w:t>dit teweegbrengt</w:t>
      </w:r>
      <w:r w:rsidR="004058EB">
        <w:t xml:space="preserve"> ter discussie. </w:t>
      </w:r>
      <w:r w:rsidR="003C315B">
        <w:t xml:space="preserve">Zo menen </w:t>
      </w:r>
      <w:r w:rsidR="00D670DC">
        <w:t>John (2001</w:t>
      </w:r>
      <w:r w:rsidR="00C25DF2">
        <w:t xml:space="preserve">, p. </w:t>
      </w:r>
      <w:r w:rsidR="00AC33AD">
        <w:t>67</w:t>
      </w:r>
      <w:r w:rsidR="00D670DC">
        <w:t>) en de De Rooij (2002</w:t>
      </w:r>
      <w:r w:rsidR="00C25DF2">
        <w:t xml:space="preserve">, p. </w:t>
      </w:r>
      <w:r w:rsidR="00F95598">
        <w:t>447</w:t>
      </w:r>
      <w:r w:rsidR="00D670DC">
        <w:t xml:space="preserve">) dat </w:t>
      </w:r>
      <w:r w:rsidR="00D4531E">
        <w:t>Europees geld</w:t>
      </w:r>
      <w:r w:rsidR="00D670DC">
        <w:t xml:space="preserve"> alle vormen van Europeanisering bevorde</w:t>
      </w:r>
      <w:r w:rsidR="00D4531E">
        <w:t>rt</w:t>
      </w:r>
      <w:r w:rsidR="00D670DC">
        <w:t xml:space="preserve">, terwijl </w:t>
      </w:r>
      <w:r w:rsidR="00352716">
        <w:t>Gröbe</w:t>
      </w:r>
      <w:r w:rsidR="00F066F5">
        <w:t xml:space="preserve"> et al. (2022, p. 15) alleen invloed op de</w:t>
      </w:r>
      <w:r w:rsidR="00022D3A">
        <w:t xml:space="preserve"> zogeheten </w:t>
      </w:r>
      <w:r w:rsidR="00F066F5">
        <w:rPr>
          <w:i/>
          <w:iCs/>
        </w:rPr>
        <w:t xml:space="preserve">download </w:t>
      </w:r>
      <w:r w:rsidR="00D4531E">
        <w:t xml:space="preserve">dimensie van het concept </w:t>
      </w:r>
      <w:r w:rsidR="0026717A">
        <w:t>waarneemt.</w:t>
      </w:r>
      <w:r w:rsidR="00D4531E">
        <w:t xml:space="preserve"> </w:t>
      </w:r>
      <w:r w:rsidR="00275103">
        <w:t>Tot slot bestaat er onduidelijkheid over het exacte mechanisme achter de variabele inwoneraantal</w:t>
      </w:r>
      <w:r w:rsidR="00E32269">
        <w:t xml:space="preserve"> (Verhelst, 2017b, p. </w:t>
      </w:r>
      <w:r w:rsidR="0099252E">
        <w:t xml:space="preserve">75; </w:t>
      </w:r>
      <w:r w:rsidR="00352716">
        <w:t>Gröbe</w:t>
      </w:r>
      <w:r w:rsidR="0099252E">
        <w:t xml:space="preserve"> et al., 2022, p. 15).</w:t>
      </w:r>
      <w:r w:rsidR="00E32269">
        <w:t xml:space="preserve"> </w:t>
      </w:r>
      <w:r w:rsidR="00E32269">
        <w:tab/>
      </w:r>
      <w:r w:rsidR="00E32269">
        <w:tab/>
      </w:r>
      <w:r w:rsidR="00934349">
        <w:tab/>
      </w:r>
      <w:r w:rsidR="00D771F0">
        <w:tab/>
      </w:r>
      <w:r w:rsidR="00D771F0">
        <w:tab/>
      </w:r>
      <w:r w:rsidR="003E0CB1">
        <w:tab/>
      </w:r>
      <w:r w:rsidR="003E0CB1">
        <w:tab/>
      </w:r>
      <w:r w:rsidR="003E0CB1">
        <w:tab/>
      </w:r>
      <w:r w:rsidR="00007753">
        <w:t xml:space="preserve">Voor </w:t>
      </w:r>
      <w:r w:rsidR="009A35BE">
        <w:t xml:space="preserve">dit </w:t>
      </w:r>
      <w:r w:rsidR="00007753">
        <w:t xml:space="preserve">verschil in inzichten </w:t>
      </w:r>
      <w:r w:rsidR="00B97623">
        <w:t>over</w:t>
      </w:r>
      <w:r w:rsidR="00007753">
        <w:t xml:space="preserve"> Europeanisering </w:t>
      </w:r>
      <w:r w:rsidR="00E06FD7">
        <w:t xml:space="preserve">op lokaal niveau zijn grofweg twee </w:t>
      </w:r>
      <w:r w:rsidR="003E3092">
        <w:t xml:space="preserve">verklaringen </w:t>
      </w:r>
      <w:r w:rsidR="00E06FD7">
        <w:t xml:space="preserve">te vinden. </w:t>
      </w:r>
      <w:r w:rsidR="00874558">
        <w:t xml:space="preserve">De eerste is dat </w:t>
      </w:r>
      <w:r w:rsidR="00C33072">
        <w:t>wetenschappers</w:t>
      </w:r>
      <w:r w:rsidR="00874558">
        <w:t xml:space="preserve"> verschillende definities van Europeanisering hanteren</w:t>
      </w:r>
      <w:r w:rsidR="00E47ECF">
        <w:t xml:space="preserve"> en dit anders operationaliseren</w:t>
      </w:r>
      <w:r w:rsidR="00874558">
        <w:t>, waardoor het begrip verschillend</w:t>
      </w:r>
      <w:r w:rsidR="00697C89">
        <w:t xml:space="preserve"> </w:t>
      </w:r>
      <w:r w:rsidR="000778CE">
        <w:t>gemeten wordt.</w:t>
      </w:r>
      <w:r w:rsidR="004D48C6">
        <w:t xml:space="preserve"> </w:t>
      </w:r>
      <w:r w:rsidR="00164E59">
        <w:t xml:space="preserve">Waar sommige auteurs </w:t>
      </w:r>
      <w:r w:rsidR="00EE367C">
        <w:t>(</w:t>
      </w:r>
      <w:r w:rsidR="00C50A7D">
        <w:t xml:space="preserve">Hamedinger &amp; Wolfhardt, 2010; </w:t>
      </w:r>
      <w:r w:rsidR="00352716">
        <w:t>Gröbe</w:t>
      </w:r>
      <w:r w:rsidR="00EE367C">
        <w:t xml:space="preserve"> et al., 2022) </w:t>
      </w:r>
      <w:r w:rsidR="00164E59">
        <w:t xml:space="preserve">werken </w:t>
      </w:r>
      <w:r w:rsidR="00320A36">
        <w:t xml:space="preserve">met </w:t>
      </w:r>
      <w:r w:rsidR="009C077B">
        <w:t>de</w:t>
      </w:r>
      <w:r w:rsidR="00320A36">
        <w:t xml:space="preserve"> </w:t>
      </w:r>
      <w:r w:rsidR="00320A36">
        <w:rPr>
          <w:i/>
          <w:iCs/>
        </w:rPr>
        <w:t xml:space="preserve">download, upload </w:t>
      </w:r>
      <w:r w:rsidR="00320A36">
        <w:t xml:space="preserve">en </w:t>
      </w:r>
      <w:r w:rsidR="00320A36" w:rsidRPr="00320A36">
        <w:rPr>
          <w:i/>
          <w:iCs/>
        </w:rPr>
        <w:t>horizontal networking</w:t>
      </w:r>
      <w:r w:rsidR="00320A36">
        <w:t xml:space="preserve"> benadering van Europeanisering</w:t>
      </w:r>
      <w:r w:rsidR="00EE367C">
        <w:t xml:space="preserve">, gaan anderen uit van de </w:t>
      </w:r>
      <w:r w:rsidR="00320A36">
        <w:t>verschillende grondhoudingen</w:t>
      </w:r>
      <w:r w:rsidR="00317C5D">
        <w:t xml:space="preserve"> (</w:t>
      </w:r>
      <w:r w:rsidR="0016698E">
        <w:t xml:space="preserve">couteractive, passive, reactive en proactive) </w:t>
      </w:r>
      <w:r w:rsidR="00EE367C">
        <w:t>die</w:t>
      </w:r>
      <w:r w:rsidR="00320A36">
        <w:t xml:space="preserve"> </w:t>
      </w:r>
      <w:r w:rsidR="00EE367C">
        <w:t>Klausen en Goldsmith (1997) en Radealli</w:t>
      </w:r>
      <w:r w:rsidR="00320A36">
        <w:t xml:space="preserve"> </w:t>
      </w:r>
      <w:r w:rsidR="00EE367C">
        <w:t xml:space="preserve">(2000) onderscheiden. </w:t>
      </w:r>
      <w:r w:rsidR="00E90689">
        <w:t xml:space="preserve">Weer anderen </w:t>
      </w:r>
      <w:r w:rsidR="00834082">
        <w:t>hanteren de Europeaniseringsladder</w:t>
      </w:r>
      <w:r w:rsidR="008B3797">
        <w:t xml:space="preserve"> van John (2001)</w:t>
      </w:r>
      <w:r w:rsidR="00366E2B">
        <w:t>,</w:t>
      </w:r>
      <w:r w:rsidR="00317C5D">
        <w:t xml:space="preserve"> waarbij er sprake is van een mate van Europeanisering.</w:t>
      </w:r>
      <w:r w:rsidR="008B3797">
        <w:t xml:space="preserve"> </w:t>
      </w:r>
      <w:r w:rsidR="008C4DE8">
        <w:t xml:space="preserve">Een tweede </w:t>
      </w:r>
      <w:r w:rsidR="008A5B9F">
        <w:t>oorzaak</w:t>
      </w:r>
      <w:r w:rsidR="004070C0">
        <w:t xml:space="preserve"> ligt in het soort </w:t>
      </w:r>
      <w:r w:rsidR="00387726">
        <w:t>onderzoek:</w:t>
      </w:r>
      <w:r w:rsidR="00DE7CFD">
        <w:t xml:space="preserve"> veel van </w:t>
      </w:r>
      <w:r w:rsidR="007814DD">
        <w:t>de verrichte analyses</w:t>
      </w:r>
      <w:r w:rsidR="00DE7CFD">
        <w:t xml:space="preserve"> zijn casestudies, uitgevoerd onder een klein aantal gemeenten</w:t>
      </w:r>
      <w:r w:rsidR="008F2A9F">
        <w:t xml:space="preserve"> (meestal rond de tien). </w:t>
      </w:r>
      <w:r w:rsidR="00930084">
        <w:t xml:space="preserve">Kwantitatief onderzoek </w:t>
      </w:r>
      <w:r w:rsidR="003F5991">
        <w:t xml:space="preserve">naar </w:t>
      </w:r>
      <w:r w:rsidR="00930084">
        <w:t>Europeanisering op lokaal niveau is relatief zeldzaam</w:t>
      </w:r>
      <w:r w:rsidR="00250228">
        <w:t xml:space="preserve">, </w:t>
      </w:r>
      <w:r w:rsidR="00B1648D">
        <w:t xml:space="preserve">aangezien </w:t>
      </w:r>
      <w:r w:rsidR="00746141">
        <w:t xml:space="preserve">het </w:t>
      </w:r>
      <w:r w:rsidR="00B1648D">
        <w:t>door een groot aantal</w:t>
      </w:r>
      <w:r w:rsidR="00250228">
        <w:t xml:space="preserve"> waarnemingseenheden</w:t>
      </w:r>
      <w:r w:rsidR="007B1E67">
        <w:t xml:space="preserve"> </w:t>
      </w:r>
      <w:r w:rsidR="00250228">
        <w:t xml:space="preserve">lastig is om data te verzamelen die </w:t>
      </w:r>
      <w:r w:rsidR="0052631F">
        <w:t xml:space="preserve">qua diepgang en kwaliteit </w:t>
      </w:r>
      <w:r w:rsidR="00680B39">
        <w:t xml:space="preserve">vergelijkbaar </w:t>
      </w:r>
      <w:r w:rsidR="00C928EB">
        <w:t>zijn</w:t>
      </w:r>
      <w:r w:rsidR="00680B39">
        <w:t xml:space="preserve"> met </w:t>
      </w:r>
      <w:r w:rsidR="00D534DB">
        <w:t>een kwalitatief onderzoek</w:t>
      </w:r>
      <w:r w:rsidR="00680B39">
        <w:t xml:space="preserve">. </w:t>
      </w:r>
      <w:r w:rsidR="004B2B72">
        <w:tab/>
      </w:r>
      <w:r w:rsidR="004B2B72">
        <w:tab/>
      </w:r>
      <w:r w:rsidR="004B2B72">
        <w:tab/>
      </w:r>
      <w:r w:rsidR="009B05BC">
        <w:lastRenderedPageBreak/>
        <w:tab/>
      </w:r>
      <w:r w:rsidR="002F0B56" w:rsidRPr="002F0B56">
        <w:t xml:space="preserve">In navolging van het verkennend onderzoek van Zwaan en Van Genugten (2014) en Elemans et al. (2019) biedt een analyse van Europeanisering aan de hand van gemeentelijke coalitieakkoorden de mogelijkheid </w:t>
      </w:r>
      <w:r w:rsidR="00840F56">
        <w:t>om dit onderwerp kwantitatief te onderzoeken</w:t>
      </w:r>
      <w:r w:rsidR="00EA57A0">
        <w:t>.</w:t>
      </w:r>
      <w:r w:rsidR="001300D6">
        <w:t xml:space="preserve"> </w:t>
      </w:r>
      <w:r w:rsidR="002942EF">
        <w:t xml:space="preserve">Als belangrijkste document binnen een </w:t>
      </w:r>
      <w:r w:rsidR="00FF676A">
        <w:t xml:space="preserve">gemeente </w:t>
      </w:r>
      <w:r w:rsidR="00047EE9">
        <w:t xml:space="preserve">geeft het akkoord een weergave van de prioriteiten van het gemeentebestuur voor de </w:t>
      </w:r>
      <w:r w:rsidR="000B5A41">
        <w:t>komende vier jaar</w:t>
      </w:r>
      <w:r w:rsidR="009612E6">
        <w:t xml:space="preserve"> en </w:t>
      </w:r>
      <w:r w:rsidR="00255327">
        <w:t xml:space="preserve">is het een adequate weergave </w:t>
      </w:r>
      <w:r w:rsidR="006F3EA4">
        <w:t>van</w:t>
      </w:r>
      <w:r w:rsidR="00255327">
        <w:t xml:space="preserve"> politiek-bestuurlijke prioriteiten</w:t>
      </w:r>
      <w:r w:rsidR="00C6797D">
        <w:t xml:space="preserve"> (Schaap, 2015,</w:t>
      </w:r>
      <w:r w:rsidR="005157D0">
        <w:t xml:space="preserve"> </w:t>
      </w:r>
      <w:r w:rsidR="00C6797D">
        <w:t xml:space="preserve">p. </w:t>
      </w:r>
      <w:r w:rsidR="00A43C3C">
        <w:t>93</w:t>
      </w:r>
      <w:r w:rsidR="00255327">
        <w:t xml:space="preserve">; </w:t>
      </w:r>
      <w:r w:rsidR="00B12BCD">
        <w:t>Breeman et al., 2014</w:t>
      </w:r>
      <w:r w:rsidR="00202419">
        <w:t xml:space="preserve">, </w:t>
      </w:r>
      <w:r w:rsidR="00B12BCD">
        <w:t>pp.</w:t>
      </w:r>
      <w:r w:rsidR="006F3EA4">
        <w:t xml:space="preserve"> </w:t>
      </w:r>
      <w:r w:rsidR="00B12BCD">
        <w:t>20-21</w:t>
      </w:r>
      <w:r w:rsidR="00C6797D">
        <w:t>)</w:t>
      </w:r>
      <w:r w:rsidR="00047EE9">
        <w:t>.</w:t>
      </w:r>
      <w:r w:rsidR="00816337">
        <w:t xml:space="preserve"> </w:t>
      </w:r>
      <w:r w:rsidR="003952A0">
        <w:t xml:space="preserve">Alhoewel de analyse van </w:t>
      </w:r>
      <w:r w:rsidR="009C3E52">
        <w:t>éé</w:t>
      </w:r>
      <w:r w:rsidR="003952A0">
        <w:t xml:space="preserve">n coalitieakkoord per gemeente minder rijke data oplevert dan </w:t>
      </w:r>
      <w:r w:rsidR="009C3E52">
        <w:t>interviews en observaties</w:t>
      </w:r>
      <w:r w:rsidR="001F1140">
        <w:t xml:space="preserve">, </w:t>
      </w:r>
      <w:r w:rsidR="00923FA6">
        <w:t xml:space="preserve">maakt een dergelijke aanpak een systematische vergelijking </w:t>
      </w:r>
      <w:r w:rsidR="00267828">
        <w:t>tussen</w:t>
      </w:r>
      <w:r w:rsidR="00923FA6">
        <w:t xml:space="preserve"> gemeenten mogelijk</w:t>
      </w:r>
      <w:r w:rsidR="00267828">
        <w:t>.</w:t>
      </w:r>
      <w:r w:rsidR="00EC076C">
        <w:t xml:space="preserve"> </w:t>
      </w:r>
      <w:r w:rsidR="00267828">
        <w:t>Tevens</w:t>
      </w:r>
      <w:r w:rsidR="002F3052">
        <w:t xml:space="preserve"> biedt </w:t>
      </w:r>
      <w:r w:rsidR="00867549">
        <w:t xml:space="preserve">het gebruik van coalitieakkoorden de </w:t>
      </w:r>
      <w:r w:rsidR="00781999">
        <w:t xml:space="preserve">mogelijkheid </w:t>
      </w:r>
      <w:r w:rsidR="00867549">
        <w:t>om meerdere raadsperiodes</w:t>
      </w:r>
      <w:r w:rsidR="002135BF">
        <w:t xml:space="preserve"> </w:t>
      </w:r>
      <w:r w:rsidR="00F046A7">
        <w:t>te analyseren</w:t>
      </w:r>
      <w:r w:rsidR="00F608F0">
        <w:t>.</w:t>
      </w:r>
      <w:r w:rsidR="00F608F0">
        <w:tab/>
      </w:r>
      <w:r w:rsidR="00B12BCD">
        <w:tab/>
      </w:r>
      <w:r w:rsidR="00B12BCD">
        <w:tab/>
      </w:r>
      <w:r w:rsidR="00B12BCD">
        <w:tab/>
      </w:r>
      <w:r w:rsidR="00B12BCD">
        <w:tab/>
      </w:r>
      <w:r w:rsidR="00B12BCD">
        <w:tab/>
      </w:r>
      <w:r w:rsidR="00B12BCD">
        <w:tab/>
      </w:r>
      <w:r w:rsidR="00B12BCD">
        <w:tab/>
      </w:r>
      <w:r w:rsidR="00154855">
        <w:t xml:space="preserve">Samenvattend </w:t>
      </w:r>
      <w:r w:rsidR="00C23194">
        <w:t>kan gesteld worden</w:t>
      </w:r>
      <w:r w:rsidR="00AE42CA">
        <w:t xml:space="preserve"> dat niet iedere lokale overheid </w:t>
      </w:r>
      <w:r w:rsidR="001D0957">
        <w:t xml:space="preserve">evenveel </w:t>
      </w:r>
      <w:r w:rsidR="00AE42CA">
        <w:t xml:space="preserve">aandacht en oog heeft voor de ontwikkelingen op Europees </w:t>
      </w:r>
      <w:r w:rsidR="00871513">
        <w:t>niveau</w:t>
      </w:r>
      <w:r w:rsidR="000061D5">
        <w:t xml:space="preserve">. Wat </w:t>
      </w:r>
      <w:r w:rsidR="00FE71A7">
        <w:t>dit verschil exact veroorzaakt</w:t>
      </w:r>
      <w:r w:rsidR="00C6032D">
        <w:t xml:space="preserve"> </w:t>
      </w:r>
      <w:r w:rsidR="00A71C16">
        <w:t xml:space="preserve">is vooralsnog niet eenduidig. In de literatuur, </w:t>
      </w:r>
      <w:r w:rsidR="00531621">
        <w:t xml:space="preserve">die vooral gebaseerd is op casestudies, </w:t>
      </w:r>
      <w:r w:rsidR="00CE3860">
        <w:t xml:space="preserve">komen verschillende verklaringen naar voren </w:t>
      </w:r>
      <w:r w:rsidR="008F56D3">
        <w:t>die elkaar beconcurreren dan wel tegenspreken</w:t>
      </w:r>
      <w:r w:rsidR="00CE3860">
        <w:t xml:space="preserve">. </w:t>
      </w:r>
      <w:r w:rsidR="00447E27">
        <w:t xml:space="preserve">Een kwantitatieve benadering gericht op het toetsen van de verschillende </w:t>
      </w:r>
      <w:r w:rsidR="000B11C1">
        <w:t>factoren</w:t>
      </w:r>
      <w:r w:rsidR="00447E27">
        <w:t xml:space="preserve"> in </w:t>
      </w:r>
      <w:r w:rsidR="00AB2176">
        <w:t xml:space="preserve">de </w:t>
      </w:r>
      <w:r w:rsidR="00447E27">
        <w:t xml:space="preserve">Nederlandse setting </w:t>
      </w:r>
      <w:r w:rsidR="00D941C4">
        <w:t xml:space="preserve">is </w:t>
      </w:r>
      <w:r w:rsidR="00C05DFD">
        <w:t>daarom</w:t>
      </w:r>
      <w:r w:rsidR="00D941C4">
        <w:t xml:space="preserve"> gerechtvaardigd</w:t>
      </w:r>
      <w:r w:rsidR="008F56D3">
        <w:t>, opdat hiermee</w:t>
      </w:r>
      <w:r w:rsidR="00D941C4">
        <w:t xml:space="preserve"> </w:t>
      </w:r>
      <w:r w:rsidR="00C05DFD">
        <w:t>meer richting kan worden gegeven</w:t>
      </w:r>
      <w:r w:rsidR="00D941C4">
        <w:t xml:space="preserve"> aan het wetenschappelijke debat over Europeanisering op lokaal niveau. </w:t>
      </w:r>
      <w:r w:rsidR="002F3496">
        <w:t>Ten behoeve van het uitvoeren van deze kwantitatieve toetsing hanteert deze studie de volgende</w:t>
      </w:r>
      <w:r w:rsidR="00F62038">
        <w:t xml:space="preserve"> onderzoeksvraag: </w:t>
      </w:r>
      <w:r w:rsidR="00F62038" w:rsidRPr="00F62038">
        <w:rPr>
          <w:i/>
          <w:iCs/>
        </w:rPr>
        <w:t xml:space="preserve">in hoeverre verklaren de aangedragen </w:t>
      </w:r>
      <w:r w:rsidR="00202419">
        <w:rPr>
          <w:i/>
          <w:iCs/>
        </w:rPr>
        <w:t xml:space="preserve">factoren </w:t>
      </w:r>
      <w:r w:rsidR="00F62038" w:rsidRPr="00F62038">
        <w:rPr>
          <w:i/>
          <w:iCs/>
        </w:rPr>
        <w:t xml:space="preserve">uit de literatuur </w:t>
      </w:r>
      <w:r w:rsidR="00F62038">
        <w:rPr>
          <w:i/>
          <w:iCs/>
        </w:rPr>
        <w:t xml:space="preserve">het verschil in politiek-bestuurlijke </w:t>
      </w:r>
      <w:r w:rsidR="00F62038" w:rsidRPr="00F62038">
        <w:rPr>
          <w:i/>
          <w:iCs/>
        </w:rPr>
        <w:t>Europeanisering bij Nederlandse gemeenten</w:t>
      </w:r>
      <w:r w:rsidR="00060FD7">
        <w:rPr>
          <w:i/>
          <w:iCs/>
        </w:rPr>
        <w:t>?</w:t>
      </w:r>
      <w:r w:rsidR="001315D1">
        <w:rPr>
          <w:i/>
          <w:iCs/>
        </w:rPr>
        <w:tab/>
      </w:r>
      <w:r w:rsidR="00A3652C">
        <w:rPr>
          <w:i/>
          <w:iCs/>
        </w:rPr>
        <w:tab/>
      </w:r>
      <w:r w:rsidR="00A3652C">
        <w:rPr>
          <w:i/>
          <w:iCs/>
        </w:rPr>
        <w:tab/>
      </w:r>
      <w:r w:rsidR="00202419">
        <w:rPr>
          <w:i/>
          <w:iCs/>
        </w:rPr>
        <w:tab/>
      </w:r>
      <w:r w:rsidR="002275DF">
        <w:rPr>
          <w:i/>
          <w:iCs/>
        </w:rPr>
        <w:tab/>
      </w:r>
      <w:r w:rsidR="002275DF">
        <w:rPr>
          <w:i/>
          <w:iCs/>
        </w:rPr>
        <w:tab/>
      </w:r>
      <w:r w:rsidR="002275DF">
        <w:rPr>
          <w:i/>
          <w:iCs/>
        </w:rPr>
        <w:tab/>
      </w:r>
      <w:r w:rsidR="001315D1">
        <w:t xml:space="preserve">Het antwoord op </w:t>
      </w:r>
      <w:r w:rsidR="006D1E87">
        <w:t>de geformuleerde</w:t>
      </w:r>
      <w:r w:rsidR="001315D1">
        <w:t xml:space="preserve"> </w:t>
      </w:r>
      <w:r w:rsidR="00816EEF">
        <w:t>onderzoek</w:t>
      </w:r>
      <w:r w:rsidR="003C25EE">
        <w:t>svraag</w:t>
      </w:r>
      <w:r w:rsidR="00816EEF">
        <w:t xml:space="preserve"> </w:t>
      </w:r>
      <w:r w:rsidR="006B7C05">
        <w:t>is</w:t>
      </w:r>
      <w:r w:rsidR="009B011D">
        <w:t xml:space="preserve"> zowel voor de </w:t>
      </w:r>
      <w:r w:rsidR="000E102B">
        <w:t>wetenschap</w:t>
      </w:r>
      <w:r w:rsidR="009B011D">
        <w:t xml:space="preserve"> als de maatschappij</w:t>
      </w:r>
      <w:r w:rsidR="000E102B">
        <w:t xml:space="preserve"> relevant. </w:t>
      </w:r>
      <w:r w:rsidR="00472EB6">
        <w:t>Zoals eerder aangegeven ligt de wetenschappelijke relevantie</w:t>
      </w:r>
      <w:r w:rsidR="005C0732">
        <w:t xml:space="preserve"> in het leveren </w:t>
      </w:r>
      <w:r w:rsidR="00B0019F">
        <w:t>van</w:t>
      </w:r>
      <w:r w:rsidR="005C0732">
        <w:t xml:space="preserve"> een bijdrage aan het debat </w:t>
      </w:r>
      <w:r w:rsidR="00770D3E">
        <w:t xml:space="preserve">over de oorzaken van Europeanisering op lokaal niveau. </w:t>
      </w:r>
      <w:bookmarkStart w:id="1" w:name="_Toc118209597"/>
      <w:r w:rsidR="00E37295">
        <w:t>Deze bijdrage wordt geleverd door</w:t>
      </w:r>
      <w:r w:rsidR="002D3C7D" w:rsidRPr="002D3C7D">
        <w:t xml:space="preserve"> de verschillende verklaringen die er bestaan in de literatuur te toetsen</w:t>
      </w:r>
      <w:r w:rsidR="00BD684D">
        <w:t xml:space="preserve"> met behulp van </w:t>
      </w:r>
      <w:r w:rsidR="002F139C">
        <w:t>meerdere (binair en multinomia</w:t>
      </w:r>
      <w:r w:rsidR="00A21427">
        <w:t>le</w:t>
      </w:r>
      <w:r w:rsidR="002F139C">
        <w:t>) logistische regressieanalyses</w:t>
      </w:r>
      <w:r w:rsidR="002D3C7D" w:rsidRPr="002D3C7D">
        <w:t xml:space="preserve">. Uniek aan deze studie is daarbij dat het – voor zover bekend – de eerste kwantitatieve benadering voor de Nederlandse context is die alle gemeenten op </w:t>
      </w:r>
      <w:r w:rsidR="00933139">
        <w:t xml:space="preserve">de </w:t>
      </w:r>
      <w:r w:rsidR="00E2361D">
        <w:t>meest besproken</w:t>
      </w:r>
      <w:r w:rsidR="002D3C7D" w:rsidRPr="002D3C7D">
        <w:t xml:space="preserve"> factoren uit de literatuur onderzoekt. Door het verzamelen en analyseren van data over </w:t>
      </w:r>
      <w:r w:rsidR="00BF3534">
        <w:t xml:space="preserve">alle gemeenten in drie raadsperiodes (2014-2018, </w:t>
      </w:r>
      <w:r w:rsidR="00BB595A">
        <w:t>2018-2022 en 2022-2026),</w:t>
      </w:r>
      <w:r w:rsidR="002D3C7D" w:rsidRPr="002D3C7D">
        <w:t xml:space="preserve"> is een groot aantal waarnemingseenheden verzekerd, wat het mogelijk maakt om de rivaliteit dan wel onduidelijk tussen verklaringen uit de literatuur te beslechten. </w:t>
      </w:r>
      <w:r w:rsidR="005D51D1">
        <w:tab/>
      </w:r>
      <w:r w:rsidR="008618AF">
        <w:tab/>
      </w:r>
      <w:r w:rsidR="008618AF">
        <w:tab/>
      </w:r>
      <w:r w:rsidR="008618AF">
        <w:tab/>
      </w:r>
      <w:r w:rsidR="008618AF">
        <w:tab/>
      </w:r>
      <w:r w:rsidR="000F4F90">
        <w:tab/>
      </w:r>
      <w:r w:rsidR="000F4F90">
        <w:tab/>
      </w:r>
      <w:r w:rsidR="000B4BE2" w:rsidRPr="000B4BE2">
        <w:t xml:space="preserve">De uitkomsten van dit onderzoek hebben tot op zekere hoogte ook meerwaarde voor de maatschappij. </w:t>
      </w:r>
      <w:r w:rsidR="00A4689A" w:rsidRPr="00A4689A">
        <w:t xml:space="preserve">Zo kan het verduidelijken van de relatie tussen bepaalde kenmerken van gemeenten enerzijds en de mate waarin zij oog hebben voor Europa anderzijds waarde hebben </w:t>
      </w:r>
      <w:r w:rsidR="00A4689A" w:rsidRPr="00A4689A">
        <w:lastRenderedPageBreak/>
        <w:t>voor Europese beleidsmakers. Wanneer bijvoorbeeld blijkt dat vooral gemeenten met veel inwoners (c.q. steden) oog hebben voor Europa, kunnen beleidsmakers in ‘Brussel’ hier rekening mee houden bij het opstellen van Europese maatregelen voor gemeenten. Aan de hand van de uitkomsten van dit onderzoek mogen zij dan verwachten dat maatregelen gericht</w:t>
      </w:r>
      <w:r w:rsidR="0014713E">
        <w:t xml:space="preserve"> op</w:t>
      </w:r>
      <w:r w:rsidR="00A4689A" w:rsidRPr="00A4689A">
        <w:t xml:space="preserve"> het stimuleren van bepaalde beleidsdomeinen binnen kleine gemeenten minder snel aanslaan, aangezien zij </w:t>
      </w:r>
      <w:r w:rsidR="0028165F">
        <w:t>minder ‘Europabewust’ zijn</w:t>
      </w:r>
      <w:r w:rsidR="00A4689A" w:rsidRPr="00A4689A">
        <w:t xml:space="preserve">. </w:t>
      </w:r>
      <w:r w:rsidR="00C24DDF">
        <w:t xml:space="preserve">De meerwaarde van dit onderzoek is er echter ook voor de gemeenten zelf. </w:t>
      </w:r>
      <w:r w:rsidR="00E432CD">
        <w:t xml:space="preserve">Aangezien </w:t>
      </w:r>
      <w:r w:rsidR="0073071F">
        <w:t xml:space="preserve">volgens </w:t>
      </w:r>
      <w:r w:rsidR="005F7330">
        <w:t xml:space="preserve">Moore </w:t>
      </w:r>
      <w:r w:rsidR="00894621">
        <w:t>(</w:t>
      </w:r>
      <w:r w:rsidR="00C51B7D">
        <w:t xml:space="preserve">2008, </w:t>
      </w:r>
      <w:r w:rsidR="00894621">
        <w:t>p. 518) decentrale overheden voor 60 tot 80 procent</w:t>
      </w:r>
      <w:r w:rsidR="00770DDE">
        <w:t xml:space="preserve"> </w:t>
      </w:r>
      <w:r w:rsidR="006D0E27">
        <w:t>uitvoering geven aan Europese regelgeving</w:t>
      </w:r>
      <w:r w:rsidR="00D667D7">
        <w:t>,</w:t>
      </w:r>
      <w:r w:rsidR="006D0E27">
        <w:t xml:space="preserve"> is naast aandacht voor </w:t>
      </w:r>
      <w:r w:rsidR="00FD0193">
        <w:t xml:space="preserve">ontwikkelingen in </w:t>
      </w:r>
      <w:r w:rsidR="006D0E27">
        <w:t xml:space="preserve">‘Den Haag’ aandacht voor </w:t>
      </w:r>
      <w:r w:rsidR="00FD0193">
        <w:t xml:space="preserve">ontwikkelingen in </w:t>
      </w:r>
      <w:r w:rsidR="006D0E27">
        <w:t xml:space="preserve">‘Brussel’ </w:t>
      </w:r>
      <w:r w:rsidR="00FD0193">
        <w:t>en hoe zich hier to</w:t>
      </w:r>
      <w:r w:rsidR="00205355">
        <w:t>e</w:t>
      </w:r>
      <w:r w:rsidR="00FD0193">
        <w:t xml:space="preserve"> te verhouden</w:t>
      </w:r>
      <w:r w:rsidR="00497456">
        <w:t xml:space="preserve"> relevant</w:t>
      </w:r>
      <w:r w:rsidR="00B86BCF">
        <w:t xml:space="preserve"> voor gemeentelijke beleidsmakers</w:t>
      </w:r>
      <w:r w:rsidR="00497456">
        <w:t>.</w:t>
      </w:r>
      <w:r w:rsidR="00347134">
        <w:t xml:space="preserve"> Ook de </w:t>
      </w:r>
      <w:r w:rsidR="00B33A0E">
        <w:t xml:space="preserve">Vereniging Nederlandse Gemeenten (VNG) </w:t>
      </w:r>
      <w:r w:rsidR="00B578A7">
        <w:t>benoem</w:t>
      </w:r>
      <w:r w:rsidR="00FB277F">
        <w:t>t in haar meest recente ‘</w:t>
      </w:r>
      <w:r w:rsidR="0063130D">
        <w:t>Europavisie</w:t>
      </w:r>
      <w:r w:rsidR="00FB277F">
        <w:t>’</w:t>
      </w:r>
      <w:r w:rsidR="0063130D">
        <w:t xml:space="preserve"> </w:t>
      </w:r>
      <w:r w:rsidR="00C305CA">
        <w:t>het toenemende belang van Europa en de noodzaak van gemeenten om hier op in te spelen (</w:t>
      </w:r>
      <w:r w:rsidR="00FC2950">
        <w:t>VNG, 2022)</w:t>
      </w:r>
      <w:r w:rsidR="00C305CA">
        <w:t>.</w:t>
      </w:r>
      <w:r w:rsidR="007A4AD9">
        <w:tab/>
      </w:r>
      <w:r w:rsidR="0066072E">
        <w:tab/>
      </w:r>
      <w:r w:rsidR="0066072E">
        <w:tab/>
        <w:t xml:space="preserve">De opbouw van het vervolg van dit artikel is als volgt: </w:t>
      </w:r>
      <w:r w:rsidR="0026226C">
        <w:t xml:space="preserve">allereerst worden de verschillende </w:t>
      </w:r>
      <w:r w:rsidR="00A42997">
        <w:t xml:space="preserve">oorzaken </w:t>
      </w:r>
      <w:r w:rsidR="00C02956">
        <w:t>voor Europeanisering op lokaal niveau besproken en nader uiteengezet</w:t>
      </w:r>
      <w:r w:rsidR="00A42997">
        <w:t xml:space="preserve"> in het theoretisch kader</w:t>
      </w:r>
      <w:r w:rsidR="00C02956">
        <w:t xml:space="preserve">. </w:t>
      </w:r>
      <w:r w:rsidR="00A42997" w:rsidRPr="00A42997">
        <w:t xml:space="preserve">In principe </w:t>
      </w:r>
      <w:r w:rsidR="00AF3469">
        <w:t>wordt hierbij geen</w:t>
      </w:r>
      <w:r w:rsidR="00A42997" w:rsidRPr="00A42997">
        <w:t xml:space="preserve"> gebruik gemaakt van een specifieke theorie</w:t>
      </w:r>
      <w:r w:rsidR="00B34825">
        <w:t xml:space="preserve"> of perspectief</w:t>
      </w:r>
      <w:r w:rsidR="00A42997" w:rsidRPr="00A42997">
        <w:t xml:space="preserve">, aangezien er vooralsnog geen allesomvattend </w:t>
      </w:r>
      <w:r w:rsidR="00B34825">
        <w:t xml:space="preserve">theoretisch </w:t>
      </w:r>
      <w:r w:rsidR="00A42997" w:rsidRPr="00A42997">
        <w:t>raamwerk</w:t>
      </w:r>
      <w:r w:rsidR="00BE5892">
        <w:t xml:space="preserve"> voor dit thema</w:t>
      </w:r>
      <w:r w:rsidR="00A42997" w:rsidRPr="00A42997">
        <w:t xml:space="preserve"> voorhanden is. In plaats daarvan brengt dit </w:t>
      </w:r>
      <w:r w:rsidR="00BE5892">
        <w:t>artikel</w:t>
      </w:r>
      <w:r w:rsidR="00A42997" w:rsidRPr="00A42997">
        <w:t xml:space="preserve"> de inzichten van verschillende losse papers </w:t>
      </w:r>
      <w:r w:rsidR="009F5830">
        <w:t xml:space="preserve">over </w:t>
      </w:r>
      <w:r w:rsidR="00A42997" w:rsidRPr="00A42997">
        <w:t>dit onderwerp samen</w:t>
      </w:r>
      <w:r w:rsidR="00A42997">
        <w:t xml:space="preserve">. Vervolgens </w:t>
      </w:r>
      <w:r w:rsidR="00CD4F67">
        <w:t>vindt er in het methodologisch kader</w:t>
      </w:r>
      <w:r w:rsidR="00031347">
        <w:t xml:space="preserve"> verantwoording omtrent de gehanteerde onderzoeksmethoden plaats</w:t>
      </w:r>
      <w:r w:rsidR="00944AD3">
        <w:t>.</w:t>
      </w:r>
      <w:r w:rsidR="00874E38">
        <w:t xml:space="preserve"> </w:t>
      </w:r>
      <w:r w:rsidR="00944AD3">
        <w:t xml:space="preserve">Speciale aandacht gaat er in deze paragraaf uit naar de operationalisatie van </w:t>
      </w:r>
      <w:r w:rsidR="00503CAD">
        <w:t>de afhankelijke variabele</w:t>
      </w:r>
      <w:r w:rsidR="00272E42">
        <w:t xml:space="preserve"> </w:t>
      </w:r>
      <w:r w:rsidR="00503CAD">
        <w:t>‘</w:t>
      </w:r>
      <w:r w:rsidR="00AF50C6">
        <w:t xml:space="preserve">politiek-bestuurlijke </w:t>
      </w:r>
      <w:r w:rsidR="00272E42">
        <w:t>Europeanisering</w:t>
      </w:r>
      <w:r w:rsidR="00721223">
        <w:t xml:space="preserve"> </w:t>
      </w:r>
      <w:r w:rsidR="00D104D2">
        <w:t>bij gemeenten’</w:t>
      </w:r>
      <w:r w:rsidR="0092660C">
        <w:t xml:space="preserve"> </w:t>
      </w:r>
      <w:r w:rsidR="000600C2">
        <w:t>middels de</w:t>
      </w:r>
      <w:r w:rsidR="00272E42">
        <w:t xml:space="preserve"> codering van </w:t>
      </w:r>
      <w:r w:rsidR="000600C2">
        <w:t xml:space="preserve">gemeentelijke </w:t>
      </w:r>
      <w:r w:rsidR="00272E42">
        <w:t xml:space="preserve">coalitieakkoorden en </w:t>
      </w:r>
      <w:r w:rsidR="008B77C4">
        <w:t xml:space="preserve">het gebruik van een </w:t>
      </w:r>
      <w:r w:rsidR="002F139C">
        <w:t>meerdere (binair en multinomia</w:t>
      </w:r>
      <w:r w:rsidR="00A21427">
        <w:t>le</w:t>
      </w:r>
      <w:r w:rsidR="002F139C">
        <w:t>) logistische</w:t>
      </w:r>
      <w:r w:rsidR="008B77C4">
        <w:t xml:space="preserve"> </w:t>
      </w:r>
      <w:r w:rsidR="00DF7051">
        <w:t xml:space="preserve">regressieanalyses </w:t>
      </w:r>
      <w:r w:rsidR="008B77C4">
        <w:t xml:space="preserve">als analysemethode. </w:t>
      </w:r>
      <w:r w:rsidR="00E552D2">
        <w:t>Daarna worden in de resultaten</w:t>
      </w:r>
      <w:r w:rsidR="000862CC">
        <w:t xml:space="preserve">sectie van dit paper de </w:t>
      </w:r>
      <w:r w:rsidR="00C17379">
        <w:t xml:space="preserve">uitkomsten </w:t>
      </w:r>
      <w:r w:rsidR="002F4AA8">
        <w:t xml:space="preserve">gepresenteerd. </w:t>
      </w:r>
      <w:r w:rsidR="00BA185B">
        <w:t xml:space="preserve">Dit </w:t>
      </w:r>
      <w:r w:rsidR="006C0575">
        <w:t>artikel</w:t>
      </w:r>
      <w:r w:rsidR="00BA185B">
        <w:t xml:space="preserve"> sluit af met een conclusie </w:t>
      </w:r>
      <w:r w:rsidR="00164354">
        <w:t xml:space="preserve">waarin de onderzoeksvraag van dit paper wordt beantwoord </w:t>
      </w:r>
      <w:r w:rsidR="00BF099E">
        <w:t xml:space="preserve">en er tevens aandacht is voor de implicaties en limitaties van </w:t>
      </w:r>
      <w:r w:rsidR="00267E4C">
        <w:t xml:space="preserve">de </w:t>
      </w:r>
      <w:r w:rsidR="005620B9">
        <w:t>gevonden uitkomsten.</w:t>
      </w:r>
      <w:bookmarkEnd w:id="1"/>
    </w:p>
    <w:p w14:paraId="22D08194" w14:textId="77777777" w:rsidR="00BD32F8" w:rsidRDefault="00BD32F8">
      <w:pPr>
        <w:jc w:val="center"/>
      </w:pPr>
      <w:r>
        <w:br w:type="page"/>
      </w:r>
    </w:p>
    <w:p w14:paraId="6C0740EC" w14:textId="77777777" w:rsidR="00BD32F8" w:rsidRDefault="00BD32F8" w:rsidP="00BD32F8">
      <w:pPr>
        <w:pStyle w:val="Kop1"/>
        <w:numPr>
          <w:ilvl w:val="0"/>
          <w:numId w:val="1"/>
        </w:numPr>
      </w:pPr>
      <w:r>
        <w:lastRenderedPageBreak/>
        <w:t>Theorie</w:t>
      </w:r>
    </w:p>
    <w:p w14:paraId="66C8F944" w14:textId="0E0A01D8" w:rsidR="00BD32F8" w:rsidRDefault="004B62CD" w:rsidP="004B62CD">
      <w:pPr>
        <w:pStyle w:val="Kop2"/>
      </w:pPr>
      <w:r>
        <w:t xml:space="preserve">2.1 Europeanisering </w:t>
      </w:r>
      <w:r w:rsidR="00A230FB">
        <w:t>bij gemeenten</w:t>
      </w:r>
    </w:p>
    <w:p w14:paraId="03795DBF" w14:textId="3EAF79F6" w:rsidR="005477F9" w:rsidRDefault="00146254" w:rsidP="00982175">
      <w:r>
        <w:t xml:space="preserve">Door het toenemende belang van de Europese Unie </w:t>
      </w:r>
      <w:r w:rsidR="00B2728C">
        <w:t>neemt de macht van de centrale overheid af ten gunste van een horizontaal netw</w:t>
      </w:r>
      <w:r w:rsidR="007E63A8">
        <w:t>e</w:t>
      </w:r>
      <w:r w:rsidR="00B2728C">
        <w:t xml:space="preserve">rk van multi-level goverance (Verhelst, 2017a, p. 1). </w:t>
      </w:r>
      <w:r w:rsidR="00B01C89">
        <w:t>Waar decentrale overheden zich in het verleden alleen hiërarchisch dienden te verhoud</w:t>
      </w:r>
      <w:r w:rsidR="00FE6B21">
        <w:t>en</w:t>
      </w:r>
      <w:r w:rsidR="00B01C89">
        <w:t xml:space="preserve"> tot de eigen nationale overheid, </w:t>
      </w:r>
      <w:r w:rsidR="004C06A4">
        <w:t>heeft een</w:t>
      </w:r>
      <w:r w:rsidR="00A600E7">
        <w:t xml:space="preserve"> decentrale overheid nu ook (bewust dan wel onbewust) contact met </w:t>
      </w:r>
      <w:r w:rsidR="00AD3318">
        <w:t>een Europese bestuurslaag</w:t>
      </w:r>
      <w:r w:rsidR="006742C2">
        <w:t xml:space="preserve">. </w:t>
      </w:r>
      <w:r w:rsidR="00C23D2E">
        <w:t xml:space="preserve">Dit </w:t>
      </w:r>
      <w:r w:rsidR="008267E7">
        <w:t xml:space="preserve">alles heeft gevolgen voor </w:t>
      </w:r>
      <w:r w:rsidR="000169C3">
        <w:t xml:space="preserve">de processen en organisatie van </w:t>
      </w:r>
      <w:r w:rsidR="00913E8F">
        <w:t>(</w:t>
      </w:r>
      <w:r w:rsidR="000169C3">
        <w:t>decentrale</w:t>
      </w:r>
      <w:r w:rsidR="00913E8F">
        <w:t>)</w:t>
      </w:r>
      <w:r w:rsidR="000169C3">
        <w:t xml:space="preserve"> overheden</w:t>
      </w:r>
      <w:r w:rsidR="00BD0973" w:rsidRPr="00BD0973">
        <w:t xml:space="preserve"> </w:t>
      </w:r>
      <w:r w:rsidR="007E2A32">
        <w:t>(</w:t>
      </w:r>
      <w:r w:rsidR="00764B79">
        <w:t>Rob, 2013</w:t>
      </w:r>
      <w:r w:rsidR="00F03485">
        <w:t xml:space="preserve">, p. </w:t>
      </w:r>
      <w:r w:rsidR="00BC70D3">
        <w:t>22</w:t>
      </w:r>
      <w:r w:rsidR="00F03485">
        <w:t>).</w:t>
      </w:r>
      <w:r w:rsidR="00BD0973" w:rsidRPr="00BD0973">
        <w:t xml:space="preserve"> </w:t>
      </w:r>
      <w:r w:rsidR="008267E7">
        <w:t>In de literatuur staat di</w:t>
      </w:r>
      <w:r w:rsidR="0078798D">
        <w:t>t</w:t>
      </w:r>
      <w:r w:rsidR="008267E7">
        <w:t xml:space="preserve"> verschijnsel bekend onder de naam Europeanisering. </w:t>
      </w:r>
      <w:r w:rsidR="00BA4B3B">
        <w:tab/>
      </w:r>
      <w:r w:rsidR="00BA4B3B">
        <w:tab/>
      </w:r>
      <w:r w:rsidR="00BA4B3B">
        <w:tab/>
      </w:r>
      <w:r w:rsidR="00BA4B3B">
        <w:tab/>
      </w:r>
      <w:r w:rsidR="00BA4B3B">
        <w:tab/>
      </w:r>
      <w:r w:rsidR="00BA4B3B">
        <w:tab/>
      </w:r>
      <w:r w:rsidR="00BA4B3B">
        <w:tab/>
      </w:r>
      <w:r w:rsidR="008267E7">
        <w:tab/>
      </w:r>
      <w:r w:rsidR="00E62849">
        <w:t>Zoals eerder gesteld</w:t>
      </w:r>
      <w:r w:rsidR="00BD0973" w:rsidRPr="00BD0973">
        <w:t xml:space="preserve"> staat in dit artikel de politiek-bestuurlijke dimensie</w:t>
      </w:r>
      <w:r w:rsidR="00E62849">
        <w:t xml:space="preserve"> van het concept Europeanisering</w:t>
      </w:r>
      <w:r w:rsidR="00BD0973" w:rsidRPr="00BD0973">
        <w:t xml:space="preserve"> centraal. Als uitgangspunt wordt hierbij de definitie van Van den Berg (2011, p. 25) aangehouden: “the reorientation or reshaping of politics and administration in the domestic arena in ways that reflect structures, policies, and practices advanced through the EU system of governance”. In de context van dit paper heeft de politiek-bestuurlijke kant van Europeanisering betrekking op de aandacht</w:t>
      </w:r>
      <w:r w:rsidR="0047758C">
        <w:t xml:space="preserve"> (reorientation)</w:t>
      </w:r>
      <w:r w:rsidR="00BD0973" w:rsidRPr="00BD0973">
        <w:t xml:space="preserve"> en </w:t>
      </w:r>
      <w:r w:rsidR="00C972DA">
        <w:t>(</w:t>
      </w:r>
      <w:r w:rsidR="00027003">
        <w:t>voorgenomen</w:t>
      </w:r>
      <w:r w:rsidR="00C972DA">
        <w:t>)</w:t>
      </w:r>
      <w:r w:rsidR="00027003">
        <w:t xml:space="preserve"> </w:t>
      </w:r>
      <w:r w:rsidR="00BD0973" w:rsidRPr="00BD0973">
        <w:t xml:space="preserve">acties </w:t>
      </w:r>
      <w:r w:rsidR="0047758C">
        <w:t xml:space="preserve">(reshaping) </w:t>
      </w:r>
      <w:r w:rsidR="00027003">
        <w:t>d</w:t>
      </w:r>
      <w:r w:rsidR="009C3DE9">
        <w:t>ie</w:t>
      </w:r>
      <w:r w:rsidR="00027003">
        <w:t xml:space="preserve"> het</w:t>
      </w:r>
      <w:r w:rsidR="00C972DA">
        <w:t xml:space="preserve"> gemeentebestuur</w:t>
      </w:r>
      <w:r w:rsidR="00BD0973" w:rsidRPr="00BD0973">
        <w:t xml:space="preserve"> al dan niet onderneemt ten aanzien van de Europese Unie.</w:t>
      </w:r>
      <w:r w:rsidR="00CA45F0">
        <w:tab/>
      </w:r>
      <w:r w:rsidR="0047758C">
        <w:tab/>
      </w:r>
      <w:r w:rsidR="008E42E5">
        <w:t xml:space="preserve">In de literatuur </w:t>
      </w:r>
      <w:r w:rsidR="009A1833">
        <w:t xml:space="preserve">over Europeanisering zijn er meerdere indelingen </w:t>
      </w:r>
      <w:r w:rsidR="00F44B05">
        <w:t xml:space="preserve">om </w:t>
      </w:r>
      <w:r w:rsidR="00CE46F4">
        <w:t xml:space="preserve">de </w:t>
      </w:r>
      <w:r w:rsidR="0012118C">
        <w:t xml:space="preserve">wijze en </w:t>
      </w:r>
      <w:r w:rsidR="00CE46F4">
        <w:t xml:space="preserve">mate van </w:t>
      </w:r>
      <w:r w:rsidR="00394C9F">
        <w:t>Europeanisering te</w:t>
      </w:r>
      <w:r w:rsidR="00FF6006">
        <w:t xml:space="preserve"> categoriseren. </w:t>
      </w:r>
      <w:r w:rsidR="0001521A">
        <w:t>Een eerste onderscheid dat veel</w:t>
      </w:r>
      <w:r w:rsidR="006C6366">
        <w:t>al</w:t>
      </w:r>
      <w:r w:rsidR="0001521A">
        <w:t xml:space="preserve"> gemaakt wordt is tussen </w:t>
      </w:r>
      <w:r w:rsidR="0001521A">
        <w:rPr>
          <w:i/>
          <w:iCs/>
        </w:rPr>
        <w:t xml:space="preserve">downloading, uploading </w:t>
      </w:r>
      <w:r w:rsidR="0001521A">
        <w:t xml:space="preserve">en </w:t>
      </w:r>
      <w:r w:rsidR="0001521A">
        <w:rPr>
          <w:i/>
          <w:iCs/>
        </w:rPr>
        <w:t>horizontal networking</w:t>
      </w:r>
      <w:r w:rsidR="00D73E17">
        <w:rPr>
          <w:i/>
          <w:iCs/>
        </w:rPr>
        <w:t xml:space="preserve"> </w:t>
      </w:r>
      <w:r w:rsidR="00D73E17">
        <w:t>(</w:t>
      </w:r>
      <w:r w:rsidR="00B311BF">
        <w:t>Kern</w:t>
      </w:r>
      <w:r w:rsidR="002A21A6">
        <w:t xml:space="preserve"> &amp; Bulkeley</w:t>
      </w:r>
      <w:r w:rsidR="00B311BF">
        <w:t>, 2009</w:t>
      </w:r>
      <w:r w:rsidR="00EB549B">
        <w:t xml:space="preserve">; </w:t>
      </w:r>
      <w:r w:rsidR="00256744">
        <w:t xml:space="preserve">Hamedinger en Wolfhardt, 2010; </w:t>
      </w:r>
      <w:r w:rsidR="002B6F4F">
        <w:t xml:space="preserve">Verhelst, 2017b; </w:t>
      </w:r>
      <w:r w:rsidR="00352716">
        <w:t>Gröbe</w:t>
      </w:r>
      <w:r w:rsidR="00EB549B">
        <w:t xml:space="preserve"> et al., 2022</w:t>
      </w:r>
      <w:r w:rsidR="005648AE">
        <w:t xml:space="preserve">). </w:t>
      </w:r>
      <w:r w:rsidR="00EB549B" w:rsidRPr="00F7425B">
        <w:rPr>
          <w:i/>
          <w:iCs/>
        </w:rPr>
        <w:t xml:space="preserve">Downloading </w:t>
      </w:r>
      <w:r w:rsidR="00EB549B">
        <w:t xml:space="preserve">heeft hierbij betrekking op </w:t>
      </w:r>
      <w:r w:rsidR="00CC1EA0">
        <w:t xml:space="preserve">het </w:t>
      </w:r>
      <w:r w:rsidR="004478CD">
        <w:t xml:space="preserve">top-down </w:t>
      </w:r>
      <w:r w:rsidR="00CC1EA0">
        <w:t>uitvoering geven aan EU-regelgeving en het gebruik van de verschillende subsidieprogramma</w:t>
      </w:r>
      <w:r w:rsidR="00160D92">
        <w:t>’s</w:t>
      </w:r>
      <w:r w:rsidR="009F1931">
        <w:t>,</w:t>
      </w:r>
      <w:r w:rsidR="00B12470">
        <w:t xml:space="preserve"> </w:t>
      </w:r>
      <w:r w:rsidR="009F1931">
        <w:t xml:space="preserve">terwijl </w:t>
      </w:r>
      <w:r w:rsidR="009F1931" w:rsidRPr="00F7425B">
        <w:rPr>
          <w:i/>
          <w:iCs/>
        </w:rPr>
        <w:t>uploading</w:t>
      </w:r>
      <w:r w:rsidR="009F1931">
        <w:t xml:space="preserve"> gaat over </w:t>
      </w:r>
      <w:r w:rsidR="005A2D38">
        <w:t>bott</w:t>
      </w:r>
      <w:r w:rsidR="00E6538E">
        <w:t>o</w:t>
      </w:r>
      <w:r w:rsidR="005A2D38">
        <w:t xml:space="preserve">m-up </w:t>
      </w:r>
      <w:r w:rsidR="009F1931">
        <w:t xml:space="preserve">acties die lokale besturen ondernemen om </w:t>
      </w:r>
      <w:r w:rsidR="00EE75BA">
        <w:t>het Europese besluitvormingsproces te beïnvloeden (</w:t>
      </w:r>
      <w:r w:rsidR="002B6F4F">
        <w:t xml:space="preserve">Verhelst, 2017b, p. </w:t>
      </w:r>
      <w:r w:rsidR="00B50AAC">
        <w:t xml:space="preserve">79). </w:t>
      </w:r>
      <w:r w:rsidR="00B50AAC" w:rsidRPr="00F7425B">
        <w:rPr>
          <w:i/>
          <w:iCs/>
        </w:rPr>
        <w:t>Horizontal networking</w:t>
      </w:r>
      <w:r w:rsidR="00B50AAC">
        <w:t xml:space="preserve"> </w:t>
      </w:r>
      <w:r w:rsidR="00F06D27">
        <w:t>betreft de samenwerkingsverbanden</w:t>
      </w:r>
      <w:r w:rsidR="00A01F92">
        <w:t xml:space="preserve"> tussen lokale overheden onderling, eventueel met andere partijen</w:t>
      </w:r>
      <w:r w:rsidR="00D1261C">
        <w:t>.</w:t>
      </w:r>
      <w:r w:rsidR="008B188C">
        <w:tab/>
      </w:r>
      <w:r w:rsidR="008B188C">
        <w:tab/>
      </w:r>
      <w:r w:rsidR="008B188C">
        <w:tab/>
      </w:r>
      <w:r w:rsidR="008B188C">
        <w:tab/>
      </w:r>
      <w:r w:rsidR="008B188C">
        <w:tab/>
      </w:r>
      <w:r w:rsidR="008B188C">
        <w:tab/>
      </w:r>
      <w:r w:rsidR="008B188C">
        <w:tab/>
      </w:r>
      <w:r w:rsidR="000871B9">
        <w:tab/>
      </w:r>
      <w:r w:rsidR="00394C9F">
        <w:tab/>
      </w:r>
      <w:r w:rsidR="00E8261F">
        <w:t>Een ander</w:t>
      </w:r>
      <w:r w:rsidR="00244628">
        <w:t xml:space="preserve"> –</w:t>
      </w:r>
      <w:r w:rsidR="007003F8">
        <w:t xml:space="preserve"> </w:t>
      </w:r>
      <w:r w:rsidR="00244628">
        <w:t>s</w:t>
      </w:r>
      <w:r w:rsidR="007003F8">
        <w:t xml:space="preserve">pecifiek op </w:t>
      </w:r>
      <w:r w:rsidR="001922F4">
        <w:t>lokale overheden</w:t>
      </w:r>
      <w:r w:rsidR="00244628">
        <w:t xml:space="preserve"> toegespitst – </w:t>
      </w:r>
      <w:r w:rsidR="00E8261F">
        <w:t xml:space="preserve">analytisch </w:t>
      </w:r>
      <w:r w:rsidR="007003F8">
        <w:t>raamwerk</w:t>
      </w:r>
      <w:r w:rsidR="00E8261F">
        <w:t xml:space="preserve"> voor de </w:t>
      </w:r>
      <w:r w:rsidR="00A6158F">
        <w:t>wijze waarop</w:t>
      </w:r>
      <w:r w:rsidR="00E8261F">
        <w:t xml:space="preserve"> een gemeente</w:t>
      </w:r>
      <w:r w:rsidR="006A7888">
        <w:t xml:space="preserve">bestuur </w:t>
      </w:r>
      <w:r w:rsidR="00A16C45">
        <w:t>geëuropeaniseerd</w:t>
      </w:r>
      <w:r w:rsidR="006A7888">
        <w:t xml:space="preserve"> is komt van </w:t>
      </w:r>
      <w:r w:rsidR="00F30727">
        <w:t>Klausen en Goldsmith</w:t>
      </w:r>
      <w:r w:rsidR="006A7888">
        <w:t xml:space="preserve"> (1997) </w:t>
      </w:r>
      <w:r w:rsidR="001922F4">
        <w:t>e</w:t>
      </w:r>
      <w:r w:rsidR="006A7888">
        <w:t>n Rad</w:t>
      </w:r>
      <w:r w:rsidR="00A16C45">
        <w:t xml:space="preserve">aelli (2000). </w:t>
      </w:r>
      <w:r w:rsidR="00330B2B">
        <w:t xml:space="preserve">Zo delen </w:t>
      </w:r>
      <w:r w:rsidR="00F30727">
        <w:t>Klausen en Goldsmith</w:t>
      </w:r>
      <w:r w:rsidR="00330B2B">
        <w:t xml:space="preserve"> </w:t>
      </w:r>
      <w:r w:rsidR="00F060DE">
        <w:t xml:space="preserve">(1997, p. </w:t>
      </w:r>
      <w:r w:rsidR="002121F6">
        <w:t>239</w:t>
      </w:r>
      <w:r w:rsidR="00F060DE">
        <w:t xml:space="preserve">) </w:t>
      </w:r>
      <w:r w:rsidR="00330B2B">
        <w:t>op basis van vergelijkende casestu</w:t>
      </w:r>
      <w:r w:rsidR="00BD1703">
        <w:t xml:space="preserve">dies </w:t>
      </w:r>
      <w:r w:rsidR="008454B0">
        <w:t xml:space="preserve">door de hele EU </w:t>
      </w:r>
      <w:r w:rsidR="00BD1703">
        <w:t xml:space="preserve">lokale besturen in naar </w:t>
      </w:r>
      <w:r w:rsidR="0087607D">
        <w:t xml:space="preserve">een viertal categorieën: couteractive, passive, reactive en proactive. </w:t>
      </w:r>
      <w:r w:rsidR="00F060DE">
        <w:t xml:space="preserve">Radealli (2000, p. </w:t>
      </w:r>
      <w:r w:rsidR="0069013E">
        <w:t>15</w:t>
      </w:r>
      <w:r w:rsidR="00F060DE">
        <w:t xml:space="preserve">) werkt met een vergelijkbaar continuüm </w:t>
      </w:r>
      <w:r w:rsidR="00D4798B">
        <w:t xml:space="preserve">en </w:t>
      </w:r>
      <w:r w:rsidR="00E82C06">
        <w:t xml:space="preserve">heeft het over retrenchment, inertia, absorption en transformation. </w:t>
      </w:r>
      <w:r w:rsidR="00846095" w:rsidRPr="00846095">
        <w:t>In beide indelingen worden verschillende grondhoudingen van lokale overheden ten aanzien van het Europese integratie</w:t>
      </w:r>
      <w:r w:rsidR="00FC5977">
        <w:t>traject</w:t>
      </w:r>
      <w:r w:rsidR="00846095" w:rsidRPr="00846095">
        <w:t xml:space="preserve"> geschetst. </w:t>
      </w:r>
      <w:r w:rsidR="00F74EB2">
        <w:t xml:space="preserve">Deze </w:t>
      </w:r>
      <w:r w:rsidR="00F177D2">
        <w:t xml:space="preserve">houding varieert van het </w:t>
      </w:r>
      <w:r w:rsidR="00F06B66">
        <w:t>afkeuren</w:t>
      </w:r>
      <w:r w:rsidR="00F177D2">
        <w:t xml:space="preserve"> en zo nodig zelfs </w:t>
      </w:r>
      <w:r w:rsidR="00F177D2">
        <w:lastRenderedPageBreak/>
        <w:t>tegenwerken van ‘Brusselse bemoeienis’, tot</w:t>
      </w:r>
      <w:r w:rsidR="00C32E1B">
        <w:t xml:space="preserve"> het </w:t>
      </w:r>
      <w:r w:rsidR="00F06B66">
        <w:t xml:space="preserve">proactief benaderen van Europese instanties en het aanpassen </w:t>
      </w:r>
      <w:r w:rsidR="00C015AA">
        <w:t xml:space="preserve">van de eigen handelswijze om hierin succesvol te zijn. </w:t>
      </w:r>
      <w:r w:rsidR="00F30727">
        <w:t>Klausen en Goldsmith</w:t>
      </w:r>
      <w:r w:rsidR="00C015AA">
        <w:t xml:space="preserve"> (1997, </w:t>
      </w:r>
      <w:r w:rsidR="00AD4815">
        <w:t xml:space="preserve">pp. 239-241) beweren echter dat de meeste lokale besturen zich in </w:t>
      </w:r>
      <w:r w:rsidR="00DA0FC7">
        <w:t>categorieën</w:t>
      </w:r>
      <w:r w:rsidR="005B0C3C">
        <w:t xml:space="preserve"> passive</w:t>
      </w:r>
      <w:r w:rsidR="005D223F">
        <w:t xml:space="preserve"> en reactive bevinden, waarbij de eerste groep de grootste is. </w:t>
      </w:r>
      <w:r w:rsidR="00A804D9">
        <w:t xml:space="preserve">De passieve categorie kenmerkt zich hierbij door een </w:t>
      </w:r>
      <w:r w:rsidR="00F75CD0">
        <w:t xml:space="preserve">overwegend negatieve mening over </w:t>
      </w:r>
      <w:r w:rsidR="009C2A1F">
        <w:t xml:space="preserve">EU, maar </w:t>
      </w:r>
      <w:r w:rsidR="00CE2FEF">
        <w:t xml:space="preserve">enige </w:t>
      </w:r>
      <w:r w:rsidR="005572A7">
        <w:t>vorm van activiteit tegen Europese integratie ontbreekt</w:t>
      </w:r>
      <w:r w:rsidR="00484155">
        <w:t xml:space="preserve"> </w:t>
      </w:r>
      <w:r w:rsidR="005572A7">
        <w:t>(Goldsmith</w:t>
      </w:r>
      <w:r w:rsidR="00380A07">
        <w:t xml:space="preserve"> &amp; Klaussen, 1997, p. 240; Radealli, 2000, p. </w:t>
      </w:r>
      <w:r w:rsidR="00CE2FEF">
        <w:t>15)</w:t>
      </w:r>
      <w:r w:rsidR="005572A7">
        <w:t>.</w:t>
      </w:r>
      <w:r w:rsidR="00787349">
        <w:t xml:space="preserve"> Bij een reactieve houding </w:t>
      </w:r>
      <w:r w:rsidR="00EA17F7">
        <w:t>hebben lokale besturen een overweg</w:t>
      </w:r>
      <w:r w:rsidR="00DB7ECC">
        <w:t>end</w:t>
      </w:r>
      <w:r w:rsidR="00EA17F7">
        <w:t xml:space="preserve"> positieve houding </w:t>
      </w:r>
      <w:r w:rsidR="00D73838">
        <w:t>ten aanzien van</w:t>
      </w:r>
      <w:r w:rsidR="00EA17F7">
        <w:t xml:space="preserve"> Europese integratie, maar komt de gemeente niet</w:t>
      </w:r>
      <w:r w:rsidR="00FE323A">
        <w:t xml:space="preserve"> verder dan kleine en </w:t>
      </w:r>
      <w:r w:rsidR="00524B85">
        <w:t>geleidelijke</w:t>
      </w:r>
      <w:r w:rsidR="00FE323A">
        <w:t xml:space="preserve"> aanpassingen aan Europese wensen met betrekking tot regelgeving en subsidi</w:t>
      </w:r>
      <w:r w:rsidR="00524B85">
        <w:t>everwerving</w:t>
      </w:r>
      <w:r w:rsidR="005A3490">
        <w:t xml:space="preserve"> (Goldsmith &amp; Klaussen, 1997, p. </w:t>
      </w:r>
      <w:r w:rsidR="00D31BCB">
        <w:t>240</w:t>
      </w:r>
      <w:r w:rsidR="005A3490">
        <w:t xml:space="preserve">; Radealli, 2000, p. </w:t>
      </w:r>
      <w:r w:rsidR="00376A43">
        <w:t>15</w:t>
      </w:r>
      <w:r w:rsidR="005A3490">
        <w:t>)</w:t>
      </w:r>
      <w:r w:rsidR="00524B85">
        <w:t xml:space="preserve">. </w:t>
      </w:r>
      <w:r w:rsidR="004E09CA">
        <w:tab/>
      </w:r>
      <w:r w:rsidR="00524B85">
        <w:tab/>
      </w:r>
      <w:r w:rsidR="005E0BB6">
        <w:tab/>
      </w:r>
      <w:r w:rsidR="005E0BB6">
        <w:tab/>
      </w:r>
      <w:r w:rsidR="005E0BB6">
        <w:tab/>
      </w:r>
      <w:r w:rsidR="00F867B1" w:rsidRPr="00F867B1">
        <w:t>Voor het categoriseren van de wijze van Europeanisering bij gemeentebesturen is</w:t>
      </w:r>
      <w:r w:rsidR="00205CE8">
        <w:t xml:space="preserve"> </w:t>
      </w:r>
      <w:r w:rsidR="00F867B1" w:rsidRPr="00F867B1">
        <w:t>in deze studie, in navolging van Verhelst (2017b), gekozen voor de indeling van John (2001</w:t>
      </w:r>
      <w:r w:rsidR="00A27E03">
        <w:t>, p. 72</w:t>
      </w:r>
      <w:r w:rsidR="00F867B1" w:rsidRPr="00F867B1">
        <w:t>). Hij onderscheidt vier categorieën</w:t>
      </w:r>
      <w:r w:rsidR="007633B2">
        <w:t xml:space="preserve">: </w:t>
      </w:r>
      <w:r w:rsidR="009411F0">
        <w:t xml:space="preserve">minimal, financial, networking en fully </w:t>
      </w:r>
      <w:r w:rsidR="00561B88">
        <w:t>E</w:t>
      </w:r>
      <w:r w:rsidR="009411F0">
        <w:t xml:space="preserve">uropeanised. </w:t>
      </w:r>
      <w:r w:rsidR="00287187">
        <w:t xml:space="preserve">Binnen de </w:t>
      </w:r>
      <w:r w:rsidR="007825AA">
        <w:t>categorie</w:t>
      </w:r>
      <w:r w:rsidR="00DA2A66">
        <w:t xml:space="preserve"> ‘minimal’ </w:t>
      </w:r>
      <w:r w:rsidR="00287187">
        <w:t xml:space="preserve">staat </w:t>
      </w:r>
      <w:r w:rsidR="009F3016">
        <w:t xml:space="preserve">het uitvoering geven aan Europese regelgeving centraal. </w:t>
      </w:r>
      <w:r w:rsidR="001F66B6">
        <w:t>Reynaert et al. (2009, p. 13)</w:t>
      </w:r>
      <w:r w:rsidR="000C53B1">
        <w:t xml:space="preserve"> merkt op dat decentrale overheden </w:t>
      </w:r>
      <w:r w:rsidR="00006142">
        <w:t>die tot deze groep behoren</w:t>
      </w:r>
      <w:r w:rsidR="000C53B1">
        <w:t xml:space="preserve"> vooral het ge</w:t>
      </w:r>
      <w:r w:rsidR="001E1C86">
        <w:t>voel hebben dat er veel van ‘Brussel’ moet</w:t>
      </w:r>
      <w:r w:rsidR="0042608F">
        <w:t xml:space="preserve">: kansen </w:t>
      </w:r>
      <w:r w:rsidR="0068655D">
        <w:t xml:space="preserve">vanuit Europa blijven onbenut vanuit de overtuiging </w:t>
      </w:r>
      <w:r w:rsidR="002E3117">
        <w:t xml:space="preserve">dat de EU </w:t>
      </w:r>
      <w:r w:rsidR="001815E9">
        <w:t>weinig voor de desbetreffende gemeente kan betekenen</w:t>
      </w:r>
      <w:r w:rsidR="006F5E74">
        <w:t>.</w:t>
      </w:r>
      <w:r w:rsidR="00681C5B">
        <w:t xml:space="preserve"> </w:t>
      </w:r>
      <w:r w:rsidR="00260257">
        <w:t xml:space="preserve">In de </w:t>
      </w:r>
      <w:r w:rsidR="007825AA">
        <w:t>categorie</w:t>
      </w:r>
      <w:r w:rsidR="00260257">
        <w:t xml:space="preserve"> ‘financial’ </w:t>
      </w:r>
      <w:r w:rsidR="000E7354">
        <w:t>bevinden zich gemeenten die vooral financieel georiënteerd zijn</w:t>
      </w:r>
      <w:r w:rsidR="00E42A47">
        <w:t xml:space="preserve">. John </w:t>
      </w:r>
      <w:r w:rsidR="00EA3263">
        <w:t xml:space="preserve">(2001, p. 67) </w:t>
      </w:r>
      <w:r w:rsidR="00E42A47">
        <w:t xml:space="preserve">merkt echter op dat door aanspraak te maken </w:t>
      </w:r>
      <w:r w:rsidR="004973E7">
        <w:t>op</w:t>
      </w:r>
      <w:r w:rsidR="00E42A47">
        <w:t xml:space="preserve"> Europese subsidies</w:t>
      </w:r>
      <w:r w:rsidR="00B1784C">
        <w:t>,</w:t>
      </w:r>
      <w:r w:rsidR="005525C2">
        <w:t xml:space="preserve"> </w:t>
      </w:r>
      <w:r w:rsidR="00F5736D">
        <w:t>zij moeten voldoen aan eisen die Europese instanties aan hen stellen</w:t>
      </w:r>
      <w:r w:rsidR="00B1784C">
        <w:t>. Dit kan daarmee verandering aan de kant van decentrale overheden bewerkstelligen</w:t>
      </w:r>
      <w:r w:rsidR="001F0CAF">
        <w:t>.</w:t>
      </w:r>
      <w:r w:rsidR="001F0CAF">
        <w:tab/>
      </w:r>
      <w:r w:rsidR="001F0CAF">
        <w:tab/>
      </w:r>
      <w:r w:rsidR="001F0CAF">
        <w:tab/>
      </w:r>
      <w:r w:rsidR="00A27E03">
        <w:tab/>
      </w:r>
      <w:r w:rsidR="00A27E03">
        <w:tab/>
      </w:r>
      <w:r w:rsidR="00A27E03">
        <w:tab/>
      </w:r>
      <w:r w:rsidR="00A27E03">
        <w:tab/>
      </w:r>
      <w:r w:rsidR="001F0CAF">
        <w:t xml:space="preserve">De laatste twee </w:t>
      </w:r>
      <w:r w:rsidR="00266780">
        <w:t>categorieën</w:t>
      </w:r>
      <w:r w:rsidR="001F0CAF">
        <w:t xml:space="preserve"> die John (2001) onderscheidt zijn ‘networking’ en ‘fully </w:t>
      </w:r>
      <w:r w:rsidR="00561B88">
        <w:t>Europeanised</w:t>
      </w:r>
      <w:r w:rsidR="001F0CAF">
        <w:t>’</w:t>
      </w:r>
      <w:r w:rsidR="00561B88">
        <w:t xml:space="preserve">. </w:t>
      </w:r>
      <w:r w:rsidR="001E4A06">
        <w:t xml:space="preserve">Bij </w:t>
      </w:r>
      <w:r w:rsidR="004B237F">
        <w:t xml:space="preserve">‘networking’ gaat het </w:t>
      </w:r>
      <w:r w:rsidR="005A14A5">
        <w:t>om grensoverschrijdende samenwerking</w:t>
      </w:r>
      <w:r w:rsidR="004B237F">
        <w:t xml:space="preserve"> met andere overheden en EU-instanties</w:t>
      </w:r>
      <w:r w:rsidR="00E51EEF">
        <w:t xml:space="preserve"> in bijvoorbeeld de Euregio of het Eurocities netwerk. Alhoewel </w:t>
      </w:r>
      <w:r w:rsidR="00922718">
        <w:t xml:space="preserve">John (2001, p. </w:t>
      </w:r>
      <w:r w:rsidR="001C23AB">
        <w:t xml:space="preserve">72) </w:t>
      </w:r>
      <w:r w:rsidR="003E77A1">
        <w:t>signaleert</w:t>
      </w:r>
      <w:r w:rsidR="001C23AB">
        <w:t xml:space="preserve"> dat degelijke samenwerkingsverbanden </w:t>
      </w:r>
      <w:r w:rsidR="003E569B">
        <w:t xml:space="preserve">nauw </w:t>
      </w:r>
      <w:r w:rsidR="00D71CF0">
        <w:t>verweven zijn met het verkrijgen van Europese gelden, zien Verhelst (2017b</w:t>
      </w:r>
      <w:r w:rsidR="00EF043C">
        <w:t xml:space="preserve">, p. </w:t>
      </w:r>
      <w:r w:rsidR="00FB547A">
        <w:t>81</w:t>
      </w:r>
      <w:r w:rsidR="00EF043C">
        <w:t>) en</w:t>
      </w:r>
      <w:r w:rsidR="003E77A1">
        <w:t xml:space="preserve"> </w:t>
      </w:r>
      <w:r w:rsidR="00680A99">
        <w:t xml:space="preserve">de Raad voor het openbaar bestuur </w:t>
      </w:r>
      <w:r w:rsidR="001539DE">
        <w:t xml:space="preserve">(Rob) </w:t>
      </w:r>
      <w:r w:rsidR="00680A99">
        <w:t xml:space="preserve">(2013, p. </w:t>
      </w:r>
      <w:r w:rsidR="00901B75">
        <w:t xml:space="preserve">36) </w:t>
      </w:r>
      <w:r w:rsidR="00267068">
        <w:t>dat zij tevens</w:t>
      </w:r>
      <w:r w:rsidR="00861D8F">
        <w:t xml:space="preserve"> tot doel hebben om kennis en expertise uit te wisselen</w:t>
      </w:r>
      <w:r w:rsidR="00FB547A">
        <w:t xml:space="preserve"> en </w:t>
      </w:r>
      <w:r w:rsidR="002E3F35">
        <w:t xml:space="preserve">het een platform biedt </w:t>
      </w:r>
      <w:r w:rsidR="00FB547A">
        <w:t xml:space="preserve">voor </w:t>
      </w:r>
      <w:r w:rsidR="0083282E">
        <w:t>een gezamenlijke lobby.</w:t>
      </w:r>
      <w:r w:rsidR="00FB547A">
        <w:t xml:space="preserve"> </w:t>
      </w:r>
      <w:r w:rsidR="00E571AB">
        <w:t xml:space="preserve">Dit laatste raakt aan de laatste </w:t>
      </w:r>
      <w:r w:rsidR="00CD4FC2">
        <w:t>klasse op</w:t>
      </w:r>
      <w:r w:rsidR="00E571AB">
        <w:t xml:space="preserve"> de Europeaniseringsladder: </w:t>
      </w:r>
      <w:r w:rsidR="000C3D5D">
        <w:t>‘fully Europeanised’</w:t>
      </w:r>
      <w:r w:rsidR="002E4C70">
        <w:t xml:space="preserve"> (John, 2001, p</w:t>
      </w:r>
      <w:r w:rsidR="00BE0676">
        <w:t>. 72)</w:t>
      </w:r>
      <w:r w:rsidR="000C3D5D">
        <w:t xml:space="preserve">. </w:t>
      </w:r>
      <w:r w:rsidR="00CD4FC2">
        <w:t>Decentrale overheden in deze categorie benaderen</w:t>
      </w:r>
      <w:r w:rsidR="008F35B7">
        <w:t xml:space="preserve"> Europese instanties actief om advies te geven en te lobbyen op het punt van Europees beleid</w:t>
      </w:r>
      <w:r w:rsidR="00673357">
        <w:t>, uitvoering</w:t>
      </w:r>
      <w:r w:rsidR="00ED465A">
        <w:t xml:space="preserve"> e</w:t>
      </w:r>
      <w:r w:rsidR="00673357">
        <w:t>n subsidies</w:t>
      </w:r>
      <w:r w:rsidR="008F35B7">
        <w:t xml:space="preserve">. </w:t>
      </w:r>
      <w:r w:rsidR="00EE0C55">
        <w:t xml:space="preserve">Ook het rekening houden met </w:t>
      </w:r>
      <w:r w:rsidR="00A00D04">
        <w:t xml:space="preserve">niet-bindende </w:t>
      </w:r>
      <w:r w:rsidR="007022E7">
        <w:t>initiatieven</w:t>
      </w:r>
      <w:r w:rsidR="00AF6578">
        <w:t xml:space="preserve"> </w:t>
      </w:r>
      <w:r w:rsidR="00AD0453">
        <w:t xml:space="preserve">van de EU </w:t>
      </w:r>
      <w:r w:rsidR="00AD4858">
        <w:t xml:space="preserve">in </w:t>
      </w:r>
      <w:r w:rsidR="007022E7">
        <w:t xml:space="preserve">het </w:t>
      </w:r>
      <w:r w:rsidR="00982175">
        <w:t xml:space="preserve">autonome gedeelte van het gemeentelijk beleid is onderdeel van deze categorie </w:t>
      </w:r>
      <w:r w:rsidR="00EE0C55">
        <w:t xml:space="preserve">(John, 2001, p. </w:t>
      </w:r>
      <w:r w:rsidR="00A00D04">
        <w:t xml:space="preserve">73). </w:t>
      </w:r>
      <w:r w:rsidR="00147A68">
        <w:t>In figuur 1 staat de Europeaniseringsladder weergegeven</w:t>
      </w:r>
      <w:r w:rsidR="00BE0676">
        <w:t xml:space="preserve">. </w:t>
      </w:r>
      <w:r w:rsidR="00147A68">
        <w:t xml:space="preserve"> </w:t>
      </w:r>
    </w:p>
    <w:p w14:paraId="7EABCB9B" w14:textId="28DDE2B4" w:rsidR="00147A68" w:rsidRPr="005477F9" w:rsidRDefault="001319C0" w:rsidP="001319C0">
      <w:pPr>
        <w:jc w:val="center"/>
      </w:pPr>
      <w:r>
        <w:rPr>
          <w:noProof/>
        </w:rPr>
        <w:lastRenderedPageBreak/>
        <w:drawing>
          <wp:inline distT="0" distB="0" distL="0" distR="0" wp14:anchorId="634EE549" wp14:editId="30B9AE43">
            <wp:extent cx="4960620" cy="3417535"/>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970631" cy="3424432"/>
                    </a:xfrm>
                    <a:prstGeom prst="rect">
                      <a:avLst/>
                    </a:prstGeom>
                  </pic:spPr>
                </pic:pic>
              </a:graphicData>
            </a:graphic>
          </wp:inline>
        </w:drawing>
      </w:r>
    </w:p>
    <w:p w14:paraId="4FA93B7D" w14:textId="4A05B143" w:rsidR="00443504" w:rsidRDefault="00760108" w:rsidP="00760108">
      <w:pPr>
        <w:jc w:val="center"/>
      </w:pPr>
      <w:r>
        <w:t>Figuur 1: Europeaniseringsladder</w:t>
      </w:r>
      <w:r w:rsidR="00BE0676">
        <w:t xml:space="preserve"> naar John (2001, p. </w:t>
      </w:r>
      <w:r w:rsidR="00B00DAE">
        <w:t>72)</w:t>
      </w:r>
    </w:p>
    <w:p w14:paraId="00964A7C" w14:textId="47B14C1A" w:rsidR="005B63AF" w:rsidRDefault="004301FA" w:rsidP="00FE5EAC">
      <w:r>
        <w:t>Aan de keuze voor het gebruik van de Europeaniseringsladder van J</w:t>
      </w:r>
      <w:r w:rsidR="00CB0B65">
        <w:t xml:space="preserve">ohn (2001) liggen theoretische </w:t>
      </w:r>
      <w:r w:rsidR="003B1AE5">
        <w:t>én</w:t>
      </w:r>
      <w:r w:rsidR="00CB0B65">
        <w:t xml:space="preserve"> empirische overwegingen ten grondslag. </w:t>
      </w:r>
      <w:r w:rsidR="000B7A20">
        <w:t>Vanuit theoretisch</w:t>
      </w:r>
      <w:r w:rsidR="00535ED6">
        <w:t xml:space="preserve"> oogpunt</w:t>
      </w:r>
      <w:r w:rsidR="000B7A20">
        <w:t xml:space="preserve"> </w:t>
      </w:r>
      <w:r w:rsidR="00FC6AA1">
        <w:t>merkt Verhelst</w:t>
      </w:r>
      <w:r w:rsidR="00DB3262">
        <w:t xml:space="preserve"> (2017a, p. 2) op dat de ladder zowel het top-down als het </w:t>
      </w:r>
      <w:r w:rsidR="00DC5CCB">
        <w:t>bottom</w:t>
      </w:r>
      <w:r w:rsidR="00DB3262">
        <w:t>-up proces van Europeanisering weergeeft</w:t>
      </w:r>
      <w:r w:rsidR="00535ED6">
        <w:t xml:space="preserve">. </w:t>
      </w:r>
      <w:r w:rsidR="00DC5CCB">
        <w:t xml:space="preserve">In zekere zin is de </w:t>
      </w:r>
      <w:r w:rsidR="00314318">
        <w:t>Europeaniserings</w:t>
      </w:r>
      <w:r w:rsidR="00DC5CCB">
        <w:t xml:space="preserve">ladder </w:t>
      </w:r>
      <w:r w:rsidR="006206B5">
        <w:t xml:space="preserve">daarmee </w:t>
      </w:r>
      <w:r w:rsidR="000D5294">
        <w:t>een andere weergave van</w:t>
      </w:r>
      <w:r w:rsidR="00DC5CCB">
        <w:t xml:space="preserve"> de </w:t>
      </w:r>
      <w:r w:rsidR="00DC5CCB" w:rsidRPr="0094096C">
        <w:rPr>
          <w:i/>
          <w:iCs/>
        </w:rPr>
        <w:t>download,</w:t>
      </w:r>
      <w:r w:rsidR="00DC5CCB">
        <w:t xml:space="preserve"> </w:t>
      </w:r>
      <w:r w:rsidR="00DC5CCB" w:rsidRPr="0094096C">
        <w:rPr>
          <w:i/>
          <w:iCs/>
        </w:rPr>
        <w:t>upload</w:t>
      </w:r>
      <w:r w:rsidR="00DC5CCB">
        <w:t xml:space="preserve"> en </w:t>
      </w:r>
      <w:r w:rsidR="00DC5CCB" w:rsidRPr="0094096C">
        <w:rPr>
          <w:i/>
          <w:iCs/>
        </w:rPr>
        <w:t>horizontal networking</w:t>
      </w:r>
      <w:r w:rsidR="00DC5CCB">
        <w:t xml:space="preserve"> </w:t>
      </w:r>
      <w:r w:rsidR="00314318">
        <w:t xml:space="preserve">benadering van Europeanisering: op de onderste twee </w:t>
      </w:r>
      <w:r w:rsidR="0076365A">
        <w:t>categorieën</w:t>
      </w:r>
      <w:r w:rsidR="00314318">
        <w:t xml:space="preserve"> staat de </w:t>
      </w:r>
      <w:r w:rsidR="00314318" w:rsidRPr="004970A9">
        <w:rPr>
          <w:i/>
          <w:iCs/>
        </w:rPr>
        <w:t>download</w:t>
      </w:r>
      <w:r w:rsidR="00314318">
        <w:t xml:space="preserve"> dimensie van het concept centraal, </w:t>
      </w:r>
      <w:r w:rsidR="0094096C">
        <w:t xml:space="preserve">de </w:t>
      </w:r>
      <w:r w:rsidR="0076365A">
        <w:t>categorie</w:t>
      </w:r>
      <w:r w:rsidR="0094096C">
        <w:t xml:space="preserve"> ‘</w:t>
      </w:r>
      <w:r w:rsidR="004778C4">
        <w:t>networking</w:t>
      </w:r>
      <w:r w:rsidR="0094096C">
        <w:t>’</w:t>
      </w:r>
      <w:r w:rsidR="004778C4">
        <w:t xml:space="preserve"> vertoont sterke gelijkenissen met </w:t>
      </w:r>
      <w:r w:rsidR="004778C4">
        <w:rPr>
          <w:i/>
          <w:iCs/>
        </w:rPr>
        <w:t xml:space="preserve">horizontal networking </w:t>
      </w:r>
      <w:r w:rsidR="004778C4">
        <w:t xml:space="preserve">en de </w:t>
      </w:r>
      <w:r w:rsidR="0076365A">
        <w:t>categorie</w:t>
      </w:r>
      <w:r w:rsidR="004778C4">
        <w:t xml:space="preserve"> ‘fully Europeanised’ beschrijft </w:t>
      </w:r>
      <w:r w:rsidR="00BB37EC">
        <w:t xml:space="preserve">de </w:t>
      </w:r>
      <w:r w:rsidR="006854EA">
        <w:t>acties die lokale besturen ondernemen om hun eigen wensen te realiseren op Europees niveau</w:t>
      </w:r>
      <w:r w:rsidR="002954B1">
        <w:t xml:space="preserve"> (Rob, 2013, p. </w:t>
      </w:r>
      <w:r w:rsidR="003F24DA">
        <w:t>24)</w:t>
      </w:r>
      <w:r w:rsidR="00276619">
        <w:t>.</w:t>
      </w:r>
      <w:r w:rsidR="00A83E6E">
        <w:t xml:space="preserve"> </w:t>
      </w:r>
      <w:r w:rsidR="00C85B67">
        <w:t xml:space="preserve">Verder stelt </w:t>
      </w:r>
      <w:r w:rsidR="00BE73AD">
        <w:t>J</w:t>
      </w:r>
      <w:r w:rsidR="003A6790">
        <w:t xml:space="preserve">ohn (2001, p. 77) </w:t>
      </w:r>
      <w:r w:rsidR="00C85B67">
        <w:t xml:space="preserve">dat de indeling van Klausen en Goldsmith (1997) in </w:t>
      </w:r>
      <w:r w:rsidR="00C85B67" w:rsidRPr="00CD4CA9">
        <w:t>couteractive, passive, reactive en proactive</w:t>
      </w:r>
      <w:r w:rsidR="003E68B2">
        <w:t xml:space="preserve"> vergelijkbaar is met zijn ladder. </w:t>
      </w:r>
      <w:r w:rsidR="00DA0636">
        <w:t>Om die reden</w:t>
      </w:r>
      <w:r w:rsidR="001C0C93">
        <w:t xml:space="preserve"> is de Europeaniseringsladder te</w:t>
      </w:r>
      <w:r w:rsidR="005E1B24">
        <w:t xml:space="preserve"> beschouwen</w:t>
      </w:r>
      <w:r w:rsidR="001C0C93">
        <w:t xml:space="preserve"> als een s</w:t>
      </w:r>
      <w:r w:rsidR="00AA7076">
        <w:t>amenvoeging</w:t>
      </w:r>
      <w:r w:rsidR="001C0C93">
        <w:t xml:space="preserve"> tussen enerzijds de </w:t>
      </w:r>
      <w:r w:rsidR="001C0C93" w:rsidRPr="009F61CF">
        <w:rPr>
          <w:i/>
          <w:iCs/>
        </w:rPr>
        <w:t>download, upload</w:t>
      </w:r>
      <w:r w:rsidR="001C0C93" w:rsidRPr="009F61CF">
        <w:t xml:space="preserve"> en</w:t>
      </w:r>
      <w:r w:rsidR="001C0C93" w:rsidRPr="009F61CF">
        <w:rPr>
          <w:i/>
          <w:iCs/>
        </w:rPr>
        <w:t xml:space="preserve"> ho</w:t>
      </w:r>
      <w:r w:rsidR="009F61CF" w:rsidRPr="009F61CF">
        <w:rPr>
          <w:i/>
          <w:iCs/>
        </w:rPr>
        <w:t>rizontal networking</w:t>
      </w:r>
      <w:r w:rsidR="009F61CF">
        <w:t xml:space="preserve"> benadering van Europeanisering en anderzijds de indeling van Klausen en Goldsmith (1997).</w:t>
      </w:r>
      <w:r w:rsidR="00D82B86">
        <w:t xml:space="preserve"> Dit verhoogt </w:t>
      </w:r>
      <w:r w:rsidR="00F45231">
        <w:t>de theoretische relevantie van het construct.</w:t>
      </w:r>
      <w:r w:rsidR="00F45231">
        <w:tab/>
      </w:r>
      <w:r w:rsidR="00F45231">
        <w:tab/>
      </w:r>
      <w:r w:rsidR="00F45231">
        <w:tab/>
      </w:r>
      <w:r w:rsidR="00F45231">
        <w:tab/>
      </w:r>
      <w:r w:rsidR="009F61CF">
        <w:t xml:space="preserve"> </w:t>
      </w:r>
      <w:r w:rsidR="00DE2072">
        <w:tab/>
      </w:r>
      <w:r w:rsidR="00DE2072">
        <w:tab/>
      </w:r>
      <w:r w:rsidR="00DE2072">
        <w:tab/>
      </w:r>
      <w:r w:rsidR="00F45231">
        <w:tab/>
        <w:t>Ook vanuit de empirie</w:t>
      </w:r>
      <w:r w:rsidR="000A6465">
        <w:t xml:space="preserve"> is er steun voor de </w:t>
      </w:r>
      <w:r w:rsidR="00C13FEE">
        <w:t xml:space="preserve">verschillende activiteiten van de </w:t>
      </w:r>
      <w:r w:rsidR="000A6465">
        <w:t>Europeaniseringsladder</w:t>
      </w:r>
      <w:r w:rsidR="00A67456">
        <w:t xml:space="preserve">. Zo blijkt uit </w:t>
      </w:r>
      <w:r w:rsidR="00204BF8">
        <w:t xml:space="preserve">een </w:t>
      </w:r>
      <w:r w:rsidR="00B36DB7">
        <w:t>survey</w:t>
      </w:r>
      <w:r w:rsidR="00204BF8">
        <w:t xml:space="preserve"> van Wolters </w:t>
      </w:r>
      <w:r w:rsidR="00C54484">
        <w:t>(199</w:t>
      </w:r>
      <w:r w:rsidR="00556CE2">
        <w:t>7, pp. 52-53)</w:t>
      </w:r>
      <w:r w:rsidR="00274EF0">
        <w:t xml:space="preserve"> </w:t>
      </w:r>
      <w:r w:rsidR="00820497">
        <w:t xml:space="preserve">naar de </w:t>
      </w:r>
      <w:r w:rsidR="00486614">
        <w:t xml:space="preserve">op Europa gerichte </w:t>
      </w:r>
      <w:r w:rsidR="00820497">
        <w:t xml:space="preserve">aanpassingen </w:t>
      </w:r>
      <w:r w:rsidR="000D319D">
        <w:t>binnen</w:t>
      </w:r>
      <w:r w:rsidR="00820497">
        <w:t xml:space="preserve"> Nederlandse gemeenten </w:t>
      </w:r>
      <w:r w:rsidR="00C15038">
        <w:t>dat</w:t>
      </w:r>
      <w:r w:rsidR="00820497">
        <w:t xml:space="preserve"> </w:t>
      </w:r>
      <w:r w:rsidR="00017848">
        <w:t xml:space="preserve">ongeveer </w:t>
      </w:r>
      <w:r w:rsidR="006C6E3A">
        <w:t xml:space="preserve">de helft bezig </w:t>
      </w:r>
      <w:r w:rsidR="00B71FB5">
        <w:t>is</w:t>
      </w:r>
      <w:r w:rsidR="006C6E3A">
        <w:t xml:space="preserve"> met het managen </w:t>
      </w:r>
      <w:r w:rsidR="00017848">
        <w:t>van Europese informatie (</w:t>
      </w:r>
      <w:r w:rsidR="006617A9">
        <w:t>‘</w:t>
      </w:r>
      <w:r w:rsidR="00017848">
        <w:t>minimal</w:t>
      </w:r>
      <w:r w:rsidR="006617A9">
        <w:t>’</w:t>
      </w:r>
      <w:r w:rsidR="00017848">
        <w:t xml:space="preserve">), </w:t>
      </w:r>
      <w:r w:rsidR="006C6E3A">
        <w:t xml:space="preserve">35 procent enige </w:t>
      </w:r>
      <w:r w:rsidR="00B71FB5">
        <w:t xml:space="preserve">vorm van </w:t>
      </w:r>
      <w:r w:rsidR="006C6E3A">
        <w:t>EU-subsidie had ontvangen (</w:t>
      </w:r>
      <w:r w:rsidR="006617A9">
        <w:t>‘</w:t>
      </w:r>
      <w:r w:rsidR="006C6E3A">
        <w:t>financial</w:t>
      </w:r>
      <w:r w:rsidR="006617A9">
        <w:t>’</w:t>
      </w:r>
      <w:r w:rsidR="006C6E3A">
        <w:t xml:space="preserve">), </w:t>
      </w:r>
      <w:r w:rsidR="00845CEA">
        <w:t>30 procent contact had met een overstijgend (Europees) netwerk</w:t>
      </w:r>
      <w:r w:rsidR="00686EEC">
        <w:t xml:space="preserve"> </w:t>
      </w:r>
      <w:r w:rsidR="00686EEC">
        <w:lastRenderedPageBreak/>
        <w:t>(</w:t>
      </w:r>
      <w:r w:rsidR="006617A9">
        <w:t>‘</w:t>
      </w:r>
      <w:r w:rsidR="00686EEC">
        <w:t>networking</w:t>
      </w:r>
      <w:r w:rsidR="006617A9">
        <w:t>’</w:t>
      </w:r>
      <w:r w:rsidR="00686EEC">
        <w:t>)</w:t>
      </w:r>
      <w:r w:rsidR="00845CEA">
        <w:t xml:space="preserve"> en </w:t>
      </w:r>
      <w:r w:rsidR="00F076B6">
        <w:t xml:space="preserve">rond de 5 procent Europees beleid tracht te </w:t>
      </w:r>
      <w:r w:rsidR="00046D15">
        <w:t>beïnvloeden</w:t>
      </w:r>
      <w:r w:rsidR="00F076B6">
        <w:t xml:space="preserve"> (</w:t>
      </w:r>
      <w:r w:rsidR="006617A9">
        <w:t>‘</w:t>
      </w:r>
      <w:r w:rsidR="00046D15">
        <w:t>fully Europeanised</w:t>
      </w:r>
      <w:r w:rsidR="006617A9">
        <w:t>’</w:t>
      </w:r>
      <w:r w:rsidR="00046D15">
        <w:t>).</w:t>
      </w:r>
      <w:r w:rsidR="003B7063">
        <w:tab/>
      </w:r>
      <w:r w:rsidR="006617A9">
        <w:tab/>
      </w:r>
      <w:r w:rsidR="006617A9">
        <w:tab/>
      </w:r>
      <w:r w:rsidR="006617A9">
        <w:tab/>
      </w:r>
      <w:r w:rsidR="006617A9">
        <w:tab/>
      </w:r>
      <w:r w:rsidR="006617A9">
        <w:tab/>
      </w:r>
      <w:r w:rsidR="006617A9">
        <w:tab/>
      </w:r>
      <w:r w:rsidR="006617A9">
        <w:tab/>
      </w:r>
      <w:r w:rsidR="006617A9">
        <w:tab/>
      </w:r>
      <w:r w:rsidR="006617A9">
        <w:tab/>
      </w:r>
      <w:r w:rsidR="006617A9">
        <w:tab/>
      </w:r>
      <w:r w:rsidR="001E22BC">
        <w:t>Naast</w:t>
      </w:r>
      <w:r w:rsidR="002A234C">
        <w:t xml:space="preserve"> ondersteuning, is er ook kritiek op het gebruik van Europeaniseringsladder. </w:t>
      </w:r>
      <w:r w:rsidR="00880764" w:rsidRPr="00880764">
        <w:t>Volgens John (2001, p. 72) is Europeanisering van decentrale overheden een proces, waarbij gemeenten via de lagere treden op de Europeaniseringsladder op een hoger</w:t>
      </w:r>
      <w:r w:rsidR="00D34A30">
        <w:t>e</w:t>
      </w:r>
      <w:r w:rsidR="00880764" w:rsidRPr="00880764">
        <w:t xml:space="preserve"> trede komen. </w:t>
      </w:r>
      <w:r w:rsidR="00A2461F">
        <w:t xml:space="preserve">Concreet betekent dit dat </w:t>
      </w:r>
      <w:r w:rsidR="002E1A8C">
        <w:t>zij</w:t>
      </w:r>
      <w:r w:rsidR="00880764" w:rsidRPr="00880764">
        <w:t xml:space="preserve"> pas volledig geëuropeaniseerd </w:t>
      </w:r>
      <w:r w:rsidR="002E1A8C">
        <w:t xml:space="preserve">zijn </w:t>
      </w:r>
      <w:r w:rsidR="00880764" w:rsidRPr="00880764">
        <w:t>wanneer aan een aantal volgordelijke eerdere categorieën is voldaan.</w:t>
      </w:r>
      <w:r w:rsidR="00DF4493">
        <w:t xml:space="preserve"> </w:t>
      </w:r>
      <w:r w:rsidR="00E500A8" w:rsidRPr="00E500A8">
        <w:t>De Rob (2013, p. 24) merkt op dat de hiërarchie tussen de dimensies van de ladder niet noodzakelijk is:</w:t>
      </w:r>
      <w:r w:rsidR="006C6488">
        <w:t xml:space="preserve"> </w:t>
      </w:r>
      <w:r w:rsidR="002C6F78">
        <w:t xml:space="preserve">het is mogelijk dat een gemeentebestuur </w:t>
      </w:r>
      <w:r w:rsidR="00D4555B">
        <w:t>de EU</w:t>
      </w:r>
      <w:r w:rsidR="002C6F78">
        <w:t xml:space="preserve"> adviseert over nieuwe regelgeving via het Comité van de Regio’s, maar zelf geen EU-subsidies ontvangt. </w:t>
      </w:r>
      <w:r w:rsidR="00CF2307">
        <w:t>Tot op zekere hoogte bestaat er vanuit de empirie ook onderbouwing voor de kritiek van de Rob</w:t>
      </w:r>
      <w:r w:rsidR="00CB68FD">
        <w:t xml:space="preserve"> (2013)</w:t>
      </w:r>
      <w:r w:rsidR="00CF2307">
        <w:t>.</w:t>
      </w:r>
      <w:r w:rsidR="00CB68FD">
        <w:t xml:space="preserve"> </w:t>
      </w:r>
      <w:r w:rsidR="00487523">
        <w:t>Zo gebruikt Verhelst (2017</w:t>
      </w:r>
      <w:r w:rsidR="000429C9">
        <w:t>b</w:t>
      </w:r>
      <w:r w:rsidR="004805D8">
        <w:t xml:space="preserve">) </w:t>
      </w:r>
      <w:r w:rsidR="000429C9">
        <w:t>de Europeaniseringsladder om patronen van Europeanisering binnen het Eurocities netwerk te onderzoeken</w:t>
      </w:r>
      <w:r w:rsidR="005D739E">
        <w:t xml:space="preserve">. </w:t>
      </w:r>
      <w:r w:rsidR="004805D8">
        <w:t>Verhelst (2017b, p. 75)</w:t>
      </w:r>
      <w:r w:rsidR="005D739E">
        <w:t xml:space="preserve"> komt daarbij tot de conclusie </w:t>
      </w:r>
      <w:r w:rsidR="008D0772">
        <w:t>dat de steden binnen dit netwerk</w:t>
      </w:r>
      <w:r w:rsidR="00CA056B">
        <w:t xml:space="preserve"> minder </w:t>
      </w:r>
      <w:r w:rsidR="006075EA">
        <w:t>oog hebben voor de minimale treden</w:t>
      </w:r>
      <w:r w:rsidR="00CA056B">
        <w:t>, maar juist meer</w:t>
      </w:r>
      <w:r w:rsidR="00251A99">
        <w:t xml:space="preserve"> inzetten op het maximaliseren van Europese subsidies, het uitwisselen van best practices en het lobbyen </w:t>
      </w:r>
      <w:r w:rsidR="00524C2E">
        <w:t>bij</w:t>
      </w:r>
      <w:r w:rsidR="00251A99">
        <w:t xml:space="preserve"> Europese instanties.</w:t>
      </w:r>
      <w:r w:rsidR="004805D8">
        <w:t xml:space="preserve"> </w:t>
      </w:r>
      <w:r w:rsidR="00CE5CCE">
        <w:tab/>
      </w:r>
      <w:r w:rsidR="00CE5CCE">
        <w:tab/>
      </w:r>
      <w:r w:rsidR="00CE5CCE">
        <w:tab/>
      </w:r>
      <w:r w:rsidR="00CE5CCE">
        <w:tab/>
      </w:r>
      <w:r w:rsidR="00585A47">
        <w:t xml:space="preserve">Tegelijkertijd </w:t>
      </w:r>
      <w:r w:rsidR="005F5F30">
        <w:t xml:space="preserve">constateert de Rob </w:t>
      </w:r>
      <w:r w:rsidR="00BA57EF">
        <w:t xml:space="preserve">(2013, p. </w:t>
      </w:r>
      <w:r w:rsidR="00335576">
        <w:t xml:space="preserve">24) </w:t>
      </w:r>
      <w:r w:rsidR="005F5F30">
        <w:t xml:space="preserve">dat </w:t>
      </w:r>
      <w:r w:rsidR="00335576">
        <w:t xml:space="preserve">de ladder een </w:t>
      </w:r>
      <w:r w:rsidR="00E1054D">
        <w:t>behulpzaam kader biedt</w:t>
      </w:r>
      <w:r w:rsidR="00C05C67">
        <w:t xml:space="preserve"> </w:t>
      </w:r>
      <w:r w:rsidR="008B4F3C">
        <w:t xml:space="preserve">bij </w:t>
      </w:r>
      <w:r w:rsidR="00C05C67">
        <w:t>het reflecteren op de verschillende manieren waarop decentrale overheden omgaan met E</w:t>
      </w:r>
      <w:r w:rsidR="00907422">
        <w:t>uropa</w:t>
      </w:r>
      <w:r w:rsidR="000B4197">
        <w:t>,</w:t>
      </w:r>
      <w:r w:rsidR="00907422">
        <w:t xml:space="preserve"> wanneer de hiërarchie wordt losgelaten. Impliciet erkent Verhelst (2017b) deze waarde ook door de ladder als leidraad binnen zijn onderzoek te gebruiken. </w:t>
      </w:r>
      <w:r w:rsidR="003F24DA">
        <w:t xml:space="preserve">Om die reden </w:t>
      </w:r>
      <w:r w:rsidR="007623BB">
        <w:t>houdt dit paper vast aan de</w:t>
      </w:r>
      <w:r w:rsidR="00143639">
        <w:t xml:space="preserve"> activiteiten binnen de</w:t>
      </w:r>
      <w:r w:rsidR="007623BB">
        <w:t xml:space="preserve"> Europeaniseringsladder van John (2001)</w:t>
      </w:r>
      <w:r w:rsidR="005B63AF">
        <w:t xml:space="preserve">, maar laat zij </w:t>
      </w:r>
      <w:r w:rsidR="00C91AE7">
        <w:t xml:space="preserve">– in navolging van de kritiek – </w:t>
      </w:r>
      <w:r w:rsidR="005B63AF">
        <w:t xml:space="preserve">de veronderstelde hiërarchie </w:t>
      </w:r>
      <w:r w:rsidR="00076924">
        <w:t>buiten beschouwing</w:t>
      </w:r>
      <w:r w:rsidR="00A2461F">
        <w:t xml:space="preserve">. </w:t>
      </w:r>
      <w:r w:rsidR="00CE5CCE" w:rsidRPr="00CE5CCE">
        <w:t>Voorts spreekt dit paper over ‘lobbying’ in plaats van ‘fully Europeanised’ om de laatste categorie van de ladder aan te duiden. De term ‘fully Europeanised’ impliceert namelijk hiërarchie, terwijl deze juist wordt losgelaten.</w:t>
      </w:r>
    </w:p>
    <w:p w14:paraId="3BB8FDE1" w14:textId="45FA2DD7" w:rsidR="005B63AF" w:rsidRDefault="005B63AF" w:rsidP="00B471CE">
      <w:pPr>
        <w:pStyle w:val="Kop2"/>
      </w:pPr>
      <w:r>
        <w:t xml:space="preserve">2.2 </w:t>
      </w:r>
      <w:r w:rsidR="00DF22DE">
        <w:t xml:space="preserve">Ontvangst </w:t>
      </w:r>
      <w:r w:rsidR="0088477F">
        <w:t>EU-gelden</w:t>
      </w:r>
    </w:p>
    <w:p w14:paraId="1B38BBC0" w14:textId="7B7ABD1C" w:rsidR="0099482C" w:rsidRDefault="0000436D" w:rsidP="0099482C">
      <w:r>
        <w:t xml:space="preserve">In de literatuur worden verschillende oorzaken voor het verschil in Europeanisering onder decentrale overheden aangedragen. De factor waar in de literatuur de meeste </w:t>
      </w:r>
      <w:r w:rsidR="009B547E">
        <w:t xml:space="preserve">consensus </w:t>
      </w:r>
      <w:r w:rsidR="008B3897">
        <w:t xml:space="preserve">over bestaat </w:t>
      </w:r>
      <w:r w:rsidR="009B547E">
        <w:t>is de hoeveelheid Europese middelen d</w:t>
      </w:r>
      <w:r w:rsidR="00121D6B">
        <w:t>ie</w:t>
      </w:r>
      <w:r w:rsidR="009B547E">
        <w:t xml:space="preserve"> een gemeente ontvangt </w:t>
      </w:r>
      <w:r w:rsidR="00A1782A">
        <w:t xml:space="preserve">(Goldsmith, 1993, p. </w:t>
      </w:r>
      <w:r w:rsidR="00E13CBF">
        <w:t>690</w:t>
      </w:r>
      <w:r w:rsidR="00DE4CE1">
        <w:t xml:space="preserve">; John, 2001, p. 67; De Rooij, 2002, p. </w:t>
      </w:r>
      <w:r w:rsidR="00980174">
        <w:t>447</w:t>
      </w:r>
      <w:r w:rsidR="00E13CBF">
        <w:t xml:space="preserve">; </w:t>
      </w:r>
      <w:r w:rsidR="00DB6E95">
        <w:t>Zerbinati, 200</w:t>
      </w:r>
      <w:r w:rsidR="00AA0906">
        <w:t>4, p. 1000;</w:t>
      </w:r>
      <w:r w:rsidR="001F4D03">
        <w:t xml:space="preserve"> </w:t>
      </w:r>
      <w:r w:rsidR="00375990">
        <w:t>Verhelst, 2017, pp. 91-92</w:t>
      </w:r>
      <w:r w:rsidR="001F4D03">
        <w:t>)</w:t>
      </w:r>
      <w:r w:rsidR="00984D0F">
        <w:t xml:space="preserve"> en de aandacht die er is voor financiën</w:t>
      </w:r>
      <w:r w:rsidR="00D12736">
        <w:t xml:space="preserve"> (categorie ‘financial’).</w:t>
      </w:r>
      <w:r w:rsidR="001F4D03">
        <w:t xml:space="preserve"> </w:t>
      </w:r>
      <w:r w:rsidR="00D12FE9">
        <w:t xml:space="preserve">John (2001, p. 67) benoemt zelfs expliciet dat </w:t>
      </w:r>
      <w:r w:rsidR="005352ED">
        <w:t>dit dé reden is dat</w:t>
      </w:r>
      <w:r w:rsidR="003413C4">
        <w:t xml:space="preserve"> </w:t>
      </w:r>
      <w:r w:rsidR="005352ED">
        <w:t xml:space="preserve">overheden </w:t>
      </w:r>
      <w:r w:rsidR="00C07B0A">
        <w:t xml:space="preserve">zich </w:t>
      </w:r>
      <w:r w:rsidR="00DB252D">
        <w:t>verhouden tot Europa</w:t>
      </w:r>
      <w:r w:rsidR="007427A3">
        <w:t>:</w:t>
      </w:r>
      <w:r w:rsidR="004B4B21">
        <w:t xml:space="preserve"> iedere </w:t>
      </w:r>
      <w:r w:rsidR="000E6E5E">
        <w:t>decentrale overheid zou</w:t>
      </w:r>
      <w:r w:rsidR="006C47DE">
        <w:t>, door het gegeven van schaarste,</w:t>
      </w:r>
      <w:r w:rsidR="000E6E5E">
        <w:t xml:space="preserve"> </w:t>
      </w:r>
      <w:r w:rsidR="00A341F1">
        <w:t>geïnteresseerd zijn in extra financiële middelen om beleidswensen te realiseren</w:t>
      </w:r>
      <w:r w:rsidR="00BC2838">
        <w:t xml:space="preserve">. </w:t>
      </w:r>
      <w:r w:rsidR="00F421E6">
        <w:t xml:space="preserve">Dit wordt ondersteund door Zerbinati </w:t>
      </w:r>
      <w:r w:rsidR="007E23B5">
        <w:t xml:space="preserve">(2004, p. 1000) die eveneens stelt dat het vergroten van de </w:t>
      </w:r>
      <w:r w:rsidR="00010DBC">
        <w:t xml:space="preserve">gemeentelijke </w:t>
      </w:r>
      <w:r w:rsidR="007E23B5">
        <w:t>inkomsten</w:t>
      </w:r>
      <w:r w:rsidR="00241F99">
        <w:t xml:space="preserve"> –</w:t>
      </w:r>
      <w:r w:rsidR="007E23B5">
        <w:t xml:space="preserve"> </w:t>
      </w:r>
      <w:r w:rsidR="00E97D9D">
        <w:t xml:space="preserve">zonder extra belasting te heffen </w:t>
      </w:r>
      <w:r w:rsidR="00251ADE">
        <w:t>– e</w:t>
      </w:r>
      <w:r w:rsidR="00E97D9D">
        <w:t>en gegeven is dat de interesse van lokale overheden wekt.</w:t>
      </w:r>
      <w:r w:rsidR="005909C3">
        <w:tab/>
      </w:r>
      <w:r w:rsidR="005909C3">
        <w:tab/>
      </w:r>
      <w:r w:rsidR="005909C3">
        <w:tab/>
      </w:r>
      <w:r w:rsidR="005909C3">
        <w:tab/>
      </w:r>
      <w:r w:rsidR="00F45165">
        <w:t>Naast financiële aandacht</w:t>
      </w:r>
      <w:r w:rsidR="00545F77">
        <w:t xml:space="preserve">, worden er verschillende andere effecten toegekend aan het ontvangen van </w:t>
      </w:r>
      <w:r w:rsidR="00F45165">
        <w:t xml:space="preserve">Europees geld. </w:t>
      </w:r>
      <w:r w:rsidR="007543F1">
        <w:t>Allereerst</w:t>
      </w:r>
      <w:r w:rsidR="00EF3CB4" w:rsidRPr="00EF3CB4">
        <w:t xml:space="preserve"> noemt de Rob (2013, p. 33) dat Europees geld geen </w:t>
      </w:r>
      <w:r w:rsidR="00892314">
        <w:t>‘</w:t>
      </w:r>
      <w:r w:rsidR="00EF3CB4" w:rsidRPr="00EF3CB4">
        <w:t>easy money</w:t>
      </w:r>
      <w:r w:rsidR="00891049">
        <w:t>’</w:t>
      </w:r>
      <w:r w:rsidR="00EF3CB4" w:rsidRPr="00EF3CB4">
        <w:t xml:space="preserve"> is: de </w:t>
      </w:r>
      <w:r w:rsidR="00536287">
        <w:t xml:space="preserve">Europese </w:t>
      </w:r>
      <w:r w:rsidR="00EF3CB4" w:rsidRPr="00EF3CB4">
        <w:t>Commissie wil veiligstellen dat het geld goed wordt besteed en stelt daarom strikte eisen aan de toekenning van Europese middelen</w:t>
      </w:r>
      <w:r w:rsidR="00545F77">
        <w:t xml:space="preserve"> (categorie</w:t>
      </w:r>
      <w:r w:rsidR="00B74891">
        <w:t xml:space="preserve"> ‘minimal’).</w:t>
      </w:r>
      <w:r w:rsidR="00EF3CB4">
        <w:t xml:space="preserve"> </w:t>
      </w:r>
      <w:r w:rsidR="00796610" w:rsidRPr="00796610">
        <w:t xml:space="preserve">De Rooij (2003, pp. 453-455) ziet dat de voorwaarden van Europa aangaande besteding, monitoring en beheer van het beoogde geld </w:t>
      </w:r>
      <w:r w:rsidR="006B56D3">
        <w:t>ex ante</w:t>
      </w:r>
      <w:r w:rsidR="00796610" w:rsidRPr="00796610">
        <w:t xml:space="preserve"> aanpassing</w:t>
      </w:r>
      <w:r w:rsidR="006B56D3">
        <w:t>en</w:t>
      </w:r>
      <w:r w:rsidR="00796610" w:rsidRPr="00796610">
        <w:t xml:space="preserve"> vanuit gemeenten vereisen</w:t>
      </w:r>
      <w:r w:rsidR="006B56D3">
        <w:t>.</w:t>
      </w:r>
      <w:r w:rsidR="00796610" w:rsidRPr="00796610">
        <w:t xml:space="preserve"> Sommige gemeenten haken volgens hem daarom in deze fase al af, ondanks dat zij potentieel in aanmerking komen voor financiering: de te leveren inspanning weegt niet op tegen de potentiële opbrengsten.</w:t>
      </w:r>
      <w:r w:rsidR="00B74891">
        <w:t xml:space="preserve"> </w:t>
      </w:r>
      <w:r w:rsidR="0038395C">
        <w:tab/>
      </w:r>
      <w:r w:rsidR="0038395C">
        <w:tab/>
      </w:r>
      <w:r w:rsidR="0038395C">
        <w:tab/>
      </w:r>
      <w:r w:rsidR="0038395C">
        <w:tab/>
      </w:r>
      <w:r w:rsidR="0038395C">
        <w:tab/>
      </w:r>
      <w:r w:rsidR="0038395C">
        <w:tab/>
      </w:r>
      <w:r w:rsidR="0038395C">
        <w:tab/>
      </w:r>
      <w:r w:rsidR="0038395C">
        <w:tab/>
      </w:r>
      <w:r w:rsidR="0038395C">
        <w:tab/>
      </w:r>
      <w:r w:rsidR="0038395C">
        <w:tab/>
      </w:r>
      <w:r w:rsidR="00113BFE">
        <w:t xml:space="preserve">Ten tweede </w:t>
      </w:r>
      <w:r w:rsidR="00786DBD">
        <w:t>stelt</w:t>
      </w:r>
      <w:r w:rsidR="00113BFE">
        <w:t xml:space="preserve"> </w:t>
      </w:r>
      <w:r w:rsidR="00796610" w:rsidRPr="00796610">
        <w:t xml:space="preserve">Zerbinati (2004, p. 1008) </w:t>
      </w:r>
      <w:r w:rsidR="00113BFE">
        <w:t xml:space="preserve">dat </w:t>
      </w:r>
      <w:r w:rsidR="005C3B3C">
        <w:t xml:space="preserve">gemeenten die mogelijk in aanmerking komen voor Europese subsidie </w:t>
      </w:r>
      <w:r w:rsidR="002D012E">
        <w:t>ook andere</w:t>
      </w:r>
      <w:r w:rsidR="007112B2">
        <w:t xml:space="preserve"> </w:t>
      </w:r>
      <w:r w:rsidR="00A64A04">
        <w:t>wijzingen aanbrengen in de gemeentelijke organisatie</w:t>
      </w:r>
      <w:r w:rsidR="002D012E">
        <w:t xml:space="preserve">. </w:t>
      </w:r>
      <w:r w:rsidR="00052A7D">
        <w:t xml:space="preserve">Volgens Zerbinati </w:t>
      </w:r>
      <w:r w:rsidR="003072FE">
        <w:t xml:space="preserve"> (2004, p. 1008) zijn de </w:t>
      </w:r>
      <w:r w:rsidR="0097079B">
        <w:t>gemeentelijk</w:t>
      </w:r>
      <w:r w:rsidR="00A75DFC">
        <w:t>e</w:t>
      </w:r>
      <w:r w:rsidR="0097079B">
        <w:t xml:space="preserve"> aanpassingen vooral</w:t>
      </w:r>
      <w:r w:rsidR="003072FE">
        <w:t xml:space="preserve"> gericht op cofinanciering en samenwerking</w:t>
      </w:r>
      <w:r w:rsidR="00407DAB">
        <w:t xml:space="preserve"> (categorie</w:t>
      </w:r>
      <w:r w:rsidR="00C72958">
        <w:t xml:space="preserve"> ‘networking’)</w:t>
      </w:r>
      <w:r w:rsidR="00E743DF">
        <w:t xml:space="preserve">, </w:t>
      </w:r>
      <w:r w:rsidR="006802B7">
        <w:t>omdat</w:t>
      </w:r>
      <w:r w:rsidR="00E743DF">
        <w:t xml:space="preserve"> de EU dit </w:t>
      </w:r>
      <w:r w:rsidR="007D213D">
        <w:t>veelal</w:t>
      </w:r>
      <w:r w:rsidR="00E743DF">
        <w:t xml:space="preserve"> als eis stelt </w:t>
      </w:r>
      <w:r w:rsidR="007D213D">
        <w:t>aan</w:t>
      </w:r>
      <w:r w:rsidR="00E743DF">
        <w:t xml:space="preserve"> </w:t>
      </w:r>
      <w:r w:rsidR="00796610" w:rsidRPr="00796610">
        <w:t xml:space="preserve">het verkrijgen van subsidie. </w:t>
      </w:r>
      <w:r w:rsidR="00C614B2">
        <w:t>Daarnaast</w:t>
      </w:r>
      <w:r w:rsidR="00796610" w:rsidRPr="00796610">
        <w:t xml:space="preserve"> zorgt de onderlinge competitie tussen </w:t>
      </w:r>
      <w:r w:rsidR="00965A51">
        <w:t xml:space="preserve">gemeenten </w:t>
      </w:r>
      <w:r w:rsidR="00796610" w:rsidRPr="00796610">
        <w:t xml:space="preserve">voor een lobby </w:t>
      </w:r>
      <w:r w:rsidR="00F41E43">
        <w:t>(in netwerk</w:t>
      </w:r>
      <w:r w:rsidR="00047E73">
        <w:t xml:space="preserve">verband) </w:t>
      </w:r>
      <w:r w:rsidR="00796610" w:rsidRPr="00796610">
        <w:t xml:space="preserve">richting Europese instanties om de kans op het binnenhalen van middelen voor de eigen gemeenschap te vergroten (Zerbinati, 2004, p. 1006). </w:t>
      </w:r>
      <w:r w:rsidR="001A6ECB">
        <w:t xml:space="preserve">In het verlengde hiervan </w:t>
      </w:r>
      <w:r w:rsidR="00A9118D">
        <w:t xml:space="preserve">zien onder meer Pakull et al. (2020, p. </w:t>
      </w:r>
      <w:r w:rsidR="00A53638">
        <w:t xml:space="preserve">531) dat gemeenten </w:t>
      </w:r>
      <w:r w:rsidR="009B5A2F">
        <w:t xml:space="preserve">zich meer gaan richten op het inhoudelijk beïnvloeden van beleid wanneer </w:t>
      </w:r>
      <w:r w:rsidR="009652DA">
        <w:t xml:space="preserve">zij </w:t>
      </w:r>
      <w:r w:rsidR="0031199E">
        <w:t>eenmaal met (financieel) lobbyen in aanraking zijn geweest</w:t>
      </w:r>
      <w:r w:rsidR="00E65FB3">
        <w:t>. Er is hier dus sprake van een zogeheten ‘</w:t>
      </w:r>
      <w:r w:rsidR="00DF17D8">
        <w:t>spill</w:t>
      </w:r>
      <w:r w:rsidR="00E10882">
        <w:t>-</w:t>
      </w:r>
      <w:r w:rsidR="00DF17D8">
        <w:t>over</w:t>
      </w:r>
      <w:r w:rsidR="00E65FB3">
        <w:t>’</w:t>
      </w:r>
      <w:r w:rsidR="00DF17D8">
        <w:t xml:space="preserve"> effect.</w:t>
      </w:r>
      <w:r w:rsidR="00DF17D8">
        <w:tab/>
      </w:r>
      <w:r w:rsidR="00500A0E">
        <w:t>Ten derde merken Hamedinger en Wolfhardt (2010, p. 28) op dat Europeanisering ook een cognitief aspect bevat: contact met Europa kan ook gepaard gaan met een verandering in discoursen, overtuigingen en voorkeuren van lokale actoren. In de empirie is hier ook bewijs voor te vinden. Zo ziet Marshall (2005, p. 668) de cognitieve verandering bijvoorbeeld terug bij een aantal gemeenten waar de lokale actoren door deelname aan een Europees subsidieprogramma voortaan meer ‘Europa minded’ zijn. Ook Pasquier (2004, p. 306) vindt deze cognitieve beïnvloeding en constateert dat deze doorloopt na afloop van het oorspronkelijke contact met Europa.</w:t>
      </w:r>
      <w:r w:rsidR="00543C8A">
        <w:t xml:space="preserve"> </w:t>
      </w:r>
      <w:r w:rsidR="0029300A">
        <w:t>Het eerder hebben ontvangen van Europees geld</w:t>
      </w:r>
      <w:r w:rsidR="00EA0C0E">
        <w:t xml:space="preserve"> is daarmee </w:t>
      </w:r>
      <w:r w:rsidR="00D82216">
        <w:t xml:space="preserve">een </w:t>
      </w:r>
      <w:r w:rsidR="002D0404">
        <w:t>‘</w:t>
      </w:r>
      <w:r w:rsidR="00D82216">
        <w:t>contactmoment</w:t>
      </w:r>
      <w:r w:rsidR="002D0404">
        <w:t>’</w:t>
      </w:r>
      <w:r w:rsidR="00D82216">
        <w:t xml:space="preserve"> dat </w:t>
      </w:r>
      <w:r w:rsidR="006805C8">
        <w:t xml:space="preserve">zorgt voor veranderingen in de opvattingen over </w:t>
      </w:r>
      <w:r w:rsidR="003431A9">
        <w:t xml:space="preserve">niet alleen </w:t>
      </w:r>
      <w:r w:rsidR="006805C8">
        <w:t>het belang van Europese middelen</w:t>
      </w:r>
      <w:r w:rsidR="002D0404">
        <w:t xml:space="preserve"> bij gemeentelijke actoren</w:t>
      </w:r>
      <w:r w:rsidR="00B8157A">
        <w:t xml:space="preserve">, </w:t>
      </w:r>
      <w:r w:rsidR="00B8157A" w:rsidRPr="00B8157A">
        <w:t>maar over het belang van Europa in bredere zin.</w:t>
      </w:r>
      <w:r w:rsidR="0021751B">
        <w:t xml:space="preserve"> </w:t>
      </w:r>
      <w:r w:rsidR="008024D5" w:rsidRPr="008024D5">
        <w:t xml:space="preserve">Het is aannemelijk dat dit ook </w:t>
      </w:r>
      <w:r w:rsidR="008024D5">
        <w:t>‘</w:t>
      </w:r>
      <w:r w:rsidR="008024D5" w:rsidRPr="008024D5">
        <w:t>spill-over</w:t>
      </w:r>
      <w:r w:rsidR="008024D5">
        <w:t>’</w:t>
      </w:r>
      <w:r w:rsidR="008024D5" w:rsidRPr="008024D5">
        <w:t xml:space="preserve"> effecten  heeft naar andere vormen van aandacht zoals netwerken en lobbyen.   </w:t>
      </w:r>
      <w:r w:rsidR="00307DE4">
        <w:tab/>
      </w:r>
      <w:r w:rsidR="00307DE4">
        <w:tab/>
      </w:r>
      <w:r w:rsidR="00307DE4">
        <w:tab/>
      </w:r>
      <w:r w:rsidR="008024D5">
        <w:tab/>
      </w:r>
      <w:r w:rsidR="008024D5">
        <w:tab/>
      </w:r>
      <w:r w:rsidR="008024D5">
        <w:tab/>
      </w:r>
      <w:r w:rsidR="008024D5">
        <w:tab/>
      </w:r>
      <w:r w:rsidR="008024D5">
        <w:tab/>
      </w:r>
      <w:r w:rsidR="007B75CD">
        <w:t xml:space="preserve">In de literatuur </w:t>
      </w:r>
      <w:r w:rsidR="006D3892">
        <w:t xml:space="preserve">bestaat tot op zeker hoogte discussie over de exacte invloed van het ontvangen van Europees geld </w:t>
      </w:r>
      <w:r w:rsidR="00CF11F0">
        <w:t>op de wijze van Europeanisering. Zo blijkt uit</w:t>
      </w:r>
      <w:r w:rsidR="003405DA" w:rsidRPr="003405DA">
        <w:t xml:space="preserve"> het onderzoek van van </w:t>
      </w:r>
      <w:r w:rsidR="00352716">
        <w:t>Gröbe</w:t>
      </w:r>
      <w:r w:rsidR="003405DA" w:rsidRPr="003405DA">
        <w:t xml:space="preserve"> et al. (2022, p. 15), die dit getest </w:t>
      </w:r>
      <w:r w:rsidR="00CF0870">
        <w:t xml:space="preserve">heeft met behulp van survey naar de Europese activiteiten van </w:t>
      </w:r>
      <w:r w:rsidR="00C67944">
        <w:t xml:space="preserve">alle gemeenten in Noordrijn-Westfalen, </w:t>
      </w:r>
      <w:r w:rsidR="00CF11F0">
        <w:t>dat</w:t>
      </w:r>
      <w:r w:rsidR="00C67944">
        <w:t xml:space="preserve"> de variabele </w:t>
      </w:r>
      <w:r w:rsidR="00630152">
        <w:t xml:space="preserve">‘Ontvangst EU-gelden’ maar beperkt </w:t>
      </w:r>
      <w:r w:rsidR="00606F87">
        <w:t>significant</w:t>
      </w:r>
      <w:r w:rsidR="00630152">
        <w:t xml:space="preserve"> is voor de </w:t>
      </w:r>
      <w:r w:rsidR="00606F87">
        <w:t>verschillende</w:t>
      </w:r>
      <w:r w:rsidR="00630152">
        <w:t xml:space="preserve"> </w:t>
      </w:r>
      <w:r w:rsidR="00606F87">
        <w:t>categorieën</w:t>
      </w:r>
      <w:r w:rsidR="00630152">
        <w:t xml:space="preserve"> van Europeanisering. Het </w:t>
      </w:r>
      <w:r w:rsidR="003405DA" w:rsidRPr="003405DA">
        <w:t xml:space="preserve">implementeren van Europese regels (‘minimal’) en het gebruik maken van Europese subsidie programma’s (‘financial’) vertonen samenhang met het ontvangen van EU-middelen, maar er is geen relatie met netwerken </w:t>
      </w:r>
      <w:r w:rsidR="00E955F0">
        <w:t xml:space="preserve">en lobbyen </w:t>
      </w:r>
      <w:r w:rsidR="003405DA" w:rsidRPr="003405DA">
        <w:t xml:space="preserve">zoals Zerbinati (2004) beschrijft. </w:t>
      </w:r>
      <w:r w:rsidR="0099482C">
        <w:tab/>
      </w:r>
      <w:r w:rsidR="0099482C">
        <w:tab/>
      </w:r>
      <w:r w:rsidR="0099482C">
        <w:tab/>
      </w:r>
      <w:r w:rsidR="0099482C" w:rsidRPr="0099482C">
        <w:t>Op basis van het voorgaande is de verwachting dat het ontvangen van Europese middelen zich vertaalt in de politiek-bestuurlijke aandacht voor de verschillende aspecten van Europeanisering. Dit leidt tot de formulering van de volgende hypothese:</w:t>
      </w:r>
    </w:p>
    <w:p w14:paraId="093BA49C" w14:textId="7F15F6FA" w:rsidR="0099482C" w:rsidRDefault="0099482C" w:rsidP="0099482C">
      <w:pPr>
        <w:pStyle w:val="Lijstalinea"/>
        <w:numPr>
          <w:ilvl w:val="0"/>
          <w:numId w:val="4"/>
        </w:numPr>
      </w:pPr>
      <w:r w:rsidRPr="0099482C">
        <w:t xml:space="preserve">H1: des te meer Europese middelen een gemeente ontvangt, des te groter de kans dat een gemeente politiek-bestuurlijke aandacht heeft voor </w:t>
      </w:r>
      <w:r w:rsidR="008B797B">
        <w:t xml:space="preserve">(i) </w:t>
      </w:r>
      <w:r w:rsidRPr="0099482C">
        <w:t xml:space="preserve">het implementeren van </w:t>
      </w:r>
      <w:r w:rsidR="003418E4">
        <w:t>EU-regelgeving</w:t>
      </w:r>
      <w:r w:rsidRPr="0099482C">
        <w:t xml:space="preserve"> (categorie ‘minimal’)</w:t>
      </w:r>
      <w:r w:rsidR="008B797B">
        <w:t xml:space="preserve"> en (ii) het belang van Europese subsidieprogramma’s (categorie ‘financial’).</w:t>
      </w:r>
    </w:p>
    <w:p w14:paraId="240EBCCC" w14:textId="284A75B3" w:rsidR="00A64120" w:rsidRDefault="0099482C" w:rsidP="00A64120">
      <w:r w:rsidRPr="0099482C">
        <w:t xml:space="preserve">Over de invloed van </w:t>
      </w:r>
      <w:r w:rsidR="00031D80">
        <w:t xml:space="preserve">het </w:t>
      </w:r>
      <w:r w:rsidRPr="0099482C">
        <w:t xml:space="preserve">ontvangen </w:t>
      </w:r>
      <w:r w:rsidR="00031D80">
        <w:t xml:space="preserve">van Europese </w:t>
      </w:r>
      <w:r w:rsidRPr="0099482C">
        <w:t xml:space="preserve">middelen op netwerken </w:t>
      </w:r>
      <w:r w:rsidR="00031D80">
        <w:t xml:space="preserve">en lobbyen </w:t>
      </w:r>
      <w:r>
        <w:t>bestaat geen consens</w:t>
      </w:r>
      <w:r w:rsidR="00570150">
        <w:t>us</w:t>
      </w:r>
      <w:r>
        <w:t xml:space="preserve"> in de literatuur. </w:t>
      </w:r>
      <w:r w:rsidR="00D368ED">
        <w:t>Dit</w:t>
      </w:r>
      <w:r w:rsidR="00D368ED" w:rsidRPr="00D368ED">
        <w:t xml:space="preserve"> komt tot uiting in de volgende (alternatieve) hypothesen:</w:t>
      </w:r>
    </w:p>
    <w:p w14:paraId="217F9D2E" w14:textId="10B6EFE1" w:rsidR="00A64120" w:rsidRDefault="0099482C" w:rsidP="00A64120">
      <w:pPr>
        <w:pStyle w:val="Lijstalinea"/>
        <w:numPr>
          <w:ilvl w:val="0"/>
          <w:numId w:val="4"/>
        </w:numPr>
      </w:pPr>
      <w:r w:rsidRPr="0099482C">
        <w:t>H</w:t>
      </w:r>
      <w:r w:rsidR="008B797B">
        <w:t>2</w:t>
      </w:r>
      <w:r w:rsidRPr="0099482C">
        <w:t>: des te meer Europese middelen een gemeente ontvangt, des te groter de kans dat een gemeente politiek-bestuurlijke aandacht heeft voor</w:t>
      </w:r>
      <w:r w:rsidR="00E00C81">
        <w:t xml:space="preserve"> (i)</w:t>
      </w:r>
      <w:r w:rsidRPr="0099482C">
        <w:t xml:space="preserve"> het belang van netwerken (categorie ‘networking’)</w:t>
      </w:r>
      <w:r w:rsidR="00E00C81">
        <w:t xml:space="preserve"> en (ii) lobbyen (categorie ‘lobbying’). </w:t>
      </w:r>
    </w:p>
    <w:p w14:paraId="14E8D8D8" w14:textId="5A72EE83" w:rsidR="00A64120" w:rsidRDefault="0099482C" w:rsidP="00A64120">
      <w:pPr>
        <w:pStyle w:val="Lijstalinea"/>
        <w:numPr>
          <w:ilvl w:val="0"/>
          <w:numId w:val="4"/>
        </w:numPr>
      </w:pPr>
      <w:r w:rsidRPr="0099482C">
        <w:t>H</w:t>
      </w:r>
      <w:r w:rsidR="008B797B">
        <w:t>2</w:t>
      </w:r>
      <w:r w:rsidRPr="0099482C">
        <w:t xml:space="preserve">A: </w:t>
      </w:r>
      <w:r w:rsidR="00A717A3">
        <w:t>h</w:t>
      </w:r>
      <w:r w:rsidRPr="0099482C">
        <w:t>et aantal Europese middelen dat een gemeente ontvangt, heeft geen effect op de kans dat een gemeente politiek-bestuurlijke aandacht heeft voor</w:t>
      </w:r>
      <w:r w:rsidR="00E00C81">
        <w:t xml:space="preserve"> (</w:t>
      </w:r>
      <w:r w:rsidR="00833829">
        <w:t>i)</w:t>
      </w:r>
      <w:r w:rsidRPr="0099482C">
        <w:t xml:space="preserve"> het belang van netwerken (categorie ‘networking’)</w:t>
      </w:r>
      <w:r w:rsidR="00E00C81">
        <w:t xml:space="preserve"> en</w:t>
      </w:r>
      <w:r w:rsidR="00833829">
        <w:t xml:space="preserve"> (ii)</w:t>
      </w:r>
      <w:r w:rsidR="00E00C81">
        <w:t xml:space="preserve"> lobbyen (categorie ‘lobbying’).</w:t>
      </w:r>
    </w:p>
    <w:p w14:paraId="76416C29" w14:textId="5954EE5E" w:rsidR="00D706C4" w:rsidRDefault="00E34036" w:rsidP="00E34036">
      <w:pPr>
        <w:pStyle w:val="Kop2"/>
      </w:pPr>
      <w:r>
        <w:t>2.3</w:t>
      </w:r>
      <w:r w:rsidR="003E4676">
        <w:t xml:space="preserve"> </w:t>
      </w:r>
      <w:r w:rsidR="00BC6CD0">
        <w:t>I</w:t>
      </w:r>
      <w:r w:rsidR="00163989">
        <w:t>nwoneraantal</w:t>
      </w:r>
    </w:p>
    <w:p w14:paraId="4B16E1C4" w14:textId="1BE6367A" w:rsidR="0081338D" w:rsidRDefault="00173B50" w:rsidP="006A6F91">
      <w:r>
        <w:t xml:space="preserve">Verschillende auteurs benoemen dat de </w:t>
      </w:r>
      <w:r w:rsidR="0055225D">
        <w:t>omvang</w:t>
      </w:r>
      <w:r>
        <w:t xml:space="preserve"> van een gemeente </w:t>
      </w:r>
      <w:r w:rsidR="0055225D">
        <w:t xml:space="preserve">in termen van </w:t>
      </w:r>
      <w:r w:rsidR="00C46384">
        <w:t xml:space="preserve"> </w:t>
      </w:r>
      <w:r>
        <w:t xml:space="preserve">inwoneraantal </w:t>
      </w:r>
      <w:r w:rsidR="00A36EE6">
        <w:t xml:space="preserve">samenhangt vertoont </w:t>
      </w:r>
      <w:r w:rsidR="005E4E93">
        <w:t xml:space="preserve">met </w:t>
      </w:r>
      <w:r>
        <w:t>Europeanisering (</w:t>
      </w:r>
      <w:r w:rsidR="00194DB2">
        <w:t xml:space="preserve">De Rooij, 2002, p. </w:t>
      </w:r>
      <w:r w:rsidR="00550182">
        <w:t>462</w:t>
      </w:r>
      <w:r w:rsidR="0081202C">
        <w:t>;</w:t>
      </w:r>
      <w:r w:rsidR="009E213A">
        <w:t xml:space="preserve"> Schultze, 2003, pp. 122-123;</w:t>
      </w:r>
      <w:r w:rsidR="002D416C" w:rsidRPr="002D416C">
        <w:t xml:space="preserve"> </w:t>
      </w:r>
      <w:r w:rsidR="006E4A6E">
        <w:t>Zwaan &amp; Van Genugten, 2014</w:t>
      </w:r>
      <w:r w:rsidR="007D0396">
        <w:t>, p. 2</w:t>
      </w:r>
      <w:r w:rsidR="006E4A6E">
        <w:t xml:space="preserve">; </w:t>
      </w:r>
      <w:r w:rsidR="0012693C">
        <w:t xml:space="preserve">Guderjan, 2015, p. 944; </w:t>
      </w:r>
      <w:r w:rsidR="00722A22" w:rsidRPr="00E20BC0">
        <w:t>Verhelst, 2017b</w:t>
      </w:r>
      <w:r w:rsidR="00722A22">
        <w:t>, p. 75</w:t>
      </w:r>
      <w:r w:rsidR="00363187">
        <w:t xml:space="preserve">; </w:t>
      </w:r>
      <w:r w:rsidR="00352716">
        <w:t>Gröbe</w:t>
      </w:r>
      <w:r w:rsidR="00363187">
        <w:t xml:space="preserve"> et al., 2022, p. 15</w:t>
      </w:r>
      <w:r>
        <w:t xml:space="preserve">). </w:t>
      </w:r>
      <w:r w:rsidR="001F161D">
        <w:t xml:space="preserve">De meeste auteurs wijzen daarbij op het feit dat grotere gemeenten </w:t>
      </w:r>
      <w:r w:rsidR="00A918DC">
        <w:t>over meer financiële middelen beschikken</w:t>
      </w:r>
      <w:r w:rsidR="00692160">
        <w:t>,</w:t>
      </w:r>
      <w:r w:rsidR="001F161D">
        <w:t xml:space="preserve"> w</w:t>
      </w:r>
      <w:r w:rsidR="001433F3">
        <w:t xml:space="preserve">aardoor er </w:t>
      </w:r>
      <w:r w:rsidR="00DB63C1">
        <w:t xml:space="preserve">tevens </w:t>
      </w:r>
      <w:r w:rsidR="001433F3">
        <w:t>een grotere capaciteit qua personeel is</w:t>
      </w:r>
      <w:r w:rsidR="00CE2AAB">
        <w:t>. Beide zaken zou</w:t>
      </w:r>
      <w:r w:rsidR="00A82894">
        <w:t>den</w:t>
      </w:r>
      <w:r w:rsidR="00CE2AAB">
        <w:t xml:space="preserve"> grotere gemeenten eerder in staat moeten stellen om </w:t>
      </w:r>
      <w:r w:rsidR="000862BB">
        <w:t xml:space="preserve">middelen vrij te maken </w:t>
      </w:r>
      <w:r w:rsidR="005047A7">
        <w:t>voor</w:t>
      </w:r>
      <w:r w:rsidR="000862BB">
        <w:t xml:space="preserve"> het aanvragen </w:t>
      </w:r>
      <w:r w:rsidR="005047A7">
        <w:t xml:space="preserve">en </w:t>
      </w:r>
      <w:r w:rsidR="00F61139">
        <w:t>co</w:t>
      </w:r>
      <w:r w:rsidR="00FF211D">
        <w:t>-</w:t>
      </w:r>
      <w:r w:rsidR="00F61139">
        <w:t>financieren</w:t>
      </w:r>
      <w:r w:rsidR="009B23F2">
        <w:t xml:space="preserve"> </w:t>
      </w:r>
      <w:r w:rsidR="000862BB">
        <w:t>van subsidies</w:t>
      </w:r>
      <w:r w:rsidR="005047A7">
        <w:t xml:space="preserve"> </w:t>
      </w:r>
      <w:r w:rsidR="009B23F2">
        <w:t>(categorie ‘financial</w:t>
      </w:r>
      <w:r w:rsidR="00C27C23">
        <w:t>’</w:t>
      </w:r>
      <w:r w:rsidR="009B23F2">
        <w:t>)</w:t>
      </w:r>
      <w:r w:rsidR="000862BB">
        <w:t xml:space="preserve">, </w:t>
      </w:r>
      <w:r w:rsidR="00A82894">
        <w:t xml:space="preserve">het deelnemen aan Europese beleidsnetwerken </w:t>
      </w:r>
      <w:r w:rsidR="009B23F2">
        <w:t>(categorie ‘networking’) en</w:t>
      </w:r>
      <w:r w:rsidR="001433F3">
        <w:t xml:space="preserve"> </w:t>
      </w:r>
      <w:r w:rsidR="00F61139">
        <w:t xml:space="preserve">het lobbyen bij Europese instanties (categorie ‘lobbying)’. </w:t>
      </w:r>
      <w:r w:rsidR="001E18A5">
        <w:t>Gröbe</w:t>
      </w:r>
      <w:r w:rsidR="005E069F">
        <w:t xml:space="preserve"> et al. (2022, p. 15) laten echter zien dat capaciteit in termen van personele en financiële middelen geen significante invloed heeft op</w:t>
      </w:r>
      <w:r w:rsidR="00782B39">
        <w:t xml:space="preserve"> de Europeanisering van een gemeente</w:t>
      </w:r>
      <w:r w:rsidR="00DA6C11">
        <w:t xml:space="preserve"> in al deze categorieën.</w:t>
      </w:r>
      <w:r w:rsidR="00782B39">
        <w:tab/>
      </w:r>
      <w:r w:rsidR="00314182">
        <w:tab/>
      </w:r>
      <w:r w:rsidR="00314182">
        <w:tab/>
      </w:r>
      <w:r w:rsidR="00314182">
        <w:tab/>
      </w:r>
      <w:r w:rsidR="00314182">
        <w:tab/>
      </w:r>
      <w:r w:rsidR="00314182">
        <w:tab/>
      </w:r>
      <w:r w:rsidR="00314182" w:rsidRPr="00314182">
        <w:t xml:space="preserve">Naast de grotere beschikbaarheid van middelen in financiële en personele zin, haalt Schultze (2003, pp. 122-123) nog </w:t>
      </w:r>
      <w:r w:rsidR="00C349EA">
        <w:t>drie</w:t>
      </w:r>
      <w:r w:rsidR="00314182" w:rsidRPr="00314182">
        <w:t xml:space="preserve"> andere redenen aan waarom steden meer aandacht hebben voor Europa.</w:t>
      </w:r>
      <w:r w:rsidR="002B06D6">
        <w:t xml:space="preserve"> </w:t>
      </w:r>
      <w:r w:rsidR="002B06D6" w:rsidRPr="002B06D6">
        <w:t>Ten eerste noemt Schultze (2003, p. 122) dat steden een grotere profileringsdrang kennen: men wil zich internationaal ‘op de kaart zetten’</w:t>
      </w:r>
      <w:r w:rsidR="006F1E50">
        <w:t xml:space="preserve"> en presenteren als </w:t>
      </w:r>
      <w:r w:rsidR="00932EC8">
        <w:t xml:space="preserve">een </w:t>
      </w:r>
      <w:r w:rsidR="00AE6DFF">
        <w:t>Europese</w:t>
      </w:r>
      <w:r w:rsidR="006F1E50">
        <w:t xml:space="preserve"> stad</w:t>
      </w:r>
      <w:r w:rsidR="002B06D6" w:rsidRPr="002B06D6">
        <w:t xml:space="preserve">. Dit wordt beaamt door John (2001, p. 77) en Guderjan (2015, p. 944) die eveneens constateren dat steden vanuit overwegingen van het opbouwen van een internationaal profiel zich eerder bezig houden met Europese activiteiten. </w:t>
      </w:r>
      <w:r w:rsidR="006F1E50">
        <w:t xml:space="preserve">Deze ambitie heeft met name invloed op </w:t>
      </w:r>
      <w:r w:rsidR="00EC5FDA">
        <w:t xml:space="preserve">de </w:t>
      </w:r>
      <w:r w:rsidR="008963A2">
        <w:t xml:space="preserve">hogere </w:t>
      </w:r>
      <w:r w:rsidR="00056270">
        <w:t>categorieën</w:t>
      </w:r>
      <w:r w:rsidR="008963A2">
        <w:t xml:space="preserve"> van </w:t>
      </w:r>
      <w:r w:rsidR="00056270">
        <w:t>de Europeaniseringladder</w:t>
      </w:r>
      <w:r w:rsidR="006A4579">
        <w:t>,</w:t>
      </w:r>
      <w:r w:rsidR="00056270">
        <w:t xml:space="preserve"> netwerken en lobbyen</w:t>
      </w:r>
      <w:r w:rsidR="006A4579">
        <w:t xml:space="preserve">, aangezien steden hiervoor deelnemen aan </w:t>
      </w:r>
      <w:r w:rsidR="00555A38">
        <w:t xml:space="preserve">Europese </w:t>
      </w:r>
      <w:r w:rsidR="001B5BC1">
        <w:t>(beleids)</w:t>
      </w:r>
      <w:r w:rsidR="00555A38">
        <w:t xml:space="preserve">netwerken </w:t>
      </w:r>
      <w:r w:rsidR="00BB19FB">
        <w:t xml:space="preserve">of rekening houden met Europese </w:t>
      </w:r>
      <w:r w:rsidR="005E3687">
        <w:t>initiatieven</w:t>
      </w:r>
      <w:r w:rsidR="00BB19FB">
        <w:t xml:space="preserve"> </w:t>
      </w:r>
      <w:r w:rsidR="005E3687">
        <w:t xml:space="preserve">in hun autonome </w:t>
      </w:r>
      <w:r w:rsidR="00C97758">
        <w:t xml:space="preserve">beleidsruimte. Deze bevindingen komen overeen met de kwantitatieve studies van </w:t>
      </w:r>
      <w:r w:rsidR="001E18A5">
        <w:t>Gröbe</w:t>
      </w:r>
      <w:r w:rsidR="00C97758">
        <w:t xml:space="preserve"> et al. (2022, p. 15) en Verhelst (2017b, p. </w:t>
      </w:r>
      <w:r w:rsidR="0006762A">
        <w:t>75</w:t>
      </w:r>
      <w:r w:rsidR="001B1877">
        <w:t xml:space="preserve">) waarin het inwoneraantal positief samenhangt met </w:t>
      </w:r>
      <w:r w:rsidR="00183637">
        <w:t xml:space="preserve">de </w:t>
      </w:r>
      <w:r w:rsidR="00A17724">
        <w:t>‘networking’ en ‘lobbying’ categorie van Europeanisering.</w:t>
      </w:r>
      <w:r w:rsidR="000A3C4A">
        <w:tab/>
      </w:r>
      <w:r w:rsidR="000A3C4A">
        <w:tab/>
      </w:r>
      <w:r w:rsidR="000A3C4A">
        <w:tab/>
      </w:r>
      <w:r w:rsidR="000A3C4A">
        <w:tab/>
      </w:r>
      <w:r w:rsidR="000A3C4A">
        <w:tab/>
      </w:r>
      <w:r w:rsidR="000A3C4A">
        <w:tab/>
      </w:r>
      <w:r w:rsidR="000A3C4A">
        <w:tab/>
      </w:r>
      <w:r w:rsidR="000A3C4A">
        <w:tab/>
      </w:r>
      <w:r w:rsidR="000A3C4A">
        <w:tab/>
      </w:r>
      <w:r w:rsidR="000A3C4A">
        <w:tab/>
      </w:r>
      <w:r w:rsidR="000A3C4A">
        <w:tab/>
      </w:r>
      <w:r w:rsidR="003E3864">
        <w:t xml:space="preserve">Ten tweede ziet Schultze </w:t>
      </w:r>
      <w:r w:rsidR="00EE2080">
        <w:t xml:space="preserve">(2003, p. </w:t>
      </w:r>
      <w:r w:rsidR="00D444A9">
        <w:t>123</w:t>
      </w:r>
      <w:r w:rsidR="00EE2080">
        <w:t xml:space="preserve">) </w:t>
      </w:r>
      <w:r w:rsidR="003E3864">
        <w:t xml:space="preserve">dat </w:t>
      </w:r>
      <w:r w:rsidR="006A7F4C">
        <w:t xml:space="preserve">grote gemeenten vaker participeren in Europese consortia gericht op het verkrijgen van Europese middelen. </w:t>
      </w:r>
      <w:r w:rsidR="0084414A">
        <w:t>Deze bevinding vindt steun bij</w:t>
      </w:r>
      <w:r w:rsidR="00F108FF">
        <w:t xml:space="preserve"> De Rooij (2002, p</w:t>
      </w:r>
      <w:r w:rsidR="00F33752">
        <w:t>p</w:t>
      </w:r>
      <w:r w:rsidR="00F108FF">
        <w:t xml:space="preserve">. </w:t>
      </w:r>
      <w:r w:rsidR="00F33752">
        <w:t>464-465</w:t>
      </w:r>
      <w:r w:rsidR="00F108FF">
        <w:t xml:space="preserve">). Hij wijt </w:t>
      </w:r>
      <w:r w:rsidR="00005093">
        <w:t>d</w:t>
      </w:r>
      <w:r w:rsidR="00E961EF">
        <w:t>eze verhoogde participatie</w:t>
      </w:r>
      <w:r w:rsidR="00005093">
        <w:t xml:space="preserve"> </w:t>
      </w:r>
      <w:r w:rsidR="00F108FF">
        <w:t xml:space="preserve">aan het feit dat </w:t>
      </w:r>
      <w:r w:rsidR="00005093">
        <w:t xml:space="preserve">grotere gemeenten in de regel bepaalde centrumvoorzieningen </w:t>
      </w:r>
      <w:r w:rsidR="003F3B96">
        <w:t xml:space="preserve">rond cultuur, onderwijs en </w:t>
      </w:r>
      <w:r w:rsidR="00070E72">
        <w:t xml:space="preserve">gezondheidzorg </w:t>
      </w:r>
      <w:r w:rsidR="00005093">
        <w:t>huisvesten</w:t>
      </w:r>
      <w:r w:rsidR="003F3B96">
        <w:t>.</w:t>
      </w:r>
      <w:r w:rsidR="00326B00">
        <w:t xml:space="preserve"> </w:t>
      </w:r>
      <w:r w:rsidR="00070E72">
        <w:t>Voor dergelijke voorzieningen zijn specifieke Europese programma</w:t>
      </w:r>
      <w:r w:rsidR="00F33752">
        <w:t>’</w:t>
      </w:r>
      <w:r w:rsidR="00070E72">
        <w:t>s beschikbaar</w:t>
      </w:r>
      <w:r w:rsidR="00F33752">
        <w:t xml:space="preserve">, </w:t>
      </w:r>
      <w:r w:rsidR="00967EEF">
        <w:t xml:space="preserve">waardoor het </w:t>
      </w:r>
      <w:r w:rsidR="00EE2EA5">
        <w:t xml:space="preserve">voor </w:t>
      </w:r>
      <w:r w:rsidR="004D073A">
        <w:t xml:space="preserve">grotere </w:t>
      </w:r>
      <w:r w:rsidR="00EE2EA5">
        <w:t xml:space="preserve">steden </w:t>
      </w:r>
      <w:r w:rsidR="00967EEF">
        <w:t>eerder</w:t>
      </w:r>
      <w:r w:rsidR="004D073A">
        <w:t xml:space="preserve"> loont</w:t>
      </w:r>
      <w:r w:rsidR="00967EEF">
        <w:t xml:space="preserve"> om </w:t>
      </w:r>
      <w:r w:rsidR="006938B6">
        <w:t>Europese subsidies aan te vragen</w:t>
      </w:r>
      <w:r w:rsidR="00AF1210">
        <w:t xml:space="preserve"> </w:t>
      </w:r>
      <w:r w:rsidR="006527D2">
        <w:t xml:space="preserve">(De Rooij, 2002, p. </w:t>
      </w:r>
      <w:r w:rsidR="00727E01">
        <w:t>463)</w:t>
      </w:r>
      <w:r w:rsidR="006938B6">
        <w:t>.</w:t>
      </w:r>
      <w:r w:rsidR="00FB7615">
        <w:t xml:space="preserve"> </w:t>
      </w:r>
      <w:r w:rsidR="00D9690B">
        <w:t>Ook</w:t>
      </w:r>
      <w:r w:rsidR="005E5D96">
        <w:t xml:space="preserve"> in het werk van Verhelst (2017b, p. 75) is </w:t>
      </w:r>
      <w:r w:rsidR="00511872">
        <w:t xml:space="preserve">de relatie tussen inwoneraantal </w:t>
      </w:r>
      <w:r w:rsidR="0098769F">
        <w:t xml:space="preserve">en Europeanisering in termen van financiën significant. </w:t>
      </w:r>
      <w:r w:rsidR="00511872">
        <w:t xml:space="preserve"> </w:t>
      </w:r>
      <w:r w:rsidR="00D31CDC">
        <w:tab/>
      </w:r>
      <w:r w:rsidR="00F15570">
        <w:t>Ten derde ziet Schultze (2003, p</w:t>
      </w:r>
      <w:r w:rsidR="00CD78B2">
        <w:t xml:space="preserve">. </w:t>
      </w:r>
      <w:r w:rsidR="006D05AF">
        <w:t>122</w:t>
      </w:r>
      <w:r w:rsidR="005F798E">
        <w:t>)</w:t>
      </w:r>
      <w:r w:rsidR="006D05AF">
        <w:t xml:space="preserve"> dat </w:t>
      </w:r>
      <w:r w:rsidR="0048792B">
        <w:t xml:space="preserve">grotere </w:t>
      </w:r>
      <w:r w:rsidR="006D05AF">
        <w:t xml:space="preserve">steden meer met Europa bezig zijn aangezien ze </w:t>
      </w:r>
      <w:r w:rsidR="00561B23">
        <w:t xml:space="preserve">meer geraakt worden door beleid uit ‘Brussel’. Hij </w:t>
      </w:r>
      <w:r w:rsidR="000F3F5B">
        <w:t>verklaart dit door het feit</w:t>
      </w:r>
      <w:r w:rsidR="00667BCC">
        <w:t xml:space="preserve"> dat een deel van het beleid van de Europese Unie gericht is op zaken die vooral in steden relevant zijn (zogeheten ‘grootstedelijke problematiek’) zoals luchtkwaliteit, </w:t>
      </w:r>
      <w:r w:rsidR="00604465">
        <w:t xml:space="preserve">huisvesting van arbeidsmigranten en </w:t>
      </w:r>
      <w:r w:rsidR="0014766A">
        <w:t xml:space="preserve">sociale cohesie. </w:t>
      </w:r>
      <w:r w:rsidR="00FB4B0D">
        <w:t>Ook Boudewijn (</w:t>
      </w:r>
      <w:r w:rsidR="00542F94">
        <w:t>2011</w:t>
      </w:r>
      <w:r w:rsidR="0097601D">
        <w:t>, pp. 68-69</w:t>
      </w:r>
      <w:r w:rsidR="006B1D6C">
        <w:t xml:space="preserve">) </w:t>
      </w:r>
      <w:r w:rsidR="00542F94">
        <w:t xml:space="preserve">merkt op dat de grotere steden in de regel meer geraakt worden door Europese regelgeving. </w:t>
      </w:r>
      <w:r w:rsidR="00BF6BD7">
        <w:t xml:space="preserve">Volgens Schultze (2003, p. 122) hebben </w:t>
      </w:r>
      <w:r w:rsidR="003F1240">
        <w:t xml:space="preserve">steden om die reden een grotere prikkel om </w:t>
      </w:r>
      <w:r w:rsidR="00A93B96">
        <w:t>te lobbyen</w:t>
      </w:r>
      <w:r w:rsidR="00A355F1">
        <w:t xml:space="preserve"> op </w:t>
      </w:r>
      <w:r w:rsidR="006B392B">
        <w:t xml:space="preserve">het punt van </w:t>
      </w:r>
      <w:r w:rsidR="00A355F1">
        <w:t>beleid</w:t>
      </w:r>
      <w:r w:rsidR="00A93B96">
        <w:t xml:space="preserve"> bij Europese instanties</w:t>
      </w:r>
      <w:r w:rsidR="00826750">
        <w:t xml:space="preserve">. Dit komt terug </w:t>
      </w:r>
      <w:r w:rsidR="009F07D2">
        <w:t xml:space="preserve">in </w:t>
      </w:r>
      <w:r w:rsidR="00826750">
        <w:t>het kwantitatieve onderzoek van Verhelst</w:t>
      </w:r>
      <w:r w:rsidR="0006762A">
        <w:t xml:space="preserve"> (2017b, p. 75)</w:t>
      </w:r>
      <w:r w:rsidR="00572B22">
        <w:t xml:space="preserve"> die eveneens een positieve samenhang tussen </w:t>
      </w:r>
      <w:r w:rsidR="00256F1B">
        <w:t xml:space="preserve">het </w:t>
      </w:r>
      <w:r w:rsidR="00572B22">
        <w:t xml:space="preserve">inwoneraantal en Europeanisering </w:t>
      </w:r>
      <w:r w:rsidR="00256F1B">
        <w:t>op de ‘lobbying’ categorie waarneemt.</w:t>
      </w:r>
      <w:r w:rsidR="0048792B">
        <w:tab/>
      </w:r>
      <w:r w:rsidR="0048792B">
        <w:tab/>
      </w:r>
      <w:r w:rsidR="0048792B">
        <w:tab/>
      </w:r>
      <w:r w:rsidR="0048792B">
        <w:tab/>
      </w:r>
      <w:r w:rsidR="0048792B">
        <w:tab/>
      </w:r>
      <w:r w:rsidR="0048792B">
        <w:tab/>
      </w:r>
      <w:r w:rsidR="0048792B">
        <w:tab/>
      </w:r>
      <w:r w:rsidR="0048792B">
        <w:tab/>
      </w:r>
      <w:r w:rsidR="0048792B">
        <w:tab/>
      </w:r>
      <w:r w:rsidR="00874957" w:rsidRPr="00874957">
        <w:t xml:space="preserve">Op basis van het voorgaande is de verwachting </w:t>
      </w:r>
      <w:r w:rsidR="000A669F">
        <w:t>dat de hoogte van het inwoneraantal</w:t>
      </w:r>
      <w:r w:rsidR="00874957">
        <w:t xml:space="preserve"> van een gemeente</w:t>
      </w:r>
      <w:r w:rsidR="00874957" w:rsidRPr="00874957">
        <w:t xml:space="preserve"> </w:t>
      </w:r>
      <w:r w:rsidR="00D14CD8">
        <w:t>samenhang vertoont met de</w:t>
      </w:r>
      <w:r w:rsidR="00874957" w:rsidRPr="00874957">
        <w:t xml:space="preserve"> politiek-bestuurlijke aandacht voo</w:t>
      </w:r>
      <w:r w:rsidR="00D14CD8">
        <w:t xml:space="preserve">r meerdere </w:t>
      </w:r>
      <w:r w:rsidR="00874957" w:rsidRPr="00874957">
        <w:t>aspecten van Europeanisering. Dit leidt tot de formulering van de volgende hypothese:</w:t>
      </w:r>
    </w:p>
    <w:p w14:paraId="42D61EFC" w14:textId="25880DA9" w:rsidR="00841445" w:rsidRDefault="00841445" w:rsidP="00841445">
      <w:pPr>
        <w:pStyle w:val="Lijstalinea"/>
        <w:numPr>
          <w:ilvl w:val="0"/>
          <w:numId w:val="4"/>
        </w:numPr>
      </w:pPr>
      <w:r>
        <w:t>H</w:t>
      </w:r>
      <w:r w:rsidR="0069687D">
        <w:t>3</w:t>
      </w:r>
      <w:r w:rsidR="00260E43">
        <w:t xml:space="preserve">: des te </w:t>
      </w:r>
      <w:r w:rsidR="0002176E">
        <w:t>hoger</w:t>
      </w:r>
      <w:r w:rsidR="00A2454C">
        <w:t xml:space="preserve"> het inwoneraantal, des te groter de kans dat een gemeente politiek-bestuurlijke aandacht heeft voor </w:t>
      </w:r>
      <w:r w:rsidR="00CB210E">
        <w:t xml:space="preserve">(i) </w:t>
      </w:r>
      <w:r w:rsidR="00A2454C">
        <w:t>het belang van Europese subsidieprogramma’s (categorie ‘financial’)</w:t>
      </w:r>
      <w:r w:rsidR="00E5554F">
        <w:t>;</w:t>
      </w:r>
      <w:r w:rsidR="00CB210E">
        <w:t xml:space="preserve"> (ii) netwerken (categorie ‘networking’) en (iii) lobbyen (categorie ‘lobbying’). </w:t>
      </w:r>
    </w:p>
    <w:p w14:paraId="5CFD23DE" w14:textId="289663BF" w:rsidR="007344F7" w:rsidRDefault="003B685F" w:rsidP="003B685F">
      <w:r w:rsidRPr="003B685F">
        <w:t xml:space="preserve">Uit het voorgaande is gebleken dat de omvang van een gemeente vaak gebruikt wordt als </w:t>
      </w:r>
      <w:r w:rsidR="00E42E1E">
        <w:t>proxy</w:t>
      </w:r>
      <w:r w:rsidRPr="003B685F">
        <w:t xml:space="preserve"> voor</w:t>
      </w:r>
      <w:r w:rsidR="003F019B">
        <w:t xml:space="preserve"> </w:t>
      </w:r>
      <w:r w:rsidRPr="003B685F">
        <w:t>verschillende meer specifieke variabele</w:t>
      </w:r>
      <w:r w:rsidR="005702C5">
        <w:t>n</w:t>
      </w:r>
      <w:r w:rsidRPr="003B685F">
        <w:t>, zoals de aanwezigheid van centrumvoorzieningen of</w:t>
      </w:r>
      <w:r w:rsidR="005973B2">
        <w:t xml:space="preserve"> de </w:t>
      </w:r>
      <w:r w:rsidR="00237C76">
        <w:t>(financiële) capaciteit</w:t>
      </w:r>
      <w:r w:rsidRPr="003B685F">
        <w:t xml:space="preserve">. Om meer zicht te krijgen in welke onderliggende factor </w:t>
      </w:r>
      <w:r w:rsidR="008F1C6F">
        <w:t xml:space="preserve">exact welke invloed heeft, </w:t>
      </w:r>
      <w:r w:rsidR="00015893">
        <w:t>zouden de volgende hypothesen kunnen worden getoetst:</w:t>
      </w:r>
    </w:p>
    <w:p w14:paraId="4403DD1A" w14:textId="6619A293" w:rsidR="002E1821" w:rsidRDefault="007344F7" w:rsidP="003B685F">
      <w:pPr>
        <w:pStyle w:val="Lijstalinea"/>
        <w:numPr>
          <w:ilvl w:val="0"/>
          <w:numId w:val="4"/>
        </w:numPr>
      </w:pPr>
      <w:r>
        <w:t>H</w:t>
      </w:r>
      <w:r w:rsidR="0069687D">
        <w:t>4</w:t>
      </w:r>
      <w:r>
        <w:t xml:space="preserve">: </w:t>
      </w:r>
      <w:r w:rsidRPr="007344F7">
        <w:t xml:space="preserve">des </w:t>
      </w:r>
      <w:r>
        <w:t xml:space="preserve">te </w:t>
      </w:r>
      <w:r w:rsidR="00197C19">
        <w:t>groter de financiële capaciteit</w:t>
      </w:r>
      <w:r>
        <w:t xml:space="preserve">, </w:t>
      </w:r>
      <w:r w:rsidR="00185BC5">
        <w:t>des te</w:t>
      </w:r>
      <w:r w:rsidR="00354BA6">
        <w:t xml:space="preserve"> groter de kans dat een gemeente politiek-bestuurlijke aandacht heeft voor</w:t>
      </w:r>
      <w:r w:rsidR="0069687D">
        <w:t xml:space="preserve"> (i)</w:t>
      </w:r>
      <w:r w:rsidR="00DB08EF" w:rsidRPr="00DB08EF">
        <w:t xml:space="preserve"> het belang van</w:t>
      </w:r>
      <w:r w:rsidR="00354BA6">
        <w:t xml:space="preserve"> Europese subsidieprogramma’s (categorie ‘financial’)</w:t>
      </w:r>
      <w:r w:rsidR="001E14D5">
        <w:t>;</w:t>
      </w:r>
      <w:r w:rsidR="00354BA6">
        <w:t xml:space="preserve"> </w:t>
      </w:r>
      <w:r w:rsidR="0069687D">
        <w:t xml:space="preserve">(ii) </w:t>
      </w:r>
      <w:r w:rsidR="00354BA6">
        <w:t xml:space="preserve">netwerken (categorie ‘networking’) en </w:t>
      </w:r>
      <w:r w:rsidR="0069687D">
        <w:t xml:space="preserve">(iii) </w:t>
      </w:r>
      <w:r w:rsidR="00354BA6">
        <w:t xml:space="preserve">lobbyen (categorie ‘lobbying’). </w:t>
      </w:r>
    </w:p>
    <w:p w14:paraId="19A730B4" w14:textId="27335365" w:rsidR="00354BA6" w:rsidRDefault="00354BA6" w:rsidP="003B685F">
      <w:pPr>
        <w:pStyle w:val="Lijstalinea"/>
        <w:numPr>
          <w:ilvl w:val="0"/>
          <w:numId w:val="4"/>
        </w:numPr>
      </w:pPr>
      <w:r>
        <w:t>H</w:t>
      </w:r>
      <w:r w:rsidR="0069687D">
        <w:t>5</w:t>
      </w:r>
      <w:r>
        <w:t xml:space="preserve">: </w:t>
      </w:r>
      <w:r w:rsidR="00021806" w:rsidRPr="00021806">
        <w:t xml:space="preserve">des te meer </w:t>
      </w:r>
      <w:r w:rsidR="00265F3F">
        <w:t>profileringsdrang</w:t>
      </w:r>
      <w:r w:rsidR="00021806" w:rsidRPr="00021806">
        <w:t xml:space="preserve">, des te groter de kans dat een gemeente politiek-bestuurlijke aandacht heeft voor </w:t>
      </w:r>
      <w:r w:rsidR="0069687D">
        <w:t xml:space="preserve">(i) </w:t>
      </w:r>
      <w:r w:rsidR="009A417D" w:rsidRPr="009A417D">
        <w:t xml:space="preserve">het belang van </w:t>
      </w:r>
      <w:r w:rsidR="00021806" w:rsidRPr="00021806">
        <w:t>netwerken (categorie ‘networking’) en</w:t>
      </w:r>
      <w:r w:rsidR="0069687D">
        <w:t xml:space="preserve"> (ii)</w:t>
      </w:r>
      <w:r w:rsidR="00021806" w:rsidRPr="00021806">
        <w:t xml:space="preserve"> lobbyen (categorie ‘lobbying’). </w:t>
      </w:r>
    </w:p>
    <w:p w14:paraId="3A1AEF01" w14:textId="34CFAF6B" w:rsidR="00265F3F" w:rsidRDefault="00265F3F" w:rsidP="00265F3F">
      <w:pPr>
        <w:pStyle w:val="Lijstalinea"/>
        <w:numPr>
          <w:ilvl w:val="0"/>
          <w:numId w:val="4"/>
        </w:numPr>
      </w:pPr>
      <w:r w:rsidRPr="00265F3F">
        <w:t>H</w:t>
      </w:r>
      <w:r w:rsidR="0069687D">
        <w:t>6</w:t>
      </w:r>
      <w:r w:rsidRPr="00265F3F">
        <w:t xml:space="preserve">: </w:t>
      </w:r>
      <w:r w:rsidR="00021806" w:rsidRPr="00265F3F">
        <w:t xml:space="preserve">des </w:t>
      </w:r>
      <w:r w:rsidRPr="00265F3F">
        <w:t xml:space="preserve">te meer centrumvoorzieningen, des te groter de kans dat een gemeente politiek-bestuurlijke aandacht heeft </w:t>
      </w:r>
      <w:r w:rsidR="00AC6654">
        <w:t>voor</w:t>
      </w:r>
      <w:r w:rsidR="00996D0C" w:rsidRPr="00996D0C">
        <w:t xml:space="preserve"> het belang van</w:t>
      </w:r>
      <w:r w:rsidRPr="00265F3F">
        <w:t xml:space="preserve"> Europese subsidieprogramma’s</w:t>
      </w:r>
      <w:r w:rsidR="00F5213D">
        <w:t xml:space="preserve"> (categorie ‘financial’)</w:t>
      </w:r>
      <w:r w:rsidRPr="00265F3F">
        <w:t xml:space="preserve">. </w:t>
      </w:r>
    </w:p>
    <w:p w14:paraId="5E2A65E4" w14:textId="61DE5350" w:rsidR="00F5213D" w:rsidRDefault="00354BA6" w:rsidP="00334944">
      <w:pPr>
        <w:pStyle w:val="Lijstalinea"/>
        <w:numPr>
          <w:ilvl w:val="0"/>
          <w:numId w:val="4"/>
        </w:numPr>
      </w:pPr>
      <w:r>
        <w:t>H</w:t>
      </w:r>
      <w:r w:rsidR="0069687D">
        <w:t>7</w:t>
      </w:r>
      <w:r>
        <w:t>:</w:t>
      </w:r>
      <w:r w:rsidR="00021806">
        <w:t xml:space="preserve"> </w:t>
      </w:r>
      <w:r w:rsidR="00021806" w:rsidRPr="00021806">
        <w:t xml:space="preserve">des te meer </w:t>
      </w:r>
      <w:r w:rsidR="00021806">
        <w:t xml:space="preserve">een gemeente </w:t>
      </w:r>
      <w:r w:rsidR="00A964F9">
        <w:t>geraakt wordt door Europees beleid</w:t>
      </w:r>
      <w:r w:rsidR="00021806" w:rsidRPr="00021806">
        <w:t>, des te groter de kans dat een gemeente politiek-bestuurlijke aandacht heeft voor</w:t>
      </w:r>
      <w:r w:rsidR="00996D0C" w:rsidRPr="00996D0C">
        <w:t xml:space="preserve"> het belang van</w:t>
      </w:r>
      <w:r w:rsidR="00021806" w:rsidRPr="00021806">
        <w:t xml:space="preserve"> lobbyen (categorie ‘lobbying’). </w:t>
      </w:r>
    </w:p>
    <w:p w14:paraId="480C6675" w14:textId="36D2A0AB" w:rsidR="00334944" w:rsidRDefault="008C0C7B" w:rsidP="00F5213D">
      <w:r>
        <w:t xml:space="preserve">Gezien het feit dat sommige variabelen lastig tot niet te meten zijn, </w:t>
      </w:r>
      <w:r w:rsidR="00EA065A">
        <w:t xml:space="preserve">is het niet mogelijk om in </w:t>
      </w:r>
      <w:r w:rsidR="005973B2">
        <w:t>dit paper</w:t>
      </w:r>
      <w:r w:rsidR="00EA065A">
        <w:t xml:space="preserve"> al deze hypothesen te toetsen</w:t>
      </w:r>
      <w:r w:rsidR="007E4CB7">
        <w:t xml:space="preserve"> en wordt inwoneraantal als </w:t>
      </w:r>
      <w:r w:rsidR="00D90C32">
        <w:t xml:space="preserve">proxy </w:t>
      </w:r>
      <w:r w:rsidR="007E4CB7">
        <w:t xml:space="preserve">gebruikt. Uitzondering vormt de </w:t>
      </w:r>
      <w:r w:rsidR="00B460B7">
        <w:t>financiële capaciteit</w:t>
      </w:r>
      <w:r w:rsidR="00526B51">
        <w:t xml:space="preserve">. Deze hypothese wordt getoetst door </w:t>
      </w:r>
      <w:r w:rsidR="00D62223">
        <w:t>te kijken naar</w:t>
      </w:r>
      <w:r w:rsidR="00526B51">
        <w:t xml:space="preserve"> de gemeentelijke solvabiliteitsratio.</w:t>
      </w:r>
    </w:p>
    <w:p w14:paraId="4AE9E75D" w14:textId="71B52A6C" w:rsidR="00361238" w:rsidRDefault="008534AC" w:rsidP="008534AC">
      <w:pPr>
        <w:pStyle w:val="Kop2"/>
      </w:pPr>
      <w:r>
        <w:t>2.4 Grensgemeenten</w:t>
      </w:r>
    </w:p>
    <w:p w14:paraId="63300097" w14:textId="1FE24C8E" w:rsidR="00A972B7" w:rsidRDefault="00473339" w:rsidP="00A972B7">
      <w:r w:rsidRPr="00473339">
        <w:t>Goldsmith (1993, p. 684) signaleert dat Europese integratie verschillend uitpakt voor lokale overheden naargelang hun geografische situering: sommige gemeenten zien grenzen vervagen en economische activiteit toenemen, waar anderen juist economisch achterblijven. Met name regio’s die aan een interne grens van de Unie liggen ondervinden de gevolgen van Europese eenwording. Auteurs als Goldsmith (1993, pp. 693-694)</w:t>
      </w:r>
      <w:r w:rsidR="00303631">
        <w:t>,</w:t>
      </w:r>
      <w:r w:rsidRPr="00473339">
        <w:t xml:space="preserve"> Wolters (1997, p. 52) Guderjan en Verhelst (2021, p. 114) en </w:t>
      </w:r>
      <w:r w:rsidR="001E18A5">
        <w:t>Gröbe</w:t>
      </w:r>
      <w:r w:rsidRPr="00473339">
        <w:t xml:space="preserve"> et al. (2022, p. 10) beweren daarom dat besturen in grensgemeenten zich eerder aanpassen en heroriënteren op Europa. Volgens de Rob (2013, p. 36) zien grensgemeenten meer kansen en tevens noodzaak om grensoverschrijdend samen te werken, bijvoorbeeld om kennis te delen en de negatieve gevolgen van verschil in (nationale) wetgeving middels harmonisatie te verminderen. Dit leidt dus</w:t>
      </w:r>
      <w:r w:rsidR="00A06516">
        <w:t xml:space="preserve"> </w:t>
      </w:r>
      <w:r w:rsidRPr="00473339">
        <w:t>vooral tot meer inzet op netwerken</w:t>
      </w:r>
      <w:r w:rsidR="002806F6">
        <w:t xml:space="preserve"> (categorie ‘networking’)</w:t>
      </w:r>
      <w:r w:rsidR="003D3A95">
        <w:t>.</w:t>
      </w:r>
      <w:r w:rsidR="00BC2131">
        <w:t xml:space="preserve"> In het onderzoek van </w:t>
      </w:r>
      <w:r w:rsidR="001E18A5">
        <w:t>Gröbe</w:t>
      </w:r>
      <w:r w:rsidR="00BC2131">
        <w:t xml:space="preserve"> et al. (2022, p. 15) is deze samenhang ook statistisch </w:t>
      </w:r>
      <w:r w:rsidR="003A6C9C">
        <w:t>aangetoond.</w:t>
      </w:r>
      <w:r w:rsidR="00BC2131">
        <w:t xml:space="preserve"> </w:t>
      </w:r>
      <w:r w:rsidR="00BC2131">
        <w:tab/>
      </w:r>
      <w:r w:rsidR="00BC2131">
        <w:tab/>
      </w:r>
      <w:r w:rsidR="00BC2131">
        <w:tab/>
      </w:r>
      <w:r w:rsidR="00BC2131">
        <w:tab/>
      </w:r>
      <w:r w:rsidR="00BC2131">
        <w:tab/>
      </w:r>
      <w:r w:rsidR="00BC2131">
        <w:tab/>
      </w:r>
      <w:r w:rsidR="00BC2131">
        <w:tab/>
      </w:r>
      <w:r w:rsidR="00BC2131">
        <w:tab/>
        <w:t>Naast politiek</w:t>
      </w:r>
      <w:r w:rsidR="00FA47DD">
        <w:t>-</w:t>
      </w:r>
      <w:r w:rsidR="00BC2131">
        <w:t xml:space="preserve">bestuurlijke Europeanisering op het gebied van </w:t>
      </w:r>
      <w:r w:rsidR="00584A68">
        <w:t xml:space="preserve">netwerken, zien </w:t>
      </w:r>
      <w:r w:rsidR="001E18A5">
        <w:t>Gröbe</w:t>
      </w:r>
      <w:r w:rsidR="00584A68">
        <w:t xml:space="preserve"> et al. (2022, p. 15) dat grensgemeenten ook op het gebied van wetgeving (categorie ‘minimal’), </w:t>
      </w:r>
      <w:r w:rsidR="009157B0">
        <w:t>financiën</w:t>
      </w:r>
      <w:r w:rsidR="00584A68">
        <w:t xml:space="preserve"> (categorie ‘</w:t>
      </w:r>
      <w:r w:rsidR="005C6089">
        <w:t>financial</w:t>
      </w:r>
      <w:r w:rsidR="00584A68">
        <w:t>’</w:t>
      </w:r>
      <w:r w:rsidR="005C6089">
        <w:t xml:space="preserve">) </w:t>
      </w:r>
      <w:r w:rsidR="009157B0">
        <w:t>en lobby (categorie ‘lobbying’)</w:t>
      </w:r>
      <w:r w:rsidR="005312DB">
        <w:t xml:space="preserve"> meer oog hebben voor Europa</w:t>
      </w:r>
      <w:r w:rsidR="009157B0">
        <w:t>. In</w:t>
      </w:r>
      <w:r w:rsidR="0022307B">
        <w:t>houdelijke duiding van deze verb</w:t>
      </w:r>
      <w:r w:rsidR="0063790D">
        <w:t>a</w:t>
      </w:r>
      <w:r w:rsidR="0022307B">
        <w:t xml:space="preserve">nden vinden we in het werk van </w:t>
      </w:r>
      <w:r w:rsidR="004E533D">
        <w:t xml:space="preserve">de Rob (2013, p. </w:t>
      </w:r>
      <w:r w:rsidR="006F40B9">
        <w:t xml:space="preserve">36) en </w:t>
      </w:r>
      <w:r w:rsidR="0022307B">
        <w:t>Guderjan en Verhelst (2021, p. 1</w:t>
      </w:r>
      <w:r w:rsidR="004E533D">
        <w:t>14)</w:t>
      </w:r>
      <w:r w:rsidR="006F40B9">
        <w:t xml:space="preserve">. Zo merkt de Rob </w:t>
      </w:r>
      <w:r w:rsidR="00880553">
        <w:t xml:space="preserve">(2013, p. 36) </w:t>
      </w:r>
      <w:r w:rsidR="007B55B4">
        <w:t>op d</w:t>
      </w:r>
      <w:r w:rsidR="00F000EC">
        <w:t xml:space="preserve">at grensgebieden bij uitstek hinder ondervinden van het verschil in wetgeving </w:t>
      </w:r>
      <w:r w:rsidR="0031220D">
        <w:t>tussen nabijgelegen gemeenten</w:t>
      </w:r>
      <w:r w:rsidR="00D75FCB">
        <w:t>.</w:t>
      </w:r>
      <w:r w:rsidR="00880553">
        <w:t xml:space="preserve"> Dit zorgt niet alleen voor extra aandacht voor uitvoering, maar geeft tevens een prikkel om in Europees verband te streven naar het harmoniseren van </w:t>
      </w:r>
      <w:r w:rsidR="007D7981">
        <w:t xml:space="preserve">deze verschillen. Op financieel gebied zien zowel Guderjan en Verhelst </w:t>
      </w:r>
      <w:r w:rsidR="00515B2D">
        <w:t xml:space="preserve">(2021, p. 114) als de Rob (2013, p. 36) dat het </w:t>
      </w:r>
      <w:r w:rsidR="0040112E">
        <w:t xml:space="preserve">Europees subsidieprogramma INTERREG een belangrijke rol speelt. Via deze weg </w:t>
      </w:r>
      <w:r w:rsidR="00AC1439">
        <w:t>stimuleert de Europese Unie grensoverschrijdende samenwerking tussen decentrale overheden</w:t>
      </w:r>
      <w:r w:rsidR="00C67786">
        <w:t xml:space="preserve">. </w:t>
      </w:r>
      <w:r w:rsidR="00205B4A">
        <w:tab/>
      </w:r>
      <w:r w:rsidR="00205B4A">
        <w:tab/>
      </w:r>
      <w:r w:rsidRPr="00473339">
        <w:t xml:space="preserve">Op de bevinding dat grensgemeenten meer oog hebben voor de Europa is ook kritiek te vinden. Zo test De Rooij (2002, p. 447) deze veronderstelling en vindt hiervoor geen empirisch bewijs: op geen </w:t>
      </w:r>
      <w:r w:rsidR="00843D1D">
        <w:t>enkel van de hierboven beschreven punten</w:t>
      </w:r>
      <w:r w:rsidRPr="00473339">
        <w:t xml:space="preserve"> zouden grensgemeente</w:t>
      </w:r>
      <w:r w:rsidR="0007200C">
        <w:t>n</w:t>
      </w:r>
      <w:r w:rsidRPr="00473339">
        <w:t xml:space="preserve"> meer oog hebben voor Europa dan niet-grensgemeenten. Hij gaat hiermee direct in tegen de dominante stroming binnen de literatuur en een kwantitatieve toetsing door onder meer </w:t>
      </w:r>
      <w:r w:rsidR="001E18A5">
        <w:t>Gröbe</w:t>
      </w:r>
      <w:r w:rsidRPr="00473339">
        <w:t xml:space="preserve"> et al. (2022). Alhoewel het werk van De Rooij (2002) enigszins gedateerd te noemen is, is deze wel gebaseerd op data van Nederlandse gemeenten. </w:t>
      </w:r>
      <w:bookmarkStart w:id="2" w:name="_Hlk126510113"/>
      <w:r w:rsidR="00FA79C7">
        <w:t>Het gebrek aan consensus in de literatuur komt tot uiting in de volgende (alternatieve) hypothesen:</w:t>
      </w:r>
      <w:bookmarkEnd w:id="2"/>
    </w:p>
    <w:p w14:paraId="61E8291A" w14:textId="6E5CD26F" w:rsidR="00A972B7" w:rsidRDefault="00A972B7" w:rsidP="00A972B7">
      <w:pPr>
        <w:pStyle w:val="Lijstalinea"/>
        <w:numPr>
          <w:ilvl w:val="0"/>
          <w:numId w:val="4"/>
        </w:numPr>
      </w:pPr>
      <w:r w:rsidRPr="00A972B7">
        <w:t>H</w:t>
      </w:r>
      <w:r w:rsidR="0069687D">
        <w:t>8</w:t>
      </w:r>
      <w:r w:rsidRPr="00A972B7">
        <w:t>: gemeenten gelegen aan een interne grens van de Europese Unie hebben meer politiek-bestuurlijke aandacht voor de Europese Unie dan niet-grensgemeenten op het gebied van (</w:t>
      </w:r>
      <w:r w:rsidR="00465942">
        <w:t>i</w:t>
      </w:r>
      <w:r w:rsidRPr="00A972B7">
        <w:t>) wetgeving (categorie ‘minimal’); (ii) financiën (categorie ‘financial’); (iii) netwerken (categorie ‘networking’)</w:t>
      </w:r>
      <w:r w:rsidR="008F4523">
        <w:t xml:space="preserve"> en</w:t>
      </w:r>
      <w:r w:rsidRPr="00A972B7">
        <w:t xml:space="preserve"> (iv) lobbyen</w:t>
      </w:r>
      <w:r w:rsidR="008F4523">
        <w:t xml:space="preserve"> (categorie ‘lobbying’)</w:t>
      </w:r>
      <w:r w:rsidRPr="00A972B7">
        <w:t>.</w:t>
      </w:r>
    </w:p>
    <w:p w14:paraId="4DDF5F0E" w14:textId="249C44BF" w:rsidR="00A972B7" w:rsidRDefault="00A972B7" w:rsidP="00006FB7">
      <w:pPr>
        <w:pStyle w:val="Lijstalinea"/>
        <w:numPr>
          <w:ilvl w:val="0"/>
          <w:numId w:val="4"/>
        </w:numPr>
      </w:pPr>
      <w:r w:rsidRPr="00A972B7">
        <w:t>H</w:t>
      </w:r>
      <w:r w:rsidR="0069687D">
        <w:t>8</w:t>
      </w:r>
      <w:r w:rsidRPr="00A972B7">
        <w:t>A: gemeenten gelegen aan een interne grens van de Europese Unie hebben niet meer politiek-bestuurlijke aandacht voor de Europese Unie dan niet-grensgemeenten op het gebied van (i) wetgeving (categorie ‘minimal’); (ii) financiën (categorie ‘financial’); (iii) netwerken (categorie ‘networking’)</w:t>
      </w:r>
      <w:r w:rsidR="008F4523">
        <w:t xml:space="preserve"> en</w:t>
      </w:r>
      <w:r w:rsidRPr="00A972B7">
        <w:t xml:space="preserve"> (iv) lobbyen</w:t>
      </w:r>
      <w:r w:rsidR="008F4523">
        <w:t xml:space="preserve"> </w:t>
      </w:r>
      <w:r w:rsidR="008F4523" w:rsidRPr="008F4523">
        <w:t>(categorie ‘lobbying’)</w:t>
      </w:r>
      <w:r w:rsidR="007D7B0F">
        <w:t xml:space="preserve">. </w:t>
      </w:r>
    </w:p>
    <w:p w14:paraId="051BF4B8" w14:textId="69FB092F" w:rsidR="00980E9E" w:rsidRDefault="00CB4643" w:rsidP="00CB4643">
      <w:pPr>
        <w:pStyle w:val="Kop2"/>
      </w:pPr>
      <w:r>
        <w:t xml:space="preserve">2.5 </w:t>
      </w:r>
      <w:r w:rsidR="00B068F1">
        <w:t>Opstelling</w:t>
      </w:r>
      <w:r w:rsidR="00563831">
        <w:t xml:space="preserve"> gemeentebestuur</w:t>
      </w:r>
    </w:p>
    <w:p w14:paraId="1EAFD8CB" w14:textId="5E5140F0" w:rsidR="00077556" w:rsidRDefault="009C3BCF" w:rsidP="008F490A">
      <w:r w:rsidRPr="009C3BCF">
        <w:t xml:space="preserve">In verschillende onderzoeken komt de </w:t>
      </w:r>
      <w:r w:rsidR="004D2776">
        <w:t xml:space="preserve">opstelling </w:t>
      </w:r>
      <w:r w:rsidRPr="009C3BCF">
        <w:t xml:space="preserve">van het gemeentebestuur naar voren als een verklaring voor het waargenomen verschil in politiek-bestuurlijke aandacht voor Europa (Balme en LeGales, 1992, p. 10; Hamedinger en Wolfhardt 2010, p. 234; Bever et al., 2011, pp. 13-29). Hamedinger en Wolfhardt (2010, p. 234) merken op dat eurofiele partijen meer intrinsiek gemotiveerd zijn om </w:t>
      </w:r>
      <w:r w:rsidR="00280381">
        <w:t xml:space="preserve">actief </w:t>
      </w:r>
      <w:r w:rsidRPr="009C3BCF">
        <w:t>met Europa aan de slag te gaan dan eurosceptische partijen</w:t>
      </w:r>
      <w:r w:rsidR="00005945">
        <w:t xml:space="preserve">. </w:t>
      </w:r>
      <w:r w:rsidRPr="009C3BCF">
        <w:t xml:space="preserve">Vaak gaat bij </w:t>
      </w:r>
      <w:r w:rsidR="00696A1A">
        <w:t>pro-</w:t>
      </w:r>
      <w:r w:rsidR="00D30CE4">
        <w:t xml:space="preserve">Europese </w:t>
      </w:r>
      <w:r w:rsidRPr="009C3BCF">
        <w:t xml:space="preserve">partijen de motivatie ook verder dan puur financiële redenen: het </w:t>
      </w:r>
      <w:r w:rsidR="00230B6C">
        <w:t xml:space="preserve">adviseren van de Europese instanties </w:t>
      </w:r>
      <w:r w:rsidR="00005945">
        <w:t xml:space="preserve">(‘lobbying’) </w:t>
      </w:r>
      <w:r w:rsidR="00230B6C">
        <w:t>en het Europees samenwerken</w:t>
      </w:r>
      <w:r w:rsidR="00005945">
        <w:t xml:space="preserve"> (</w:t>
      </w:r>
      <w:r w:rsidR="005C5E84">
        <w:t>‘networking’)</w:t>
      </w:r>
      <w:r w:rsidR="00230B6C">
        <w:t xml:space="preserve"> an sich worden als nuttig gezien. </w:t>
      </w:r>
      <w:r w:rsidRPr="009C3BCF">
        <w:t>Enerzijds komt de</w:t>
      </w:r>
      <w:r w:rsidR="00E53528">
        <w:t>ze</w:t>
      </w:r>
      <w:r w:rsidRPr="009C3BCF">
        <w:t xml:space="preserve"> motivatie </w:t>
      </w:r>
      <w:r w:rsidR="00E53528">
        <w:t xml:space="preserve">voor een actief Europeaniseringstraject </w:t>
      </w:r>
      <w:r w:rsidRPr="009C3BCF">
        <w:t xml:space="preserve">voort uit de wens om uitvoering te geven aan het </w:t>
      </w:r>
      <w:r w:rsidR="008F490A">
        <w:t xml:space="preserve">eurofiele </w:t>
      </w:r>
      <w:r w:rsidRPr="009C3BCF">
        <w:t>verkiezingsprogramma, anderzijds trekt een eurofiele partij ook bestuurders aan die zelf de meerwaarde van Europa inzien (Bever et al., 2011, pp</w:t>
      </w:r>
      <w:r w:rsidR="005A6E4E">
        <w:t>.</w:t>
      </w:r>
      <w:r w:rsidRPr="009C3BCF">
        <w:t xml:space="preserve"> 13-29). </w:t>
      </w:r>
      <w:r w:rsidRPr="009C3BCF">
        <w:tab/>
      </w:r>
      <w:r w:rsidRPr="009C3BCF">
        <w:tab/>
      </w:r>
      <w:r w:rsidRPr="009C3BCF">
        <w:tab/>
      </w:r>
      <w:r w:rsidRPr="009C3BCF">
        <w:tab/>
      </w:r>
      <w:r w:rsidR="005C5E84">
        <w:tab/>
      </w:r>
      <w:r w:rsidRPr="009C3BCF">
        <w:t>De notie dat lokale actoren zoals het gemeentebestuur invloed hebben op de Europeanisering van een decentrale overheid wordt bestreden door Gross en Debus (2018</w:t>
      </w:r>
      <w:r w:rsidR="00983EEC">
        <w:t>, p. 594</w:t>
      </w:r>
      <w:r w:rsidRPr="009C3BCF">
        <w:t>)</w:t>
      </w:r>
      <w:r w:rsidR="00781E0D">
        <w:t>. In hun onderzoek</w:t>
      </w:r>
      <w:r w:rsidRPr="009C3BCF">
        <w:t xml:space="preserve"> vinden</w:t>
      </w:r>
      <w:r w:rsidR="00781E0D">
        <w:t xml:space="preserve"> zij</w:t>
      </w:r>
      <w:r w:rsidRPr="009C3BCF">
        <w:t xml:space="preserve"> geen bewijs voor de bewering dat politieke kleur van invloed is op de politiek-bestuurlijke Europeanisering van een gemeente. De auteurs zien daarentegen dat de meeste politieke partijen binnen een gemeente zeer pragmatisch met het onderwerp omgaan, zeker wanneer Europese middelen belangrijk zijn voor de lokale economie</w:t>
      </w:r>
      <w:r w:rsidR="00840E08">
        <w:t xml:space="preserve"> (‘financial’)</w:t>
      </w:r>
      <w:r w:rsidRPr="009C3BCF">
        <w:t xml:space="preserve">. In dergelijke gevallen constateren Gross en Debus (2018, p. 598) dat ook eurosceptische partijen bezig zijn met de kansen vanuit Europa. Dit leidt er volgens hen tevens toe dat lokale eurosceptische partijen hun bezwaren tegen de EU matigen en hierin soms lichtelijk afwijken van de landelijke partijlijn. </w:t>
      </w:r>
      <w:r w:rsidR="006C34E7">
        <w:tab/>
      </w:r>
      <w:r w:rsidR="006C34E7">
        <w:tab/>
      </w:r>
      <w:r w:rsidR="006C34E7">
        <w:tab/>
      </w:r>
      <w:r w:rsidR="006C34E7">
        <w:tab/>
      </w:r>
      <w:r w:rsidR="006C34E7">
        <w:tab/>
      </w:r>
      <w:r w:rsidR="006C34E7">
        <w:tab/>
      </w:r>
      <w:r w:rsidR="006C34E7">
        <w:tab/>
        <w:t xml:space="preserve">Alhoewel de beschreven inzichten uit de literatuur op het eerste gezicht elkaar tegenspreken, </w:t>
      </w:r>
      <w:r w:rsidR="009F78CA">
        <w:t>blijkt bij een nadere beschouwing dat zij elkaar juist aanvullen</w:t>
      </w:r>
      <w:r w:rsidR="00CF5A36">
        <w:t>.</w:t>
      </w:r>
      <w:r w:rsidR="00843714">
        <w:t xml:space="preserve"> </w:t>
      </w:r>
      <w:r w:rsidR="00071624">
        <w:t xml:space="preserve">De auteurs die stellen dat de </w:t>
      </w:r>
      <w:r w:rsidR="00583179">
        <w:t xml:space="preserve">opstelling </w:t>
      </w:r>
      <w:r w:rsidR="00090682">
        <w:t>van het gemeentebestuur</w:t>
      </w:r>
      <w:r w:rsidR="00071624">
        <w:t xml:space="preserve"> van invloed is op </w:t>
      </w:r>
      <w:r w:rsidR="00EE4579">
        <w:t xml:space="preserve">de </w:t>
      </w:r>
      <w:r w:rsidR="00C13CE1">
        <w:t xml:space="preserve">Europeanisering van een gemeente </w:t>
      </w:r>
      <w:r w:rsidR="00913FB8">
        <w:t>spreken</w:t>
      </w:r>
      <w:r w:rsidR="00C13CE1">
        <w:t xml:space="preserve"> in dit verband over een actief Europeaniseringstrajec</w:t>
      </w:r>
      <w:r w:rsidR="00792C11">
        <w:t xml:space="preserve">t, </w:t>
      </w:r>
      <w:r w:rsidR="00E64691">
        <w:t>waarmee zij doelen op de</w:t>
      </w:r>
      <w:r w:rsidR="00792C11">
        <w:t xml:space="preserve"> </w:t>
      </w:r>
      <w:r w:rsidR="000B4400">
        <w:t>‘</w:t>
      </w:r>
      <w:r w:rsidR="00792C11">
        <w:t>hogere</w:t>
      </w:r>
      <w:r w:rsidR="000B4400">
        <w:t>’</w:t>
      </w:r>
      <w:r w:rsidR="00792C11">
        <w:t xml:space="preserve"> treden </w:t>
      </w:r>
      <w:r w:rsidR="00E64691">
        <w:t xml:space="preserve">(‘networking’ en ‘lobbying’) </w:t>
      </w:r>
      <w:r w:rsidR="00792C11">
        <w:t>van de Europeaniseringsladder van John (2001)</w:t>
      </w:r>
      <w:r w:rsidR="00640055">
        <w:t>. De auteurs die stellen dat de politieke kleur van een gemeentebestuur geen verschil maakt qua Europeanisering</w:t>
      </w:r>
      <w:r w:rsidR="009B39E0">
        <w:t xml:space="preserve"> </w:t>
      </w:r>
      <w:r w:rsidR="00640055">
        <w:t xml:space="preserve">spreken in dit verband vooral over </w:t>
      </w:r>
      <w:r w:rsidR="008A7B4D">
        <w:t xml:space="preserve">de relatie met </w:t>
      </w:r>
      <w:r w:rsidR="000D756C">
        <w:t xml:space="preserve">de categorie ‘financial’ van de Europeaniseringsladder. </w:t>
      </w:r>
      <w:r w:rsidR="009B39E0">
        <w:t>Over de categorie ‘minimal’ is geen literatuur</w:t>
      </w:r>
      <w:r w:rsidR="00851DA1">
        <w:t xml:space="preserve"> specifiek </w:t>
      </w:r>
      <w:r w:rsidR="00C91D63">
        <w:t xml:space="preserve">voor </w:t>
      </w:r>
      <w:r w:rsidR="00851DA1">
        <w:t xml:space="preserve">decentrale overheden voorhanden, </w:t>
      </w:r>
      <w:r w:rsidR="00872D0B">
        <w:t xml:space="preserve">maar </w:t>
      </w:r>
      <w:r w:rsidR="00AC4313">
        <w:t xml:space="preserve">uit onderzoek van </w:t>
      </w:r>
      <w:r w:rsidR="00756E4F">
        <w:t xml:space="preserve">Toshkov (2019, p. </w:t>
      </w:r>
      <w:r w:rsidR="00077556">
        <w:t xml:space="preserve">22) blijkt dat een </w:t>
      </w:r>
      <w:r w:rsidR="00D35EF3">
        <w:t>eurosceptische</w:t>
      </w:r>
      <w:r w:rsidR="00FF351F">
        <w:t xml:space="preserve"> </w:t>
      </w:r>
      <w:r w:rsidR="00CA3287" w:rsidRPr="00CA3287">
        <w:t xml:space="preserve">uitvoerende macht (in zijn onderzoek een regering) </w:t>
      </w:r>
      <w:r w:rsidR="00077556">
        <w:t xml:space="preserve">niet noodzakelijkerwijs minder aandacht heeft voor de naleving van Europese regelgeving. </w:t>
      </w:r>
      <w:r w:rsidR="00682A68">
        <w:t>Dit leidt</w:t>
      </w:r>
      <w:r w:rsidR="00077556">
        <w:t xml:space="preserve"> tot de formulering van de volgende hypothese:</w:t>
      </w:r>
    </w:p>
    <w:p w14:paraId="02883BA3" w14:textId="144AD944" w:rsidR="008275E5" w:rsidRDefault="00D45C7A" w:rsidP="00E948EE">
      <w:pPr>
        <w:pStyle w:val="Lijstalinea"/>
        <w:numPr>
          <w:ilvl w:val="0"/>
          <w:numId w:val="4"/>
        </w:numPr>
      </w:pPr>
      <w:r>
        <w:t>H</w:t>
      </w:r>
      <w:r w:rsidR="0069687D">
        <w:t>9</w:t>
      </w:r>
      <w:r>
        <w:t xml:space="preserve">: </w:t>
      </w:r>
      <w:r w:rsidR="00690B31">
        <w:t xml:space="preserve">de </w:t>
      </w:r>
      <w:r w:rsidR="00493012">
        <w:t>opstelling</w:t>
      </w:r>
      <w:r w:rsidR="00690B31">
        <w:t xml:space="preserve"> van het gemeentebestuur ten aanzien van de Europese Unie</w:t>
      </w:r>
      <w:r w:rsidR="003310A1">
        <w:t xml:space="preserve"> heeft geen </w:t>
      </w:r>
      <w:r w:rsidR="0026589B">
        <w:t>effect</w:t>
      </w:r>
      <w:r w:rsidR="003310A1">
        <w:t xml:space="preserve"> op politiek-bestuurlijke Europeanisering van een gemeente</w:t>
      </w:r>
      <w:r w:rsidR="00E948EE">
        <w:t xml:space="preserve"> in de </w:t>
      </w:r>
      <w:r w:rsidR="008D6E66">
        <w:t xml:space="preserve">categorieën </w:t>
      </w:r>
      <w:r w:rsidR="008275E5">
        <w:t xml:space="preserve"> </w:t>
      </w:r>
      <w:r w:rsidR="008D6E66">
        <w:t xml:space="preserve">(i) </w:t>
      </w:r>
      <w:r w:rsidR="00E948EE">
        <w:t>‘minimal’</w:t>
      </w:r>
      <w:r w:rsidR="008D6E66">
        <w:t xml:space="preserve"> en (ii) </w:t>
      </w:r>
      <w:r w:rsidR="00420AA7">
        <w:t>‘financial’,</w:t>
      </w:r>
      <w:r w:rsidR="00655854">
        <w:t xml:space="preserve"> </w:t>
      </w:r>
      <w:r w:rsidR="00420AA7">
        <w:t xml:space="preserve">maar </w:t>
      </w:r>
      <w:r w:rsidR="001851BE">
        <w:t>een positief effect</w:t>
      </w:r>
      <w:r w:rsidR="00420AA7">
        <w:t xml:space="preserve"> </w:t>
      </w:r>
      <w:r w:rsidR="001851BE">
        <w:t xml:space="preserve">op </w:t>
      </w:r>
      <w:r w:rsidR="00420AA7">
        <w:t xml:space="preserve">de categorieën (iii) ‘networking’ en (iv) ‘lobbying’. </w:t>
      </w:r>
    </w:p>
    <w:p w14:paraId="20341F69" w14:textId="1C0AB8B4" w:rsidR="00034C29" w:rsidRDefault="0076044C" w:rsidP="00061235">
      <w:pPr>
        <w:pStyle w:val="Kop2"/>
      </w:pPr>
      <w:r>
        <w:t xml:space="preserve">2.6 </w:t>
      </w:r>
      <w:r w:rsidR="00061235">
        <w:t>Aandacht EU voorgaande raadsperiode</w:t>
      </w:r>
    </w:p>
    <w:p w14:paraId="1136C49B" w14:textId="5B2E5A57" w:rsidR="003C6339" w:rsidRDefault="00C31FBD" w:rsidP="003E4676">
      <w:r>
        <w:t xml:space="preserve">Het is goed voorstelbaar dat aandacht in de vorige raadsperiode invloed heeft op de politiek-bestuurlijke Europeanisering in de raadsperiode daarna. </w:t>
      </w:r>
      <w:r w:rsidR="00415520">
        <w:t>Aanwijzingen hiervoor zijn onder meer te vinden in het werk van Hamedinger en Wolfhardt (2010, p. 28), Marshall (200</w:t>
      </w:r>
      <w:r w:rsidR="00C6113F">
        <w:t>5, p. 668) en Pasquier (2004, p. 306) zoals beschreven bij de variabele ‘Ontvangst EU-gelden’.</w:t>
      </w:r>
      <w:r w:rsidR="007153AF">
        <w:t xml:space="preserve"> </w:t>
      </w:r>
      <w:r w:rsidR="007153AF" w:rsidRPr="007153AF">
        <w:t>Op basis van de literatuur kunnen hier echter geen duidelijke uitspraken over worden gedaan</w:t>
      </w:r>
      <w:r w:rsidR="002C187F">
        <w:t>, waarmee deze factor als controlevariabele wordt opgenomen in het model.</w:t>
      </w:r>
      <w:r w:rsidR="000A5491">
        <w:tab/>
      </w:r>
      <w:r w:rsidR="000A5491">
        <w:tab/>
      </w:r>
      <w:r w:rsidR="000A5491">
        <w:tab/>
      </w:r>
      <w:r w:rsidR="000A5491">
        <w:tab/>
      </w:r>
      <w:r w:rsidR="00323606">
        <w:t xml:space="preserve"> </w:t>
      </w:r>
      <w:r w:rsidR="00771276">
        <w:tab/>
      </w:r>
      <w:r w:rsidR="000A5491">
        <w:t xml:space="preserve">Alle hypothesen tezamen leiden tot het </w:t>
      </w:r>
      <w:r w:rsidR="0015642A">
        <w:t>volgende conceptuele model</w:t>
      </w:r>
      <w:r w:rsidR="0015642A">
        <w:rPr>
          <w:rStyle w:val="Voetnootmarkering"/>
        </w:rPr>
        <w:footnoteReference w:id="2"/>
      </w:r>
      <w:r w:rsidR="0015642A">
        <w:t xml:space="preserve">: </w:t>
      </w:r>
    </w:p>
    <w:p w14:paraId="474996E2" w14:textId="2AB0A956" w:rsidR="005E620C" w:rsidRDefault="00F6748C" w:rsidP="00B16194">
      <w:pPr>
        <w:jc w:val="center"/>
      </w:pPr>
      <w:r>
        <w:rPr>
          <w:noProof/>
        </w:rPr>
        <w:drawing>
          <wp:inline distT="0" distB="0" distL="0" distR="0" wp14:anchorId="12CF57CE" wp14:editId="0B5CBDDA">
            <wp:extent cx="5760720" cy="2665095"/>
            <wp:effectExtent l="0" t="0" r="0" b="190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2665095"/>
                    </a:xfrm>
                    <a:prstGeom prst="rect">
                      <a:avLst/>
                    </a:prstGeom>
                    <a:noFill/>
                    <a:ln>
                      <a:noFill/>
                    </a:ln>
                  </pic:spPr>
                </pic:pic>
              </a:graphicData>
            </a:graphic>
          </wp:inline>
        </w:drawing>
      </w:r>
    </w:p>
    <w:p w14:paraId="11ED5989" w14:textId="4F96EADF" w:rsidR="00F55573" w:rsidRDefault="00200968" w:rsidP="00DD066A">
      <w:pPr>
        <w:jc w:val="center"/>
      </w:pPr>
      <w:r>
        <w:t>Figuur 2: conceptueel model</w:t>
      </w:r>
      <w:r w:rsidR="00F55573">
        <w:br w:type="page"/>
      </w:r>
    </w:p>
    <w:p w14:paraId="458F708C" w14:textId="1157656F" w:rsidR="005E620C" w:rsidRDefault="00F55573" w:rsidP="00F55573">
      <w:pPr>
        <w:pStyle w:val="Kop1"/>
        <w:numPr>
          <w:ilvl w:val="0"/>
          <w:numId w:val="1"/>
        </w:numPr>
      </w:pPr>
      <w:r>
        <w:t>Methoden</w:t>
      </w:r>
    </w:p>
    <w:p w14:paraId="6A33D294" w14:textId="69E12F61" w:rsidR="00836CDC" w:rsidRDefault="0043225B" w:rsidP="0043225B">
      <w:pPr>
        <w:pStyle w:val="Kop2"/>
      </w:pPr>
      <w:r>
        <w:t xml:space="preserve">3.1 </w:t>
      </w:r>
      <w:r w:rsidR="00811239">
        <w:t>Onderzoeksme</w:t>
      </w:r>
      <w:r w:rsidR="00F538FB">
        <w:t>thodiek</w:t>
      </w:r>
      <w:r>
        <w:t xml:space="preserve"> </w:t>
      </w:r>
    </w:p>
    <w:p w14:paraId="3F474EDD" w14:textId="077112E0" w:rsidR="001708D2" w:rsidRDefault="00BC0E37" w:rsidP="00745418">
      <w:r>
        <w:t xml:space="preserve">Voor het </w:t>
      </w:r>
      <w:r w:rsidR="009113B6">
        <w:t>beantwoorden van de onderzoeksvraag maakt dit paper gebruik van een</w:t>
      </w:r>
      <w:r w:rsidR="0096740D">
        <w:t xml:space="preserve"> combinatie van kwantitatieve inhoudsanalyse en </w:t>
      </w:r>
      <w:r w:rsidR="001F058A">
        <w:t xml:space="preserve">statistische toetsing. Door middel van een kwantitatieve inhoudsanalyse </w:t>
      </w:r>
      <w:r w:rsidR="00772FD3">
        <w:t xml:space="preserve">verkrijgt deze studie data over de afhankelijke variabele, politiek-bestuurlijke Europeanisering bij gemeenten. </w:t>
      </w:r>
      <w:r w:rsidR="005E027D">
        <w:t xml:space="preserve">De </w:t>
      </w:r>
      <w:r w:rsidR="005E1150">
        <w:t>geconstateerde</w:t>
      </w:r>
      <w:r w:rsidR="005E027D">
        <w:t xml:space="preserve"> </w:t>
      </w:r>
      <w:r w:rsidR="005E1150">
        <w:t>spreiding</w:t>
      </w:r>
      <w:r w:rsidR="005E027D">
        <w:t xml:space="preserve"> </w:t>
      </w:r>
      <w:r w:rsidR="00761E7C">
        <w:t xml:space="preserve">in deze variabele </w:t>
      </w:r>
      <w:r w:rsidR="005E027D">
        <w:t xml:space="preserve">beoogt dit paper vervolgens </w:t>
      </w:r>
      <w:r w:rsidR="00F54192">
        <w:t xml:space="preserve">te verklaren </w:t>
      </w:r>
      <w:r w:rsidR="008C45A8">
        <w:t xml:space="preserve">door </w:t>
      </w:r>
      <w:r w:rsidR="00D36549">
        <w:t xml:space="preserve">de </w:t>
      </w:r>
      <w:r w:rsidR="007518F2">
        <w:t>verschillende</w:t>
      </w:r>
      <w:r w:rsidR="008C45A8">
        <w:t xml:space="preserve"> </w:t>
      </w:r>
      <w:r w:rsidR="007A0E34">
        <w:t xml:space="preserve">verklarende factoren </w:t>
      </w:r>
      <w:r w:rsidR="008C45A8">
        <w:t>uit de literatuur op hun houdbaarheid te toetsen</w:t>
      </w:r>
      <w:r w:rsidR="00761E7C">
        <w:t>. Hiervoor gebruikt dit onderzoe</w:t>
      </w:r>
      <w:r w:rsidR="00174E32">
        <w:t xml:space="preserve">k </w:t>
      </w:r>
      <w:r w:rsidR="00283C36">
        <w:t xml:space="preserve">een combinatie </w:t>
      </w:r>
      <w:r w:rsidR="007F04ED">
        <w:t xml:space="preserve">van een </w:t>
      </w:r>
      <w:r w:rsidR="008F1BB5">
        <w:t xml:space="preserve">binaire en een </w:t>
      </w:r>
      <w:r w:rsidR="007F04ED">
        <w:t>multinomiale logistische regressie</w:t>
      </w:r>
      <w:r w:rsidR="0017102E">
        <w:t>analyse</w:t>
      </w:r>
      <w:r w:rsidR="00793B88">
        <w:t xml:space="preserve">, waarbij de multinomiale </w:t>
      </w:r>
      <w:r w:rsidR="0017102E">
        <w:t>variant</w:t>
      </w:r>
      <w:r w:rsidR="00793B88">
        <w:t xml:space="preserve"> als primaire toets geldt. </w:t>
      </w:r>
      <w:r w:rsidR="00793B88">
        <w:tab/>
      </w:r>
      <w:r w:rsidR="00793B88">
        <w:tab/>
      </w:r>
      <w:r w:rsidR="00793B88">
        <w:tab/>
      </w:r>
      <w:r w:rsidR="007F04ED">
        <w:t xml:space="preserve"> </w:t>
      </w:r>
      <w:r w:rsidR="00CA3F72">
        <w:tab/>
      </w:r>
      <w:r w:rsidR="00CA3F72">
        <w:tab/>
      </w:r>
      <w:r w:rsidR="007A0E34">
        <w:tab/>
      </w:r>
      <w:r w:rsidR="007A0E34">
        <w:tab/>
      </w:r>
      <w:r w:rsidR="007A0E34">
        <w:tab/>
      </w:r>
      <w:r w:rsidR="007A0E34">
        <w:tab/>
      </w:r>
      <w:r w:rsidR="007A0E34">
        <w:tab/>
      </w:r>
      <w:r w:rsidR="0017102E">
        <w:tab/>
      </w:r>
      <w:r w:rsidR="00920392">
        <w:t>Binnen deze studie is een belangrijke rol weggelegd voor de kwantitatieve inhoudsanalyse</w:t>
      </w:r>
      <w:r w:rsidR="00415C91">
        <w:t xml:space="preserve"> van gemeentelijke coalitieakkoorden</w:t>
      </w:r>
      <w:r w:rsidR="0062720A">
        <w:t>.</w:t>
      </w:r>
      <w:r w:rsidR="00FE7EF8">
        <w:t xml:space="preserve"> </w:t>
      </w:r>
      <w:r w:rsidR="00310FA3">
        <w:t xml:space="preserve">Eigen aan </w:t>
      </w:r>
      <w:r w:rsidR="00E85110">
        <w:t>de kwantitatieve inhoudsanalyse</w:t>
      </w:r>
      <w:r w:rsidR="00310FA3">
        <w:t xml:space="preserve"> is dat de onderzoeker op een systematische </w:t>
      </w:r>
      <w:r w:rsidR="004C75FC">
        <w:t>wijze de inhoud van relevant geachte documenten codeert om op basis hiervan uitspraken over de werkelijkheid te doen</w:t>
      </w:r>
      <w:r w:rsidR="00D45718">
        <w:t xml:space="preserve"> (Hansen et al. 1998</w:t>
      </w:r>
      <w:r w:rsidR="0062720A">
        <w:t xml:space="preserve">, p. </w:t>
      </w:r>
      <w:r w:rsidR="003826B0">
        <w:t>34</w:t>
      </w:r>
      <w:r w:rsidR="00D45718">
        <w:t>)</w:t>
      </w:r>
      <w:r w:rsidR="004C75FC">
        <w:t xml:space="preserve">. </w:t>
      </w:r>
      <w:r w:rsidR="005A60A8">
        <w:t xml:space="preserve">Daarbij is de </w:t>
      </w:r>
      <w:r w:rsidR="00395368">
        <w:t>onderzoekseenheid</w:t>
      </w:r>
      <w:r w:rsidR="005A60A8">
        <w:t xml:space="preserve">, hetgeen waarover dit paper uitspraken doet, de politiek-bestuurlijke </w:t>
      </w:r>
      <w:r w:rsidR="006C3BCE">
        <w:t>Europeanisering</w:t>
      </w:r>
      <w:r w:rsidR="00395368">
        <w:t xml:space="preserve"> van Nederlandse gemeenten. De waarnemingseenheid, </w:t>
      </w:r>
      <w:r w:rsidR="006B7A28">
        <w:t xml:space="preserve">de bron waaruit informatie </w:t>
      </w:r>
      <w:r w:rsidR="007B6606">
        <w:t xml:space="preserve">verzameld wordt, betreft in deze studie gemeentelijke coalitieakkoorden. </w:t>
      </w:r>
      <w:r w:rsidR="00894E02">
        <w:t xml:space="preserve">Als eindresultaat van de onderhandelingen tussen de deelnemende partijen aan het college van Burgemeester en Wethouder (B&amp;W) </w:t>
      </w:r>
      <w:r w:rsidR="002075AD">
        <w:t xml:space="preserve">is het coalitieakkoord volgens Schaap (2015, p. 96) een van de belangrijkste documenten </w:t>
      </w:r>
      <w:r w:rsidR="00EF7226">
        <w:t>binnen de gemeente</w:t>
      </w:r>
      <w:r w:rsidR="004D3434">
        <w:t>lijke organisatie</w:t>
      </w:r>
      <w:r w:rsidR="00EF7226">
        <w:t xml:space="preserve">. Aangezien het college van B&amp;W </w:t>
      </w:r>
      <w:r w:rsidR="00F42E76">
        <w:t>het bestuur van een gemeente vormt, is het gebruik van een coalitieakkoord</w:t>
      </w:r>
      <w:r w:rsidR="00E666F4">
        <w:t xml:space="preserve"> als graadmeter voor de politiek-bestuurlijke aandacht gerechtvaardigd</w:t>
      </w:r>
      <w:r w:rsidR="00AD0603">
        <w:t xml:space="preserve"> </w:t>
      </w:r>
      <w:r w:rsidR="00BB01DE">
        <w:t xml:space="preserve">en in </w:t>
      </w:r>
      <w:r w:rsidR="00975DCD">
        <w:t>overeenstemming</w:t>
      </w:r>
      <w:r w:rsidR="00BB01DE">
        <w:t xml:space="preserve"> met eerdere studie</w:t>
      </w:r>
      <w:r w:rsidR="00BC2909">
        <w:t>s</w:t>
      </w:r>
      <w:r w:rsidR="00BB01DE">
        <w:t xml:space="preserve"> zoals Zwaan en Van Genugten (2014)</w:t>
      </w:r>
      <w:r w:rsidR="00AA168E">
        <w:t xml:space="preserve"> en </w:t>
      </w:r>
      <w:r w:rsidR="00BB01DE">
        <w:t>Elem</w:t>
      </w:r>
      <w:r w:rsidR="00AA168E">
        <w:t>a</w:t>
      </w:r>
      <w:r w:rsidR="00BB01DE">
        <w:t>ns et al. (2019)</w:t>
      </w:r>
      <w:r w:rsidR="00AA168E">
        <w:t xml:space="preserve">. </w:t>
      </w:r>
      <w:r w:rsidR="000D65DA">
        <w:t xml:space="preserve">Verdere onderbouwing voor het belang en de </w:t>
      </w:r>
      <w:r w:rsidR="00AF3EF7">
        <w:t>geschiktheid</w:t>
      </w:r>
      <w:r w:rsidR="000D65DA">
        <w:t xml:space="preserve"> van coalitieakkoord</w:t>
      </w:r>
      <w:r w:rsidR="00E37984">
        <w:t>en</w:t>
      </w:r>
      <w:r w:rsidR="000D65DA">
        <w:t xml:space="preserve"> vindt dit paper in de </w:t>
      </w:r>
      <w:r w:rsidR="00353EF6">
        <w:t xml:space="preserve">studies van </w:t>
      </w:r>
      <w:r w:rsidR="00AE2731">
        <w:t>Moury (2010</w:t>
      </w:r>
      <w:r w:rsidR="007E4DA9">
        <w:t>)</w:t>
      </w:r>
      <w:r w:rsidR="00FE462C">
        <w:t>,</w:t>
      </w:r>
      <w:r w:rsidR="00F32A16">
        <w:t xml:space="preserve"> </w:t>
      </w:r>
      <w:r w:rsidR="00F32A16" w:rsidRPr="00F32A16">
        <w:t>Pedersen en Christiansen (2012)</w:t>
      </w:r>
      <w:r w:rsidR="00FE462C">
        <w:t xml:space="preserve"> en Breeman et al. (2014)</w:t>
      </w:r>
      <w:r w:rsidR="00E31CE3">
        <w:t>. Zij concluderen dat</w:t>
      </w:r>
      <w:r w:rsidR="00F32A16">
        <w:t xml:space="preserve"> </w:t>
      </w:r>
      <w:r w:rsidR="001F25CA">
        <w:t xml:space="preserve">onderwerpen die in coalitieakkoord aan bod komen </w:t>
      </w:r>
      <w:r w:rsidR="002A0CB1">
        <w:t xml:space="preserve">gemiddeld een hoge prioriteit </w:t>
      </w:r>
      <w:r w:rsidR="00EC6CDA">
        <w:t>genieten</w:t>
      </w:r>
      <w:r w:rsidR="002A0CB1">
        <w:t xml:space="preserve"> en tevens de bewegingsvrijheid van bewindspersonen </w:t>
      </w:r>
      <w:r w:rsidR="005F7AF8">
        <w:t>beperken.</w:t>
      </w:r>
      <w:r w:rsidR="00E31CE3">
        <w:t xml:space="preserve"> </w:t>
      </w:r>
      <w:r w:rsidR="00353EF6">
        <w:t xml:space="preserve">Tot slot </w:t>
      </w:r>
      <w:r w:rsidR="00A45E60">
        <w:t xml:space="preserve">merkt </w:t>
      </w:r>
      <w:r w:rsidR="00051121">
        <w:t xml:space="preserve">Schaap (2015, p. 96) op dat haast iedere gemeente </w:t>
      </w:r>
      <w:r w:rsidR="0088607D">
        <w:t xml:space="preserve">in Nederland </w:t>
      </w:r>
      <w:r w:rsidR="00051121">
        <w:t>over een coalitieakkoord beschikt</w:t>
      </w:r>
      <w:r w:rsidR="00385302">
        <w:rPr>
          <w:rStyle w:val="Voetnootmarkering"/>
        </w:rPr>
        <w:footnoteReference w:id="3"/>
      </w:r>
      <w:r w:rsidR="00D90DC6">
        <w:t>, wat het onderling vergelijken van gemeente</w:t>
      </w:r>
      <w:r w:rsidR="00FE3A25">
        <w:t>n</w:t>
      </w:r>
      <w:r w:rsidR="00D90DC6">
        <w:t xml:space="preserve"> </w:t>
      </w:r>
      <w:r w:rsidR="009E7250">
        <w:t>vergemakkelijkt</w:t>
      </w:r>
      <w:r w:rsidR="00415C91">
        <w:t>.</w:t>
      </w:r>
      <w:r w:rsidR="00415C91">
        <w:tab/>
      </w:r>
      <w:r w:rsidR="00781F49">
        <w:tab/>
      </w:r>
      <w:r w:rsidR="00781F49">
        <w:tab/>
      </w:r>
      <w:r w:rsidR="00781F49">
        <w:tab/>
      </w:r>
      <w:r w:rsidR="00781F49">
        <w:tab/>
      </w:r>
      <w:r w:rsidR="00781F49">
        <w:tab/>
      </w:r>
      <w:r w:rsidR="00781F49">
        <w:tab/>
      </w:r>
      <w:r w:rsidR="00C75F7B">
        <w:t>Om de robuustheid van de bevindingen van deze studie te vergroten en de interne validiteit te verhogen</w:t>
      </w:r>
      <w:r w:rsidR="0030546A">
        <w:t xml:space="preserve">, kijkt deze studie verder dan één </w:t>
      </w:r>
      <w:r w:rsidR="009B742C">
        <w:t>raads</w:t>
      </w:r>
      <w:r w:rsidR="0030546A">
        <w:t xml:space="preserve">periode of een </w:t>
      </w:r>
      <w:r w:rsidR="00D733D7">
        <w:t xml:space="preserve">dichotoom </w:t>
      </w:r>
      <w:r w:rsidR="0030546A">
        <w:t xml:space="preserve">onderscheid tussen </w:t>
      </w:r>
      <w:r w:rsidR="00B57DAA">
        <w:t>geen en wel</w:t>
      </w:r>
      <w:r w:rsidR="0030546A">
        <w:t xml:space="preserve"> aandacht. </w:t>
      </w:r>
      <w:r w:rsidR="00782A4B">
        <w:t xml:space="preserve">Zo zijn naast de coalitieakkoorden uit de raadsperiode 2022-2026 ook de </w:t>
      </w:r>
      <w:r w:rsidR="0059278F">
        <w:t xml:space="preserve">collegeprogramma’s van 2014-2018 en 2018-2022 </w:t>
      </w:r>
      <w:r w:rsidR="00CD7400">
        <w:t>geanalyseerd</w:t>
      </w:r>
      <w:r w:rsidR="0059278F">
        <w:t xml:space="preserve">. Dit maakt het mogelijk om een </w:t>
      </w:r>
      <w:r w:rsidR="003B64FD">
        <w:t>vergelijking over de tijd te maken</w:t>
      </w:r>
      <w:r w:rsidR="004A62A7">
        <w:t xml:space="preserve"> en</w:t>
      </w:r>
      <w:r w:rsidR="00602EB7">
        <w:t xml:space="preserve"> </w:t>
      </w:r>
      <w:r w:rsidR="00971596">
        <w:t xml:space="preserve">het </w:t>
      </w:r>
      <w:r w:rsidR="00602EB7">
        <w:t xml:space="preserve">stelt de onderzoeker in staat om de geformuleerde hypothesen te toetsen in verschillende tijdsgewrichten. </w:t>
      </w:r>
      <w:r w:rsidR="005E0573">
        <w:t xml:space="preserve">Verder </w:t>
      </w:r>
      <w:r w:rsidR="003B64FD">
        <w:t>heeft er</w:t>
      </w:r>
      <w:r w:rsidR="007E5CB8">
        <w:t xml:space="preserve"> binnen de categorie die wel aandacht heeft voor de EU</w:t>
      </w:r>
      <w:r w:rsidR="003B64FD">
        <w:t xml:space="preserve"> een </w:t>
      </w:r>
      <w:r w:rsidR="002923AA">
        <w:t xml:space="preserve">nadere </w:t>
      </w:r>
      <w:r w:rsidR="003B64FD">
        <w:t>indeling op basis van het soort aandacht plaatsgevonden</w:t>
      </w:r>
      <w:r w:rsidR="00476A4F">
        <w:t xml:space="preserve">. </w:t>
      </w:r>
      <w:r w:rsidR="001708D2">
        <w:t xml:space="preserve">Op deze wijze biedt deze studie </w:t>
      </w:r>
      <w:r w:rsidR="005170A0">
        <w:t xml:space="preserve">tevens inzicht in de </w:t>
      </w:r>
      <w:r w:rsidR="00314CA2">
        <w:t xml:space="preserve">verschillen die bestaan binnen </w:t>
      </w:r>
      <w:r w:rsidR="00F96887">
        <w:t>de geëuropeaniseerde categorie</w:t>
      </w:r>
      <w:r w:rsidR="007F4ACE">
        <w:t xml:space="preserve">, wat bijdraagt aan een betere weergave van de werkelijkheid. </w:t>
      </w:r>
    </w:p>
    <w:p w14:paraId="6A9E4E2F" w14:textId="1593D278" w:rsidR="006D4C15" w:rsidRDefault="0043225B" w:rsidP="0043225B">
      <w:pPr>
        <w:pStyle w:val="Kop2"/>
      </w:pPr>
      <w:r>
        <w:t>3.2 Operationalisatie</w:t>
      </w:r>
      <w:r w:rsidR="00BF06D6">
        <w:t xml:space="preserve"> &amp; dataverzameling </w:t>
      </w:r>
    </w:p>
    <w:p w14:paraId="41EA7D13" w14:textId="07E3E382" w:rsidR="0045686B" w:rsidRDefault="00A426E9" w:rsidP="00CC2CE2">
      <w:r>
        <w:t>I</w:t>
      </w:r>
      <w:r w:rsidR="008553EA">
        <w:t>n het theoretisch kader zijn verschillende variabelen aan bod gekomen die nadere</w:t>
      </w:r>
      <w:r w:rsidR="001C2AFA">
        <w:t xml:space="preserve"> uitwerking </w:t>
      </w:r>
      <w:r w:rsidR="008257EA">
        <w:t xml:space="preserve">vereisen </w:t>
      </w:r>
      <w:r w:rsidR="002949A4">
        <w:t xml:space="preserve">om een adequate dataverzameling mogelijk te maken. </w:t>
      </w:r>
      <w:r w:rsidR="0035563F">
        <w:t xml:space="preserve">Te beginnen met </w:t>
      </w:r>
      <w:r w:rsidR="002949A4">
        <w:t xml:space="preserve">het </w:t>
      </w:r>
      <w:r w:rsidR="00BA39CC">
        <w:t>concept dat centraal staat in dit onderzoek</w:t>
      </w:r>
      <w:r w:rsidR="002949A4">
        <w:t xml:space="preserve">: de afhankelijke </w:t>
      </w:r>
      <w:r w:rsidR="00BA39CC">
        <w:t>variabele</w:t>
      </w:r>
      <w:r w:rsidR="0035563F">
        <w:t xml:space="preserve"> ‘politiek-bestuurlijke Europeanisering bij gemeenten’.</w:t>
      </w:r>
      <w:r w:rsidR="008F20D7">
        <w:t xml:space="preserve"> </w:t>
      </w:r>
      <w:r w:rsidR="005E5779" w:rsidRPr="00DF5F02">
        <w:t xml:space="preserve">Voor het </w:t>
      </w:r>
      <w:r w:rsidR="00DF5F02" w:rsidRPr="00DF5F02">
        <w:t>meten</w:t>
      </w:r>
      <w:r w:rsidR="005E5779">
        <w:t xml:space="preserve"> </w:t>
      </w:r>
      <w:r w:rsidR="007476AF">
        <w:t>van de</w:t>
      </w:r>
      <w:r w:rsidR="00687DEF">
        <w:t xml:space="preserve"> </w:t>
      </w:r>
      <w:r w:rsidR="00F120D8">
        <w:t xml:space="preserve">Europeanisering (of juist afwezigheid hiervan) </w:t>
      </w:r>
      <w:r w:rsidR="00DF5F02">
        <w:t>bij een</w:t>
      </w:r>
      <w:r w:rsidR="00F120D8">
        <w:t xml:space="preserve"> gemeente is het coalitieakkoord van de betreffende gemeente handmatig gecodeerd</w:t>
      </w:r>
      <w:r w:rsidR="00A21DF6">
        <w:rPr>
          <w:rStyle w:val="Voetnootmarkering"/>
        </w:rPr>
        <w:footnoteReference w:id="4"/>
      </w:r>
      <w:r w:rsidR="00F120D8">
        <w:t xml:space="preserve">. </w:t>
      </w:r>
      <w:r w:rsidR="00E36B21">
        <w:t xml:space="preserve">Het coderen van de coalitieakkoorden geschiedde in twee fases. </w:t>
      </w:r>
      <w:r w:rsidR="00F409C9">
        <w:t xml:space="preserve">In de eerste fase </w:t>
      </w:r>
      <w:r w:rsidR="00C97C38">
        <w:t xml:space="preserve">zijn </w:t>
      </w:r>
      <w:r w:rsidR="00A64946">
        <w:t>de gemeenten ingedeeld naargelang ze geen (0) of wel (1</w:t>
      </w:r>
      <w:r w:rsidR="008C2F4A">
        <w:t>-4</w:t>
      </w:r>
      <w:r w:rsidR="00A64946">
        <w:t>) aandacht hadden voor de Europese Unie in het coalitieakkoord.</w:t>
      </w:r>
      <w:r w:rsidR="00BA197D">
        <w:t xml:space="preserve"> Deze </w:t>
      </w:r>
      <w:r w:rsidR="006D7067">
        <w:t xml:space="preserve">binaire </w:t>
      </w:r>
      <w:r w:rsidR="00BA197D">
        <w:t>schifting</w:t>
      </w:r>
      <w:r w:rsidR="00DA0480">
        <w:t xml:space="preserve"> </w:t>
      </w:r>
      <w:r w:rsidR="006D7067">
        <w:t xml:space="preserve">dient als basis voor de </w:t>
      </w:r>
      <w:r w:rsidR="00F02A38">
        <w:t xml:space="preserve">logistische regressieanalyse en </w:t>
      </w:r>
      <w:r w:rsidR="00DA0480">
        <w:t xml:space="preserve">is gemaakt door alle coalitieakkoorden </w:t>
      </w:r>
      <w:r w:rsidR="000368E2">
        <w:t>te doorlopen</w:t>
      </w:r>
      <w:r w:rsidR="00DA0480">
        <w:t xml:space="preserve"> op een aantal gerelateerde zoektermen</w:t>
      </w:r>
      <w:r w:rsidR="00D6629E">
        <w:t xml:space="preserve">, waarvan </w:t>
      </w:r>
      <w:r w:rsidR="00DA0480">
        <w:t>‘Europ-’, ‘Brussel’, ‘Euregio-’</w:t>
      </w:r>
      <w:r w:rsidR="00C87573">
        <w:t xml:space="preserve"> en</w:t>
      </w:r>
      <w:r w:rsidR="00333C88">
        <w:t xml:space="preserve"> ‘EU’</w:t>
      </w:r>
      <w:r w:rsidR="00D6629E">
        <w:t xml:space="preserve"> de belangrijkste zijn. Centraal </w:t>
      </w:r>
      <w:r w:rsidR="002777CC">
        <w:t xml:space="preserve">bij het maken van dit onderscheid stond </w:t>
      </w:r>
      <w:r w:rsidR="0008016E">
        <w:t>de aan- dan wel afwezigheid van expliciete</w:t>
      </w:r>
      <w:r w:rsidR="002777CC">
        <w:t xml:space="preserve"> aandacht voor de Europese Unie</w:t>
      </w:r>
      <w:r w:rsidR="001531B8">
        <w:t xml:space="preserve">. Vermeldingen die wel een van de zoektermen bevatten, maar geen aandacht voor de EU weergeven zijn daarbij als false positives aangemerkt en buiten beschouwing gelaten. </w:t>
      </w:r>
      <w:r w:rsidR="00551E49">
        <w:tab/>
      </w:r>
      <w:r w:rsidR="00551E49">
        <w:tab/>
      </w:r>
      <w:r w:rsidR="00551E49">
        <w:tab/>
      </w:r>
      <w:r w:rsidR="00551E49">
        <w:tab/>
      </w:r>
      <w:r w:rsidR="00551E49">
        <w:tab/>
      </w:r>
      <w:r w:rsidR="00551E49">
        <w:tab/>
      </w:r>
      <w:r w:rsidR="00746EEA">
        <w:tab/>
      </w:r>
      <w:r w:rsidR="00F02A38">
        <w:tab/>
      </w:r>
      <w:r w:rsidR="00F02A38">
        <w:tab/>
      </w:r>
      <w:r w:rsidR="00F02A38">
        <w:tab/>
      </w:r>
      <w:r w:rsidR="00746EEA">
        <w:t>In de tweede fase zijn de gemeenten die wel (1</w:t>
      </w:r>
      <w:r w:rsidR="00C8684B">
        <w:t>-4</w:t>
      </w:r>
      <w:r w:rsidR="00746EEA">
        <w:t>) aandacht hebben voor Europa in hun coalitieakkoord nader gecodeerd naargelang het soort aandacht</w:t>
      </w:r>
      <w:r w:rsidR="00E41BDE">
        <w:t xml:space="preserve"> </w:t>
      </w:r>
      <w:r w:rsidR="000B23B5">
        <w:t>dat het college van B&amp;W</w:t>
      </w:r>
      <w:r w:rsidR="00970373">
        <w:t xml:space="preserve"> heeft</w:t>
      </w:r>
      <w:r w:rsidR="00CC2CE2">
        <w:t xml:space="preserve">. Dit geschiedde met behulp van de Europeaniseringsladder van John (2001, p. 72). </w:t>
      </w:r>
      <w:r w:rsidR="00317760">
        <w:t xml:space="preserve">De </w:t>
      </w:r>
      <w:r w:rsidR="001B0A03">
        <w:t>wijze</w:t>
      </w:r>
      <w:r w:rsidR="00317760">
        <w:t xml:space="preserve"> van </w:t>
      </w:r>
      <w:r w:rsidR="00C862C9">
        <w:t xml:space="preserve">Europeanisering </w:t>
      </w:r>
      <w:r w:rsidR="009F0CE3">
        <w:t>(‘minimal’</w:t>
      </w:r>
      <w:r w:rsidR="00AF1033">
        <w:t xml:space="preserve"> (</w:t>
      </w:r>
      <w:r w:rsidR="00F113DC">
        <w:t>1</w:t>
      </w:r>
      <w:r w:rsidR="00AF1033">
        <w:t>)</w:t>
      </w:r>
      <w:r w:rsidR="009F0CE3">
        <w:t xml:space="preserve">, </w:t>
      </w:r>
      <w:r w:rsidR="002A40DE">
        <w:t>‘financial’</w:t>
      </w:r>
      <w:r w:rsidR="00AF1033">
        <w:t xml:space="preserve"> (</w:t>
      </w:r>
      <w:r w:rsidR="00F113DC">
        <w:t>2</w:t>
      </w:r>
      <w:r w:rsidR="00AF1033">
        <w:t>)</w:t>
      </w:r>
      <w:r w:rsidR="002A40DE">
        <w:t>, ‘networking’</w:t>
      </w:r>
      <w:r w:rsidR="00AF1033">
        <w:t xml:space="preserve"> (</w:t>
      </w:r>
      <w:r w:rsidR="00F113DC">
        <w:t>3</w:t>
      </w:r>
      <w:r w:rsidR="00AF1033">
        <w:t>)</w:t>
      </w:r>
      <w:r w:rsidR="002A40DE">
        <w:t xml:space="preserve"> en ‘lobbying’</w:t>
      </w:r>
      <w:r w:rsidR="00AF1033">
        <w:t xml:space="preserve"> (</w:t>
      </w:r>
      <w:r w:rsidR="00F113DC">
        <w:t>4</w:t>
      </w:r>
      <w:r w:rsidR="00AF1033">
        <w:t>)</w:t>
      </w:r>
      <w:r w:rsidR="002A40DE">
        <w:t xml:space="preserve">) </w:t>
      </w:r>
      <w:r w:rsidR="00317760">
        <w:t xml:space="preserve">die John (2001) onderscheidt zijn gebruikt als </w:t>
      </w:r>
      <w:r w:rsidR="006E3B94">
        <w:t>categorieën</w:t>
      </w:r>
      <w:r w:rsidR="00317760">
        <w:t xml:space="preserve"> en de </w:t>
      </w:r>
      <w:r w:rsidR="00D6078F">
        <w:t>treden</w:t>
      </w:r>
      <w:r w:rsidR="00317760">
        <w:t xml:space="preserve"> die de ladder </w:t>
      </w:r>
      <w:r w:rsidR="00897C10">
        <w:t>bevat zijn gebruikt als</w:t>
      </w:r>
      <w:r w:rsidR="00AB5927">
        <w:t xml:space="preserve"> </w:t>
      </w:r>
      <w:r w:rsidR="00ED202C">
        <w:t>indicatoren</w:t>
      </w:r>
      <w:r w:rsidR="00AB5927">
        <w:t xml:space="preserve">. De indicatoren hebben daarbij tot doel om vast te stellen binnen welke </w:t>
      </w:r>
      <w:r w:rsidR="006E3B94">
        <w:t>categorie</w:t>
      </w:r>
      <w:r w:rsidR="00903CA5">
        <w:t xml:space="preserve"> de getoonde aandacht voor de EU valt. </w:t>
      </w:r>
      <w:r w:rsidR="00E16475">
        <w:t xml:space="preserve">Bij dit alles is het mogelijk dat een gemeente op basis van haar coalitieakkoord tot meerdere </w:t>
      </w:r>
      <w:r w:rsidR="00925576">
        <w:t>categorieën</w:t>
      </w:r>
      <w:r w:rsidR="00E16475">
        <w:t xml:space="preserve"> van de Europeaniseringsladder be</w:t>
      </w:r>
      <w:r w:rsidR="00221318">
        <w:t xml:space="preserve">hoort. Vanuit de vereiste van een stabiele referentiecategorie voor </w:t>
      </w:r>
      <w:r w:rsidR="00376E1E">
        <w:t xml:space="preserve">een </w:t>
      </w:r>
      <w:r w:rsidR="00221318">
        <w:t xml:space="preserve">multinomiale logistische regressie </w:t>
      </w:r>
      <w:r w:rsidR="004754C9">
        <w:t xml:space="preserve">zijn dergelijke gevallen gecodeerd naar de categorie waar zij op basis van </w:t>
      </w:r>
      <w:r w:rsidR="00BC6DA1">
        <w:t>de toon en inhoud</w:t>
      </w:r>
      <w:r w:rsidR="00D2624C">
        <w:t xml:space="preserve"> van het</w:t>
      </w:r>
      <w:r w:rsidR="004754C9">
        <w:t xml:space="preserve"> coalitieakkoord </w:t>
      </w:r>
      <w:r w:rsidR="00AA6670">
        <w:t xml:space="preserve">de meeste overeenkomst mee vertonen (Field, 2018, p. </w:t>
      </w:r>
      <w:r w:rsidR="00925576">
        <w:t>808</w:t>
      </w:r>
      <w:r w:rsidR="003778E9">
        <w:t>)</w:t>
      </w:r>
      <w:r w:rsidR="00AA6670">
        <w:t xml:space="preserve">. </w:t>
      </w:r>
      <w:r w:rsidR="00607474">
        <w:t>Bepalend bi</w:t>
      </w:r>
      <w:r w:rsidR="00F14F61">
        <w:t>j</w:t>
      </w:r>
      <w:r w:rsidR="00607474">
        <w:t xml:space="preserve"> deze keuze wa</w:t>
      </w:r>
      <w:r w:rsidR="00D065F3">
        <w:t xml:space="preserve">s het aantal kwantitatieve vermeldingen </w:t>
      </w:r>
      <w:r w:rsidR="00A61F5E">
        <w:t>voor een bepaalde categorie van Europeanisering</w:t>
      </w:r>
      <w:r w:rsidR="00974955">
        <w:t xml:space="preserve"> in het coalitieakkoord</w:t>
      </w:r>
      <w:r w:rsidR="000B4112">
        <w:t>.</w:t>
      </w:r>
      <w:r w:rsidR="009F2074">
        <w:t xml:space="preserve"> </w:t>
      </w:r>
      <w:r w:rsidR="001762E4">
        <w:t>Bij een zeer beperkt aantal gemeenten</w:t>
      </w:r>
      <w:r w:rsidR="007E39B5">
        <w:t xml:space="preserve"> was er twijfel </w:t>
      </w:r>
      <w:r w:rsidR="004873F4">
        <w:t>over de codering</w:t>
      </w:r>
      <w:r w:rsidR="00131605">
        <w:t xml:space="preserve"> aangaande de primaire </w:t>
      </w:r>
      <w:r w:rsidR="007D4AB5">
        <w:t xml:space="preserve">vorm van Europeanisering. In dergelijke gevallen </w:t>
      </w:r>
      <w:r w:rsidR="00CF3FB2">
        <w:t xml:space="preserve">heeft </w:t>
      </w:r>
      <w:r w:rsidR="002A0851">
        <w:t xml:space="preserve">de codeur </w:t>
      </w:r>
      <w:r w:rsidR="005D73C4">
        <w:t>overlegd met zijn stagebegeleider</w:t>
      </w:r>
      <w:r w:rsidR="002A0851">
        <w:t>.</w:t>
      </w:r>
      <w:r w:rsidR="00006D4F">
        <w:t xml:space="preserve"> </w:t>
      </w:r>
      <w:r w:rsidR="00BD0D70">
        <w:t xml:space="preserve">In bijlage I staat het codeerschema van de afhankelijke variabele </w:t>
      </w:r>
      <w:r w:rsidR="00CD26F4">
        <w:t xml:space="preserve">‘politiek-bestuurlijke Europeanisering bij gemeenten’ </w:t>
      </w:r>
      <w:r w:rsidR="003109BC">
        <w:t xml:space="preserve">in boomstructuur </w:t>
      </w:r>
      <w:r w:rsidR="00CD26F4">
        <w:t xml:space="preserve">weergegeven. </w:t>
      </w:r>
      <w:r w:rsidR="00730B7C">
        <w:tab/>
      </w:r>
      <w:r w:rsidR="00730B7C">
        <w:tab/>
      </w:r>
      <w:r w:rsidR="00CF3FB2">
        <w:tab/>
      </w:r>
      <w:r w:rsidR="00CF3FB2">
        <w:tab/>
      </w:r>
      <w:r w:rsidR="00CF3FB2">
        <w:tab/>
      </w:r>
      <w:r w:rsidR="00CF3FB2">
        <w:tab/>
      </w:r>
      <w:r w:rsidR="00CF3FB2">
        <w:tab/>
      </w:r>
      <w:r w:rsidR="005D73C4">
        <w:tab/>
      </w:r>
      <w:r w:rsidR="005D73C4">
        <w:tab/>
      </w:r>
      <w:r w:rsidR="00730B7C">
        <w:t xml:space="preserve">Naast een afhankelijke variabele, kent deze studie ook meerdere </w:t>
      </w:r>
      <w:r w:rsidR="00166794">
        <w:t>onafhankelijke</w:t>
      </w:r>
      <w:r w:rsidR="008D73AF">
        <w:t xml:space="preserve"> </w:t>
      </w:r>
      <w:r w:rsidR="00730B7C">
        <w:t>variabelen</w:t>
      </w:r>
      <w:r w:rsidR="009839F7">
        <w:t xml:space="preserve">. </w:t>
      </w:r>
      <w:r w:rsidR="00656957">
        <w:t>De eerste is het aantal ontvangen EU-</w:t>
      </w:r>
      <w:r w:rsidR="007B74C6">
        <w:t>gelden</w:t>
      </w:r>
      <w:r w:rsidR="00656957">
        <w:t xml:space="preserve">. Hiervoor </w:t>
      </w:r>
      <w:r w:rsidR="00380B9A">
        <w:t xml:space="preserve">kon </w:t>
      </w:r>
      <w:r w:rsidR="00DC3976">
        <w:t xml:space="preserve">dit paper putten uit </w:t>
      </w:r>
      <w:r w:rsidR="00877FB0">
        <w:t xml:space="preserve">de EU-monitoring database </w:t>
      </w:r>
      <w:r w:rsidR="0033452A">
        <w:t xml:space="preserve">van adviesbureau </w:t>
      </w:r>
      <w:r w:rsidR="00675BEA">
        <w:t>ERAC</w:t>
      </w:r>
      <w:r w:rsidR="00351950">
        <w:t>. Deze</w:t>
      </w:r>
      <w:r w:rsidR="00695D81">
        <w:t xml:space="preserve"> </w:t>
      </w:r>
      <w:r w:rsidR="00F86DD4">
        <w:t>registreert hoeveel Europese euro’s een gemeente hee</w:t>
      </w:r>
      <w:r w:rsidR="00351950">
        <w:t>f</w:t>
      </w:r>
      <w:r w:rsidR="00F86DD4">
        <w:t>t ontvangen</w:t>
      </w:r>
      <w:r w:rsidR="004C62AF">
        <w:t xml:space="preserve"> (</w:t>
      </w:r>
      <w:r w:rsidR="00ED449A">
        <w:t>exclusief</w:t>
      </w:r>
      <w:r w:rsidR="004C62AF">
        <w:t xml:space="preserve"> cofinanciering)</w:t>
      </w:r>
      <w:r w:rsidR="005425D4">
        <w:t xml:space="preserve"> in duizendtallen</w:t>
      </w:r>
      <w:r w:rsidR="00F86DD4">
        <w:t>.</w:t>
      </w:r>
      <w:r w:rsidR="00AE79D0">
        <w:t xml:space="preserve"> </w:t>
      </w:r>
      <w:r w:rsidR="009371EC">
        <w:t>Conform trede E van de Europeaniseringsladder van John (2001, p. 72) zijn bij het meten van deze variabele</w:t>
      </w:r>
      <w:r w:rsidR="00D12424">
        <w:t xml:space="preserve"> alle organisaties binnen de gemeentegrenzen meegenomen. </w:t>
      </w:r>
      <w:r w:rsidR="00D44BC5">
        <w:t xml:space="preserve">Bij </w:t>
      </w:r>
      <w:r w:rsidR="006A2D69">
        <w:t>deze data</w:t>
      </w:r>
      <w:r w:rsidR="00D44BC5">
        <w:t xml:space="preserve"> is gecorrigeerd voor het inwoneraantal van een gemeente</w:t>
      </w:r>
      <w:r w:rsidR="004E5ACD">
        <w:t xml:space="preserve"> om hiermee de onderlinge vergelijkbaarheid </w:t>
      </w:r>
      <w:r w:rsidR="003268EF">
        <w:t xml:space="preserve">tussen gemeenten te bevorderen. </w:t>
      </w:r>
      <w:r w:rsidR="00402F40">
        <w:t>Ook</w:t>
      </w:r>
      <w:r w:rsidR="00E11E01">
        <w:t xml:space="preserve"> is bij het vaststellen van </w:t>
      </w:r>
      <w:r w:rsidR="000F1036">
        <w:t xml:space="preserve">het </w:t>
      </w:r>
      <w:r w:rsidR="00402F40">
        <w:t>ontvangen</w:t>
      </w:r>
      <w:r w:rsidR="00DC268D">
        <w:t xml:space="preserve"> bedrag aan</w:t>
      </w:r>
      <w:r w:rsidR="00402F40">
        <w:t xml:space="preserve"> </w:t>
      </w:r>
      <w:r w:rsidR="00C37722">
        <w:t xml:space="preserve">EU-middelen </w:t>
      </w:r>
      <w:r w:rsidR="00C60CFB">
        <w:t xml:space="preserve">gerekend met een langere periode die bij voorkeur gelijk is aan </w:t>
      </w:r>
      <w:r w:rsidR="00195CA3">
        <w:t xml:space="preserve">de raadsperiode </w:t>
      </w:r>
      <w:r w:rsidR="00011190">
        <w:t>die vooraf gaat aan het</w:t>
      </w:r>
      <w:r w:rsidR="0001302B">
        <w:t xml:space="preserve"> </w:t>
      </w:r>
      <w:r w:rsidR="00195CA3">
        <w:t xml:space="preserve">geanalyseerde </w:t>
      </w:r>
      <w:r w:rsidR="0083360F">
        <w:t>coalitieakkoord</w:t>
      </w:r>
      <w:r w:rsidR="00316342">
        <w:t xml:space="preserve"> (2014-2018</w:t>
      </w:r>
      <w:r w:rsidR="0010051C">
        <w:t>½; 2018½</w:t>
      </w:r>
      <w:r w:rsidR="002975B8">
        <w:t>-2021</w:t>
      </w:r>
      <w:r w:rsidR="00D6295A">
        <w:t>)</w:t>
      </w:r>
      <w:r w:rsidR="00C37722">
        <w:t xml:space="preserve">, </w:t>
      </w:r>
      <w:r w:rsidR="002975B8">
        <w:t xml:space="preserve">opdat de invloed van eenmalige uitschieters </w:t>
      </w:r>
      <w:r w:rsidR="006A2D69">
        <w:t>wordt gemitigeerd</w:t>
      </w:r>
      <w:r w:rsidR="00D6295A">
        <w:t xml:space="preserve">. </w:t>
      </w:r>
      <w:r w:rsidR="00EB655A">
        <w:t xml:space="preserve">Voor de analyse van de coalitieakkoorden </w:t>
      </w:r>
      <w:r w:rsidR="00321A29">
        <w:t xml:space="preserve">van </w:t>
      </w:r>
      <w:r w:rsidR="00252C9B">
        <w:t>2014</w:t>
      </w:r>
      <w:r w:rsidR="00321A29">
        <w:t xml:space="preserve"> is </w:t>
      </w:r>
      <w:r w:rsidR="00766581">
        <w:t xml:space="preserve">het </w:t>
      </w:r>
      <w:r w:rsidR="00050927">
        <w:t>gebruiken van</w:t>
      </w:r>
      <w:r w:rsidR="0022424C">
        <w:t xml:space="preserve"> data uit</w:t>
      </w:r>
      <w:r w:rsidR="00766581">
        <w:t xml:space="preserve"> </w:t>
      </w:r>
      <w:r w:rsidR="00416DD5">
        <w:t>de vier jaar voorafgaand aan het coalitieakkoord (2010-2014)</w:t>
      </w:r>
      <w:r w:rsidR="00321A29">
        <w:t xml:space="preserve"> </w:t>
      </w:r>
      <w:r w:rsidR="0069740E">
        <w:t xml:space="preserve">echter </w:t>
      </w:r>
      <w:r w:rsidR="00FF36EC">
        <w:t>onmogelijk</w:t>
      </w:r>
      <w:r w:rsidR="0022424C">
        <w:t xml:space="preserve"> </w:t>
      </w:r>
      <w:r w:rsidR="00321A29">
        <w:t xml:space="preserve">door het ontbreken van </w:t>
      </w:r>
      <w:r w:rsidR="001B2461">
        <w:t xml:space="preserve">deze </w:t>
      </w:r>
      <w:r w:rsidR="00252C9B">
        <w:t>gegevens</w:t>
      </w:r>
      <w:r w:rsidR="0021489A">
        <w:t>.</w:t>
      </w:r>
      <w:r w:rsidR="00447D58">
        <w:t xml:space="preserve"> Conform statistische conventies </w:t>
      </w:r>
      <w:r w:rsidR="00635E09">
        <w:t xml:space="preserve">is voor gemeenten in dit tijdsgewricht de waarde van het gemiddelde </w:t>
      </w:r>
      <w:r w:rsidR="00585518">
        <w:t xml:space="preserve">over </w:t>
      </w:r>
      <w:r w:rsidR="00E94959">
        <w:t xml:space="preserve">de periode 2014-2018½ </w:t>
      </w:r>
      <w:r w:rsidR="00635E09">
        <w:t>veronderstel</w:t>
      </w:r>
      <w:r w:rsidR="008802F0">
        <w:t>d</w:t>
      </w:r>
      <w:r w:rsidR="00635E09">
        <w:t xml:space="preserve"> (</w:t>
      </w:r>
      <w:r w:rsidR="004F35FF">
        <w:t>Cohen &amp; Cohen, 19</w:t>
      </w:r>
      <w:r w:rsidR="00A6024C">
        <w:t>7</w:t>
      </w:r>
      <w:r w:rsidR="00555B22">
        <w:t>5</w:t>
      </w:r>
      <w:r w:rsidR="00E07173">
        <w:t xml:space="preserve">, p. </w:t>
      </w:r>
      <w:r w:rsidR="001A3CCA">
        <w:t>274</w:t>
      </w:r>
      <w:r w:rsidR="00635E09">
        <w:t>)</w:t>
      </w:r>
      <w:r w:rsidR="005D66E0">
        <w:t xml:space="preserve">. </w:t>
      </w:r>
      <w:r w:rsidR="00447D58">
        <w:t>Hiervoor is tevens</w:t>
      </w:r>
      <w:r w:rsidR="004D50BD">
        <w:t xml:space="preserve"> een controlevariabele opgenomen in het model. </w:t>
      </w:r>
      <w:r w:rsidR="007F21DE">
        <w:tab/>
      </w:r>
      <w:r w:rsidR="00F74F69">
        <w:tab/>
      </w:r>
      <w:r w:rsidR="00F74F69">
        <w:tab/>
      </w:r>
      <w:r w:rsidR="00F74F69">
        <w:tab/>
      </w:r>
      <w:r w:rsidR="00F74F69">
        <w:tab/>
      </w:r>
      <w:r w:rsidR="00F74F69">
        <w:tab/>
      </w:r>
      <w:r w:rsidR="00F74F69">
        <w:tab/>
      </w:r>
      <w:r w:rsidR="00F74F69">
        <w:tab/>
      </w:r>
      <w:r w:rsidR="00F74F69">
        <w:tab/>
      </w:r>
      <w:r w:rsidR="00F74F69">
        <w:tab/>
        <w:t xml:space="preserve">De </w:t>
      </w:r>
      <w:r w:rsidR="008741AF">
        <w:t xml:space="preserve">tweede set aan </w:t>
      </w:r>
      <w:r w:rsidR="00A25408">
        <w:t xml:space="preserve">continue </w:t>
      </w:r>
      <w:r w:rsidR="008741AF">
        <w:t>onafhankelijke variabelen gaan over het inwoneraantal of hangen hiermee samen</w:t>
      </w:r>
      <w:r w:rsidR="00A04A68">
        <w:t xml:space="preserve">. </w:t>
      </w:r>
      <w:r w:rsidR="007F21DE" w:rsidRPr="007F21DE">
        <w:t>Voor het vaststellen van het inwoneraantal is CBS stattline geraadpleegd</w:t>
      </w:r>
      <w:r w:rsidR="00273A3B">
        <w:t xml:space="preserve"> voor 2014, 2018 en 2022</w:t>
      </w:r>
      <w:r w:rsidR="00805E94">
        <w:t xml:space="preserve"> en is gerapporteerd in </w:t>
      </w:r>
      <w:r w:rsidR="00172F6D">
        <w:t>duizendtallen</w:t>
      </w:r>
      <w:r w:rsidR="00A04A68">
        <w:t xml:space="preserve">. </w:t>
      </w:r>
      <w:r w:rsidR="004B158B">
        <w:t xml:space="preserve">Eerder is aangegeven </w:t>
      </w:r>
      <w:r w:rsidR="00C95734">
        <w:t xml:space="preserve">dat omvang veelal wordt gebruikt als </w:t>
      </w:r>
      <w:r w:rsidR="00B778B4">
        <w:t>proxy voor meer specifieke variabelen</w:t>
      </w:r>
      <w:r w:rsidR="00BE3EA8">
        <w:t xml:space="preserve">, aangezien deze </w:t>
      </w:r>
      <w:r w:rsidR="00A05A8F">
        <w:t xml:space="preserve">niet tot nauwelijks te meten zijn. Door het gebruik van de solvabiliteitsratio tracht deze studie meer inzicht te krijgen in de </w:t>
      </w:r>
      <w:r w:rsidR="0006647A">
        <w:t xml:space="preserve">wisselwerking tussen inwoneraantal, financiële </w:t>
      </w:r>
      <w:r w:rsidR="002F47D0">
        <w:t>capaciteit</w:t>
      </w:r>
      <w:r w:rsidR="0006647A">
        <w:t xml:space="preserve"> en aandacht voor Europa</w:t>
      </w:r>
      <w:r w:rsidR="00A05A8F">
        <w:t xml:space="preserve">. </w:t>
      </w:r>
      <w:r w:rsidR="009476FA">
        <w:t>De gemeentelijke solvabiliteitsratio</w:t>
      </w:r>
      <w:r w:rsidR="00082CCA">
        <w:rPr>
          <w:rStyle w:val="Voetnootmarkering"/>
        </w:rPr>
        <w:footnoteReference w:id="5"/>
      </w:r>
      <w:r w:rsidR="009476FA">
        <w:t xml:space="preserve"> </w:t>
      </w:r>
      <w:r w:rsidR="0004233E" w:rsidRPr="0004233E">
        <w:t>meet in hoeverre het bezit op de balans niet met schulden is belast</w:t>
      </w:r>
      <w:r w:rsidR="005F450F">
        <w:t xml:space="preserve"> en is daarmee een indicatie voor de </w:t>
      </w:r>
      <w:r w:rsidR="00360183">
        <w:t>beschikbare</w:t>
      </w:r>
      <w:r w:rsidR="005F450F">
        <w:t xml:space="preserve"> financiële middelen. Voor de jaren 2014, 2018 en 202</w:t>
      </w:r>
      <w:r w:rsidR="001A0472">
        <w:t xml:space="preserve">1 </w:t>
      </w:r>
      <w:r w:rsidR="00714641">
        <w:t>is deze ratio opgevraagd</w:t>
      </w:r>
      <w:r w:rsidR="000902E9">
        <w:t xml:space="preserve"> via de database Waarstaatjegemeente.nl van de VNG. </w:t>
      </w:r>
      <w:r w:rsidR="000E78DE">
        <w:tab/>
      </w:r>
      <w:r w:rsidR="00172F6D">
        <w:tab/>
      </w:r>
      <w:r w:rsidR="00172F6D">
        <w:tab/>
      </w:r>
      <w:r w:rsidR="00172F6D">
        <w:tab/>
      </w:r>
      <w:r w:rsidR="00172F6D">
        <w:tab/>
      </w:r>
      <w:r w:rsidR="00172F6D">
        <w:tab/>
      </w:r>
      <w:r w:rsidR="00172F6D">
        <w:tab/>
      </w:r>
      <w:r w:rsidR="00172F6D">
        <w:tab/>
      </w:r>
      <w:r w:rsidR="00EE0640" w:rsidRPr="00265305">
        <w:t>De laatste</w:t>
      </w:r>
      <w:r w:rsidR="00EE0640">
        <w:t xml:space="preserve"> continue variabele,</w:t>
      </w:r>
      <w:r w:rsidR="003850AF">
        <w:t xml:space="preserve"> opstelling </w:t>
      </w:r>
      <w:r w:rsidR="00EE0640">
        <w:t xml:space="preserve">gemeentebestuur, behoeft </w:t>
      </w:r>
      <w:r w:rsidR="008B510E">
        <w:t xml:space="preserve">nadere uitwerking. </w:t>
      </w:r>
      <w:r w:rsidR="00D25D40" w:rsidRPr="00D25D40">
        <w:t xml:space="preserve">In </w:t>
      </w:r>
      <w:r w:rsidR="003167B7">
        <w:t xml:space="preserve">de </w:t>
      </w:r>
      <w:r w:rsidR="00D25D40" w:rsidRPr="00D25D40">
        <w:t xml:space="preserve">literatuur wordt er een onderscheid gemaakt tussen gemeentebesturen die bestaan uit eurofiele en eurosceptische actoren. Naar de </w:t>
      </w:r>
      <w:r w:rsidR="003850AF">
        <w:t>opstelling</w:t>
      </w:r>
      <w:r w:rsidR="00D25D40" w:rsidRPr="00D25D40">
        <w:t xml:space="preserve"> van Nederlandse politieke partijen ten aanzien van de Europese Unie is door Vollaard en Voerman (2017) onderzoek gedaan. Zij delen alle landelijke politieke partijen in naar de categorieën ‘eurofiel’, ‘europragmatisch’, ‘zacht eurosceptisch’ en ‘hard eurosceptisch’. Zie hiervoor bijlage II. Onder de veronderstelling dat lokale afdelingen niet significant afwijken van de landelijke partijlijn aangaande Europese integratie, is deze indeling ook voor dit onderzoek toepasbaar.</w:t>
      </w:r>
      <w:r w:rsidR="002D1E0F">
        <w:tab/>
      </w:r>
      <w:r w:rsidR="00D25D40" w:rsidRPr="00D25D40">
        <w:tab/>
      </w:r>
      <w:r w:rsidR="00D25D40" w:rsidRPr="00D25D40">
        <w:tab/>
      </w:r>
      <w:r w:rsidR="00D25D40" w:rsidRPr="00D25D40">
        <w:tab/>
      </w:r>
      <w:r w:rsidR="00D25D40" w:rsidRPr="00D25D40">
        <w:tab/>
        <w:t xml:space="preserve">Alhoewel het overzicht van Vollaard en Voerman (2017, p. 10) nuttig is, mist hierin één belangrijke actor binnen de gemeentelijke politiek: lokale partijen. Volgens Schaap (2015, p. 40) is er een breed scala aan lokale partijen die zich vooral bekommeren om het goed besturen van de eigen gemeente. Door de grote diversiteit onder lokale partijen ontbreekt een gemeenschappelijke lijn ten aanzien van de Europese Unie. Om die reden is in dit onderzoek de veronderstelling gemaakt dat lokale partijen neutraal staan tegenover de EU. </w:t>
      </w:r>
      <w:r w:rsidR="00ED73F5" w:rsidRPr="00ED73F5">
        <w:t xml:space="preserve">Daarmee resulteert de operationalisatie van deze variabele in een vijfpunts indeling. Dit aantal is gereduceerd tot drie categorieën </w:t>
      </w:r>
      <w:r w:rsidR="000E7E63">
        <w:t>(</w:t>
      </w:r>
      <w:r w:rsidR="00ED73F5" w:rsidRPr="00ED73F5">
        <w:t>eurosceptisch (1), neutraal (2) en eurofiel (3)</w:t>
      </w:r>
      <w:r w:rsidR="000E7E63">
        <w:t>)</w:t>
      </w:r>
      <w:r w:rsidR="00ED73F5" w:rsidRPr="00ED73F5">
        <w:t xml:space="preserve">, omdat er in de literatuur over de </w:t>
      </w:r>
      <w:r w:rsidR="00085CD0">
        <w:t>opstelling</w:t>
      </w:r>
      <w:r w:rsidR="00ED73F5" w:rsidRPr="00ED73F5">
        <w:t xml:space="preserve"> van gemeentebesturen gesproken wordt over eurofiele en eurosceptische partijen (zie het theoretisch kader).</w:t>
      </w:r>
      <w:r w:rsidR="00720F9F">
        <w:t xml:space="preserve"> </w:t>
      </w:r>
      <w:r w:rsidR="00D25D40" w:rsidRPr="00D25D40">
        <w:t xml:space="preserve">Daarnaast speelt ook de empirische overweging mee dat het aantal besturen in de categorie </w:t>
      </w:r>
      <w:r w:rsidR="006F442C">
        <w:t>‘</w:t>
      </w:r>
      <w:r w:rsidR="00D25D40" w:rsidRPr="00D25D40">
        <w:t>hard-eurosceptisch</w:t>
      </w:r>
      <w:r w:rsidR="006F442C">
        <w:t>’</w:t>
      </w:r>
      <w:r w:rsidR="00D25D40" w:rsidRPr="00D25D40">
        <w:t xml:space="preserve"> praktisch gelijk is aan nul, waarmee de </w:t>
      </w:r>
      <w:r w:rsidR="00956537">
        <w:t xml:space="preserve">statistische assumptie </w:t>
      </w:r>
      <w:r w:rsidR="00D25D40" w:rsidRPr="00D25D40">
        <w:t xml:space="preserve">tot voldoende waarnemingen per categorie geschonden zou worden (Field, 2018, p. 895). De afwezigheid van PVV en FVD in het gemeentebestuur is hier debet aan.  </w:t>
      </w:r>
      <w:r w:rsidR="005E3144">
        <w:tab/>
      </w:r>
      <w:r w:rsidR="005E3144">
        <w:tab/>
      </w:r>
      <w:r w:rsidR="00ED73F5">
        <w:tab/>
      </w:r>
      <w:r w:rsidR="00ED73F5">
        <w:tab/>
      </w:r>
      <w:r w:rsidR="00ED73F5">
        <w:tab/>
      </w:r>
      <w:r w:rsidR="00ED73F5">
        <w:tab/>
      </w:r>
      <w:r w:rsidR="00ED73F5">
        <w:tab/>
      </w:r>
      <w:r w:rsidR="00ED73F5">
        <w:tab/>
      </w:r>
      <w:r w:rsidR="00ED73F5">
        <w:tab/>
      </w:r>
      <w:r w:rsidR="005E3144">
        <w:t xml:space="preserve">Voor het </w:t>
      </w:r>
      <w:r w:rsidR="00BC6D95">
        <w:t>berekenen</w:t>
      </w:r>
      <w:r w:rsidR="005E3144">
        <w:t xml:space="preserve"> van de </w:t>
      </w:r>
      <w:r w:rsidR="00493010">
        <w:t>waarde op variabele ‘</w:t>
      </w:r>
      <w:r w:rsidR="00DC742D">
        <w:t>Opstelling</w:t>
      </w:r>
      <w:r w:rsidR="00493010">
        <w:t xml:space="preserve"> gemeentebestuur’ is gewerkt met een gewogen gemiddelde</w:t>
      </w:r>
      <w:r w:rsidR="004D355F">
        <w:t>, waarbij het aantal raadszetels</w:t>
      </w:r>
      <w:r w:rsidR="00493010">
        <w:t xml:space="preserve"> van de deelnemende partijen aan het college van B&amp;W is </w:t>
      </w:r>
      <w:r w:rsidR="004D355F">
        <w:t>vermenigvuldigd met de houding van de partij ten aanzien van Europa</w:t>
      </w:r>
      <w:r w:rsidR="00BC6D95">
        <w:t xml:space="preserve"> volgens</w:t>
      </w:r>
      <w:r w:rsidR="005F233C">
        <w:t xml:space="preserve"> Vollaard en Voerman (2017). </w:t>
      </w:r>
      <w:r w:rsidR="00C536DE">
        <w:t>Vervolgens is de som van d</w:t>
      </w:r>
      <w:r w:rsidR="008A0344">
        <w:t xml:space="preserve">it product gedeeld door het totaal aantal zetels van </w:t>
      </w:r>
      <w:r w:rsidR="008C354B">
        <w:t xml:space="preserve">de </w:t>
      </w:r>
      <w:r w:rsidR="008A0344">
        <w:t>deelnemende</w:t>
      </w:r>
      <w:r w:rsidR="00856EFF">
        <w:t xml:space="preserve"> partijen. Dit resulteert in waardes in een range van 1 tot </w:t>
      </w:r>
      <w:r w:rsidR="00170A9B">
        <w:t>3</w:t>
      </w:r>
      <w:r w:rsidR="00856EFF">
        <w:t>, waarbij 1 staat voor</w:t>
      </w:r>
      <w:r w:rsidR="008310C5">
        <w:t xml:space="preserve"> volledig</w:t>
      </w:r>
      <w:r w:rsidR="00856EFF">
        <w:t xml:space="preserve"> </w:t>
      </w:r>
      <w:r w:rsidR="008310C5">
        <w:t xml:space="preserve">eurosceptisch en 3 staat voor volledig eurofiel. De waarde 2 duidt op een neutrale </w:t>
      </w:r>
      <w:r w:rsidR="00BB6721">
        <w:t>opstelling</w:t>
      </w:r>
      <w:r w:rsidR="008310C5">
        <w:t xml:space="preserve"> van het gemeentebestuur ten aanzien van de EU. </w:t>
      </w:r>
      <w:r w:rsidR="008310C5">
        <w:tab/>
      </w:r>
      <w:r w:rsidR="00705F0E">
        <w:t xml:space="preserve">Naast continue onafhankelijke variabelen, werkt dit paper ook met categorische </w:t>
      </w:r>
      <w:r w:rsidR="000045D7">
        <w:t xml:space="preserve">onafhankelijke </w:t>
      </w:r>
      <w:r w:rsidR="00982DDA">
        <w:t>variabelen, namelijk</w:t>
      </w:r>
      <w:r w:rsidR="000045D7">
        <w:t xml:space="preserve"> ‘grensgemeenten’ en </w:t>
      </w:r>
      <w:r w:rsidR="00C12AB6">
        <w:t>‘aandacht EU voorgaande raadsperiode’.</w:t>
      </w:r>
      <w:r w:rsidR="00D05768">
        <w:t xml:space="preserve"> </w:t>
      </w:r>
      <w:r w:rsidR="00C1493C">
        <w:t xml:space="preserve">Bij de eerste </w:t>
      </w:r>
      <w:r w:rsidR="001E35AF">
        <w:t xml:space="preserve">variabele </w:t>
      </w:r>
      <w:r w:rsidR="00C1493C">
        <w:t xml:space="preserve">is gewerkt met een </w:t>
      </w:r>
      <w:r w:rsidR="00CA0B51">
        <w:t>dichotome</w:t>
      </w:r>
      <w:r w:rsidR="00C1493C">
        <w:t xml:space="preserve"> indeling: een </w:t>
      </w:r>
      <w:r w:rsidR="00B47E5E">
        <w:t xml:space="preserve">Nederlandse </w:t>
      </w:r>
      <w:r w:rsidR="00C1493C">
        <w:t xml:space="preserve">gemeente ligt niet (0) of wel (1) aan een interne </w:t>
      </w:r>
      <w:r w:rsidR="00252171">
        <w:t>lands</w:t>
      </w:r>
      <w:r w:rsidR="00C1493C">
        <w:t xml:space="preserve">grens van de EU (Duitsland en/of </w:t>
      </w:r>
      <w:r w:rsidR="00CA0B51">
        <w:t>België</w:t>
      </w:r>
      <w:r w:rsidR="00C1493C">
        <w:t>)</w:t>
      </w:r>
      <w:r w:rsidR="002C38C8">
        <w:t>.</w:t>
      </w:r>
      <w:r w:rsidR="003D50A3">
        <w:t xml:space="preserve"> Bij </w:t>
      </w:r>
      <w:r w:rsidR="00657ABD">
        <w:t xml:space="preserve">het meetbaar maken van de controlevariabele ‘aandacht EU eerdere voorgaande raadsperiode’ </w:t>
      </w:r>
      <w:r w:rsidR="006C4275">
        <w:t>is gewerkt met drie codes</w:t>
      </w:r>
      <w:r w:rsidR="00472AF4">
        <w:t xml:space="preserve">: geen aandacht (0) in het voorgaande coalitieakkoord, wel aandacht (1) in het voorgaande coalitieakkoord en </w:t>
      </w:r>
      <w:r w:rsidR="00C02977">
        <w:t xml:space="preserve">onbekend (2). De </w:t>
      </w:r>
      <w:r w:rsidR="00D31AB0">
        <w:t xml:space="preserve">code onbekend (2) heeft betrekking op alle gemeenten in de raadsperiode 2014-2018, aangezien het analyseren van coalitieakkoorden </w:t>
      </w:r>
      <w:r w:rsidR="00F3569E">
        <w:t xml:space="preserve">uit de periode hieraan voorafgaand (2010-2014) buiten de reikwijdte van dit onderzoek viel. </w:t>
      </w:r>
      <w:r w:rsidR="00C12AB6">
        <w:t xml:space="preserve">Tot slot zijn er voor </w:t>
      </w:r>
      <w:r w:rsidR="005E2B8F">
        <w:t>de verschillende raadsperioden</w:t>
      </w:r>
      <w:r w:rsidR="00E1550A">
        <w:t xml:space="preserve"> (2014,</w:t>
      </w:r>
      <w:r w:rsidR="003A4037">
        <w:t xml:space="preserve"> 2018 en 2022)</w:t>
      </w:r>
      <w:r w:rsidR="005E2B8F">
        <w:t xml:space="preserve"> en </w:t>
      </w:r>
      <w:r w:rsidR="00EB205B">
        <w:t xml:space="preserve">de </w:t>
      </w:r>
      <w:r w:rsidR="00964EE8">
        <w:t xml:space="preserve">ontbrekende waarden bij </w:t>
      </w:r>
      <w:r w:rsidR="00982DDA">
        <w:t xml:space="preserve">‘Ontvangen EU-gelden’ in 2014 </w:t>
      </w:r>
      <w:r w:rsidR="00964EE8">
        <w:t>dummy</w:t>
      </w:r>
      <w:r w:rsidR="00A63B7F">
        <w:t xml:space="preserve"> </w:t>
      </w:r>
      <w:r w:rsidR="00964EE8">
        <w:t xml:space="preserve">variabelen opgenomen om hiervoor te controleren. </w:t>
      </w:r>
    </w:p>
    <w:p w14:paraId="6A4696BA" w14:textId="6863C4C5" w:rsidR="00B97DC9" w:rsidRDefault="0055097C" w:rsidP="0055097C">
      <w:pPr>
        <w:pStyle w:val="Kop2"/>
      </w:pPr>
      <w:r>
        <w:rPr>
          <w:noProof/>
        </w:rPr>
        <w:t>3.</w:t>
      </w:r>
      <w:r w:rsidR="00144FC4">
        <w:rPr>
          <w:noProof/>
        </w:rPr>
        <w:t>3</w:t>
      </w:r>
      <w:r>
        <w:rPr>
          <w:noProof/>
        </w:rPr>
        <w:t xml:space="preserve"> </w:t>
      </w:r>
      <w:r w:rsidR="008210B2">
        <w:rPr>
          <w:noProof/>
        </w:rPr>
        <w:t>Selectie onderzoekseenheden</w:t>
      </w:r>
      <w:r w:rsidR="0077266B">
        <w:rPr>
          <w:noProof/>
        </w:rPr>
        <w:t xml:space="preserve"> </w:t>
      </w:r>
      <w:r w:rsidR="00897C10">
        <w:t xml:space="preserve"> </w:t>
      </w:r>
      <w:r w:rsidR="00DC10E8">
        <w:t xml:space="preserve"> </w:t>
      </w:r>
    </w:p>
    <w:p w14:paraId="7A00C994" w14:textId="581F191E" w:rsidR="006D4C15" w:rsidRDefault="0000595E" w:rsidP="00F55573">
      <w:r>
        <w:t xml:space="preserve">Om uitspraken te doen </w:t>
      </w:r>
      <w:r w:rsidR="00940383">
        <w:t xml:space="preserve">over de </w:t>
      </w:r>
      <w:r w:rsidR="00EF5AC7">
        <w:t xml:space="preserve">verklarende factoren </w:t>
      </w:r>
      <w:r w:rsidR="00940383">
        <w:t>van</w:t>
      </w:r>
      <w:r w:rsidR="00077C38">
        <w:t xml:space="preserve"> politiek-bestuurlijke Europeanisering </w:t>
      </w:r>
      <w:r w:rsidR="00DC482D">
        <w:t xml:space="preserve">heeft een </w:t>
      </w:r>
      <w:r w:rsidR="0023779A">
        <w:t xml:space="preserve">kwantitatieve </w:t>
      </w:r>
      <w:r w:rsidR="00DC482D">
        <w:t xml:space="preserve">inhoudsanalyse plaatsgevonden </w:t>
      </w:r>
      <w:r w:rsidR="0023779A">
        <w:t xml:space="preserve">naar het coalitieakkoord </w:t>
      </w:r>
      <w:r w:rsidR="00500DC9">
        <w:t>van alle gemeenten binnen Nederland</w:t>
      </w:r>
      <w:r w:rsidR="00B82903">
        <w:t xml:space="preserve"> in drie raadsperiodes</w:t>
      </w:r>
      <w:r w:rsidR="00312DF1">
        <w:t xml:space="preserve"> (2014, 2018 en 2022</w:t>
      </w:r>
      <w:r w:rsidR="00904C2E">
        <w:t>)</w:t>
      </w:r>
      <w:r w:rsidR="0023779A">
        <w:t xml:space="preserve">. </w:t>
      </w:r>
      <w:r w:rsidR="00677688">
        <w:t>Het exacte aantal gemeenten binnen de populatie varieert daarbij</w:t>
      </w:r>
      <w:r w:rsidR="0044470E">
        <w:t xml:space="preserve"> naargelang het analysejaar</w:t>
      </w:r>
      <w:r w:rsidR="00312DF1">
        <w:t xml:space="preserve">, </w:t>
      </w:r>
      <w:r w:rsidR="00677688">
        <w:t xml:space="preserve">maar </w:t>
      </w:r>
      <w:r w:rsidR="000F47BE">
        <w:t>tendeert door de voortschrijdende beweging van gemeentelijke herindelingen gestaag naar beneden.</w:t>
      </w:r>
      <w:r w:rsidR="003E60B6">
        <w:t xml:space="preserve"> </w:t>
      </w:r>
      <w:r w:rsidR="00A94BC2">
        <w:t xml:space="preserve">Zo waren er volgens het CBS </w:t>
      </w:r>
      <w:r w:rsidR="00427ECC">
        <w:t xml:space="preserve">(z.j.) </w:t>
      </w:r>
      <w:r w:rsidR="00A94BC2">
        <w:t>in 201</w:t>
      </w:r>
      <w:r w:rsidR="00216C8D">
        <w:t xml:space="preserve">4 nog 403 gemeenten, waar dit in 2022 geslonken is tot 344. </w:t>
      </w:r>
      <w:r w:rsidR="008D25D6">
        <w:t xml:space="preserve">Door het gebruik van tijdsdummies is het samenvoegen van de </w:t>
      </w:r>
      <w:r w:rsidR="007763CD">
        <w:t xml:space="preserve">uitkomsten van de </w:t>
      </w:r>
      <w:r w:rsidR="008D25D6">
        <w:t>verschillende raadsperiodes in één database ter analyse gerechtvaardigd.</w:t>
      </w:r>
      <w:r w:rsidR="00BD7768">
        <w:t xml:space="preserve"> Dit resulteert in een database met een N van </w:t>
      </w:r>
      <w:r w:rsidR="00F03744">
        <w:t>1.076.</w:t>
      </w:r>
      <w:r w:rsidR="00BC6817">
        <w:tab/>
      </w:r>
      <w:r w:rsidR="00BC6817">
        <w:tab/>
      </w:r>
      <w:r w:rsidR="00BC6817">
        <w:tab/>
      </w:r>
      <w:r w:rsidR="00312DF1">
        <w:tab/>
      </w:r>
      <w:r w:rsidR="00312DF1">
        <w:tab/>
      </w:r>
      <w:r w:rsidR="00312DF1">
        <w:tab/>
      </w:r>
      <w:r w:rsidR="00EF5AC7">
        <w:tab/>
      </w:r>
      <w:r w:rsidR="00A51B37">
        <w:tab/>
      </w:r>
      <w:r w:rsidR="00A51B37">
        <w:tab/>
      </w:r>
      <w:r w:rsidR="00F33E03">
        <w:t xml:space="preserve">Met een analyse naar alle gemeenten binnen de populatie vermijdt dit paper het gebruik van een steekproef en de mogelijke vertekening in resultaten die </w:t>
      </w:r>
      <w:r w:rsidR="00282A0A">
        <w:t>hier het gevolg van k</w:t>
      </w:r>
      <w:r w:rsidR="005E0303">
        <w:t>unn</w:t>
      </w:r>
      <w:r w:rsidR="00831F46">
        <w:t>en</w:t>
      </w:r>
      <w:r w:rsidR="00282A0A">
        <w:t xml:space="preserve"> zijn</w:t>
      </w:r>
      <w:r w:rsidR="00F33E03">
        <w:t xml:space="preserve"> (Vennix, 2016, p. 72). Tevens is door het openbare karakter van een coalitieakkoord de ‘non</w:t>
      </w:r>
      <w:r w:rsidR="00432779">
        <w:t>-</w:t>
      </w:r>
      <w:r w:rsidR="00F33E03">
        <w:t xml:space="preserve">respons’ </w:t>
      </w:r>
      <w:r w:rsidR="00E60177">
        <w:t>miniem</w:t>
      </w:r>
      <w:r w:rsidR="00F33E03">
        <w:t xml:space="preserve">, wat eveneens de externe validiteit van de resultaten ten goede komt. </w:t>
      </w:r>
      <w:r w:rsidR="00A40E04">
        <w:t xml:space="preserve">Door alleen </w:t>
      </w:r>
      <w:r w:rsidR="00F42392">
        <w:t xml:space="preserve">onderzoek te doen binnen de Nederlandse context zijn de resultaten van deze studie mogelijk beperkt </w:t>
      </w:r>
      <w:r w:rsidR="006C364E">
        <w:t>generaliseerbaar</w:t>
      </w:r>
      <w:r w:rsidR="00F42392">
        <w:t xml:space="preserve"> </w:t>
      </w:r>
      <w:r w:rsidR="008926CD">
        <w:t>naar decentrale overheden</w:t>
      </w:r>
      <w:r w:rsidR="002C67AA">
        <w:t xml:space="preserve"> buiten Nederland</w:t>
      </w:r>
      <w:r w:rsidR="008926CD">
        <w:t xml:space="preserve">. </w:t>
      </w:r>
      <w:r w:rsidR="006C364E">
        <w:t xml:space="preserve">Gezien de expliciete focus </w:t>
      </w:r>
      <w:r w:rsidR="007D381E">
        <w:t>in de onderzoeksvraag op de Nederlandse situatie</w:t>
      </w:r>
      <w:r w:rsidR="006C364E">
        <w:t xml:space="preserve"> is deze potentiële beperking echter van ondergeschikt belang. </w:t>
      </w:r>
      <w:r w:rsidR="004603E5">
        <w:t xml:space="preserve">In </w:t>
      </w:r>
      <w:r w:rsidR="00206452">
        <w:t xml:space="preserve">het hoofdstuk ‘Conclusie &amp; discussie’ </w:t>
      </w:r>
      <w:r w:rsidR="004603E5">
        <w:t>wordt nader ingegaan op</w:t>
      </w:r>
      <w:r w:rsidR="006C364E">
        <w:t xml:space="preserve"> </w:t>
      </w:r>
      <w:r w:rsidR="00FD048E">
        <w:t xml:space="preserve">deze beperking. </w:t>
      </w:r>
    </w:p>
    <w:p w14:paraId="0CC07BE8" w14:textId="3891EB5A" w:rsidR="00144FC4" w:rsidRDefault="004637E2" w:rsidP="004637E2">
      <w:pPr>
        <w:pStyle w:val="Kop2"/>
      </w:pPr>
      <w:r>
        <w:t>3.4 Data-analyse</w:t>
      </w:r>
    </w:p>
    <w:p w14:paraId="7DC80658" w14:textId="66D8134A" w:rsidR="00C95EF9" w:rsidRDefault="000B68D8" w:rsidP="004637E2">
      <w:r>
        <w:t>Voor het toetsen van de hypo</w:t>
      </w:r>
      <w:r w:rsidR="0055011A">
        <w:t xml:space="preserve">thesen </w:t>
      </w:r>
      <w:r w:rsidR="00664E1B">
        <w:t xml:space="preserve">is gebruik gemaakt van </w:t>
      </w:r>
      <w:r w:rsidR="001D636B">
        <w:t>een</w:t>
      </w:r>
      <w:r w:rsidR="00664E1B">
        <w:t xml:space="preserve"> </w:t>
      </w:r>
      <w:r w:rsidR="00E91F81">
        <w:t xml:space="preserve">combinatie van </w:t>
      </w:r>
      <w:r w:rsidR="00DC44B2">
        <w:t>binaire</w:t>
      </w:r>
      <w:r w:rsidR="00E91F81">
        <w:t xml:space="preserve"> en </w:t>
      </w:r>
      <w:r w:rsidR="00C245C7">
        <w:t>multi</w:t>
      </w:r>
      <w:r w:rsidR="003F3E20">
        <w:t>nomiale logistische regressie</w:t>
      </w:r>
      <w:r w:rsidR="00EB6065">
        <w:t xml:space="preserve">, </w:t>
      </w:r>
      <w:r w:rsidR="003E19AD">
        <w:t xml:space="preserve">waarbij de multinomiale </w:t>
      </w:r>
      <w:r w:rsidR="00643C18">
        <w:t>variant</w:t>
      </w:r>
      <w:r w:rsidR="003E19AD">
        <w:t xml:space="preserve"> de primaire toets </w:t>
      </w:r>
      <w:r w:rsidR="00EC3BDA">
        <w:t>is</w:t>
      </w:r>
      <w:r w:rsidR="002B6E43">
        <w:t xml:space="preserve"> </w:t>
      </w:r>
      <w:r w:rsidR="00ED6CD7">
        <w:t xml:space="preserve">waarmee de </w:t>
      </w:r>
      <w:r w:rsidR="003A2B7B">
        <w:t>hypothesen</w:t>
      </w:r>
      <w:r w:rsidR="00ED6CD7">
        <w:t xml:space="preserve"> zijn getoetst</w:t>
      </w:r>
      <w:r w:rsidR="003E19AD">
        <w:t xml:space="preserve">. </w:t>
      </w:r>
      <w:r w:rsidR="00220E23" w:rsidRPr="00220E23">
        <w:t>Gelet op het feit dat deze studie het effect van zowel discrete als continue factoren op een categorische afhankelijke wil vaststellen, is een (multinomiale) logistische regressie volgens Field (2018, p. 916) de meest geschikte analysemethode.</w:t>
      </w:r>
      <w:r w:rsidR="00220E23">
        <w:t xml:space="preserve"> De </w:t>
      </w:r>
      <w:r w:rsidR="00F6740E">
        <w:t xml:space="preserve">combinatie stelt dit paper in staat om in de binaire logistische </w:t>
      </w:r>
      <w:r w:rsidR="009F1E1F">
        <w:t>regressieanalyse</w:t>
      </w:r>
      <w:r w:rsidR="00F53189">
        <w:t>, de meest strikte toets,</w:t>
      </w:r>
      <w:r w:rsidR="00F6740E">
        <w:t xml:space="preserve"> het effect van de verschillende </w:t>
      </w:r>
      <w:r w:rsidR="008A3D32">
        <w:t>onafhankelijke</w:t>
      </w:r>
      <w:r w:rsidR="00F6740E">
        <w:t xml:space="preserve"> variabelen afzonderlijk </w:t>
      </w:r>
      <w:r w:rsidR="008A3D32">
        <w:t>te onderzoeken</w:t>
      </w:r>
      <w:r w:rsidR="00034B88">
        <w:t xml:space="preserve">. Dit levert waardevolle achtergrondinformatie op </w:t>
      </w:r>
      <w:r w:rsidR="00D84ADE">
        <w:t xml:space="preserve">voor het toetsen </w:t>
      </w:r>
      <w:r w:rsidR="00B33E72">
        <w:t xml:space="preserve">van de hypothesen in de multinomiale </w:t>
      </w:r>
      <w:r w:rsidR="008A3D32">
        <w:t xml:space="preserve">variant. </w:t>
      </w:r>
      <w:r w:rsidR="00696200">
        <w:t xml:space="preserve">De keuze om de multinomiale logistische </w:t>
      </w:r>
      <w:r w:rsidR="001438EC">
        <w:t>regressieanalyse</w:t>
      </w:r>
      <w:r w:rsidR="00696200">
        <w:t xml:space="preserve"> te gebruiken als </w:t>
      </w:r>
      <w:r w:rsidR="006A49E4">
        <w:t xml:space="preserve">hoofdtoets houdt verband met de theorie waaraan de onderhavige studie een bijdrage wil leveren: deze spreekt veelal over </w:t>
      </w:r>
      <w:r w:rsidR="00E76183">
        <w:t>categorieën binnen het concept Europeanisering</w:t>
      </w:r>
      <w:r w:rsidR="006A49E4">
        <w:t xml:space="preserve">. </w:t>
      </w:r>
      <w:r w:rsidR="006A49E4" w:rsidRPr="006A49E4">
        <w:t xml:space="preserve">In alle gevallen zijn de geformuleerde hypothesen getoetst met behulp van het programma SPSS bij een alfa van 0.05, de gebruikelijke ‘level of significance’ binnen de statistiek (Field, 2018, p. 74). </w:t>
      </w:r>
      <w:r w:rsidR="005766CE">
        <w:tab/>
      </w:r>
      <w:r w:rsidR="005766CE">
        <w:tab/>
      </w:r>
      <w:r w:rsidR="005766CE">
        <w:tab/>
      </w:r>
      <w:r w:rsidR="005766CE">
        <w:tab/>
      </w:r>
      <w:r w:rsidR="005766CE">
        <w:tab/>
      </w:r>
      <w:r w:rsidR="005766CE">
        <w:tab/>
      </w:r>
      <w:r w:rsidR="005766CE">
        <w:tab/>
      </w:r>
      <w:r w:rsidR="005766CE">
        <w:tab/>
      </w:r>
      <w:r w:rsidR="005766CE">
        <w:tab/>
      </w:r>
      <w:r w:rsidR="009C3DA8">
        <w:t>Bij de analyse zijn ook de assumpties</w:t>
      </w:r>
      <w:r w:rsidR="006B1CC4">
        <w:t xml:space="preserve"> van een </w:t>
      </w:r>
      <w:r w:rsidR="007634E4">
        <w:t>(</w:t>
      </w:r>
      <w:r w:rsidR="006B1CC4">
        <w:t>multinomiale</w:t>
      </w:r>
      <w:r w:rsidR="007634E4">
        <w:t>)</w:t>
      </w:r>
      <w:r w:rsidR="006B1CC4">
        <w:t xml:space="preserve"> logistische regressie aangaande lineariteit, multicollineariteit</w:t>
      </w:r>
      <w:r w:rsidR="00354AF6">
        <w:t xml:space="preserve">, overdispersion en de </w:t>
      </w:r>
      <w:r w:rsidR="003F5E07">
        <w:t xml:space="preserve">verdeling van </w:t>
      </w:r>
      <w:r w:rsidR="001B0744">
        <w:t>residuen</w:t>
      </w:r>
      <w:r w:rsidR="00210224">
        <w:t xml:space="preserve"> gecheckt</w:t>
      </w:r>
      <w:r w:rsidR="001B0744">
        <w:t>.</w:t>
      </w:r>
      <w:r w:rsidR="009025B0">
        <w:t xml:space="preserve"> </w:t>
      </w:r>
      <w:r w:rsidR="00AD6C38">
        <w:t xml:space="preserve">Dit leverde </w:t>
      </w:r>
      <w:r w:rsidR="00AB18A7">
        <w:t>een</w:t>
      </w:r>
      <w:r w:rsidR="00AD6C38">
        <w:t xml:space="preserve"> schending van twee assumpties op</w:t>
      </w:r>
      <w:r w:rsidR="00C95EF9">
        <w:t xml:space="preserve">. Ten eerste </w:t>
      </w:r>
      <w:r w:rsidR="0041240C">
        <w:t>wijst een Box-Tidwell test uit</w:t>
      </w:r>
      <w:r w:rsidR="00C95EF9">
        <w:t xml:space="preserve"> </w:t>
      </w:r>
      <w:r w:rsidR="00956CE1">
        <w:t xml:space="preserve">dat </w:t>
      </w:r>
      <w:r w:rsidR="00C95EF9">
        <w:t>de assumptie van lineariteit bij de</w:t>
      </w:r>
      <w:r w:rsidR="005B1CE2">
        <w:t xml:space="preserve"> </w:t>
      </w:r>
      <w:r w:rsidR="00C95EF9">
        <w:t>onafhankelijke variabele ‘</w:t>
      </w:r>
      <w:r w:rsidR="005B1CE2">
        <w:t>O</w:t>
      </w:r>
      <w:r w:rsidR="00C95EF9">
        <w:t>ntvangst EU-gelden’ en ‘</w:t>
      </w:r>
      <w:r w:rsidR="005B1CE2">
        <w:t>I</w:t>
      </w:r>
      <w:r w:rsidR="00C95EF9">
        <w:t xml:space="preserve">nwoneraantal’ </w:t>
      </w:r>
      <w:r w:rsidR="004C52B4">
        <w:t xml:space="preserve">is </w:t>
      </w:r>
      <w:r w:rsidR="00C95EF9">
        <w:t xml:space="preserve">geschonden. </w:t>
      </w:r>
      <w:r w:rsidR="00A77474">
        <w:t xml:space="preserve">Conform statistische conventies is hiervoor gecorrigeerd door </w:t>
      </w:r>
      <w:r w:rsidR="002500D9">
        <w:t>op de betreffende</w:t>
      </w:r>
      <w:r w:rsidR="00A77474">
        <w:t xml:space="preserve"> variabelen een log-transformatie uit te voeren (Schreiber-Gregory, 2018, p. 20). Ten tweede heeft </w:t>
      </w:r>
      <w:r w:rsidR="004C52B4">
        <w:t xml:space="preserve">de multinomiale logistische regressie last van overdispersion. </w:t>
      </w:r>
      <w:r w:rsidR="00B0544D">
        <w:t>De Pearson Dispersion Parameter heeft daarbij de waarde 1</w:t>
      </w:r>
      <w:r w:rsidR="00176180">
        <w:t>.</w:t>
      </w:r>
      <w:r w:rsidR="00B0544D">
        <w:t xml:space="preserve">18. Dit is </w:t>
      </w:r>
      <w:r w:rsidR="00BA275C">
        <w:t>weliswaar</w:t>
      </w:r>
      <w:r w:rsidR="00B0544D">
        <w:t xml:space="preserve"> significant en boven de waarde 1</w:t>
      </w:r>
      <w:r w:rsidR="00176180">
        <w:t>.0</w:t>
      </w:r>
      <w:r w:rsidR="00B0544D">
        <w:t>, maar onder de problematische waarde van 2</w:t>
      </w:r>
      <w:r w:rsidR="00176180">
        <w:t>.</w:t>
      </w:r>
      <w:r w:rsidR="00B0544D">
        <w:t>0 (</w:t>
      </w:r>
      <w:r w:rsidR="00B0544D" w:rsidRPr="00B0544D">
        <w:t>Field, 2018, pp. 890-891).</w:t>
      </w:r>
      <w:r w:rsidR="00564C1B">
        <w:t xml:space="preserve"> </w:t>
      </w:r>
      <w:r w:rsidR="003C3906">
        <w:t>Om eventuele problemen als gevolg van overdispersion te verhelpen heeft deze studie gebruik gemaakt van de Pearson Dispersion Scale</w:t>
      </w:r>
      <w:r w:rsidR="00785A0A">
        <w:t xml:space="preserve">, welke volgens Field (2018, pp. 890-891) het mogelijk maakt </w:t>
      </w:r>
      <w:r w:rsidR="00437E2C">
        <w:t xml:space="preserve">om een schending van deze assumptie op te lossen. </w:t>
      </w:r>
      <w:r w:rsidR="00785A0A">
        <w:t xml:space="preserve"> </w:t>
      </w:r>
    </w:p>
    <w:p w14:paraId="04A4918A" w14:textId="4AD21373" w:rsidR="006D4C15" w:rsidRDefault="001E7749" w:rsidP="001E7749">
      <w:pPr>
        <w:pStyle w:val="Kop2"/>
      </w:pPr>
      <w:r>
        <w:t>3.5 Validiteit en betrouwbaarheid</w:t>
      </w:r>
    </w:p>
    <w:p w14:paraId="39A34348" w14:textId="6DD81B93" w:rsidR="00884F43" w:rsidRDefault="00E84248" w:rsidP="003E4676">
      <w:r>
        <w:t xml:space="preserve">Het gekozen research design, een combinatie van kwantitatieve inhoudsanalyse </w:t>
      </w:r>
      <w:r w:rsidR="00D94751">
        <w:t xml:space="preserve">en statistische toetsing met behulp van </w:t>
      </w:r>
      <w:r w:rsidR="006A0E53">
        <w:t xml:space="preserve">een </w:t>
      </w:r>
      <w:r w:rsidR="00822F0D">
        <w:t>(</w:t>
      </w:r>
      <w:r w:rsidR="00D94751">
        <w:t>multinomiale</w:t>
      </w:r>
      <w:r w:rsidR="00822F0D">
        <w:t>)</w:t>
      </w:r>
      <w:r w:rsidR="00D94751">
        <w:t xml:space="preserve"> logistische regressie, kent sterke </w:t>
      </w:r>
      <w:r w:rsidR="00BE1D01">
        <w:t xml:space="preserve">punten </w:t>
      </w:r>
      <w:r w:rsidR="00D94751">
        <w:t>en aandacht</w:t>
      </w:r>
      <w:r w:rsidR="00DF6ED1">
        <w:t>s</w:t>
      </w:r>
      <w:r w:rsidR="00D94751">
        <w:t xml:space="preserve">punten op het gebied van </w:t>
      </w:r>
      <w:r w:rsidR="002E22A8">
        <w:t xml:space="preserve">interne </w:t>
      </w:r>
      <w:r w:rsidR="00D94751">
        <w:t xml:space="preserve">validiteit en betrouwbaarheid. </w:t>
      </w:r>
      <w:r w:rsidR="002E22A8">
        <w:t>Voor een overzicht van de externe validiteit van de gehanteerde methodiek, zie paragraaf 3.3.</w:t>
      </w:r>
      <w:r w:rsidR="002E22A8">
        <w:tab/>
      </w:r>
      <w:r w:rsidR="002E22A8">
        <w:tab/>
      </w:r>
      <w:r w:rsidR="002E22A8">
        <w:tab/>
      </w:r>
      <w:r w:rsidR="00D30C5D" w:rsidRPr="00BA5A02">
        <w:t>Volgens</w:t>
      </w:r>
      <w:r w:rsidR="00D30C5D">
        <w:t xml:space="preserve"> Krippendorff (1980, p. 130) is de </w:t>
      </w:r>
      <w:r w:rsidR="00C95554">
        <w:t xml:space="preserve">validiteit </w:t>
      </w:r>
      <w:r w:rsidR="00AC20EF">
        <w:t>va</w:t>
      </w:r>
      <w:r w:rsidR="00C95554">
        <w:t xml:space="preserve">n een kwantitatieve inhoudsanalyse te vatten in termen van </w:t>
      </w:r>
      <w:r w:rsidR="000049BB" w:rsidRPr="00C55547">
        <w:rPr>
          <w:i/>
          <w:iCs/>
        </w:rPr>
        <w:t>accuratesse</w:t>
      </w:r>
      <w:r w:rsidR="00F614C0">
        <w:rPr>
          <w:i/>
          <w:iCs/>
        </w:rPr>
        <w:t xml:space="preserve"> </w:t>
      </w:r>
      <w:r w:rsidR="00F614C0">
        <w:t xml:space="preserve">(overeenkomst standaardcodering) </w:t>
      </w:r>
      <w:r w:rsidR="00D80C49">
        <w:t xml:space="preserve">en </w:t>
      </w:r>
      <w:r w:rsidR="00AC20EF">
        <w:t xml:space="preserve">valt of staat </w:t>
      </w:r>
      <w:r w:rsidR="00D80C49">
        <w:t xml:space="preserve">de betrouwbaarheid </w:t>
      </w:r>
      <w:r w:rsidR="00AC20EF">
        <w:t>met de</w:t>
      </w:r>
      <w:r w:rsidR="000049BB">
        <w:t xml:space="preserve"> </w:t>
      </w:r>
      <w:r w:rsidR="000049BB" w:rsidRPr="00C55547">
        <w:rPr>
          <w:i/>
          <w:iCs/>
        </w:rPr>
        <w:t>reproduceerbaarheid</w:t>
      </w:r>
      <w:r w:rsidR="000049BB">
        <w:t xml:space="preserve"> (intercodeur</w:t>
      </w:r>
      <w:r w:rsidR="00860EFC">
        <w:t xml:space="preserve"> </w:t>
      </w:r>
      <w:r w:rsidR="000049BB">
        <w:t xml:space="preserve">betrouwbaarheid) en </w:t>
      </w:r>
      <w:r w:rsidR="000049BB" w:rsidRPr="00C55547">
        <w:rPr>
          <w:i/>
          <w:iCs/>
        </w:rPr>
        <w:t>stabiliteit</w:t>
      </w:r>
      <w:r w:rsidR="000049BB">
        <w:t xml:space="preserve"> (intracodeur</w:t>
      </w:r>
      <w:r w:rsidR="00C55547">
        <w:t xml:space="preserve"> </w:t>
      </w:r>
      <w:r w:rsidR="000049BB">
        <w:t>betrouwbaarheid)</w:t>
      </w:r>
      <w:r w:rsidR="00D80C49">
        <w:t xml:space="preserve"> </w:t>
      </w:r>
      <w:r w:rsidR="00AC20EF">
        <w:t xml:space="preserve">van de codering. </w:t>
      </w:r>
      <w:r w:rsidR="002562A9">
        <w:t>In het algemeen kan gesteld worden dat de accuratesse en stabiliteit va</w:t>
      </w:r>
      <w:r w:rsidR="00BA16C1">
        <w:t>n dit paper</w:t>
      </w:r>
      <w:r w:rsidR="002562A9">
        <w:t xml:space="preserve"> hoog zijn, maar dat de </w:t>
      </w:r>
      <w:r w:rsidR="004A69B6">
        <w:t xml:space="preserve">reproduceerbaarheid een aandachtspunt is. </w:t>
      </w:r>
      <w:r w:rsidR="009D598A">
        <w:t>Vennix (2016, p. 1</w:t>
      </w:r>
      <w:r w:rsidR="007C6DB9">
        <w:t>44) stelt da</w:t>
      </w:r>
      <w:r w:rsidR="00BB5566">
        <w:t>t discrepantie in</w:t>
      </w:r>
      <w:r w:rsidR="00BB5566" w:rsidRPr="006A75C3">
        <w:t xml:space="preserve"> accuratesse</w:t>
      </w:r>
      <w:r w:rsidR="00BB5566">
        <w:t xml:space="preserve"> </w:t>
      </w:r>
      <w:r w:rsidR="003074B3">
        <w:t>vooral optreedt</w:t>
      </w:r>
      <w:r w:rsidR="00BB5566">
        <w:t xml:space="preserve"> wanneer </w:t>
      </w:r>
      <w:r w:rsidR="007955D3">
        <w:t xml:space="preserve">externe codeurs </w:t>
      </w:r>
      <w:r w:rsidR="00183F66">
        <w:t xml:space="preserve">werken met </w:t>
      </w:r>
      <w:r w:rsidR="00F62DA9">
        <w:t>een onbekende standaardcodering</w:t>
      </w:r>
      <w:r w:rsidR="00C475F3">
        <w:t>.</w:t>
      </w:r>
      <w:r w:rsidR="007955D3">
        <w:t xml:space="preserve"> In </w:t>
      </w:r>
      <w:r w:rsidR="00183F66">
        <w:t>dit onderzoek ligt</w:t>
      </w:r>
      <w:r w:rsidR="007955D3">
        <w:t xml:space="preserve"> het ontwikkelen van </w:t>
      </w:r>
      <w:r w:rsidR="00183F66">
        <w:t>een</w:t>
      </w:r>
      <w:r w:rsidR="007955D3">
        <w:t xml:space="preserve"> standaardcodering en het coderen van het materiaal in één hand, wat de kans op </w:t>
      </w:r>
      <w:r w:rsidR="006751AD">
        <w:t>afwijkingen</w:t>
      </w:r>
      <w:r w:rsidR="007955D3">
        <w:t xml:space="preserve"> verkleint.</w:t>
      </w:r>
      <w:r w:rsidR="006751AD">
        <w:t xml:space="preserve"> </w:t>
      </w:r>
      <w:r w:rsidR="00677682">
        <w:t xml:space="preserve">Ter bevordering van een stabiele codering van dezelfde codeur </w:t>
      </w:r>
      <w:r w:rsidR="006F2DDD">
        <w:t>over de tijd is gewerkt met een steekproefsgewijze hercodering van hetzelfde materiaal</w:t>
      </w:r>
      <w:r w:rsidR="00B94D5D">
        <w:t xml:space="preserve"> één week na afronding van de eerste codering. </w:t>
      </w:r>
      <w:r w:rsidR="00960DF2">
        <w:tab/>
      </w:r>
      <w:r w:rsidR="00960DF2">
        <w:tab/>
      </w:r>
      <w:r w:rsidR="00960DF2">
        <w:tab/>
      </w:r>
      <w:r w:rsidR="00960DF2">
        <w:tab/>
      </w:r>
      <w:r w:rsidR="00960DF2">
        <w:tab/>
      </w:r>
      <w:r w:rsidR="00DD56E6">
        <w:t>Aandachtpunt binnen de betrouwbaarheid betreft de</w:t>
      </w:r>
      <w:r w:rsidR="00955804">
        <w:t xml:space="preserve"> </w:t>
      </w:r>
      <w:r w:rsidR="00D91330">
        <w:t>reproduceerbaarheid (intercodeur betrouwbaarheid)</w:t>
      </w:r>
      <w:r w:rsidR="00213EB8">
        <w:t>.</w:t>
      </w:r>
      <w:r w:rsidR="00960DF2">
        <w:t xml:space="preserve"> </w:t>
      </w:r>
      <w:r w:rsidR="00426331">
        <w:t>Aangezien de coalitieakkoorden uit 2018 en 2022 door één codeur zijn gecodeerd,</w:t>
      </w:r>
      <w:r w:rsidR="00B72893">
        <w:t xml:space="preserve"> bestaat er geen mogelijkheid om voor deze perioden de betrouwbaarheidscoëfficiënt (Cohen’s Kappa) vast te stellen.</w:t>
      </w:r>
      <w:r w:rsidR="00BC740E">
        <w:t xml:space="preserve"> </w:t>
      </w:r>
      <w:r w:rsidR="00502FB0">
        <w:t xml:space="preserve">Door voort te bouwen op het werk van Zwaan en Van Genugten (2014) bestaat deze mogelijkheid er wel voor </w:t>
      </w:r>
      <w:r w:rsidR="00234AA3">
        <w:t xml:space="preserve">de </w:t>
      </w:r>
      <w:r w:rsidR="00840C79">
        <w:t>akkoorden uit 2014</w:t>
      </w:r>
      <w:r w:rsidR="00234AA3">
        <w:t>. Een vergelijk</w:t>
      </w:r>
      <w:r w:rsidR="006F682C">
        <w:t xml:space="preserve">ing </w:t>
      </w:r>
      <w:r w:rsidR="00B21CB9">
        <w:t>van</w:t>
      </w:r>
      <w:r w:rsidR="00234AA3">
        <w:t xml:space="preserve"> alle coderinge</w:t>
      </w:r>
      <w:r w:rsidR="00FC6693">
        <w:t xml:space="preserve">n in dit paper </w:t>
      </w:r>
      <w:r w:rsidR="00335091">
        <w:t>met</w:t>
      </w:r>
      <w:r w:rsidR="00FC6693">
        <w:t xml:space="preserve"> die van Zwaan en Van Genugten (2014) </w:t>
      </w:r>
      <w:r w:rsidR="00B21CB9">
        <w:t>resulteerde in</w:t>
      </w:r>
      <w:r w:rsidR="00FC6693">
        <w:t xml:space="preserve"> een Cohen’s Kappa van 0</w:t>
      </w:r>
      <w:r w:rsidR="00E85917">
        <w:t>.</w:t>
      </w:r>
      <w:r w:rsidR="00FC6693">
        <w:t>86. Volgens Krippendorf</w:t>
      </w:r>
      <w:r w:rsidR="00D00806">
        <w:t xml:space="preserve">f </w:t>
      </w:r>
      <w:r w:rsidR="00D00806" w:rsidRPr="003B2D34">
        <w:t xml:space="preserve">(1980, p. </w:t>
      </w:r>
      <w:r w:rsidR="003B2D34" w:rsidRPr="003B2D34">
        <w:t>147</w:t>
      </w:r>
      <w:r w:rsidR="00D00806" w:rsidRPr="003B2D34">
        <w:t>)</w:t>
      </w:r>
      <w:r w:rsidR="00FC6693">
        <w:t xml:space="preserve"> </w:t>
      </w:r>
      <w:r w:rsidR="00B069E0">
        <w:t>gelden alle uitkomsten boven de 0</w:t>
      </w:r>
      <w:r w:rsidR="00E85917">
        <w:t>.</w:t>
      </w:r>
      <w:r w:rsidR="00B069E0">
        <w:t xml:space="preserve">80 als </w:t>
      </w:r>
      <w:r w:rsidR="003B2D34">
        <w:t>zeer</w:t>
      </w:r>
      <w:r w:rsidR="00B069E0">
        <w:t xml:space="preserve"> betrouwbaar. </w:t>
      </w:r>
      <w:r w:rsidR="0009571F">
        <w:t xml:space="preserve">Alhoewel de </w:t>
      </w:r>
      <w:r w:rsidR="00865790">
        <w:t>betrouwbaarheidscoëfficiënt</w:t>
      </w:r>
      <w:r w:rsidR="00485A03">
        <w:t xml:space="preserve"> </w:t>
      </w:r>
      <w:r w:rsidR="00C73C65">
        <w:t>van</w:t>
      </w:r>
      <w:r w:rsidR="00485A03">
        <w:t xml:space="preserve"> 2014-2018 </w:t>
      </w:r>
      <w:r w:rsidR="00865790">
        <w:t xml:space="preserve">niet </w:t>
      </w:r>
      <w:r w:rsidR="002D423B">
        <w:t>noodzakelijkerwijs</w:t>
      </w:r>
      <w:r w:rsidR="00865790">
        <w:t xml:space="preserve"> </w:t>
      </w:r>
      <w:r w:rsidR="00695D1B">
        <w:t xml:space="preserve">van toepassing is op de andere twee raadsperioden, </w:t>
      </w:r>
      <w:r w:rsidR="00097F1C">
        <w:t xml:space="preserve">geeft de </w:t>
      </w:r>
      <w:r w:rsidR="00FB7825">
        <w:t xml:space="preserve">berekende </w:t>
      </w:r>
      <w:r w:rsidR="00101E97">
        <w:t xml:space="preserve">Cohen’s Kappa </w:t>
      </w:r>
      <w:r w:rsidR="00871727">
        <w:t xml:space="preserve">ook </w:t>
      </w:r>
      <w:r w:rsidR="00101E97">
        <w:t xml:space="preserve">geen </w:t>
      </w:r>
      <w:r w:rsidR="00862E2A">
        <w:t>aanleiding</w:t>
      </w:r>
      <w:r w:rsidR="00101E97">
        <w:t xml:space="preserve"> om te twijfelen aa</w:t>
      </w:r>
      <w:r w:rsidR="00871727">
        <w:t xml:space="preserve">n de intercodeur betrouwbaarheid van de coderingen </w:t>
      </w:r>
      <w:r w:rsidR="00B24F85">
        <w:t>in die tijdvakken.</w:t>
      </w:r>
      <w:r w:rsidR="00B24F85">
        <w:tab/>
      </w:r>
      <w:r w:rsidR="004C16CA">
        <w:t xml:space="preserve"> </w:t>
      </w:r>
      <w:r w:rsidR="00871727">
        <w:t xml:space="preserve">  </w:t>
      </w:r>
      <w:r w:rsidR="004C16CA">
        <w:tab/>
      </w:r>
      <w:r w:rsidR="004C16CA">
        <w:tab/>
      </w:r>
      <w:r w:rsidR="004C16CA">
        <w:tab/>
      </w:r>
      <w:r w:rsidR="004C16CA">
        <w:tab/>
      </w:r>
      <w:r w:rsidR="004C16CA">
        <w:tab/>
      </w:r>
      <w:r w:rsidR="004C16CA">
        <w:tab/>
      </w:r>
      <w:r w:rsidR="004C16CA">
        <w:tab/>
      </w:r>
      <w:r w:rsidR="004C16CA">
        <w:tab/>
      </w:r>
      <w:r w:rsidR="00C5132D">
        <w:t>Ook de gehanteerde statistische analyse heeft sterke</w:t>
      </w:r>
      <w:r w:rsidR="00BE1D01">
        <w:t xml:space="preserve"> punten</w:t>
      </w:r>
      <w:r w:rsidR="00C5132D">
        <w:t xml:space="preserve"> en aandacht</w:t>
      </w:r>
      <w:r w:rsidR="00DF6ED1">
        <w:t>s</w:t>
      </w:r>
      <w:r w:rsidR="00C5132D">
        <w:t xml:space="preserve">punten op het gebied van interne validiteit en betrouwbaarheid. </w:t>
      </w:r>
      <w:r w:rsidR="00481779">
        <w:t xml:space="preserve">In zijn algemeenheid geldt dat kwantitatieve methoden een lagere </w:t>
      </w:r>
      <w:r w:rsidR="00FD0F66">
        <w:t xml:space="preserve">interne validiteit kennen dan kwalitatieve methoden. </w:t>
      </w:r>
      <w:r w:rsidR="00790B0D">
        <w:t>Field (2018, p. 914) benadrukt deze beperking voor de</w:t>
      </w:r>
      <w:r w:rsidR="00556BC1">
        <w:t xml:space="preserve"> </w:t>
      </w:r>
      <w:r w:rsidR="00790B0D">
        <w:t>logistische regressie, aangezien he</w:t>
      </w:r>
      <w:r w:rsidR="00D45D18">
        <w:t xml:space="preserve">t hanteren </w:t>
      </w:r>
      <w:r w:rsidR="00F31181">
        <w:t xml:space="preserve">van </w:t>
      </w:r>
      <w:r w:rsidR="00F30947">
        <w:t xml:space="preserve">een dichotome indeling </w:t>
      </w:r>
      <w:r w:rsidR="009C337A">
        <w:t xml:space="preserve">met zich mee </w:t>
      </w:r>
      <w:r w:rsidR="008C757D">
        <w:t xml:space="preserve">brengt dat variatie </w:t>
      </w:r>
      <w:r w:rsidR="00F30947">
        <w:t>binnen de twee categorieën (heterogeniteit) wegval</w:t>
      </w:r>
      <w:r w:rsidR="005B273F">
        <w:t>t</w:t>
      </w:r>
      <w:r w:rsidR="00F30947">
        <w:t>.</w:t>
      </w:r>
      <w:r w:rsidR="00E22C1F">
        <w:t xml:space="preserve"> In de onderhavige studie is hiervoor gecorrigeerd</w:t>
      </w:r>
      <w:r w:rsidR="002959E2">
        <w:t xml:space="preserve"> door </w:t>
      </w:r>
      <w:r w:rsidR="004C3279">
        <w:t>te werken met meerdere categorieën</w:t>
      </w:r>
      <w:r w:rsidR="002959E2">
        <w:t xml:space="preserve"> (</w:t>
      </w:r>
      <w:r w:rsidR="00B10FAD">
        <w:t>0-</w:t>
      </w:r>
      <w:r w:rsidR="00DF654C">
        <w:t>4</w:t>
      </w:r>
      <w:r w:rsidR="002959E2">
        <w:t>)</w:t>
      </w:r>
      <w:r w:rsidR="00B10FAD">
        <w:t xml:space="preserve"> die volgens de literatuur een adequate </w:t>
      </w:r>
      <w:r w:rsidR="0005362E">
        <w:t xml:space="preserve">weergave bieden voor de werkelijkheid. </w:t>
      </w:r>
      <w:r w:rsidR="00FF7468">
        <w:t>Het gebruik van een multinomiale</w:t>
      </w:r>
      <w:r w:rsidR="00245938">
        <w:t xml:space="preserve"> logistische</w:t>
      </w:r>
      <w:r w:rsidR="00FF7468">
        <w:t xml:space="preserve"> regressie</w:t>
      </w:r>
      <w:r w:rsidR="003223D5">
        <w:t xml:space="preserve"> als primaire toets</w:t>
      </w:r>
      <w:r w:rsidR="00FF7468">
        <w:t xml:space="preserve"> komt </w:t>
      </w:r>
      <w:r w:rsidR="002163FF">
        <w:t xml:space="preserve">daarmee </w:t>
      </w:r>
      <w:r w:rsidR="00BA4F4F">
        <w:t xml:space="preserve">de interne validiteit ten goede. </w:t>
      </w:r>
      <w:r w:rsidR="008E0147">
        <w:t xml:space="preserve">Ook </w:t>
      </w:r>
      <w:r w:rsidR="001B5F0A">
        <w:t>zijn</w:t>
      </w:r>
      <w:r w:rsidR="008E0147">
        <w:t xml:space="preserve"> met oog op het waarborgen van de interne validiteit</w:t>
      </w:r>
      <w:r w:rsidR="00BA4F4F">
        <w:t xml:space="preserve"> </w:t>
      </w:r>
      <w:r w:rsidR="001B5F0A">
        <w:t>alle variabelen op basis van de literatuur geoperationaliseerd</w:t>
      </w:r>
      <w:r w:rsidR="00081D78">
        <w:t xml:space="preserve"> (Vennix, </w:t>
      </w:r>
      <w:r w:rsidR="00D755A5">
        <w:t>2016, p. 115)</w:t>
      </w:r>
      <w:r w:rsidR="001D39FC">
        <w:t xml:space="preserve">. </w:t>
      </w:r>
      <w:r w:rsidR="00DB6F3F">
        <w:t>Het sterke punt van de kwantitatieve analyse ligt op het gebied van de betrouwbaarheid.</w:t>
      </w:r>
      <w:r w:rsidR="00D245DC">
        <w:t xml:space="preserve"> </w:t>
      </w:r>
      <w:r w:rsidR="00C16F10">
        <w:t xml:space="preserve">Volgens Vennix (2016, p. </w:t>
      </w:r>
      <w:r w:rsidR="008003B0">
        <w:t>117</w:t>
      </w:r>
      <w:r w:rsidR="00CD5A8F">
        <w:t xml:space="preserve">) is </w:t>
      </w:r>
      <w:r w:rsidR="00CC3BFD">
        <w:t>een vereist</w:t>
      </w:r>
      <w:r w:rsidR="00E676D7">
        <w:t>e</w:t>
      </w:r>
      <w:r w:rsidR="00CC3BFD">
        <w:t xml:space="preserve"> voor </w:t>
      </w:r>
      <w:r w:rsidR="008003B0">
        <w:t xml:space="preserve">een betrouwbaar onderzoek dat </w:t>
      </w:r>
      <w:r w:rsidR="00E050CE">
        <w:t xml:space="preserve">de meetresultaten onafhankelijk van de onderzoeker </w:t>
      </w:r>
      <w:r w:rsidR="003A1CBD">
        <w:t xml:space="preserve">en het meetinstrument </w:t>
      </w:r>
      <w:r w:rsidR="00E050CE">
        <w:t>tot stand komen.</w:t>
      </w:r>
      <w:r w:rsidR="0064154C">
        <w:t xml:space="preserve"> </w:t>
      </w:r>
      <w:r w:rsidR="00CF27C4">
        <w:t>Door de relatief kleine kans op onderzoeker</w:t>
      </w:r>
      <w:r w:rsidR="008B2213">
        <w:t>s</w:t>
      </w:r>
      <w:r w:rsidR="00CF27C4">
        <w:t xml:space="preserve">bias binnen </w:t>
      </w:r>
      <w:r w:rsidR="003418FC">
        <w:t>het statistische gedeelte van het paper</w:t>
      </w:r>
      <w:r w:rsidR="00E45893">
        <w:t xml:space="preserve"> is de betrouwbaarheid </w:t>
      </w:r>
      <w:r w:rsidR="001D39FC">
        <w:t>hier</w:t>
      </w:r>
      <w:r w:rsidR="007C7FD7">
        <w:t xml:space="preserve"> </w:t>
      </w:r>
      <w:r w:rsidR="00B5333F">
        <w:t>gegarandeerd.</w:t>
      </w:r>
    </w:p>
    <w:p w14:paraId="1F5FE7A3" w14:textId="44654A2A" w:rsidR="00857E7D" w:rsidRDefault="00857E7D" w:rsidP="003E4676"/>
    <w:p w14:paraId="7CDB1781" w14:textId="77777777" w:rsidR="00857E7D" w:rsidRDefault="00857E7D">
      <w:pPr>
        <w:jc w:val="center"/>
      </w:pPr>
      <w:r>
        <w:br w:type="page"/>
      </w:r>
    </w:p>
    <w:p w14:paraId="1A4AD8A1" w14:textId="7F9A26EC" w:rsidR="00857E7D" w:rsidRDefault="00857E7D" w:rsidP="00857E7D">
      <w:pPr>
        <w:pStyle w:val="Kop1"/>
        <w:numPr>
          <w:ilvl w:val="0"/>
          <w:numId w:val="1"/>
        </w:numPr>
      </w:pPr>
      <w:r>
        <w:t>Resultaten</w:t>
      </w:r>
    </w:p>
    <w:p w14:paraId="115BCC0E" w14:textId="0B86D139" w:rsidR="001551C8" w:rsidRDefault="001551C8" w:rsidP="001551C8">
      <w:pPr>
        <w:pStyle w:val="Kop2"/>
      </w:pPr>
      <w:r>
        <w:t xml:space="preserve">4.1 </w:t>
      </w:r>
      <w:r w:rsidR="00172B0F">
        <w:t xml:space="preserve">Beschrijvende statistiek </w:t>
      </w:r>
    </w:p>
    <w:p w14:paraId="63A8C87A" w14:textId="431EC1D6" w:rsidR="0010589D" w:rsidRDefault="00AF57A2" w:rsidP="00857E7D">
      <w:r>
        <w:t xml:space="preserve">In tabel </w:t>
      </w:r>
      <w:r w:rsidR="0050576D">
        <w:t>I</w:t>
      </w:r>
      <w:r>
        <w:t xml:space="preserve"> </w:t>
      </w:r>
      <w:r w:rsidR="00E55F76">
        <w:t xml:space="preserve">zijn de beschrijvende statistieken voor </w:t>
      </w:r>
      <w:r w:rsidR="00FD6547">
        <w:t xml:space="preserve">de gemeenten op alle variabelen weergegeven. </w:t>
      </w:r>
      <w:r w:rsidR="00DC5677">
        <w:t xml:space="preserve">Een aantal zaken vallen hierbij op. Allereerst </w:t>
      </w:r>
      <w:r w:rsidR="00B44856">
        <w:t>zijn er door de log</w:t>
      </w:r>
      <w:r w:rsidR="00284528">
        <w:t>-</w:t>
      </w:r>
      <w:r w:rsidR="00B44856">
        <w:t xml:space="preserve">transformatie op de variabelen </w:t>
      </w:r>
      <w:r w:rsidR="007431AA">
        <w:t>‘O</w:t>
      </w:r>
      <w:r w:rsidR="00B44856">
        <w:t>ntvangst EU-gelden</w:t>
      </w:r>
      <w:r w:rsidR="007431AA">
        <w:t>’</w:t>
      </w:r>
      <w:r w:rsidR="00B44856">
        <w:t xml:space="preserve"> en </w:t>
      </w:r>
      <w:r w:rsidR="007431AA">
        <w:t>‘</w:t>
      </w:r>
      <w:r w:rsidR="00B44856">
        <w:t>Inwoneraantal</w:t>
      </w:r>
      <w:r w:rsidR="007431AA">
        <w:t>’ negatieve minimale waarden ontstaan</w:t>
      </w:r>
      <w:r w:rsidR="008312EF">
        <w:t xml:space="preserve">. </w:t>
      </w:r>
      <w:r w:rsidR="00B94BDA">
        <w:t>Ten tweede</w:t>
      </w:r>
      <w:r w:rsidR="008312EF">
        <w:t xml:space="preserve"> </w:t>
      </w:r>
      <w:r w:rsidR="00143AD2">
        <w:t xml:space="preserve">blijkt uit tabel </w:t>
      </w:r>
      <w:r w:rsidR="00D87E0F">
        <w:t>I</w:t>
      </w:r>
      <w:r w:rsidR="00143AD2">
        <w:t xml:space="preserve"> </w:t>
      </w:r>
      <w:r w:rsidR="00B55A9B">
        <w:t xml:space="preserve">dat </w:t>
      </w:r>
      <w:r w:rsidR="001D1DFF">
        <w:t>geen enkele gemeente de waarde 1 heeft gescoord op de variabele ‘</w:t>
      </w:r>
      <w:r w:rsidR="000D11C4">
        <w:t xml:space="preserve">Opstelling </w:t>
      </w:r>
      <w:r w:rsidR="001D1DFF">
        <w:t>gemeentebestuur’.</w:t>
      </w:r>
      <w:r w:rsidR="00A732F8">
        <w:t xml:space="preserve"> </w:t>
      </w:r>
      <w:r w:rsidR="007661CF">
        <w:t xml:space="preserve">Volledig eurosceptische gemeentebesturen </w:t>
      </w:r>
      <w:r w:rsidR="00983830">
        <w:t>zijn dus niet gemeten</w:t>
      </w:r>
      <w:r w:rsidR="007A443F">
        <w:t xml:space="preserve">, </w:t>
      </w:r>
      <w:r w:rsidR="006A4447">
        <w:t xml:space="preserve">wat gezien de beperkte </w:t>
      </w:r>
      <w:r w:rsidR="00DB383D">
        <w:t xml:space="preserve">electorale steun </w:t>
      </w:r>
      <w:r w:rsidR="00B7231D">
        <w:t>dan wel</w:t>
      </w:r>
      <w:r w:rsidR="00DB383D">
        <w:t xml:space="preserve"> deelname aan het gemeentebestuur van eurosceptische partijen </w:t>
      </w:r>
      <w:r w:rsidR="00BC3FCF">
        <w:t xml:space="preserve">te verwachten viel. </w:t>
      </w:r>
      <w:r w:rsidR="003B79E3">
        <w:t>Tot slot</w:t>
      </w:r>
      <w:r w:rsidR="0021646B">
        <w:t xml:space="preserve"> valt uit het gemiddelde van ‘Wel/geen aandacht’ af te leiden dat voor de drie raadsperioden</w:t>
      </w:r>
      <w:r w:rsidR="0047726F">
        <w:t xml:space="preserve"> tezamen</w:t>
      </w:r>
      <w:r w:rsidR="0021646B">
        <w:t xml:space="preserve"> </w:t>
      </w:r>
      <w:r w:rsidR="0047726F">
        <w:t xml:space="preserve">1/3 </w:t>
      </w:r>
      <w:r w:rsidR="00B55FAD">
        <w:t xml:space="preserve">van </w:t>
      </w:r>
      <w:r w:rsidR="00CA4E26">
        <w:t>alle</w:t>
      </w:r>
      <w:r w:rsidR="00B55FAD">
        <w:t xml:space="preserve"> gemeenten op enige wijze politiek-bestuurlijke aandacht had voor Europa</w:t>
      </w:r>
      <w:r w:rsidR="008E1690">
        <w:t xml:space="preserve">. </w:t>
      </w:r>
      <w:r w:rsidR="0010589D">
        <w:t xml:space="preserve">Een nadere uitsplitsing van deze resultaten in tabel </w:t>
      </w:r>
      <w:r w:rsidR="00957108">
        <w:t xml:space="preserve">IV </w:t>
      </w:r>
      <w:r w:rsidR="003D027C">
        <w:t>(zie Appendix)</w:t>
      </w:r>
      <w:r w:rsidR="00957108">
        <w:t xml:space="preserve"> </w:t>
      </w:r>
      <w:r w:rsidR="000651CC">
        <w:t xml:space="preserve">laat zien dat </w:t>
      </w:r>
      <w:r w:rsidR="00C22188">
        <w:t xml:space="preserve">718 gemeenten (66,6%) niet politiek-bestuurlijk geëuropeaniseerd </w:t>
      </w:r>
      <w:r w:rsidR="00447F71">
        <w:t>zijn</w:t>
      </w:r>
      <w:r w:rsidR="00C22188">
        <w:t xml:space="preserve">, </w:t>
      </w:r>
      <w:r w:rsidR="00957108">
        <w:t xml:space="preserve"> </w:t>
      </w:r>
      <w:r w:rsidR="00702B50">
        <w:t xml:space="preserve">68 gemeenten (6,3%) in de categorie ‘minimal’ vallen, 122 gemeenten (11,3%) aandacht </w:t>
      </w:r>
      <w:r w:rsidR="003B79E3">
        <w:t>hebben</w:t>
      </w:r>
      <w:r w:rsidR="00702B50">
        <w:t xml:space="preserve"> voor Europese</w:t>
      </w:r>
      <w:r w:rsidR="0000707A">
        <w:t xml:space="preserve"> subsidies, 113 gemeenten (10,5%) primair inzetten op netwerken in Europees verband en </w:t>
      </w:r>
      <w:r w:rsidR="00672562">
        <w:t>55 gemeenten (5,1%) oog hebben voor lobbyen in ‘Brussel’</w:t>
      </w:r>
      <w:r w:rsidR="000539BF">
        <w:t>. Voor meer beschrijvende statistieken</w:t>
      </w:r>
      <w:r w:rsidR="008F0C6F">
        <w:t>,</w:t>
      </w:r>
      <w:r w:rsidR="000539BF">
        <w:t xml:space="preserve"> zie tabel </w:t>
      </w:r>
      <w:r w:rsidR="0021533E">
        <w:t xml:space="preserve">I tot en met V in de Appendix. </w:t>
      </w:r>
    </w:p>
    <w:p w14:paraId="3BE99538" w14:textId="2B4DD02D" w:rsidR="00C45DD8" w:rsidRPr="00996365" w:rsidRDefault="002A3F59" w:rsidP="0040422E">
      <w:pPr>
        <w:spacing w:line="240" w:lineRule="auto"/>
        <w:rPr>
          <w:b/>
          <w:bCs/>
          <w:sz w:val="20"/>
          <w:szCs w:val="20"/>
        </w:rPr>
      </w:pPr>
      <w:r>
        <w:rPr>
          <w:b/>
          <w:bCs/>
          <w:sz w:val="20"/>
          <w:szCs w:val="20"/>
        </w:rPr>
        <w:t xml:space="preserve">  </w:t>
      </w:r>
      <w:r w:rsidR="00C45DD8" w:rsidRPr="00996365">
        <w:rPr>
          <w:b/>
          <w:bCs/>
          <w:sz w:val="20"/>
          <w:szCs w:val="20"/>
        </w:rPr>
        <w:t xml:space="preserve">Tabel </w:t>
      </w:r>
      <w:r w:rsidR="0050576D" w:rsidRPr="00996365">
        <w:rPr>
          <w:b/>
          <w:bCs/>
          <w:sz w:val="20"/>
          <w:szCs w:val="20"/>
        </w:rPr>
        <w:t>I</w:t>
      </w:r>
      <w:r w:rsidR="008F092E" w:rsidRPr="00996365">
        <w:rPr>
          <w:b/>
          <w:bCs/>
          <w:sz w:val="20"/>
          <w:szCs w:val="20"/>
        </w:rPr>
        <w:t>: b</w:t>
      </w:r>
      <w:r w:rsidR="00C45DD8" w:rsidRPr="00996365">
        <w:rPr>
          <w:b/>
          <w:bCs/>
          <w:sz w:val="20"/>
          <w:szCs w:val="20"/>
        </w:rPr>
        <w:t>eschrijvende statistieken</w:t>
      </w:r>
    </w:p>
    <w:p w14:paraId="00B42A32" w14:textId="7FE6BD14" w:rsidR="00FD6547" w:rsidRPr="00857E7D" w:rsidRDefault="009F6C9E" w:rsidP="002A3F59">
      <w:pPr>
        <w:spacing w:line="240" w:lineRule="auto"/>
        <w:jc w:val="center"/>
      </w:pPr>
      <w:r>
        <w:rPr>
          <w:noProof/>
        </w:rPr>
        <w:drawing>
          <wp:inline distT="0" distB="0" distL="0" distR="0" wp14:anchorId="51F09BBB" wp14:editId="184520DC">
            <wp:extent cx="5778816" cy="3649980"/>
            <wp:effectExtent l="0" t="0" r="0" b="7620"/>
            <wp:docPr id="2" name="Afbeelding 2" descr="Afbeelding met taf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tafel&#10;&#10;Automatisch gegenereerde beschrijving"/>
                    <pic:cNvPicPr/>
                  </pic:nvPicPr>
                  <pic:blipFill>
                    <a:blip r:embed="rId14"/>
                    <a:stretch>
                      <a:fillRect/>
                    </a:stretch>
                  </pic:blipFill>
                  <pic:spPr>
                    <a:xfrm>
                      <a:off x="0" y="0"/>
                      <a:ext cx="5778816" cy="3649980"/>
                    </a:xfrm>
                    <a:prstGeom prst="rect">
                      <a:avLst/>
                    </a:prstGeom>
                  </pic:spPr>
                </pic:pic>
              </a:graphicData>
            </a:graphic>
          </wp:inline>
        </w:drawing>
      </w:r>
    </w:p>
    <w:p w14:paraId="42995E04" w14:textId="51808D93" w:rsidR="00CC5817" w:rsidRDefault="00CC5817" w:rsidP="00CC5817">
      <w:pPr>
        <w:pStyle w:val="Kop2"/>
      </w:pPr>
      <w:r>
        <w:t>4.2 Binaire logistische re</w:t>
      </w:r>
      <w:r w:rsidR="00D418BC">
        <w:t>gressie</w:t>
      </w:r>
    </w:p>
    <w:p w14:paraId="32A429B0" w14:textId="4425DA87" w:rsidR="006131ED" w:rsidRDefault="00EA0FEE" w:rsidP="00787950">
      <w:r>
        <w:t xml:space="preserve">Als opmaat naar de multinomiale logistische regressieanalyse </w:t>
      </w:r>
      <w:r w:rsidR="00B3012D">
        <w:t>zijn</w:t>
      </w:r>
      <w:r>
        <w:t xml:space="preserve"> </w:t>
      </w:r>
      <w:r w:rsidR="00E70D22">
        <w:t xml:space="preserve">de verschillende onafhankelijke variabelen stapsgewijs aan </w:t>
      </w:r>
      <w:r w:rsidR="00712204">
        <w:t>een</w:t>
      </w:r>
      <w:r w:rsidR="00B079C8">
        <w:t xml:space="preserve"> binaire logistische regressie</w:t>
      </w:r>
      <w:r w:rsidR="00957DEF">
        <w:t>analyse</w:t>
      </w:r>
      <w:r w:rsidR="00B079C8">
        <w:t xml:space="preserve"> met </w:t>
      </w:r>
      <w:r w:rsidR="000B7BAB">
        <w:t xml:space="preserve">het onderscheid tussen </w:t>
      </w:r>
      <w:r w:rsidR="00B079C8">
        <w:t xml:space="preserve">geen (0) en wel (1) politiek-bestuurlijke Europeanisering toegevoegd. </w:t>
      </w:r>
      <w:r w:rsidR="00BB05DC">
        <w:t xml:space="preserve">Zie hiervoor tabel IX. </w:t>
      </w:r>
      <w:r w:rsidR="00F85C55">
        <w:t xml:space="preserve">Uit een </w:t>
      </w:r>
      <w:r w:rsidR="00B26CAD">
        <w:t xml:space="preserve">inventarisatie van het effect van de individuele </w:t>
      </w:r>
      <w:r w:rsidR="00524DC6">
        <w:t>onafhankelijke variabelen</w:t>
      </w:r>
      <w:r w:rsidR="00B26CAD">
        <w:t xml:space="preserve"> op de politiek</w:t>
      </w:r>
      <w:r w:rsidR="00524DC6">
        <w:t xml:space="preserve">-bestuurlijke Europeanisering van een gemeente </w:t>
      </w:r>
      <w:r w:rsidR="00401E0A" w:rsidRPr="00401E0A">
        <w:t xml:space="preserve">(zie tabel VII en VIII Appendix) </w:t>
      </w:r>
      <w:r w:rsidR="00524DC6">
        <w:t xml:space="preserve">viel reeds op te maken dat de variabele </w:t>
      </w:r>
      <w:r w:rsidR="006D2430">
        <w:t>‘Inwoneraantal’</w:t>
      </w:r>
      <w:r w:rsidR="00524DC6">
        <w:t xml:space="preserve"> een belangrijke rol speelt. Om die reden is deze variabele als laatste </w:t>
      </w:r>
      <w:r w:rsidR="00E70CB0">
        <w:t xml:space="preserve">in het model opgenomen (Model 5). </w:t>
      </w:r>
      <w:r w:rsidR="002A62F1">
        <w:t xml:space="preserve">De </w:t>
      </w:r>
      <w:r w:rsidR="00483744">
        <w:t xml:space="preserve">grote rol voor de factor ‘Inwoneraantal’ wordt in </w:t>
      </w:r>
      <w:r w:rsidR="00F44707">
        <w:t>tabel IX</w:t>
      </w:r>
      <w:r w:rsidR="00483744">
        <w:t xml:space="preserve"> bevestigd: </w:t>
      </w:r>
      <w:r w:rsidR="00363AFA">
        <w:t>de onafhankelijke variabelen ‘Ontvang</w:t>
      </w:r>
      <w:r w:rsidR="00666B41">
        <w:t>st</w:t>
      </w:r>
      <w:r w:rsidR="00363AFA">
        <w:t xml:space="preserve"> EU-</w:t>
      </w:r>
      <w:r w:rsidR="002C0941">
        <w:t>gelden</w:t>
      </w:r>
      <w:r w:rsidR="00363AFA">
        <w:t xml:space="preserve">’ en </w:t>
      </w:r>
      <w:r w:rsidR="009767F9">
        <w:t xml:space="preserve">‘Solvabiliteitsratio’ </w:t>
      </w:r>
      <w:r w:rsidR="006C4247">
        <w:t xml:space="preserve">zijn in Model </w:t>
      </w:r>
      <w:r w:rsidR="00F168CE">
        <w:t xml:space="preserve">1 tot en met 4 significant, maar bij het toevoegen van </w:t>
      </w:r>
      <w:r w:rsidR="00A20852">
        <w:t>‘Inwoneraantal’ verdwijnt di</w:t>
      </w:r>
      <w:r w:rsidR="00B145F7">
        <w:t>t</w:t>
      </w:r>
      <w:r w:rsidR="00A20852">
        <w:t xml:space="preserve"> effect. Naast ‘Inwoneraantal’</w:t>
      </w:r>
      <w:r w:rsidR="00391BB1">
        <w:t xml:space="preserve"> </w:t>
      </w:r>
      <w:r w:rsidR="00BD13E1" w:rsidRPr="009935F1">
        <w:t>(</w:t>
      </w:r>
      <w:r w:rsidR="00BD13E1" w:rsidRPr="009935F1">
        <w:rPr>
          <w:i/>
          <w:iCs/>
        </w:rPr>
        <w:t xml:space="preserve">b </w:t>
      </w:r>
      <w:r w:rsidR="00BD13E1" w:rsidRPr="009935F1">
        <w:t>= .</w:t>
      </w:r>
      <w:r w:rsidR="00872F2D">
        <w:t>922</w:t>
      </w:r>
      <w:r w:rsidR="00BD13E1" w:rsidRPr="009935F1">
        <w:t xml:space="preserve">, </w:t>
      </w:r>
      <w:r w:rsidR="00BD13E1" w:rsidRPr="009935F1">
        <w:rPr>
          <w:i/>
          <w:iCs/>
        </w:rPr>
        <w:t xml:space="preserve">p </w:t>
      </w:r>
      <w:r w:rsidR="00BD13E1" w:rsidRPr="009935F1">
        <w:t>= .0</w:t>
      </w:r>
      <w:r w:rsidR="00904760">
        <w:t>0</w:t>
      </w:r>
      <w:r w:rsidR="00BD13E1" w:rsidRPr="009935F1">
        <w:t>1)</w:t>
      </w:r>
      <w:r w:rsidR="00A20852">
        <w:t xml:space="preserve"> </w:t>
      </w:r>
      <w:r w:rsidR="00496AAB">
        <w:t xml:space="preserve">zijn ook ‘Grensgemeenten’ </w:t>
      </w:r>
      <w:r w:rsidR="00BD13E1" w:rsidRPr="009935F1">
        <w:t>(</w:t>
      </w:r>
      <w:r w:rsidR="00BD13E1" w:rsidRPr="009935F1">
        <w:rPr>
          <w:i/>
          <w:iCs/>
        </w:rPr>
        <w:t xml:space="preserve">b </w:t>
      </w:r>
      <w:r w:rsidR="00BD13E1" w:rsidRPr="009935F1">
        <w:t>= .</w:t>
      </w:r>
      <w:r w:rsidR="00872F2D">
        <w:t>915</w:t>
      </w:r>
      <w:r w:rsidR="00BD13E1" w:rsidRPr="009935F1">
        <w:t xml:space="preserve">, </w:t>
      </w:r>
      <w:r w:rsidR="00BD13E1" w:rsidRPr="009935F1">
        <w:rPr>
          <w:i/>
          <w:iCs/>
        </w:rPr>
        <w:t xml:space="preserve">p </w:t>
      </w:r>
      <w:r w:rsidR="00BD13E1" w:rsidRPr="009935F1">
        <w:t>= .0</w:t>
      </w:r>
      <w:r w:rsidR="00904760">
        <w:t>0</w:t>
      </w:r>
      <w:r w:rsidR="00BD13E1" w:rsidRPr="009935F1">
        <w:t>1)</w:t>
      </w:r>
      <w:r w:rsidR="00BD13E1">
        <w:t xml:space="preserve"> </w:t>
      </w:r>
      <w:r w:rsidR="00496AAB">
        <w:t xml:space="preserve">en ‘Wel Aandacht’ </w:t>
      </w:r>
      <w:r w:rsidR="00BD13E1" w:rsidRPr="009935F1">
        <w:t>(</w:t>
      </w:r>
      <w:r w:rsidR="00BD13E1" w:rsidRPr="009935F1">
        <w:rPr>
          <w:i/>
          <w:iCs/>
        </w:rPr>
        <w:t xml:space="preserve">b </w:t>
      </w:r>
      <w:r w:rsidR="00BD13E1" w:rsidRPr="009935F1">
        <w:t>= .</w:t>
      </w:r>
      <w:r w:rsidR="00872F2D">
        <w:t>842</w:t>
      </w:r>
      <w:r w:rsidR="00BD13E1" w:rsidRPr="009935F1">
        <w:t xml:space="preserve">, </w:t>
      </w:r>
      <w:r w:rsidR="00BD13E1" w:rsidRPr="009935F1">
        <w:rPr>
          <w:i/>
          <w:iCs/>
        </w:rPr>
        <w:t xml:space="preserve">p </w:t>
      </w:r>
      <w:r w:rsidR="00BD13E1" w:rsidRPr="009935F1">
        <w:t>= .0</w:t>
      </w:r>
      <w:r w:rsidR="00904760">
        <w:t>0</w:t>
      </w:r>
      <w:r w:rsidR="00BD13E1" w:rsidRPr="009935F1">
        <w:t xml:space="preserve">1) </w:t>
      </w:r>
      <w:r w:rsidR="00A534FC">
        <w:t>van belang in</w:t>
      </w:r>
      <w:r w:rsidR="00496AAB">
        <w:t xml:space="preserve"> Model 5. </w:t>
      </w:r>
      <w:r w:rsidR="00660CAD">
        <w:t xml:space="preserve">Een verklaring </w:t>
      </w:r>
      <w:r w:rsidR="00A534FC">
        <w:t xml:space="preserve">voor </w:t>
      </w:r>
      <w:r w:rsidR="00A90986">
        <w:t>dit</w:t>
      </w:r>
      <w:r w:rsidR="00A534FC">
        <w:t xml:space="preserve"> verschil in significantie </w:t>
      </w:r>
      <w:r w:rsidR="006B1C24">
        <w:t>is</w:t>
      </w:r>
      <w:r w:rsidR="00A534FC">
        <w:t xml:space="preserve"> dat de factor </w:t>
      </w:r>
      <w:r w:rsidR="00C21ABD">
        <w:t xml:space="preserve">‘Inwoneraantal’ veel van de variantie in de afhankelijke variabele verklaart die </w:t>
      </w:r>
      <w:r w:rsidR="00516187">
        <w:t xml:space="preserve">eveneens door de factoren </w:t>
      </w:r>
      <w:r w:rsidR="00DC5E28">
        <w:t xml:space="preserve">‘Ontvangst EU-gelden’ en ‘Solvabiliteitsratio’ wordt verklaard. </w:t>
      </w:r>
      <w:r w:rsidR="00B876E5">
        <w:t xml:space="preserve">Dit </w:t>
      </w:r>
      <w:r w:rsidR="005B53FB">
        <w:t xml:space="preserve">beeld </w:t>
      </w:r>
      <w:r w:rsidR="00B876E5">
        <w:t xml:space="preserve">wordt ondersteund door </w:t>
      </w:r>
      <w:r w:rsidR="00D0248E">
        <w:t>de significante correlaties tussen deze</w:t>
      </w:r>
      <w:r w:rsidR="003B537D">
        <w:t xml:space="preserve"> drie</w:t>
      </w:r>
      <w:r w:rsidR="00D0248E">
        <w:t xml:space="preserve"> variabele</w:t>
      </w:r>
      <w:r w:rsidR="00A860D6">
        <w:t>n</w:t>
      </w:r>
      <w:r w:rsidR="00D0248E">
        <w:t xml:space="preserve"> in tabel VI </w:t>
      </w:r>
      <w:r w:rsidR="005B53FB">
        <w:t>(</w:t>
      </w:r>
      <w:r w:rsidR="00A860D6">
        <w:t>zie</w:t>
      </w:r>
      <w:r w:rsidR="005B53FB">
        <w:t xml:space="preserve"> Appendix). </w:t>
      </w:r>
      <w:r w:rsidR="00DC5E28">
        <w:t xml:space="preserve">Het verklarende effect </w:t>
      </w:r>
      <w:r w:rsidR="000003AE">
        <w:t xml:space="preserve">van deze twee variabelen valt dan weg tegen </w:t>
      </w:r>
      <w:r w:rsidR="006131ED">
        <w:t>de verklaringskracht</w:t>
      </w:r>
      <w:r w:rsidR="000003AE">
        <w:t xml:space="preserve"> van de factor ‘Inwoneraantal’.</w:t>
      </w:r>
    </w:p>
    <w:p w14:paraId="628CF236" w14:textId="77777777" w:rsidR="002D3BC5" w:rsidRPr="00391895" w:rsidRDefault="002D3BC5" w:rsidP="002D3BC5">
      <w:pPr>
        <w:pStyle w:val="Kop2"/>
      </w:pPr>
      <w:r>
        <w:t xml:space="preserve">4.3 Multinomiale logistische regressie   </w:t>
      </w:r>
      <w:r>
        <w:tab/>
      </w:r>
      <w:r>
        <w:tab/>
      </w:r>
      <w:r>
        <w:tab/>
      </w:r>
      <w:r>
        <w:tab/>
      </w:r>
    </w:p>
    <w:p w14:paraId="5A3D7E0B" w14:textId="2C35A4A3" w:rsidR="00BB040F" w:rsidRDefault="002D3BC5" w:rsidP="006267E9">
      <w:pPr>
        <w:sectPr w:rsidR="00BB040F" w:rsidSect="00724BEA">
          <w:footerReference w:type="default" r:id="rId15"/>
          <w:pgSz w:w="11906" w:h="16838"/>
          <w:pgMar w:top="1417" w:right="1417" w:bottom="1417" w:left="1417" w:header="708" w:footer="708" w:gutter="0"/>
          <w:pgNumType w:start="0"/>
          <w:cols w:space="708"/>
          <w:titlePg/>
          <w:docGrid w:linePitch="360"/>
        </w:sectPr>
      </w:pPr>
      <w:r>
        <w:t xml:space="preserve">In tabel </w:t>
      </w:r>
      <w:r w:rsidR="00D9395F">
        <w:t>X</w:t>
      </w:r>
      <w:r>
        <w:t xml:space="preserve"> zijn de uitkomsten voor de multinomiale logistische regressie weergegeven</w:t>
      </w:r>
      <w:r>
        <w:rPr>
          <w:rStyle w:val="Voetnootmarkering"/>
        </w:rPr>
        <w:footnoteReference w:id="6"/>
      </w:r>
      <w:r>
        <w:t xml:space="preserve">. Als aanvulling op de binaire variant geeft deze toets ook inzicht in de </w:t>
      </w:r>
      <w:r w:rsidR="003853F2">
        <w:t>wijze</w:t>
      </w:r>
      <w:r>
        <w:t xml:space="preserve"> van Europeanisering waar de onafhankelijke variabele</w:t>
      </w:r>
      <w:r w:rsidR="0001635A">
        <w:t>n</w:t>
      </w:r>
      <w:r>
        <w:t xml:space="preserve"> invloed op he</w:t>
      </w:r>
      <w:r w:rsidR="0001635A">
        <w:t>bben</w:t>
      </w:r>
      <w:r>
        <w:t>. De proportie verklaarde variantie (pseudo R2) is 25.2 procent bij Cox &amp; Snell en 28.5 procent bij Nagelkerke. Getuige de significante chi-kwadraatwaarde van 312.6 (</w:t>
      </w:r>
      <w:r>
        <w:rPr>
          <w:i/>
          <w:iCs/>
        </w:rPr>
        <w:t xml:space="preserve">df </w:t>
      </w:r>
      <w:r>
        <w:t xml:space="preserve">= 32, </w:t>
      </w:r>
      <w:r>
        <w:rPr>
          <w:i/>
          <w:iCs/>
        </w:rPr>
        <w:t xml:space="preserve">p = </w:t>
      </w:r>
      <w:r>
        <w:t>.001) is het model beter dan de waarde van het gemiddelde.</w:t>
      </w:r>
      <w:r w:rsidR="003B6C4E">
        <w:t xml:space="preserve"> </w:t>
      </w:r>
      <w:r w:rsidR="003B6C4E">
        <w:tab/>
      </w:r>
      <w:r w:rsidR="003B6C4E">
        <w:tab/>
      </w:r>
      <w:r w:rsidR="003B6C4E">
        <w:tab/>
      </w:r>
      <w:r w:rsidR="003B6C4E">
        <w:tab/>
      </w:r>
      <w:r w:rsidR="003B6C4E">
        <w:tab/>
      </w:r>
      <w:r w:rsidR="003B6C4E">
        <w:tab/>
      </w:r>
      <w:r w:rsidR="003B6C4E">
        <w:tab/>
      </w:r>
      <w:r w:rsidR="003B6C4E">
        <w:tab/>
      </w:r>
      <w:r w:rsidR="003B6C4E">
        <w:tab/>
      </w:r>
      <w:r w:rsidR="003B6C4E">
        <w:tab/>
      </w:r>
      <w:r w:rsidR="003B6C4E">
        <w:tab/>
      </w:r>
      <w:r w:rsidR="00EB2975" w:rsidRPr="004F2727">
        <w:t>Uit tabel</w:t>
      </w:r>
      <w:r w:rsidR="00A91971" w:rsidRPr="004F2727">
        <w:t xml:space="preserve"> X valt op te maken dat </w:t>
      </w:r>
      <w:r w:rsidR="00FD1D9E" w:rsidRPr="004F2727">
        <w:t>bij een aantal variabelen de waarde</w:t>
      </w:r>
      <w:r w:rsidR="00A91971" w:rsidRPr="004F2727">
        <w:t xml:space="preserve"> van de </w:t>
      </w:r>
      <w:r w:rsidR="00DD0136" w:rsidRPr="004F2727">
        <w:t>ongestandaardiseerde regressiecoëfficiënt (</w:t>
      </w:r>
      <w:r w:rsidR="00DD0136" w:rsidRPr="004F2727">
        <w:rPr>
          <w:i/>
          <w:iCs/>
        </w:rPr>
        <w:t>b</w:t>
      </w:r>
      <w:r w:rsidR="00DD0136" w:rsidRPr="004F2727">
        <w:t xml:space="preserve">) </w:t>
      </w:r>
      <w:r w:rsidR="00A91971" w:rsidRPr="004F2727">
        <w:t>toene</w:t>
      </w:r>
      <w:r w:rsidR="00FB4109" w:rsidRPr="004F2727">
        <w:t>emt</w:t>
      </w:r>
      <w:r w:rsidR="00A91971" w:rsidRPr="004F2727">
        <w:t xml:space="preserve"> naarmate de </w:t>
      </w:r>
      <w:r w:rsidR="00E82B5E" w:rsidRPr="004F2727">
        <w:t>wijze</w:t>
      </w:r>
      <w:r w:rsidR="00A91971" w:rsidRPr="004F2727">
        <w:t xml:space="preserve"> van Europeanisering </w:t>
      </w:r>
      <w:r w:rsidR="00D6033C" w:rsidRPr="004F2727">
        <w:t>‘hoger’</w:t>
      </w:r>
      <w:r w:rsidR="00A91971" w:rsidRPr="004F2727">
        <w:t xml:space="preserve"> </w:t>
      </w:r>
      <w:r w:rsidR="00D6033C" w:rsidRPr="004F2727">
        <w:t>wordt</w:t>
      </w:r>
      <w:r w:rsidR="00A91971" w:rsidRPr="004F2727">
        <w:t xml:space="preserve">. </w:t>
      </w:r>
      <w:r w:rsidR="002752EB" w:rsidRPr="004F2727">
        <w:t xml:space="preserve">Dit opbouwende verloop van de coëfficiënten is bijvoorbeeld te zien bij </w:t>
      </w:r>
      <w:r w:rsidR="00E73C89" w:rsidRPr="004F2727">
        <w:t>de factor ‘Inwoneraantal’</w:t>
      </w:r>
      <w:r w:rsidR="002752EB" w:rsidRPr="004F2727">
        <w:t xml:space="preserve">. </w:t>
      </w:r>
      <w:r w:rsidR="00AB6849" w:rsidRPr="004F2727">
        <w:t xml:space="preserve">Concreet betekent dit dat </w:t>
      </w:r>
      <w:r w:rsidR="00E73C89" w:rsidRPr="004F2727">
        <w:t>e</w:t>
      </w:r>
      <w:r w:rsidR="00382517" w:rsidRPr="004F2727">
        <w:t>en ho</w:t>
      </w:r>
      <w:r w:rsidR="008B0694" w:rsidRPr="004F2727">
        <w:t>ger</w:t>
      </w:r>
      <w:r w:rsidR="00382517" w:rsidRPr="004F2727">
        <w:t xml:space="preserve"> inwoneraantal niet alleen </w:t>
      </w:r>
      <w:r w:rsidR="00FD1D9E" w:rsidRPr="004F2727">
        <w:t xml:space="preserve">zorgt </w:t>
      </w:r>
      <w:r w:rsidR="00382517" w:rsidRPr="004F2727">
        <w:t>voor een grotere kans op Europeanisering in de vorm van</w:t>
      </w:r>
      <w:r w:rsidR="00093B41" w:rsidRPr="004F2727">
        <w:t xml:space="preserve"> ‘financial’, ‘networking’ </w:t>
      </w:r>
      <w:r w:rsidR="00B17A66" w:rsidRPr="004F2727">
        <w:t xml:space="preserve">en </w:t>
      </w:r>
      <w:r w:rsidR="00093B41" w:rsidRPr="004F2727">
        <w:t>‘lobbying’</w:t>
      </w:r>
      <w:r w:rsidR="00382517" w:rsidRPr="004F2727">
        <w:t xml:space="preserve"> ten opzichte van de </w:t>
      </w:r>
      <w:r w:rsidR="00B17A66" w:rsidRPr="004F2727">
        <w:t>referentiecategorie</w:t>
      </w:r>
      <w:r w:rsidR="00B80AF1" w:rsidRPr="004F2727">
        <w:t xml:space="preserve"> (geen Europeanisering)</w:t>
      </w:r>
      <w:r w:rsidR="008F0B6F" w:rsidRPr="004F2727">
        <w:t xml:space="preserve">, </w:t>
      </w:r>
      <w:r w:rsidR="007F38E1" w:rsidRPr="004F2727">
        <w:t xml:space="preserve">maar dat een </w:t>
      </w:r>
      <w:r w:rsidR="007A514C" w:rsidRPr="004F2727">
        <w:t>stijging van het in</w:t>
      </w:r>
      <w:r w:rsidR="004C16CF" w:rsidRPr="004F2727">
        <w:t xml:space="preserve">woneraantal tevens gepaard gaat met een grotere kans op een ‘hogere’ vorm van Europeanisering. </w:t>
      </w:r>
      <w:r w:rsidR="00CD21AD" w:rsidRPr="004F2727">
        <w:t xml:space="preserve">In die zin zou men kunnen spreken van een </w:t>
      </w:r>
      <w:r w:rsidR="00B3243D" w:rsidRPr="004F2727">
        <w:t xml:space="preserve">opbouwend systeem of een </w:t>
      </w:r>
      <w:r w:rsidR="00CD21AD" w:rsidRPr="004F2727">
        <w:t>mate van Europeanisering.</w:t>
      </w:r>
      <w:r w:rsidR="00802C51" w:rsidRPr="004F2727">
        <w:t xml:space="preserve"> Dit beeld wordt ondersteund door het lineaire verloop van de intercepten (Mate van Europeanisering) in de ordinale logistische regressieanalyse die is weergegeven in Tabel XI van de Appendix</w:t>
      </w:r>
      <w:r w:rsidR="005A7DEB" w:rsidRPr="004F2727">
        <w:t>.</w:t>
      </w:r>
      <w:r w:rsidR="005A7DEB">
        <w:t xml:space="preserve"> </w:t>
      </w:r>
      <w:r w:rsidR="0066598E">
        <w:t xml:space="preserve"> </w:t>
      </w:r>
    </w:p>
    <w:p w14:paraId="7236BB8D" w14:textId="4A68343A" w:rsidR="0053333F" w:rsidRDefault="00084DCA" w:rsidP="00787950">
      <w:r>
        <w:rPr>
          <w:noProof/>
        </w:rPr>
        <w:drawing>
          <wp:inline distT="0" distB="0" distL="0" distR="0" wp14:anchorId="20599C7C" wp14:editId="1762F546">
            <wp:extent cx="8891270" cy="5676265"/>
            <wp:effectExtent l="0" t="0" r="5080" b="635"/>
            <wp:docPr id="9" name="Afbeelding 9" descr="Afbeelding met tekst, ontvangstbewijs, schermafbeeldin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beelding 9" descr="Afbeelding met tekst, ontvangstbewijs, schermafbeelding&#10;&#10;Automatisch gegenereerde beschrijving"/>
                    <pic:cNvPicPr/>
                  </pic:nvPicPr>
                  <pic:blipFill>
                    <a:blip r:embed="rId16"/>
                    <a:stretch>
                      <a:fillRect/>
                    </a:stretch>
                  </pic:blipFill>
                  <pic:spPr>
                    <a:xfrm>
                      <a:off x="0" y="0"/>
                      <a:ext cx="8891270" cy="5676265"/>
                    </a:xfrm>
                    <a:prstGeom prst="rect">
                      <a:avLst/>
                    </a:prstGeom>
                  </pic:spPr>
                </pic:pic>
              </a:graphicData>
            </a:graphic>
          </wp:inline>
        </w:drawing>
      </w:r>
    </w:p>
    <w:p w14:paraId="041941CB" w14:textId="515F145D" w:rsidR="0053333F" w:rsidRDefault="00174AC8" w:rsidP="00787950">
      <w:pPr>
        <w:sectPr w:rsidR="0053333F" w:rsidSect="00366FD2">
          <w:pgSz w:w="16838" w:h="11906" w:orient="landscape"/>
          <w:pgMar w:top="1418" w:right="1418" w:bottom="1418" w:left="1418" w:header="709" w:footer="709" w:gutter="0"/>
          <w:cols w:space="708"/>
          <w:docGrid w:linePitch="360"/>
        </w:sectPr>
      </w:pPr>
      <w:r>
        <w:rPr>
          <w:noProof/>
        </w:rPr>
        <w:drawing>
          <wp:inline distT="0" distB="0" distL="0" distR="0" wp14:anchorId="08CE3316" wp14:editId="21419CF6">
            <wp:extent cx="8891270" cy="5742305"/>
            <wp:effectExtent l="0" t="0" r="5080" b="0"/>
            <wp:docPr id="3" name="Afbeelding 3" descr="Afbeelding met taf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afel&#10;&#10;Automatisch gegenereerde beschrijving"/>
                    <pic:cNvPicPr/>
                  </pic:nvPicPr>
                  <pic:blipFill>
                    <a:blip r:embed="rId17"/>
                    <a:stretch>
                      <a:fillRect/>
                    </a:stretch>
                  </pic:blipFill>
                  <pic:spPr>
                    <a:xfrm>
                      <a:off x="0" y="0"/>
                      <a:ext cx="8891270" cy="5742305"/>
                    </a:xfrm>
                    <a:prstGeom prst="rect">
                      <a:avLst/>
                    </a:prstGeom>
                  </pic:spPr>
                </pic:pic>
              </a:graphicData>
            </a:graphic>
          </wp:inline>
        </w:drawing>
      </w:r>
    </w:p>
    <w:p w14:paraId="1AACD0E8" w14:textId="76ED00BA" w:rsidR="00A456A3" w:rsidRPr="00D93D55" w:rsidRDefault="00D93D55" w:rsidP="00D93D55">
      <w:pPr>
        <w:keepNext/>
        <w:keepLines/>
        <w:spacing w:before="40" w:after="0"/>
        <w:outlineLvl w:val="2"/>
        <w:rPr>
          <w:rFonts w:asciiTheme="majorHAnsi" w:eastAsiaTheme="majorEastAsia" w:hAnsiTheme="majorHAnsi" w:cstheme="majorBidi"/>
          <w:color w:val="1F3763" w:themeColor="accent1" w:themeShade="7F"/>
          <w:szCs w:val="24"/>
        </w:rPr>
      </w:pPr>
      <w:r w:rsidRPr="009935F1">
        <w:rPr>
          <w:rFonts w:asciiTheme="majorHAnsi" w:eastAsiaTheme="majorEastAsia" w:hAnsiTheme="majorHAnsi" w:cstheme="majorBidi"/>
          <w:color w:val="1F3763" w:themeColor="accent1" w:themeShade="7F"/>
          <w:szCs w:val="24"/>
        </w:rPr>
        <w:t>4.3.1. Ontvangst EU-gelden</w:t>
      </w:r>
      <w:r w:rsidR="006267E9">
        <w:tab/>
      </w:r>
    </w:p>
    <w:p w14:paraId="0C478A3C" w14:textId="59B21EB7" w:rsidR="00D93D55" w:rsidRDefault="006267E9" w:rsidP="006267E9">
      <w:r w:rsidRPr="009935F1">
        <w:t xml:space="preserve">Uit Tabel </w:t>
      </w:r>
      <w:r>
        <w:t>X</w:t>
      </w:r>
      <w:r w:rsidRPr="009935F1">
        <w:t xml:space="preserve"> blijkt dat de invloed van het ontvangen van Europees geld minder groot is dan in de theorie wordt veronderstel</w:t>
      </w:r>
      <w:r>
        <w:t>d</w:t>
      </w:r>
      <w:r w:rsidRPr="009935F1">
        <w:t>: de variabele is alleen significant op de lobby</w:t>
      </w:r>
      <w:r>
        <w:t xml:space="preserve"> </w:t>
      </w:r>
      <w:r w:rsidRPr="009935F1">
        <w:t>categorie van Europeanisering (</w:t>
      </w:r>
      <w:r w:rsidRPr="009935F1">
        <w:rPr>
          <w:i/>
          <w:iCs/>
        </w:rPr>
        <w:t xml:space="preserve">b </w:t>
      </w:r>
      <w:r w:rsidRPr="009935F1">
        <w:t xml:space="preserve">= .442, </w:t>
      </w:r>
      <w:r w:rsidRPr="009935F1">
        <w:rPr>
          <w:i/>
          <w:iCs/>
        </w:rPr>
        <w:t xml:space="preserve">p </w:t>
      </w:r>
      <w:r w:rsidRPr="009935F1">
        <w:t xml:space="preserve">= .01). </w:t>
      </w:r>
      <w:r>
        <w:t>Een toename van 1 op de log</w:t>
      </w:r>
      <w:r w:rsidR="00284528">
        <w:t>-</w:t>
      </w:r>
      <w:r>
        <w:t xml:space="preserve">getransformeerde variabele ‘Ontvangst </w:t>
      </w:r>
      <w:r w:rsidR="00AD64A6">
        <w:t>EU-gelden’</w:t>
      </w:r>
      <w:r>
        <w:t xml:space="preserve"> resulteert daarmee in een 1.556 grotere kans (odds ratio) op politiek-bestuurlijk Europeanisering in de lobby categorie. Hypothesen 2 (II) en 2A (I) zijn </w:t>
      </w:r>
      <w:r w:rsidRPr="009935F1">
        <w:t>zodoende gecorroboreerd, terwijl de andere hypothesen worden verworpen. De kans dat gemeenten politiek-bestuurlijke aandacht hebben voor lobbyen is daarmee groter naarmate zij meer Europese middelen ontvang</w:t>
      </w:r>
      <w:r w:rsidR="008D0187">
        <w:t>en</w:t>
      </w:r>
      <w:r w:rsidRPr="009935F1">
        <w:t>.</w:t>
      </w:r>
      <w:r>
        <w:tab/>
      </w:r>
      <w:r>
        <w:tab/>
      </w:r>
      <w:r>
        <w:tab/>
      </w:r>
      <w:r>
        <w:tab/>
      </w:r>
      <w:r>
        <w:tab/>
      </w:r>
      <w:r>
        <w:tab/>
      </w:r>
      <w:r>
        <w:tab/>
      </w:r>
      <w:r>
        <w:tab/>
      </w:r>
      <w:r>
        <w:tab/>
      </w:r>
      <w:r w:rsidRPr="009935F1">
        <w:t xml:space="preserve">Conform de ladder van John (2001, p. 72) is bij het meten van deze variabele vooral uitgegaan van een beleidslobby in plaats van een financial lobby. Callanham en Tatham (2014, p. 192) merken echter op dat de scheiding tussen beleidslobby en financiële lobby niet waterdicht is. Om deze reden is ook ruimte voor een rivaliserende verklaring, namelijk dat de richting van het verband </w:t>
      </w:r>
      <w:r>
        <w:t>tegenovergesteld</w:t>
      </w:r>
      <w:r w:rsidRPr="009935F1">
        <w:t xml:space="preserve"> is aan hetgeen in het theoretisch kader is veronderstel</w:t>
      </w:r>
      <w:r w:rsidR="0023448D">
        <w:t>d</w:t>
      </w:r>
      <w:r w:rsidRPr="009935F1">
        <w:t>. Het is namelijk voorstelbaar dat gemeenten die aandacht hebben voor lobby in ‘Brussel’ meer Europese middelen binnenhalen. Dit vormt een rivaliserende verklaring voor de relatie die in het theoretisch kader is veronderstel</w:t>
      </w:r>
      <w:r w:rsidR="00EA4200">
        <w:t>d</w:t>
      </w:r>
      <w:r w:rsidRPr="009935F1">
        <w:t xml:space="preserve">, namelijk dat gemeenten die meer Europese middelen binnenhalen meer aandacht hebben voor het belang van lobbyen in ‘Brussel’. </w:t>
      </w:r>
      <w:r w:rsidRPr="009935F1">
        <w:tab/>
      </w:r>
    </w:p>
    <w:p w14:paraId="141B43D0" w14:textId="5CFE3800" w:rsidR="00D93D55" w:rsidRPr="00D10CCD" w:rsidRDefault="00D10CCD" w:rsidP="00D10CCD">
      <w:pPr>
        <w:keepNext/>
        <w:keepLines/>
        <w:spacing w:before="40" w:after="0"/>
        <w:outlineLvl w:val="2"/>
        <w:rPr>
          <w:rFonts w:asciiTheme="majorHAnsi" w:eastAsiaTheme="majorEastAsia" w:hAnsiTheme="majorHAnsi" w:cstheme="majorBidi"/>
          <w:color w:val="1F3763" w:themeColor="accent1" w:themeShade="7F"/>
          <w:szCs w:val="24"/>
        </w:rPr>
      </w:pPr>
      <w:r w:rsidRPr="00F264CB">
        <w:rPr>
          <w:rFonts w:asciiTheme="majorHAnsi" w:eastAsiaTheme="majorEastAsia" w:hAnsiTheme="majorHAnsi" w:cstheme="majorBidi"/>
          <w:color w:val="1F3763" w:themeColor="accent1" w:themeShade="7F"/>
          <w:szCs w:val="24"/>
        </w:rPr>
        <w:t>4.3.2. Inwoneraantal</w:t>
      </w:r>
    </w:p>
    <w:p w14:paraId="7F896C89" w14:textId="75237155" w:rsidR="006267E9" w:rsidRDefault="00010B14" w:rsidP="006267E9">
      <w:r>
        <w:t>In overeenstemming met</w:t>
      </w:r>
      <w:r w:rsidR="006267E9" w:rsidRPr="009935F1">
        <w:t xml:space="preserve"> de resultaten uit de binaire logistische regressieanalyse speelt de variabele ‘Inwoneraantal’ een belangrijke rol: zij is significant op de financiële (</w:t>
      </w:r>
      <w:r w:rsidR="006267E9" w:rsidRPr="009935F1">
        <w:rPr>
          <w:i/>
          <w:iCs/>
        </w:rPr>
        <w:t xml:space="preserve">b </w:t>
      </w:r>
      <w:r w:rsidR="006267E9" w:rsidRPr="009935F1">
        <w:t xml:space="preserve">= .921, </w:t>
      </w:r>
      <w:r w:rsidR="006267E9" w:rsidRPr="009935F1">
        <w:rPr>
          <w:i/>
          <w:iCs/>
        </w:rPr>
        <w:t xml:space="preserve">p </w:t>
      </w:r>
      <w:r w:rsidR="006267E9" w:rsidRPr="009935F1">
        <w:t>= .001), netwerk (</w:t>
      </w:r>
      <w:r w:rsidR="006267E9" w:rsidRPr="009935F1">
        <w:rPr>
          <w:i/>
          <w:iCs/>
        </w:rPr>
        <w:t xml:space="preserve">b </w:t>
      </w:r>
      <w:r w:rsidR="006267E9" w:rsidRPr="009935F1">
        <w:t xml:space="preserve">= 1.196, </w:t>
      </w:r>
      <w:r w:rsidR="006267E9" w:rsidRPr="009935F1">
        <w:rPr>
          <w:i/>
          <w:iCs/>
        </w:rPr>
        <w:t xml:space="preserve">p </w:t>
      </w:r>
      <w:r w:rsidR="006267E9" w:rsidRPr="009935F1">
        <w:t>= .001) en lobby (</w:t>
      </w:r>
      <w:r w:rsidR="006267E9" w:rsidRPr="009935F1">
        <w:rPr>
          <w:i/>
          <w:iCs/>
        </w:rPr>
        <w:t xml:space="preserve">b </w:t>
      </w:r>
      <w:r w:rsidR="006267E9" w:rsidRPr="009935F1">
        <w:t xml:space="preserve">= 1.435, </w:t>
      </w:r>
      <w:r w:rsidR="006267E9" w:rsidRPr="009935F1">
        <w:rPr>
          <w:i/>
          <w:iCs/>
        </w:rPr>
        <w:t xml:space="preserve">p </w:t>
      </w:r>
      <w:r w:rsidR="006267E9" w:rsidRPr="009935F1">
        <w:t xml:space="preserve">= .001) categorie van Europeanisering. </w:t>
      </w:r>
      <w:r w:rsidR="006267E9">
        <w:t xml:space="preserve">De kans (odds ratio) op Europeanisering in de genoemde categorieën neemt daarmee respectievelijk met 2.511, 3.305 en 4.199 toe wanneer </w:t>
      </w:r>
      <w:r w:rsidR="00560F82">
        <w:t>het inwoneraantal met 1 stijgt op de</w:t>
      </w:r>
      <w:r w:rsidR="00334E57">
        <w:t>ze</w:t>
      </w:r>
      <w:r w:rsidR="00560F82">
        <w:t xml:space="preserve"> </w:t>
      </w:r>
      <w:r w:rsidR="006C333D">
        <w:t>log</w:t>
      </w:r>
      <w:r w:rsidR="00630BF1">
        <w:t>-</w:t>
      </w:r>
      <w:r w:rsidR="006C333D">
        <w:t>getransformeerde</w:t>
      </w:r>
      <w:r w:rsidR="00560F82">
        <w:t xml:space="preserve"> </w:t>
      </w:r>
      <w:r w:rsidR="00334E57">
        <w:t>variabele</w:t>
      </w:r>
      <w:r w:rsidR="006C333D">
        <w:t xml:space="preserve">. </w:t>
      </w:r>
      <w:r w:rsidR="006267E9">
        <w:t>Hypothese 3 is</w:t>
      </w:r>
      <w:r w:rsidR="006267E9" w:rsidRPr="009935F1">
        <w:t xml:space="preserve"> hiermee gecorroboreerd. De kans dat een gemeente politiek-bestuurlijk geëuropeaniseerd is op deze categorieën neemt dus toe naarmate het inwoneraantal toeneemt</w:t>
      </w:r>
      <w:r w:rsidR="006267E9">
        <w:t>.</w:t>
      </w:r>
      <w:r w:rsidR="006267E9">
        <w:tab/>
      </w:r>
      <w:r>
        <w:tab/>
      </w:r>
      <w:r>
        <w:tab/>
      </w:r>
      <w:r>
        <w:tab/>
      </w:r>
      <w:r>
        <w:tab/>
      </w:r>
      <w:r>
        <w:tab/>
      </w:r>
      <w:r>
        <w:tab/>
      </w:r>
      <w:r w:rsidR="00334E57">
        <w:tab/>
      </w:r>
      <w:r w:rsidR="006267E9">
        <w:t>Om het effect van de onderliggende mechanismen van de factor ‘Inwoneraantal’ te onderzoeken zijn aparte hypothesen opgesteld, waarvan dit paper het mechanisme dat steden meer financiële middelen hebben (solvabiliteitsratio) nader onderzoekt. Uit Tabel X blijkt dat de financiële capaciteit maar beperkte invloed heeft op de wijze van Europeanisering van een gemeente: alleen de lobby categorie van Europeanisering vertoont samenhang met de gemeentelijke solvabiliteitsratio (</w:t>
      </w:r>
      <w:r w:rsidR="006267E9" w:rsidRPr="00DD4976">
        <w:rPr>
          <w:i/>
          <w:iCs/>
        </w:rPr>
        <w:t xml:space="preserve">b </w:t>
      </w:r>
      <w:r w:rsidR="006267E9" w:rsidRPr="00DD4976">
        <w:t xml:space="preserve">= </w:t>
      </w:r>
      <w:r w:rsidR="006267E9">
        <w:t>-2</w:t>
      </w:r>
      <w:r w:rsidR="006267E9" w:rsidRPr="00DD4976">
        <w:t>.</w:t>
      </w:r>
      <w:r w:rsidR="006267E9">
        <w:t>064</w:t>
      </w:r>
      <w:r w:rsidR="006267E9" w:rsidRPr="00DD4976">
        <w:t xml:space="preserve">, </w:t>
      </w:r>
      <w:r w:rsidR="006267E9" w:rsidRPr="00DD4976">
        <w:rPr>
          <w:i/>
          <w:iCs/>
        </w:rPr>
        <w:t xml:space="preserve">p </w:t>
      </w:r>
      <w:r w:rsidR="006267E9" w:rsidRPr="00DD4976">
        <w:t>= .0</w:t>
      </w:r>
      <w:r w:rsidR="006267E9">
        <w:t xml:space="preserve">5). </w:t>
      </w:r>
      <w:r w:rsidR="00E57D76">
        <w:t xml:space="preserve">De kans </w:t>
      </w:r>
      <w:r w:rsidR="00FF15A5">
        <w:t xml:space="preserve">(odds ratio) </w:t>
      </w:r>
      <w:r w:rsidR="00B0588D">
        <w:t xml:space="preserve">op </w:t>
      </w:r>
      <w:r w:rsidR="00933FBF" w:rsidRPr="00933FBF">
        <w:t xml:space="preserve">Europeanisering in de lobby categorie is 0.127 keer zo klein wanneer de gemeentelijke solvabiliteitsratio met 1 procent toeneemt. </w:t>
      </w:r>
      <w:r w:rsidR="000B4917">
        <w:t>G</w:t>
      </w:r>
      <w:r w:rsidR="000B4917" w:rsidRPr="000B4917">
        <w:t xml:space="preserve">etuige de negatieve </w:t>
      </w:r>
      <w:r w:rsidR="00DC436E" w:rsidRPr="000B4917">
        <w:t>o</w:t>
      </w:r>
      <w:r w:rsidR="00DC436E">
        <w:t>n</w:t>
      </w:r>
      <w:r w:rsidR="00DC436E" w:rsidRPr="000B4917">
        <w:t>gestandaardiseerde</w:t>
      </w:r>
      <w:r w:rsidR="000B4917" w:rsidRPr="000B4917">
        <w:t xml:space="preserve"> regressiecoëfficiënt (</w:t>
      </w:r>
      <w:r w:rsidR="000B4917" w:rsidRPr="000B4917">
        <w:rPr>
          <w:i/>
          <w:iCs/>
        </w:rPr>
        <w:t>b</w:t>
      </w:r>
      <w:r w:rsidR="000B4917" w:rsidRPr="000B4917">
        <w:t>)</w:t>
      </w:r>
      <w:r w:rsidR="00DF47B2">
        <w:t xml:space="preserve"> </w:t>
      </w:r>
      <w:r w:rsidR="000B4917">
        <w:t xml:space="preserve">hangt financiële capaciteit </w:t>
      </w:r>
      <w:r w:rsidR="000B4917" w:rsidRPr="000B4917">
        <w:t>negatief en niet positief samen met Europeanisering in alle categorieën</w:t>
      </w:r>
      <w:r w:rsidR="000B4917">
        <w:t>.</w:t>
      </w:r>
      <w:r w:rsidR="000B4917" w:rsidRPr="000B4917">
        <w:t xml:space="preserve"> </w:t>
      </w:r>
      <w:r w:rsidR="006267E9">
        <w:t xml:space="preserve">Hypothese 4 is hiermee gefalsifieerd. </w:t>
      </w:r>
    </w:p>
    <w:p w14:paraId="5615CE16" w14:textId="77777777" w:rsidR="006267E9" w:rsidRDefault="006267E9" w:rsidP="006267E9">
      <w:pPr>
        <w:pStyle w:val="Kop3"/>
      </w:pPr>
      <w:r>
        <w:t>4.3.3. Grensgemeenten</w:t>
      </w:r>
    </w:p>
    <w:p w14:paraId="1D9007D2" w14:textId="58F8FF2B" w:rsidR="006267E9" w:rsidRDefault="006267E9" w:rsidP="006267E9">
      <w:r>
        <w:t>De resultaten van de multinomiale logistische regressieanalyse laten zien dat grensgemeenten alleen op het punt van netwerken meer aandacht hebben voor Europa dan niet-grensgemeenten (</w:t>
      </w:r>
      <w:r w:rsidRPr="00DA6FE2">
        <w:rPr>
          <w:i/>
          <w:iCs/>
        </w:rPr>
        <w:t xml:space="preserve">b </w:t>
      </w:r>
      <w:r w:rsidRPr="00DA6FE2">
        <w:t xml:space="preserve">= </w:t>
      </w:r>
      <w:r>
        <w:t>2.097</w:t>
      </w:r>
      <w:r w:rsidRPr="00DA6FE2">
        <w:t xml:space="preserve">, </w:t>
      </w:r>
      <w:r w:rsidRPr="00DA6FE2">
        <w:rPr>
          <w:i/>
          <w:iCs/>
        </w:rPr>
        <w:t xml:space="preserve">p </w:t>
      </w:r>
      <w:r w:rsidRPr="00DA6FE2">
        <w:t>= .0</w:t>
      </w:r>
      <w:r>
        <w:t xml:space="preserve">01). De kans (odds ratio) op politiek-bestuurlijke Europeanisering in de netwerk categorie is 8.145 keer zo groot voor grensgemeenten dan voor niet-grensgemeenten. Hypothesen H8 (III), H8A (I), H8A (II) en H8A (IV) zijn hiermee gecorroboreerd, terwijl de andere hypothesen worden verworpen. Grensgemeenten hebben dus meer politiek-bestuurlijke aandacht voor het belang van grensoverschrijdend netwerken, maar niet voor de andere wijzen van Europeanisering. </w:t>
      </w:r>
    </w:p>
    <w:p w14:paraId="51BAB69E" w14:textId="77777777" w:rsidR="006267E9" w:rsidRDefault="006267E9" w:rsidP="006267E9">
      <w:pPr>
        <w:pStyle w:val="Kop3"/>
      </w:pPr>
      <w:r>
        <w:t>4.3.4. Opstelling gemeentebestuur</w:t>
      </w:r>
    </w:p>
    <w:p w14:paraId="02FCAF35" w14:textId="43DB8783" w:rsidR="006267E9" w:rsidRDefault="006267E9" w:rsidP="006267E9">
      <w:r w:rsidRPr="00035709">
        <w:t>De uitkomsten</w:t>
      </w:r>
      <w:r>
        <w:t xml:space="preserve"> van de binaire logistische regressieanalyse lieten reeds zien dat de attitude van het gemeentebestuur weinig invloed heeft. In Tabel </w:t>
      </w:r>
      <w:r w:rsidR="00030F4C">
        <w:t>X</w:t>
      </w:r>
      <w:r>
        <w:t xml:space="preserve"> wordt dit beeld bevestigd: op geen enkele categorie is de variabele significant. Hypothesen 9 (I) en 9 (II) zijn hiermee gecorroboreerd, terwijl hypothesen 9 (III) en 9 (IV) worden verworpen. </w:t>
      </w:r>
      <w:r w:rsidR="0035597F">
        <w:t>De</w:t>
      </w:r>
      <w:r>
        <w:t xml:space="preserve"> opstelling van het gemeentebestuur </w:t>
      </w:r>
      <w:r w:rsidR="00E9174A">
        <w:t xml:space="preserve">heeft dus </w:t>
      </w:r>
      <w:r w:rsidR="00CD4D17">
        <w:t xml:space="preserve">in </w:t>
      </w:r>
      <w:r>
        <w:t>geen</w:t>
      </w:r>
      <w:r w:rsidR="00CD4D17">
        <w:t xml:space="preserve"> enkele categorie</w:t>
      </w:r>
      <w:r>
        <w:t xml:space="preserve"> invloed op de politiek-bestuurlijke </w:t>
      </w:r>
      <w:r w:rsidR="00006345">
        <w:t>Europeanisering van een gemeente</w:t>
      </w:r>
      <w:r w:rsidR="00152E3A">
        <w:t>.</w:t>
      </w:r>
    </w:p>
    <w:p w14:paraId="7848563A" w14:textId="77777777" w:rsidR="006267E9" w:rsidRDefault="006267E9" w:rsidP="006267E9">
      <w:pPr>
        <w:pStyle w:val="Kop3"/>
      </w:pPr>
      <w:r>
        <w:t>4.3.5. Controlevariabelen</w:t>
      </w:r>
    </w:p>
    <w:p w14:paraId="0A20DFC4" w14:textId="28B3FCDD" w:rsidR="006267E9" w:rsidRDefault="006267E9" w:rsidP="006267E9">
      <w:pPr>
        <w:sectPr w:rsidR="006267E9" w:rsidSect="00D25210">
          <w:footerReference w:type="default" r:id="rId18"/>
          <w:pgSz w:w="11906" w:h="16838"/>
          <w:pgMar w:top="1417" w:right="1417" w:bottom="1417" w:left="1417" w:header="708" w:footer="708" w:gutter="0"/>
          <w:cols w:space="708"/>
          <w:docGrid w:linePitch="360"/>
        </w:sectPr>
      </w:pPr>
      <w:r>
        <w:t xml:space="preserve">Van de controlevariabelen heeft alleen de categorie ‘Wel aandacht’ van de variabele ‘Aandacht EU voorgaande raadsperiode’ een significant effect op de categorieën ‘financial’ </w:t>
      </w:r>
      <w:r w:rsidRPr="006C0DA6">
        <w:t>(</w:t>
      </w:r>
      <w:r w:rsidRPr="006C0DA6">
        <w:rPr>
          <w:i/>
          <w:iCs/>
        </w:rPr>
        <w:t xml:space="preserve">b </w:t>
      </w:r>
      <w:r w:rsidRPr="006C0DA6">
        <w:t xml:space="preserve">= </w:t>
      </w:r>
      <w:r>
        <w:t>1</w:t>
      </w:r>
      <w:r w:rsidRPr="006C0DA6">
        <w:t>.0</w:t>
      </w:r>
      <w:r>
        <w:t>65</w:t>
      </w:r>
      <w:r w:rsidRPr="006C0DA6">
        <w:t xml:space="preserve">, </w:t>
      </w:r>
      <w:r w:rsidRPr="006C0DA6">
        <w:rPr>
          <w:i/>
          <w:iCs/>
        </w:rPr>
        <w:t xml:space="preserve">p </w:t>
      </w:r>
      <w:r w:rsidRPr="006C0DA6">
        <w:t>= .001)</w:t>
      </w:r>
      <w:r>
        <w:t>, ‘networking’ (</w:t>
      </w:r>
      <w:r w:rsidRPr="00DA6FE2">
        <w:rPr>
          <w:i/>
          <w:iCs/>
        </w:rPr>
        <w:t xml:space="preserve">b </w:t>
      </w:r>
      <w:r w:rsidRPr="00DA6FE2">
        <w:t xml:space="preserve">= </w:t>
      </w:r>
      <w:r>
        <w:t>.995</w:t>
      </w:r>
      <w:r w:rsidRPr="00DA6FE2">
        <w:t xml:space="preserve">, </w:t>
      </w:r>
      <w:r w:rsidRPr="00DA6FE2">
        <w:rPr>
          <w:i/>
          <w:iCs/>
        </w:rPr>
        <w:t xml:space="preserve">p </w:t>
      </w:r>
      <w:r w:rsidRPr="00DA6FE2">
        <w:t>= .0</w:t>
      </w:r>
      <w:r>
        <w:t>01) en ‘lobbying’ (</w:t>
      </w:r>
      <w:r w:rsidRPr="00DA6FE2">
        <w:rPr>
          <w:i/>
          <w:iCs/>
        </w:rPr>
        <w:t xml:space="preserve">b </w:t>
      </w:r>
      <w:r w:rsidRPr="00DA6FE2">
        <w:t xml:space="preserve">= </w:t>
      </w:r>
      <w:r>
        <w:t>.805</w:t>
      </w:r>
      <w:r w:rsidRPr="00DA6FE2">
        <w:t xml:space="preserve">, </w:t>
      </w:r>
      <w:r w:rsidRPr="00DA6FE2">
        <w:rPr>
          <w:i/>
          <w:iCs/>
        </w:rPr>
        <w:t xml:space="preserve">p </w:t>
      </w:r>
      <w:r w:rsidRPr="00DA6FE2">
        <w:t>= .0</w:t>
      </w:r>
      <w:r>
        <w:t>5)</w:t>
      </w:r>
      <w:r>
        <w:rPr>
          <w:rStyle w:val="Voetnootmarkering"/>
        </w:rPr>
        <w:footnoteReference w:id="7"/>
      </w:r>
      <w:r>
        <w:t xml:space="preserve">. De kans (odds ratio) op politieke-bestuurlijke Europeanisering in een gemeente op deze categorieën is respectievelijk  2.900, 2.705 en 2.237 keer zo groot ten opzichte van geen Europeanisering in deze categorieën wanneer in de voorgaande raadsperiode reeds sprake was van </w:t>
      </w:r>
      <w:r w:rsidR="0011075F">
        <w:t>aandacht voor Europa</w:t>
      </w:r>
      <w:r>
        <w:t xml:space="preserve">. </w:t>
      </w:r>
      <w:r w:rsidR="0012264F" w:rsidRPr="0012264F">
        <w:t xml:space="preserve">Politiek-bestuurlijke Europeanisering van een gemeente in de voorgaande raadsperiode vergroot dus de kans op Europeanisering </w:t>
      </w:r>
      <w:r w:rsidR="00A055A9">
        <w:t>op het gebied van financiën, netwerken en lobbyen</w:t>
      </w:r>
      <w:r w:rsidR="0012264F" w:rsidRPr="0012264F">
        <w:t xml:space="preserve"> in de daaropvolgende raadsperiode. </w:t>
      </w:r>
      <w:r w:rsidR="00CF4D38">
        <w:t xml:space="preserve"> </w:t>
      </w:r>
      <w:r w:rsidR="0012264F">
        <w:t xml:space="preserve"> </w:t>
      </w:r>
    </w:p>
    <w:p w14:paraId="5A321F80" w14:textId="6C50DD61" w:rsidR="00F80141" w:rsidRDefault="00F80141" w:rsidP="00F80141">
      <w:pPr>
        <w:pStyle w:val="Kop1"/>
      </w:pPr>
      <w:r>
        <w:t>Conclusie &amp; discussie</w:t>
      </w:r>
    </w:p>
    <w:p w14:paraId="5F912979" w14:textId="0EDF1564" w:rsidR="002874FD" w:rsidRDefault="00074354" w:rsidP="00CF6107">
      <w:r>
        <w:t xml:space="preserve">In dit paper is getracht een bijdrage te leveren aan het debat </w:t>
      </w:r>
      <w:r w:rsidR="007F52AB">
        <w:t>over</w:t>
      </w:r>
      <w:r w:rsidR="00080287">
        <w:t xml:space="preserve"> Europeanisering op </w:t>
      </w:r>
      <w:r w:rsidR="0035741E">
        <w:t>lokaal niveau.</w:t>
      </w:r>
      <w:r w:rsidR="00F44529">
        <w:t xml:space="preserve"> </w:t>
      </w:r>
      <w:r w:rsidR="00233F5A">
        <w:t>Academici</w:t>
      </w:r>
      <w:r w:rsidR="00731833">
        <w:t xml:space="preserve"> </w:t>
      </w:r>
      <w:r w:rsidR="00780C18">
        <w:t>constateren namelijk dat er verschillen bestaan in (politiek-bestuurlijke) Europeanisering tusse</w:t>
      </w:r>
      <w:r w:rsidR="00FA5639">
        <w:t>n</w:t>
      </w:r>
      <w:r w:rsidR="00780C18">
        <w:t xml:space="preserve"> gemeenten, maar </w:t>
      </w:r>
      <w:r w:rsidR="001058BD">
        <w:t>komen door een gebrek aan kwantitatie</w:t>
      </w:r>
      <w:r w:rsidR="00397C08">
        <w:t>f</w:t>
      </w:r>
      <w:r w:rsidR="001058BD">
        <w:t xml:space="preserve"> </w:t>
      </w:r>
      <w:r w:rsidR="008F03E1">
        <w:t>onderzoek</w:t>
      </w:r>
      <w:r w:rsidR="007F103F">
        <w:t xml:space="preserve"> </w:t>
      </w:r>
      <w:r w:rsidR="00BD0C0B">
        <w:t>en verschil</w:t>
      </w:r>
      <w:r w:rsidR="00E445BB">
        <w:t xml:space="preserve">lende wijzen van </w:t>
      </w:r>
      <w:r w:rsidR="00BD0C0B">
        <w:t xml:space="preserve">operationalisatie </w:t>
      </w:r>
      <w:r w:rsidR="001058BD">
        <w:t xml:space="preserve">niet tot consensus </w:t>
      </w:r>
      <w:r w:rsidR="00D47013">
        <w:t xml:space="preserve">welke </w:t>
      </w:r>
      <w:r w:rsidR="0084325B">
        <w:t>factoren exact van belang zijn</w:t>
      </w:r>
      <w:r w:rsidR="00027BF9">
        <w:t xml:space="preserve"> en welke invloed zij precies hebben</w:t>
      </w:r>
      <w:r w:rsidR="001C15D7">
        <w:t>.</w:t>
      </w:r>
      <w:r w:rsidR="0084325B">
        <w:t xml:space="preserve"> </w:t>
      </w:r>
      <w:r w:rsidR="00AD47B6">
        <w:t xml:space="preserve">Op basis van de </w:t>
      </w:r>
      <w:r w:rsidR="003D03BB">
        <w:t>literatuur</w:t>
      </w:r>
      <w:r w:rsidR="005B26C9">
        <w:t xml:space="preserve"> </w:t>
      </w:r>
      <w:r w:rsidR="007A36C4">
        <w:t>zijn</w:t>
      </w:r>
      <w:r w:rsidR="005B26C9">
        <w:t xml:space="preserve"> de hoeveelheid Europese middelen, inwoneraantal, ligging aan de grens en de </w:t>
      </w:r>
      <w:r w:rsidR="007A36C4">
        <w:t>opstelling van het gemeen</w:t>
      </w:r>
      <w:r w:rsidR="00F9075B">
        <w:t>te</w:t>
      </w:r>
      <w:r w:rsidR="007A36C4">
        <w:t xml:space="preserve">bestuur als belangrijkste variabelen geïdentificeerd. </w:t>
      </w:r>
      <w:r w:rsidR="006E2970">
        <w:t xml:space="preserve">Met behulp van </w:t>
      </w:r>
      <w:r w:rsidR="004E1867">
        <w:t>een kwantitatieve inhoudsanalyse van</w:t>
      </w:r>
      <w:r w:rsidR="001E54C4">
        <w:t xml:space="preserve"> 1.076</w:t>
      </w:r>
      <w:r w:rsidR="004E1867">
        <w:t xml:space="preserve"> </w:t>
      </w:r>
      <w:r w:rsidR="0035741E">
        <w:t xml:space="preserve">gemeentelijke </w:t>
      </w:r>
      <w:r w:rsidR="004E1867">
        <w:t xml:space="preserve">coalitieakkoorden is </w:t>
      </w:r>
      <w:r w:rsidR="0002356C">
        <w:t>onderzocht</w:t>
      </w:r>
      <w:r w:rsidR="004E1867">
        <w:t xml:space="preserve"> </w:t>
      </w:r>
      <w:r w:rsidR="00542983" w:rsidRPr="00542983">
        <w:rPr>
          <w:i/>
          <w:iCs/>
        </w:rPr>
        <w:t>in hoeverre de aangedragen factoren uit de literatuur het verschil in politiek-bestuurlijke Europeanisering bij Nederlandse gemeenten</w:t>
      </w:r>
      <w:r w:rsidR="00542983">
        <w:rPr>
          <w:i/>
          <w:iCs/>
        </w:rPr>
        <w:t xml:space="preserve"> verklaren</w:t>
      </w:r>
      <w:r w:rsidR="00542983">
        <w:t xml:space="preserve">. </w:t>
      </w:r>
      <w:r w:rsidR="004E1867">
        <w:t xml:space="preserve">Bij deze analyse </w:t>
      </w:r>
      <w:r w:rsidR="005D37D3">
        <w:t>is gewerkt met een multinomiale logistische regressieanalyse</w:t>
      </w:r>
      <w:r w:rsidR="006E44A3">
        <w:t>,</w:t>
      </w:r>
      <w:r w:rsidR="005D37D3">
        <w:t xml:space="preserve"> </w:t>
      </w:r>
      <w:r w:rsidR="00D75AB8">
        <w:t xml:space="preserve">waarbij de </w:t>
      </w:r>
      <w:r w:rsidR="0014773D">
        <w:t>vier vormen</w:t>
      </w:r>
      <w:r w:rsidR="00D75AB8">
        <w:t xml:space="preserve"> van Europeanisering van </w:t>
      </w:r>
      <w:r w:rsidR="0014773D">
        <w:t xml:space="preserve">de </w:t>
      </w:r>
      <w:r w:rsidR="00D75AB8">
        <w:t xml:space="preserve">Europeaniseringsladder van John (2001) als categorieën zijn </w:t>
      </w:r>
      <w:r w:rsidR="0043341D">
        <w:t>gebruikt</w:t>
      </w:r>
      <w:r w:rsidR="00B45BF7">
        <w:t>.</w:t>
      </w:r>
      <w:r w:rsidR="004240ED">
        <w:tab/>
      </w:r>
      <w:r w:rsidR="004240ED">
        <w:tab/>
      </w:r>
      <w:r w:rsidR="00027BF9">
        <w:tab/>
      </w:r>
      <w:r w:rsidR="00BD0C0B">
        <w:tab/>
      </w:r>
      <w:r w:rsidR="00535B52">
        <w:t xml:space="preserve">De resultaten laten zien </w:t>
      </w:r>
      <w:r w:rsidR="00577ED4">
        <w:t xml:space="preserve">dat </w:t>
      </w:r>
      <w:r w:rsidR="00DE3E4B">
        <w:t xml:space="preserve">de </w:t>
      </w:r>
      <w:r w:rsidR="004B2AD9">
        <w:t>hoeveelheid Europese middelen</w:t>
      </w:r>
      <w:r w:rsidR="009523B6">
        <w:t xml:space="preserve">, ligging aan de grens en het </w:t>
      </w:r>
      <w:r w:rsidR="00DE3E4B">
        <w:t>inwoneraantal</w:t>
      </w:r>
      <w:r w:rsidR="009523B6">
        <w:t xml:space="preserve"> </w:t>
      </w:r>
      <w:r w:rsidR="00805C68">
        <w:t xml:space="preserve">van belang zijn om het verschil in politiek-bestuurlijke Europeanisering tussen gemeenten te verklaren. </w:t>
      </w:r>
      <w:r w:rsidR="00955677">
        <w:t>Voor de veronderstelde invloed van de opstelling van het gemeentebestuur is geen bewijs gevonden. Gemeenten</w:t>
      </w:r>
      <w:r w:rsidR="003C16AE">
        <w:t xml:space="preserve"> met een hoog bedrag aan ontvangen Europese middelen per inwoner, gelegen aan de grens en met een hoog inwoneraantal zijn </w:t>
      </w:r>
      <w:r w:rsidR="0098088E">
        <w:t>eerder politiek-bestuurlijk geëuropeaniseerd. De invloed van de genoemde variabelen</w:t>
      </w:r>
      <w:r w:rsidR="001C6C9B">
        <w:t xml:space="preserve"> verschilt daarbij echter </w:t>
      </w:r>
      <w:r w:rsidR="00274896">
        <w:t>per</w:t>
      </w:r>
      <w:r w:rsidR="001C6C9B">
        <w:t xml:space="preserve"> vorm van Europeanisering</w:t>
      </w:r>
      <w:r w:rsidR="00652702">
        <w:t>. I</w:t>
      </w:r>
      <w:r w:rsidR="003D00B3">
        <w:t xml:space="preserve">nwoneraantal is van invloed op de </w:t>
      </w:r>
      <w:r w:rsidR="000629B8">
        <w:t>financiële</w:t>
      </w:r>
      <w:r w:rsidR="00387734">
        <w:t>, netwerk en lobby categorie van Europeanisering</w:t>
      </w:r>
      <w:r w:rsidR="00652702">
        <w:t xml:space="preserve">, ligging aan de grens </w:t>
      </w:r>
      <w:r w:rsidR="00685967">
        <w:t>vergroot de kans op</w:t>
      </w:r>
      <w:r w:rsidR="000C1BAC">
        <w:t xml:space="preserve"> </w:t>
      </w:r>
      <w:r w:rsidR="00B66CE4">
        <w:t xml:space="preserve">deelname aan Europese </w:t>
      </w:r>
      <w:r w:rsidR="000C1BAC">
        <w:t xml:space="preserve">netwerken en de hoeveelheid Europese middelen </w:t>
      </w:r>
      <w:r w:rsidR="00685967">
        <w:t>hangt samen met lobbyen</w:t>
      </w:r>
      <w:r w:rsidR="00B66CE4">
        <w:t xml:space="preserve"> in ‘Brussel’</w:t>
      </w:r>
      <w:r w:rsidR="00685967">
        <w:t>.</w:t>
      </w:r>
      <w:r w:rsidR="00305957">
        <w:t xml:space="preserve"> Tot slot </w:t>
      </w:r>
      <w:r w:rsidR="00E43EC8">
        <w:t xml:space="preserve">laten de resultaten zien dat één variabele van buiten de literatuur </w:t>
      </w:r>
      <w:r w:rsidR="00B710B1">
        <w:t xml:space="preserve">(controlevariabele) </w:t>
      </w:r>
      <w:r w:rsidR="00E43EC8">
        <w:t>van belang is in relatie tot politiek-bestuurlijke Europeanisering</w:t>
      </w:r>
      <w:r w:rsidR="00532890">
        <w:t xml:space="preserve">: Europeanisering in de </w:t>
      </w:r>
      <w:r w:rsidR="00401323">
        <w:t>voorgaande</w:t>
      </w:r>
      <w:r w:rsidR="00532890">
        <w:t xml:space="preserve"> raadsperiode bleek een goede voorspeller voor </w:t>
      </w:r>
      <w:r w:rsidR="00FC0AE5">
        <w:t xml:space="preserve">Europeanisering op het gebied van </w:t>
      </w:r>
      <w:r w:rsidR="0048213F">
        <w:t>financiën</w:t>
      </w:r>
      <w:r w:rsidR="00FC0AE5">
        <w:t>, netwerken en lobbyen</w:t>
      </w:r>
      <w:r w:rsidR="00F12E27">
        <w:t xml:space="preserve"> in de huidige raadsperiode</w:t>
      </w:r>
      <w:r w:rsidR="00FC0AE5">
        <w:t xml:space="preserve">. </w:t>
      </w:r>
      <w:r w:rsidR="00FC0AE5">
        <w:tab/>
      </w:r>
      <w:r w:rsidR="00705ED0">
        <w:t>De gevonden resultaten</w:t>
      </w:r>
      <w:r w:rsidR="00D77CD8">
        <w:t xml:space="preserve"> zijn deels in overeenstemming en deels in strijd met de bestaande literatuur. </w:t>
      </w:r>
      <w:r w:rsidR="00A05D66">
        <w:t>Allereerst</w:t>
      </w:r>
      <w:r w:rsidR="0048213F">
        <w:t xml:space="preserve"> valt op dat</w:t>
      </w:r>
      <w:r w:rsidR="00B710B1">
        <w:t xml:space="preserve"> </w:t>
      </w:r>
      <w:r w:rsidR="005E09C5">
        <w:t xml:space="preserve">de ontvangst van Europese middelen een minder grote invloed heeft dan veelal in </w:t>
      </w:r>
      <w:r w:rsidR="00FC0CB7">
        <w:t xml:space="preserve">studies </w:t>
      </w:r>
      <w:r w:rsidR="005E09C5">
        <w:t xml:space="preserve">wordt </w:t>
      </w:r>
      <w:r w:rsidR="00EA0C21">
        <w:t>veronderstel</w:t>
      </w:r>
      <w:r w:rsidR="00F65FA1">
        <w:t>d</w:t>
      </w:r>
      <w:r w:rsidR="005E09C5">
        <w:t>. D</w:t>
      </w:r>
      <w:r w:rsidR="00ED65E6">
        <w:t xml:space="preserve">eze uitkomst is in lijn met het werk van </w:t>
      </w:r>
      <w:r w:rsidR="001E18A5">
        <w:t>Gröbe</w:t>
      </w:r>
      <w:r w:rsidR="00ED65E6">
        <w:t xml:space="preserve"> et al. (2022</w:t>
      </w:r>
      <w:r w:rsidR="00AA76A6">
        <w:t>, p. 15</w:t>
      </w:r>
      <w:r w:rsidR="00ED65E6">
        <w:t>)</w:t>
      </w:r>
      <w:r w:rsidR="00613018">
        <w:t xml:space="preserve"> die eveneens een beperkte invloed van </w:t>
      </w:r>
      <w:r w:rsidR="00573C8B">
        <w:t>Europees geld</w:t>
      </w:r>
      <w:r w:rsidR="00613018">
        <w:t xml:space="preserve"> </w:t>
      </w:r>
      <w:r w:rsidR="00AA76A6">
        <w:t xml:space="preserve">op Europeanisering </w:t>
      </w:r>
      <w:r w:rsidR="00613018">
        <w:t>constateert</w:t>
      </w:r>
      <w:r w:rsidR="00F65E12">
        <w:t xml:space="preserve">, maar </w:t>
      </w:r>
      <w:r w:rsidR="00757B79">
        <w:t>is hier ook strijdig mee</w:t>
      </w:r>
      <w:r w:rsidR="00F65E12">
        <w:t xml:space="preserve">: waar </w:t>
      </w:r>
      <w:r w:rsidR="001E18A5">
        <w:t>Gröbe</w:t>
      </w:r>
      <w:r w:rsidR="00F65E12">
        <w:t xml:space="preserve"> et al. </w:t>
      </w:r>
      <w:r w:rsidR="007C31F8">
        <w:t xml:space="preserve">(2022) </w:t>
      </w:r>
      <w:r w:rsidR="00FC070F">
        <w:t xml:space="preserve">zien dat het ontvangen van Europees geld invloed heeft op de </w:t>
      </w:r>
      <w:r w:rsidR="004F380A">
        <w:t>categorieën</w:t>
      </w:r>
      <w:r w:rsidR="00FC070F">
        <w:t xml:space="preserve"> ‘minimal’ en ‘financial’, laat </w:t>
      </w:r>
      <w:r w:rsidR="00C9021A">
        <w:t xml:space="preserve">deze studie </w:t>
      </w:r>
      <w:r w:rsidR="00FC070F">
        <w:t xml:space="preserve">zien dat alleen de ‘lobby’ categorie </w:t>
      </w:r>
      <w:r w:rsidR="007C31F8">
        <w:t>van Europeanisering hiermee</w:t>
      </w:r>
      <w:r w:rsidR="0018075E">
        <w:t xml:space="preserve"> </w:t>
      </w:r>
      <w:r w:rsidR="00FC070F">
        <w:t>samenhangt</w:t>
      </w:r>
      <w:r w:rsidR="0018075E">
        <w:t xml:space="preserve">. </w:t>
      </w:r>
      <w:r w:rsidR="0018075E" w:rsidRPr="00B360CA">
        <w:t xml:space="preserve">Vooral voor de categorie ‘financial’ is dit opvallend, maar dit houdt waarschijnlijk verband met de dominante invloed van de variabele </w:t>
      </w:r>
      <w:r w:rsidR="001D5999">
        <w:t>‘I</w:t>
      </w:r>
      <w:r w:rsidR="004B044F">
        <w:t>nwoneraantal</w:t>
      </w:r>
      <w:r w:rsidR="001D5999">
        <w:t>’</w:t>
      </w:r>
      <w:r w:rsidR="004B044F">
        <w:t xml:space="preserve"> </w:t>
      </w:r>
      <w:r w:rsidR="0018075E" w:rsidRPr="00B360CA">
        <w:t>die een groot deel van de variantie van ‘Ontvangst EU-gelden’ in deze categorie verklaar</w:t>
      </w:r>
      <w:r w:rsidR="00DC4B32">
        <w:t>t</w:t>
      </w:r>
      <w:r w:rsidR="0018075E" w:rsidRPr="00B360CA">
        <w:t>.</w:t>
      </w:r>
      <w:r w:rsidR="00A05D66">
        <w:tab/>
      </w:r>
      <w:r w:rsidR="00A05D66">
        <w:tab/>
      </w:r>
      <w:r w:rsidR="00A05D66">
        <w:tab/>
      </w:r>
      <w:r w:rsidR="00A05D66">
        <w:tab/>
      </w:r>
      <w:r w:rsidR="00A05D66">
        <w:tab/>
      </w:r>
      <w:r w:rsidR="00A05D66">
        <w:tab/>
      </w:r>
      <w:r w:rsidR="00A05D66">
        <w:tab/>
        <w:t xml:space="preserve">Ten tweede </w:t>
      </w:r>
      <w:r w:rsidR="00E51A8A">
        <w:t>het inwoneraantal</w:t>
      </w:r>
      <w:r w:rsidR="009536CE">
        <w:t xml:space="preserve">. </w:t>
      </w:r>
      <w:r w:rsidR="00580C14">
        <w:t xml:space="preserve">Wat hier opvalt </w:t>
      </w:r>
      <w:r w:rsidR="00D812B0">
        <w:t xml:space="preserve">is dat </w:t>
      </w:r>
      <w:r w:rsidR="00103E84">
        <w:t>financiële</w:t>
      </w:r>
      <w:r w:rsidR="00D812B0">
        <w:t xml:space="preserve"> capaciteit, waar inwoneraantal meestal een proxy voor is, </w:t>
      </w:r>
      <w:bookmarkStart w:id="3" w:name="_Hlk126324311"/>
      <w:r w:rsidR="001C4578">
        <w:t>negatief en niet positief samenhangt met Europeanisering in alle categorieën.</w:t>
      </w:r>
      <w:bookmarkEnd w:id="3"/>
      <w:r w:rsidR="00E65790">
        <w:t xml:space="preserve"> </w:t>
      </w:r>
      <w:r w:rsidR="009C2BF2">
        <w:t>Deze uitkomst contrasteert met de</w:t>
      </w:r>
      <w:r w:rsidR="001B77F4">
        <w:t xml:space="preserve"> (internationale)</w:t>
      </w:r>
      <w:r w:rsidR="009C2BF2">
        <w:t xml:space="preserve"> literatuur,</w:t>
      </w:r>
      <w:r w:rsidR="00E65790">
        <w:t xml:space="preserve"> maar</w:t>
      </w:r>
      <w:r w:rsidR="009C2BF2">
        <w:t xml:space="preserve"> </w:t>
      </w:r>
      <w:r w:rsidR="001C4578">
        <w:t>kan mogelijk worden verklaard door de financiering van gemeenten in Nederland.</w:t>
      </w:r>
      <w:r w:rsidR="006441F2">
        <w:t xml:space="preserve"> Waar internationaal de meeste steden </w:t>
      </w:r>
      <w:r w:rsidR="00CF6107">
        <w:t>zelf meer</w:t>
      </w:r>
      <w:r w:rsidR="006441F2">
        <w:t xml:space="preserve"> </w:t>
      </w:r>
      <w:r w:rsidR="00ED2BC1">
        <w:t xml:space="preserve">inkomsten </w:t>
      </w:r>
      <w:r w:rsidR="00CF6107">
        <w:t>kunnen</w:t>
      </w:r>
      <w:r w:rsidR="00ED2BC1">
        <w:t xml:space="preserve"> genereren door een grotere fiscale vrijheid</w:t>
      </w:r>
      <w:r w:rsidR="006441F2">
        <w:t>,</w:t>
      </w:r>
      <w:r w:rsidR="008321E8">
        <w:t xml:space="preserve"> </w:t>
      </w:r>
      <w:r w:rsidR="006441F2">
        <w:t>hebben Nederlandse gemeenten een vrij beperkte fiscale autonomie (</w:t>
      </w:r>
      <w:r w:rsidR="00DA23BF">
        <w:t>European Committe</w:t>
      </w:r>
      <w:r w:rsidR="00373C45">
        <w:t>e</w:t>
      </w:r>
      <w:r w:rsidR="00DA23BF">
        <w:t xml:space="preserve"> of the Regions, 2020). </w:t>
      </w:r>
      <w:r w:rsidR="001C4578">
        <w:t xml:space="preserve">Volgens Schaap (2015, p. 121) zijn gemeenten in Nederland voor circa 2/3 van hun inkomsten afhankelijk van Rijksbijdragen. Alhoewel de Rijksbijdrage in de regel toeneemt bij een groter inwoneraantal, staat </w:t>
      </w:r>
      <w:r w:rsidR="00CE5E11">
        <w:t>dit</w:t>
      </w:r>
      <w:r w:rsidR="001C4578">
        <w:t xml:space="preserve"> klaarblijkelijk niet in verhouding tot de opgaven waar steden voor staan en de mogelijkheden die steden in het buitenland hebben om zelf belasting te innen. Dit toont aan dat voor de Nederlandse context Europeanisering van gemeenten met een hoog inwoneraantal niet samenhangt met een grotere financiële capaciteit, maar mogelijk eerder voortkomt uit een gebrek hieraan. Dit zou ondersteuning leveren voor het werk van De Rooij (2002, p. 464) die eveneens de (voorzichtige) conclusie trekt dat een goede financiële positie wel eens </w:t>
      </w:r>
      <w:r w:rsidR="006E5BC9">
        <w:t xml:space="preserve">een </w:t>
      </w:r>
      <w:r w:rsidR="00E97ACF">
        <w:t>‘</w:t>
      </w:r>
      <w:r w:rsidR="006E5BC9">
        <w:t>belemmering</w:t>
      </w:r>
      <w:r w:rsidR="00E97ACF">
        <w:t>’</w:t>
      </w:r>
      <w:r w:rsidR="006E5BC9">
        <w:t xml:space="preserve"> voor Europeanisering zou kunnen zijn</w:t>
      </w:r>
      <w:r w:rsidR="001C4578">
        <w:t>.</w:t>
      </w:r>
      <w:r w:rsidR="001C2534" w:rsidRPr="001C2534">
        <w:t xml:space="preserve"> </w:t>
      </w:r>
      <w:r w:rsidR="00111015">
        <w:t>Verder komen de resultaten van deze studie</w:t>
      </w:r>
      <w:r w:rsidR="001C2534" w:rsidRPr="001C2534">
        <w:t xml:space="preserve"> overeen met de literatuur</w:t>
      </w:r>
      <w:r w:rsidR="00216DB0">
        <w:t xml:space="preserve"> aangaande het inwoneraantal</w:t>
      </w:r>
      <w:r w:rsidR="001F27A0">
        <w:t>. Dit biedt</w:t>
      </w:r>
      <w:r w:rsidR="001C2534" w:rsidRPr="001C2534">
        <w:t xml:space="preserve"> </w:t>
      </w:r>
      <w:r w:rsidR="004C737B">
        <w:t xml:space="preserve">daarmee </w:t>
      </w:r>
      <w:r w:rsidR="001C2534" w:rsidRPr="001C2534">
        <w:t>ondersteund bewijs voor de beschreven achterliggende mechanismen van de factor ‘Inwoneraantal’, namelijk dat steden eerder aandacht hebben voor Europa vanwege de aanwezigheid van centrumvoorzieningen (onderbouwing categorie ‘financial’), profileringsdrang (onderbouwing categorieën ‘networking’ en ‘lobbying’) en een grotere prikkel ervaren om te lobbyen aangezien ze meer geraakt worden door Europese regelgeving (onderbouwing categorie ‘lobbying’).</w:t>
      </w:r>
      <w:r w:rsidR="006E5BC9">
        <w:tab/>
      </w:r>
      <w:r w:rsidR="001C4578">
        <w:t xml:space="preserve"> </w:t>
      </w:r>
      <w:r w:rsidR="00216DB0">
        <w:tab/>
      </w:r>
      <w:r w:rsidR="00014A20">
        <w:t xml:space="preserve">Ten derde </w:t>
      </w:r>
      <w:r w:rsidR="00B61036">
        <w:t>de factor ‘</w:t>
      </w:r>
      <w:r w:rsidR="00317EA9">
        <w:t>G</w:t>
      </w:r>
      <w:r w:rsidR="00B61036">
        <w:t>rensgemeenten’</w:t>
      </w:r>
      <w:r w:rsidR="00014A20">
        <w:t xml:space="preserve">. De resultaten van dit paper ontkrachten </w:t>
      </w:r>
      <w:r w:rsidR="00AB3C56">
        <w:t>de</w:t>
      </w:r>
      <w:r w:rsidR="00664C7B" w:rsidRPr="00664C7B">
        <w:t xml:space="preserve"> bewering van De Rooij (2002, p. 447) dat ligging aan de grens geen invloed </w:t>
      </w:r>
      <w:r w:rsidR="00AB3C56">
        <w:t>heeft</w:t>
      </w:r>
      <w:r w:rsidR="004A2DE7">
        <w:t xml:space="preserve"> op Europeanisering in de breedste zin van het woord</w:t>
      </w:r>
      <w:r w:rsidR="00664C7B" w:rsidRPr="00664C7B">
        <w:t xml:space="preserve">. Tegelijkertijd biedt deze uitkomst maar gedeeltelijke ondersteuning voor de </w:t>
      </w:r>
      <w:r w:rsidR="00B61036">
        <w:t>uitkomst</w:t>
      </w:r>
      <w:r w:rsidR="00664C7B" w:rsidRPr="00664C7B">
        <w:t xml:space="preserve"> van </w:t>
      </w:r>
      <w:r w:rsidR="001E18A5">
        <w:t>Gröbe</w:t>
      </w:r>
      <w:r w:rsidR="00664C7B" w:rsidRPr="00664C7B">
        <w:t xml:space="preserve"> et al. (2022, p. 15) dat ligging aan de grens invloed heeft op alle vormen van Europeanisering: alleen netwerken hangt hiermee samen. Dat voor Nederlandse gemeenten uitgerekend de categorie ‘networking’ van belang is, </w:t>
      </w:r>
      <w:r w:rsidR="00767C62">
        <w:t xml:space="preserve">viel te verwachten gezien de </w:t>
      </w:r>
      <w:r w:rsidR="00DF443F">
        <w:t>resultaten</w:t>
      </w:r>
      <w:r w:rsidR="00664C7B" w:rsidRPr="00664C7B">
        <w:t xml:space="preserve"> van </w:t>
      </w:r>
      <w:r w:rsidR="001E18A5">
        <w:t>Gröbe</w:t>
      </w:r>
      <w:r w:rsidR="00664C7B" w:rsidRPr="00664C7B">
        <w:t xml:space="preserve"> et al. (2022). </w:t>
      </w:r>
      <w:r w:rsidR="00A87742">
        <w:t>Zij komen</w:t>
      </w:r>
      <w:r w:rsidR="00664C7B" w:rsidRPr="00664C7B">
        <w:t xml:space="preserve"> tot deze </w:t>
      </w:r>
      <w:r w:rsidR="00DF443F">
        <w:t>bevinding</w:t>
      </w:r>
      <w:r w:rsidR="00664C7B" w:rsidRPr="00664C7B">
        <w:t xml:space="preserve"> na onderzoek bij Duitse gemeenten in Noordrijn-Westfalen, een Duitse deelstaat die voor het grootste</w:t>
      </w:r>
      <w:r w:rsidR="00A87742">
        <w:t xml:space="preserve"> </w:t>
      </w:r>
      <w:r w:rsidR="00664C7B" w:rsidRPr="00664C7B">
        <w:t xml:space="preserve">gedeelte grenst aan Nederland en waar gemeentelijke samenwerking is geïnstitutionaliseerd in de Euregio.  </w:t>
      </w:r>
      <w:r w:rsidR="00FE027E">
        <w:tab/>
      </w:r>
      <w:r w:rsidR="00FE027E">
        <w:tab/>
      </w:r>
      <w:r w:rsidR="00FE027E">
        <w:tab/>
      </w:r>
      <w:r w:rsidR="00FE027E">
        <w:tab/>
      </w:r>
      <w:r w:rsidR="00FE027E">
        <w:tab/>
      </w:r>
      <w:r w:rsidR="00FE027E">
        <w:tab/>
      </w:r>
      <w:r w:rsidR="00937B5F">
        <w:tab/>
      </w:r>
      <w:r w:rsidR="00937B5F">
        <w:tab/>
      </w:r>
      <w:r w:rsidR="00937B5F">
        <w:tab/>
      </w:r>
      <w:r w:rsidR="00FE027E">
        <w:t>Tot slot de opstelling van het gemeentebestuur</w:t>
      </w:r>
      <w:r w:rsidR="00B25521">
        <w:t xml:space="preserve">. </w:t>
      </w:r>
      <w:r w:rsidR="004476B6">
        <w:t xml:space="preserve">De resultaten van deze studie komen overeen met </w:t>
      </w:r>
      <w:r w:rsidR="0060753B">
        <w:t xml:space="preserve">het werk van </w:t>
      </w:r>
      <w:r w:rsidR="004476B6">
        <w:t>Toshkov (2019</w:t>
      </w:r>
      <w:r w:rsidR="00BF51F6">
        <w:t xml:space="preserve">, p. </w:t>
      </w:r>
      <w:r w:rsidR="00F87894">
        <w:t>22</w:t>
      </w:r>
      <w:r w:rsidR="004476B6">
        <w:t>) en Gross en D</w:t>
      </w:r>
      <w:r w:rsidR="00E03BC9">
        <w:t>e</w:t>
      </w:r>
      <w:r w:rsidR="004476B6">
        <w:t>bus (201</w:t>
      </w:r>
      <w:r w:rsidR="00E03BC9">
        <w:t>8</w:t>
      </w:r>
      <w:r w:rsidR="00BF51F6">
        <w:t xml:space="preserve">, p. </w:t>
      </w:r>
      <w:r w:rsidR="00F87894">
        <w:t>598</w:t>
      </w:r>
      <w:r w:rsidR="00E03BC9">
        <w:t xml:space="preserve">), maar gaan in tegen </w:t>
      </w:r>
      <w:r w:rsidR="0060753B">
        <w:t xml:space="preserve">de bevindingen van </w:t>
      </w:r>
      <w:r w:rsidR="00CF4D38" w:rsidRPr="00CF4D38">
        <w:t>Balme en LeGales (1992, p. 10), Hamedinger en Wolfhardt (2010, p. 234) en Bever et al. (2011, pp. 13-29)</w:t>
      </w:r>
      <w:r w:rsidR="0060753B">
        <w:t xml:space="preserve"> dat de opstelling van het gemeentebestuur van invloed is op de netwerk en lobby </w:t>
      </w:r>
      <w:r w:rsidR="00E97B39">
        <w:t>categorie</w:t>
      </w:r>
      <w:r w:rsidR="0060753B">
        <w:t xml:space="preserve"> van Europeanisering. </w:t>
      </w:r>
      <w:r w:rsidR="00097214">
        <w:t xml:space="preserve">Tegelijkertijd kan </w:t>
      </w:r>
      <w:r w:rsidR="00EA7F3D">
        <w:t>op basis van</w:t>
      </w:r>
      <w:r w:rsidR="004C70A9">
        <w:t xml:space="preserve"> de</w:t>
      </w:r>
      <w:r w:rsidR="00097214">
        <w:t xml:space="preserve"> resultaten van dit paper niet gesteld </w:t>
      </w:r>
      <w:r w:rsidR="004C70A9">
        <w:t xml:space="preserve">worden </w:t>
      </w:r>
      <w:r w:rsidR="00097214">
        <w:t xml:space="preserve">dat de houding van het gemeentebestuur helemaal geen </w:t>
      </w:r>
      <w:r w:rsidR="006C7407">
        <w:t>effect</w:t>
      </w:r>
      <w:r w:rsidR="004C70A9">
        <w:t xml:space="preserve"> heeft</w:t>
      </w:r>
      <w:r w:rsidR="00097214">
        <w:t xml:space="preserve">, aangezien alleen </w:t>
      </w:r>
      <w:r w:rsidR="005B6845">
        <w:t>de</w:t>
      </w:r>
      <w:r w:rsidR="00097214">
        <w:t xml:space="preserve"> politieke</w:t>
      </w:r>
      <w:r w:rsidR="00AA5547">
        <w:t xml:space="preserve"> dimensie </w:t>
      </w:r>
      <w:r w:rsidR="00A63B13">
        <w:t xml:space="preserve">van het gemeentebestuur </w:t>
      </w:r>
      <w:r w:rsidR="005B6845">
        <w:t>gemeten</w:t>
      </w:r>
      <w:r w:rsidR="003824D2">
        <w:t xml:space="preserve"> is</w:t>
      </w:r>
      <w:r w:rsidR="00AA5547">
        <w:t xml:space="preserve">. Dat deze </w:t>
      </w:r>
      <w:r w:rsidR="00607800">
        <w:t>er niet toe doet</w:t>
      </w:r>
      <w:r w:rsidR="00AA5547">
        <w:t xml:space="preserve"> versterkt </w:t>
      </w:r>
      <w:r w:rsidR="00EF1B49">
        <w:t>het vermoeden van Zerbinati (2004, pp.</w:t>
      </w:r>
      <w:r w:rsidR="00CE417E">
        <w:t xml:space="preserve"> </w:t>
      </w:r>
      <w:r w:rsidR="005A6940">
        <w:t xml:space="preserve">1009-1010) </w:t>
      </w:r>
      <w:r w:rsidR="00FC0079">
        <w:t>dat vooral de opstelling van de ambtenarij van invloed is op de Europeanisering van een gemeente.</w:t>
      </w:r>
      <w:r w:rsidR="00A047E3">
        <w:t xml:space="preserve"> </w:t>
      </w:r>
      <w:r w:rsidR="0023519F">
        <w:t xml:space="preserve">Deze gedachtegang van Zerbinati (2004) zou tevens aansluiten bij het feit dat </w:t>
      </w:r>
      <w:r w:rsidR="00AE10BE">
        <w:t xml:space="preserve">Europeanisering in de voorgaande raadsperiode doorwerkt in de daaropvolgende </w:t>
      </w:r>
      <w:r w:rsidR="00753E6E">
        <w:t xml:space="preserve">perioden: wanneer </w:t>
      </w:r>
      <w:r w:rsidR="0067456F">
        <w:t xml:space="preserve">ambtenaren binnen een </w:t>
      </w:r>
      <w:r w:rsidR="00753E6E">
        <w:t>gemeente eenmaal in aa</w:t>
      </w:r>
      <w:r w:rsidR="00F91FA6">
        <w:t xml:space="preserve">nraking zijn geweest met Europa zien zij de meerwaarde hiervan in en komen hiervoor meer middelen vrij, wat verdere Europeanisering mogelijk zou maken. </w:t>
      </w:r>
      <w:r w:rsidR="006910E8">
        <w:t>Door haar continuïteit en langetermijnvisie draagt de ambtenarij</w:t>
      </w:r>
      <w:r w:rsidR="00F91FA6">
        <w:t xml:space="preserve"> </w:t>
      </w:r>
      <w:r w:rsidR="00310A43">
        <w:t xml:space="preserve">mogelijk bij aan het </w:t>
      </w:r>
      <w:r w:rsidR="00000055">
        <w:t>in stand houden van</w:t>
      </w:r>
      <w:r w:rsidR="00EA0131">
        <w:t xml:space="preserve"> deze vorm van</w:t>
      </w:r>
      <w:r w:rsidR="00310A43">
        <w:t xml:space="preserve"> </w:t>
      </w:r>
      <w:r w:rsidR="003F57B8">
        <w:t>pad afhankelijkheid</w:t>
      </w:r>
      <w:r w:rsidR="00D8411D">
        <w:t xml:space="preserve">, welke zij via </w:t>
      </w:r>
      <w:r w:rsidR="00B35ACD">
        <w:t>haar betrokkenheid bij de totstandkoming van</w:t>
      </w:r>
      <w:r w:rsidR="00FF737D">
        <w:t xml:space="preserve"> een </w:t>
      </w:r>
      <w:r w:rsidR="0099292A">
        <w:t xml:space="preserve">coalitieakkoord </w:t>
      </w:r>
      <w:r w:rsidR="00B35ACD">
        <w:t xml:space="preserve">vervolgens </w:t>
      </w:r>
      <w:r w:rsidR="0099292A">
        <w:t>schriftelijk</w:t>
      </w:r>
      <w:r w:rsidR="00B35ACD">
        <w:t xml:space="preserve"> vastlegt.</w:t>
      </w:r>
      <w:r w:rsidR="0099292A">
        <w:t xml:space="preserve"> </w:t>
      </w:r>
      <w:r w:rsidR="0099292A">
        <w:tab/>
      </w:r>
      <w:r w:rsidR="0099292A">
        <w:tab/>
      </w:r>
      <w:r w:rsidR="0099292A">
        <w:tab/>
      </w:r>
      <w:r w:rsidR="0099292A">
        <w:tab/>
      </w:r>
      <w:r w:rsidR="0019535E">
        <w:t xml:space="preserve">Als </w:t>
      </w:r>
      <w:r w:rsidR="009A4E74">
        <w:t xml:space="preserve">een </w:t>
      </w:r>
      <w:r w:rsidR="00A0265B">
        <w:t xml:space="preserve">van de weinige kwantitatieve </w:t>
      </w:r>
      <w:r w:rsidR="00F15019">
        <w:t>studies</w:t>
      </w:r>
      <w:r w:rsidR="009A4E74">
        <w:t xml:space="preserve"> naar Europeanisering </w:t>
      </w:r>
      <w:r w:rsidR="00BC6C8C">
        <w:t>onder</w:t>
      </w:r>
      <w:r w:rsidR="009A4E74">
        <w:t xml:space="preserve"> Nederland</w:t>
      </w:r>
      <w:r w:rsidR="00F15019">
        <w:t>se</w:t>
      </w:r>
      <w:r w:rsidR="0019535E">
        <w:t xml:space="preserve"> </w:t>
      </w:r>
      <w:r w:rsidR="00BC6C8C">
        <w:t xml:space="preserve">gemeenten </w:t>
      </w:r>
      <w:r w:rsidR="0019535E">
        <w:t xml:space="preserve">draagt dit paper bij aan een beter </w:t>
      </w:r>
      <w:r w:rsidR="009A4E74">
        <w:t>begrip van dit fenomeen</w:t>
      </w:r>
      <w:r w:rsidR="00BC6C8C">
        <w:t>.</w:t>
      </w:r>
      <w:r w:rsidR="004C3F20">
        <w:t xml:space="preserve"> Uniek aan dit onderzoek is dat zij kan putten uit een database waarin alle gegevens omtrent Europese </w:t>
      </w:r>
      <w:r w:rsidR="005D1869">
        <w:t>gelden</w:t>
      </w:r>
      <w:r w:rsidR="004C3F20">
        <w:t xml:space="preserve"> over een langere periode </w:t>
      </w:r>
      <w:r w:rsidR="00E75F3A">
        <w:t xml:space="preserve">zijn bijgehouden. </w:t>
      </w:r>
      <w:r w:rsidR="00ED2A40">
        <w:t xml:space="preserve">De resultaten die hieruit voortkomen onderstrepen het belang van </w:t>
      </w:r>
      <w:r w:rsidR="006E4C5F">
        <w:t xml:space="preserve">inwoneraantal: </w:t>
      </w:r>
      <w:r w:rsidR="00E656F9">
        <w:t xml:space="preserve">in tegenstelling tot wat veelal </w:t>
      </w:r>
      <w:r w:rsidR="006E4C5F">
        <w:t>wordt veronderstel</w:t>
      </w:r>
      <w:r w:rsidR="006A1C8C">
        <w:t>d</w:t>
      </w:r>
      <w:r w:rsidR="006E4C5F">
        <w:t xml:space="preserve"> in de literatuur</w:t>
      </w:r>
      <w:r w:rsidR="00E656F9">
        <w:t xml:space="preserve"> blijkt </w:t>
      </w:r>
      <w:r w:rsidR="00E96B5E">
        <w:t xml:space="preserve">het </w:t>
      </w:r>
      <w:r w:rsidR="00F15688">
        <w:t>inwoneraantal</w:t>
      </w:r>
      <w:r w:rsidR="00A0241A">
        <w:t xml:space="preserve"> – en niet </w:t>
      </w:r>
      <w:r w:rsidR="00F91E69">
        <w:t>de hoeveelheid Europese middelen</w:t>
      </w:r>
      <w:r w:rsidR="005D1948">
        <w:t xml:space="preserve"> –</w:t>
      </w:r>
      <w:r w:rsidR="00E656F9">
        <w:t xml:space="preserve"> de dominante factor </w:t>
      </w:r>
      <w:r w:rsidR="00081F96">
        <w:t xml:space="preserve">om het verschil in Europeanisering </w:t>
      </w:r>
      <w:r w:rsidR="004259B3">
        <w:t xml:space="preserve">tussen </w:t>
      </w:r>
      <w:r w:rsidR="00081F96">
        <w:t xml:space="preserve">gemeenten te verklaren. </w:t>
      </w:r>
      <w:r w:rsidR="00B9286B">
        <w:tab/>
      </w:r>
      <w:r w:rsidR="00B9286B">
        <w:tab/>
      </w:r>
      <w:r w:rsidR="00B9286B">
        <w:tab/>
      </w:r>
      <w:r w:rsidR="00B9286B">
        <w:tab/>
      </w:r>
      <w:r w:rsidR="00175043">
        <w:t xml:space="preserve">Verder laat deze studie zien dat een grotere </w:t>
      </w:r>
      <w:r w:rsidR="005503CB">
        <w:t>financiële</w:t>
      </w:r>
      <w:r w:rsidR="00AC3662">
        <w:t xml:space="preserve"> capaciteit, een veelgenoemd mechanisme achter de Europeaniserende werking van </w:t>
      </w:r>
      <w:r w:rsidR="005503CB">
        <w:t xml:space="preserve">inwoneraantal, </w:t>
      </w:r>
      <w:r w:rsidR="00F12C09">
        <w:t xml:space="preserve">voor de Nederlandse context geen rol van betekenis speelt. </w:t>
      </w:r>
      <w:r w:rsidR="00751A1F">
        <w:t>Ondanks</w:t>
      </w:r>
      <w:r w:rsidR="007827C5">
        <w:t xml:space="preserve"> de relatief slechte </w:t>
      </w:r>
      <w:r w:rsidR="005078B3">
        <w:t>financiële</w:t>
      </w:r>
      <w:r w:rsidR="007827C5">
        <w:t xml:space="preserve"> positie van veel </w:t>
      </w:r>
      <w:r w:rsidR="005503CB">
        <w:t>Nederlandse steden</w:t>
      </w:r>
      <w:r w:rsidR="007827C5">
        <w:t xml:space="preserve"> </w:t>
      </w:r>
      <w:r w:rsidR="005078B3">
        <w:t xml:space="preserve">zijn zij </w:t>
      </w:r>
      <w:r w:rsidR="00751A1F">
        <w:t>juist vaker politiek-bestuurlijk</w:t>
      </w:r>
      <w:r w:rsidR="005078B3">
        <w:t xml:space="preserve"> geëuropeaniseerd. </w:t>
      </w:r>
      <w:r w:rsidR="00D20675" w:rsidRPr="00D20675">
        <w:t>Dit biedt ondersteunend bewijs voor de gedachte dat het Europeaniserende effect van inwoneraantal eerder gezocht moet worden in de aanwezigheid van centrumvoorzieningen, profileringsdrang en/of de mate waarin steden te maken hebben met EU-regelgeving.</w:t>
      </w:r>
      <w:r w:rsidR="00B210AA">
        <w:t xml:space="preserve"> Vervolgonderzoek </w:t>
      </w:r>
      <w:r w:rsidR="00A10EAB">
        <w:t xml:space="preserve">met behulp van een survey </w:t>
      </w:r>
      <w:r w:rsidR="00B210AA">
        <w:t>waarin g</w:t>
      </w:r>
      <w:r w:rsidR="00F670F3">
        <w:t xml:space="preserve">rootschalige dataverzameling naar deze </w:t>
      </w:r>
      <w:r w:rsidR="009136BE">
        <w:t>zaken</w:t>
      </w:r>
      <w:r w:rsidR="00F670F3">
        <w:t xml:space="preserve"> centraal staat zou van waarde zijn om het belang van deze mechanismen </w:t>
      </w:r>
      <w:r w:rsidR="008E0F0B">
        <w:t>nader te onderzoeken.</w:t>
      </w:r>
      <w:r w:rsidR="002874FD">
        <w:t xml:space="preserve"> </w:t>
      </w:r>
    </w:p>
    <w:p w14:paraId="6EDB9EE6" w14:textId="13B56EFC" w:rsidR="00FD02E0" w:rsidRDefault="001A431A" w:rsidP="007C1173">
      <w:pPr>
        <w:ind w:firstLine="708"/>
      </w:pPr>
      <w:r>
        <w:t>De laatste bijdrage van deze studie</w:t>
      </w:r>
      <w:r w:rsidR="00247792">
        <w:t xml:space="preserve"> aan het onderzoeksveld</w:t>
      </w:r>
      <w:r>
        <w:t xml:space="preserve"> is te vinden </w:t>
      </w:r>
      <w:r w:rsidR="00C51F2C">
        <w:t>in de uitkomst</w:t>
      </w:r>
      <w:r w:rsidR="001851BD">
        <w:t xml:space="preserve"> dat</w:t>
      </w:r>
      <w:r w:rsidR="00C76C2F">
        <w:t xml:space="preserve"> er sprake lijkt te zijn van</w:t>
      </w:r>
      <w:r w:rsidR="003F57B8">
        <w:t xml:space="preserve"> een</w:t>
      </w:r>
      <w:r w:rsidR="00C76C2F">
        <w:t xml:space="preserve"> </w:t>
      </w:r>
      <w:r w:rsidR="00314FF7">
        <w:t xml:space="preserve">opbouwend systeem of </w:t>
      </w:r>
      <w:r w:rsidR="00C76C2F">
        <w:t xml:space="preserve">een mate van Europeanisering. Hiermee valideert deze studie </w:t>
      </w:r>
      <w:r w:rsidR="00D71B59">
        <w:t>de theoretisch</w:t>
      </w:r>
      <w:r w:rsidR="0012348F">
        <w:t>e</w:t>
      </w:r>
      <w:r w:rsidR="00D71B59">
        <w:t xml:space="preserve"> indeling zoals deze door John (2001) </w:t>
      </w:r>
      <w:r w:rsidR="00F13168">
        <w:t>is gemaakt in de vorm van</w:t>
      </w:r>
      <w:r w:rsidR="00460507">
        <w:t xml:space="preserve"> een Europeaniseringladder. </w:t>
      </w:r>
      <w:r w:rsidR="004A21D9">
        <w:t xml:space="preserve">Alhoewel critici van deze indeling beweren </w:t>
      </w:r>
      <w:r w:rsidR="00FD6963">
        <w:t xml:space="preserve">dat de veronderstelde </w:t>
      </w:r>
      <w:r w:rsidR="009A283C">
        <w:t>hiërarchie</w:t>
      </w:r>
      <w:r w:rsidR="00FD6963">
        <w:t xml:space="preserve"> </w:t>
      </w:r>
      <w:r w:rsidR="0014450F">
        <w:t xml:space="preserve">tussen de categorieën </w:t>
      </w:r>
      <w:r w:rsidR="00FD6963">
        <w:t>niet noodzakelijk</w:t>
      </w:r>
      <w:r w:rsidR="009A283C">
        <w:t>erwijs van toepassing is</w:t>
      </w:r>
      <w:r w:rsidR="000F42DA">
        <w:t xml:space="preserve">, ziet deze studie aanwijzingen dat het weliswaar niet </w:t>
      </w:r>
      <w:r w:rsidR="006101EB">
        <w:t xml:space="preserve">altijd </w:t>
      </w:r>
      <w:r w:rsidR="000F42DA">
        <w:t xml:space="preserve">noodzakelijk, maar wel waarschijnlijk is. </w:t>
      </w:r>
      <w:r w:rsidR="00FA7C3E">
        <w:t xml:space="preserve">De resultaten van deze studie geven </w:t>
      </w:r>
      <w:r w:rsidR="009379F2">
        <w:t xml:space="preserve">daarom </w:t>
      </w:r>
      <w:r w:rsidR="00FA7C3E">
        <w:t>aanleiding tot een</w:t>
      </w:r>
      <w:r w:rsidR="005D4144">
        <w:t xml:space="preserve"> meer</w:t>
      </w:r>
      <w:r w:rsidR="00FA7C3E">
        <w:t xml:space="preserve"> genuanceerde conclusie: de </w:t>
      </w:r>
      <w:r w:rsidR="00C53EEB">
        <w:t>veronderstelde hiërarchie</w:t>
      </w:r>
      <w:r w:rsidR="00FA7C3E">
        <w:t xml:space="preserve"> is </w:t>
      </w:r>
      <w:r w:rsidR="009040AD" w:rsidRPr="009040AD">
        <w:t>probabilistisch</w:t>
      </w:r>
      <w:r w:rsidR="009040AD">
        <w:t xml:space="preserve"> </w:t>
      </w:r>
      <w:r w:rsidR="00FA7C3E">
        <w:t xml:space="preserve">en niet deterministisch van aard. </w:t>
      </w:r>
      <w:r w:rsidR="002C4902">
        <w:tab/>
      </w:r>
      <w:r w:rsidR="005415AB">
        <w:tab/>
      </w:r>
      <w:r w:rsidR="005415AB">
        <w:tab/>
      </w:r>
      <w:r w:rsidR="00C77F83">
        <w:t>Tegelijkertijd ken</w:t>
      </w:r>
      <w:r w:rsidR="00B42B70">
        <w:t>t</w:t>
      </w:r>
      <w:r w:rsidR="00C77F83">
        <w:t xml:space="preserve"> dit onderzoek ook beperkingen.</w:t>
      </w:r>
      <w:r w:rsidR="002A34AB">
        <w:t xml:space="preserve"> Zo vereist het gebruik van een multinomiale logistische regressieanalyse </w:t>
      </w:r>
      <w:r w:rsidR="00D2002D">
        <w:t>een stabiele referentiecategorie.</w:t>
      </w:r>
      <w:r w:rsidR="00D829BC">
        <w:t xml:space="preserve"> </w:t>
      </w:r>
      <w:r w:rsidR="009F2679">
        <w:t xml:space="preserve">Wanneer een gemeente op meerdere </w:t>
      </w:r>
      <w:r w:rsidR="007E580D">
        <w:t>categorieën</w:t>
      </w:r>
      <w:r w:rsidR="00014BAD">
        <w:t xml:space="preserve"> </w:t>
      </w:r>
      <w:r w:rsidR="00AB3EF5">
        <w:t xml:space="preserve">geëuropeaniseerd is, diende de codeur deze toch naar één categorie te coderen. </w:t>
      </w:r>
      <w:r w:rsidR="0084378A">
        <w:t>Alhoewel dergelijke gevallen niet veelvoorkomen</w:t>
      </w:r>
      <w:r w:rsidR="007E580D">
        <w:t>d</w:t>
      </w:r>
      <w:r w:rsidR="0084378A">
        <w:t xml:space="preserve"> waren</w:t>
      </w:r>
      <w:r w:rsidR="00424482">
        <w:t xml:space="preserve">, heeft dit mogelijk geleid tot </w:t>
      </w:r>
      <w:r w:rsidR="00B50AC1">
        <w:t>ondervertegenwoordiging</w:t>
      </w:r>
      <w:r w:rsidR="00424482">
        <w:t xml:space="preserve"> van gemeenten in sommige </w:t>
      </w:r>
      <w:r w:rsidR="00A96C35">
        <w:t xml:space="preserve">vormen </w:t>
      </w:r>
      <w:r w:rsidR="00424482">
        <w:t>van Europeanisering.</w:t>
      </w:r>
      <w:r w:rsidR="009B7B1E">
        <w:t xml:space="preserve"> </w:t>
      </w:r>
      <w:r w:rsidR="00014BAD">
        <w:t>Ook is het de vraag in hoeverre de resultaten uit dit onderzoek</w:t>
      </w:r>
      <w:r w:rsidR="0094380E">
        <w:t xml:space="preserve"> te generaliseren zijn naar het buitenland, aangezien alleen in Nederland onderzoek is gedaan. </w:t>
      </w:r>
      <w:r w:rsidR="00424482">
        <w:t>Vergelijkbaar kwantitatief</w:t>
      </w:r>
      <w:r w:rsidR="00CA1980">
        <w:t xml:space="preserve"> vervolgonderzoek in het buitenland zou daarom van waarde zijn om te achterhalen in hoeverre de resultaten uit deze studie </w:t>
      </w:r>
      <w:r w:rsidR="00F4298A">
        <w:t>daar standhouden.</w:t>
      </w:r>
      <w:r w:rsidR="009E0AF1">
        <w:t xml:space="preserve"> </w:t>
      </w:r>
      <w:r w:rsidR="00843B28">
        <w:t xml:space="preserve">De beschikbaarheid van </w:t>
      </w:r>
      <w:r w:rsidR="005C2DAA">
        <w:t xml:space="preserve">coalitieakkoorden </w:t>
      </w:r>
      <w:r w:rsidR="001A276A">
        <w:t xml:space="preserve">dan wel </w:t>
      </w:r>
      <w:r w:rsidR="00F70613">
        <w:t>beleidsagenda’s</w:t>
      </w:r>
      <w:r w:rsidR="0043099A">
        <w:t xml:space="preserve"> </w:t>
      </w:r>
      <w:r w:rsidR="00A105EE">
        <w:t xml:space="preserve">van buitenlandse </w:t>
      </w:r>
      <w:r w:rsidR="00BF7BB8">
        <w:t>gemeenten</w:t>
      </w:r>
      <w:r w:rsidR="00A105EE">
        <w:t xml:space="preserve"> </w:t>
      </w:r>
      <w:r w:rsidR="00BF7BB8">
        <w:t>maakt dergelijk onderzoek mogelijk.</w:t>
      </w:r>
      <w:r w:rsidR="00B360CA">
        <w:br w:type="page"/>
      </w:r>
    </w:p>
    <w:p w14:paraId="5DD66A5F" w14:textId="63622DC5" w:rsidR="00A03FD0" w:rsidRDefault="00D706C4" w:rsidP="00D706C4">
      <w:pPr>
        <w:pStyle w:val="Kop1"/>
        <w:jc w:val="center"/>
      </w:pPr>
      <w:bookmarkStart w:id="4" w:name="_Toc118209603"/>
      <w:r>
        <w:t>Referenties</w:t>
      </w:r>
      <w:bookmarkEnd w:id="4"/>
    </w:p>
    <w:p w14:paraId="32B17423" w14:textId="2EFE9974" w:rsidR="006556CC" w:rsidRDefault="006556CC" w:rsidP="00CF48A6">
      <w:pPr>
        <w:jc w:val="left"/>
      </w:pPr>
      <w:r w:rsidRPr="006556CC">
        <w:t xml:space="preserve">Balme, R., </w:t>
      </w:r>
      <w:r>
        <w:t xml:space="preserve">&amp; </w:t>
      </w:r>
      <w:r w:rsidRPr="006556CC">
        <w:t xml:space="preserve">P. Le Galés. </w:t>
      </w:r>
      <w:r>
        <w:t>(</w:t>
      </w:r>
      <w:r w:rsidRPr="006556CC">
        <w:t>1997</w:t>
      </w:r>
      <w:r>
        <w:t>)</w:t>
      </w:r>
      <w:r w:rsidRPr="006556CC">
        <w:t>. Stars and Black Holes: French Regions and Cities in the</w:t>
      </w:r>
      <w:r>
        <w:tab/>
      </w:r>
      <w:r w:rsidRPr="006556CC">
        <w:t xml:space="preserve">European Galaxy. In </w:t>
      </w:r>
      <w:r w:rsidR="0096332C" w:rsidRPr="0096332C">
        <w:t>M.</w:t>
      </w:r>
      <w:r w:rsidR="0096332C">
        <w:t xml:space="preserve"> </w:t>
      </w:r>
      <w:r w:rsidR="0096332C" w:rsidRPr="0096332C">
        <w:t>Goldsmith &amp; K. K. Klausen</w:t>
      </w:r>
      <w:r w:rsidR="0096332C">
        <w:t xml:space="preserve"> (red,)</w:t>
      </w:r>
      <w:r w:rsidR="0096332C" w:rsidRPr="0096332C">
        <w:t xml:space="preserve">, </w:t>
      </w:r>
      <w:r w:rsidRPr="00BE1CE4">
        <w:rPr>
          <w:i/>
          <w:iCs/>
        </w:rPr>
        <w:t>European Integration and</w:t>
      </w:r>
      <w:r w:rsidR="00BE1CE4">
        <w:rPr>
          <w:i/>
          <w:iCs/>
        </w:rPr>
        <w:tab/>
      </w:r>
      <w:r w:rsidRPr="00BE1CE4">
        <w:rPr>
          <w:i/>
          <w:iCs/>
        </w:rPr>
        <w:t>Local Government</w:t>
      </w:r>
      <w:r w:rsidR="00BE1CE4">
        <w:t xml:space="preserve"> (pp. </w:t>
      </w:r>
      <w:r w:rsidRPr="006556CC">
        <w:t>146–171</w:t>
      </w:r>
      <w:r w:rsidR="00BE1CE4">
        <w:t>)</w:t>
      </w:r>
      <w:r w:rsidRPr="006556CC">
        <w:t>. Edward</w:t>
      </w:r>
      <w:r w:rsidR="00E92A4A">
        <w:t xml:space="preserve"> </w:t>
      </w:r>
      <w:r w:rsidRPr="006556CC">
        <w:t>Elgar.</w:t>
      </w:r>
    </w:p>
    <w:p w14:paraId="35F79652" w14:textId="3322E2A1" w:rsidR="00743945" w:rsidRDefault="00743945" w:rsidP="00CF48A6">
      <w:pPr>
        <w:jc w:val="left"/>
      </w:pPr>
      <w:r w:rsidRPr="00743945">
        <w:t xml:space="preserve">Berg, C. F. van den. (2011). </w:t>
      </w:r>
      <w:r w:rsidRPr="00743945">
        <w:rPr>
          <w:i/>
          <w:iCs/>
        </w:rPr>
        <w:t>Transforming for Europe: the reshaping of national</w:t>
      </w:r>
      <w:r>
        <w:rPr>
          <w:i/>
          <w:iCs/>
        </w:rPr>
        <w:tab/>
      </w:r>
      <w:r>
        <w:rPr>
          <w:i/>
          <w:iCs/>
        </w:rPr>
        <w:tab/>
      </w:r>
      <w:r w:rsidRPr="00743945">
        <w:rPr>
          <w:i/>
          <w:iCs/>
        </w:rPr>
        <w:t>bureaucracies in a system of multi-level governance</w:t>
      </w:r>
      <w:r w:rsidR="00240286">
        <w:rPr>
          <w:i/>
          <w:iCs/>
        </w:rPr>
        <w:t xml:space="preserve">. </w:t>
      </w:r>
      <w:r w:rsidR="00240286">
        <w:t>[Proefschrift, University Leiden].</w:t>
      </w:r>
      <w:r>
        <w:tab/>
      </w:r>
      <w:hyperlink r:id="rId19" w:history="1">
        <w:r w:rsidRPr="001624CB">
          <w:rPr>
            <w:rStyle w:val="Hyperlink"/>
          </w:rPr>
          <w:t>https://hdl.handle.net/1887/16356</w:t>
        </w:r>
      </w:hyperlink>
      <w:r>
        <w:t xml:space="preserve"> </w:t>
      </w:r>
    </w:p>
    <w:p w14:paraId="06E07B67" w14:textId="25100DB5" w:rsidR="00A46D22" w:rsidRDefault="00A46D22" w:rsidP="00CF48A6">
      <w:pPr>
        <w:jc w:val="left"/>
      </w:pPr>
      <w:r w:rsidRPr="00A46D22">
        <w:t>Bever, E</w:t>
      </w:r>
      <w:r>
        <w:t>. van,</w:t>
      </w:r>
      <w:r w:rsidRPr="00A46D22">
        <w:t xml:space="preserve"> Reynaert, H., &amp; Steyvers, K. (2011). </w:t>
      </w:r>
      <w:r w:rsidRPr="00A46D22">
        <w:rPr>
          <w:i/>
          <w:iCs/>
        </w:rPr>
        <w:t>The road to Europe: main street</w:t>
      </w:r>
      <w:r w:rsidR="00495236">
        <w:rPr>
          <w:i/>
          <w:iCs/>
        </w:rPr>
        <w:t xml:space="preserve"> </w:t>
      </w:r>
      <w:r w:rsidRPr="00A46D22">
        <w:rPr>
          <w:i/>
          <w:iCs/>
        </w:rPr>
        <w:t>or</w:t>
      </w:r>
      <w:r w:rsidR="00495236">
        <w:rPr>
          <w:i/>
          <w:iCs/>
        </w:rPr>
        <w:tab/>
      </w:r>
      <w:r w:rsidR="00495236">
        <w:rPr>
          <w:i/>
          <w:iCs/>
        </w:rPr>
        <w:tab/>
      </w:r>
      <w:r w:rsidRPr="00A46D22">
        <w:rPr>
          <w:i/>
          <w:iCs/>
        </w:rPr>
        <w:t>backward alley for local governments in Europe.</w:t>
      </w:r>
      <w:r w:rsidRPr="00A46D22">
        <w:t xml:space="preserve"> </w:t>
      </w:r>
      <w:r w:rsidR="00D94A70">
        <w:t>Brugge,</w:t>
      </w:r>
      <w:r w:rsidRPr="00A46D22">
        <w:t xml:space="preserve"> </w:t>
      </w:r>
      <w:r w:rsidR="00D94A70" w:rsidRPr="00A46D22">
        <w:t>Belg</w:t>
      </w:r>
      <w:r w:rsidR="00D94A70">
        <w:t>ië</w:t>
      </w:r>
      <w:r w:rsidRPr="00A46D22">
        <w:t xml:space="preserve">: </w:t>
      </w:r>
      <w:r w:rsidR="00D94A70">
        <w:t>V</w:t>
      </w:r>
      <w:r w:rsidRPr="00A46D22">
        <w:t>anden Broele</w:t>
      </w:r>
      <w:r>
        <w:tab/>
      </w:r>
      <w:r w:rsidRPr="00A46D22">
        <w:t>Academics.</w:t>
      </w:r>
    </w:p>
    <w:p w14:paraId="31A2FC81" w14:textId="39F5C2CF" w:rsidR="00483762" w:rsidRDefault="00483762" w:rsidP="00CF48A6">
      <w:pPr>
        <w:jc w:val="left"/>
      </w:pPr>
      <w:r>
        <w:t>Boudewijn, R. (</w:t>
      </w:r>
      <w:r w:rsidR="00D75951">
        <w:t xml:space="preserve">2011). Europa: best ver weg? De lokale overheid en de Europese Unie. </w:t>
      </w:r>
      <w:r w:rsidR="000246EC">
        <w:t xml:space="preserve">In </w:t>
      </w:r>
      <w:r w:rsidR="003A0336">
        <w:t>E</w:t>
      </w:r>
      <w:r w:rsidR="002C52B3">
        <w:t>.</w:t>
      </w:r>
      <w:r w:rsidR="000F11C2">
        <w:tab/>
      </w:r>
      <w:r w:rsidR="003A0336">
        <w:t xml:space="preserve">Karssing, </w:t>
      </w:r>
      <w:r w:rsidR="002C52B3">
        <w:t>H. Bossert</w:t>
      </w:r>
      <w:r w:rsidR="001B13F9">
        <w:t xml:space="preserve"> &amp; L. Meuleman (Red.), </w:t>
      </w:r>
      <w:r w:rsidR="00A65FAE">
        <w:rPr>
          <w:i/>
          <w:iCs/>
        </w:rPr>
        <w:t>Management in beweging</w:t>
      </w:r>
      <w:r w:rsidR="00D663F1">
        <w:rPr>
          <w:i/>
          <w:iCs/>
        </w:rPr>
        <w:t xml:space="preserve"> </w:t>
      </w:r>
      <w:r w:rsidR="00D663F1">
        <w:t xml:space="preserve">(1 druk, pp. </w:t>
      </w:r>
      <w:r w:rsidR="000F11C2">
        <w:tab/>
        <w:t xml:space="preserve">59-78). Van Gorcum. </w:t>
      </w:r>
      <w:r w:rsidR="001B13F9">
        <w:t xml:space="preserve"> </w:t>
      </w:r>
    </w:p>
    <w:p w14:paraId="1BF7E4E4" w14:textId="5A1D917E" w:rsidR="00202419" w:rsidRDefault="00202419" w:rsidP="00CF48A6">
      <w:pPr>
        <w:jc w:val="left"/>
      </w:pPr>
      <w:r w:rsidRPr="00202419">
        <w:t>Breeman, G. E., Scholten, P. W. A., &amp; Timmermans, A. (201</w:t>
      </w:r>
      <w:r w:rsidR="009956A9">
        <w:t>4</w:t>
      </w:r>
      <w:r w:rsidRPr="00202419">
        <w:t>). Analysing local policy</w:t>
      </w:r>
      <w:r>
        <w:tab/>
      </w:r>
      <w:r>
        <w:tab/>
      </w:r>
      <w:r w:rsidRPr="00202419">
        <w:t>agendas: how Dutch municipal executive coalitions allocate attention. </w:t>
      </w:r>
      <w:r w:rsidRPr="00202419">
        <w:rPr>
          <w:i/>
          <w:iCs/>
        </w:rPr>
        <w:t>Local</w:t>
      </w:r>
      <w:r>
        <w:rPr>
          <w:i/>
          <w:iCs/>
        </w:rPr>
        <w:tab/>
      </w:r>
      <w:r>
        <w:rPr>
          <w:i/>
          <w:iCs/>
        </w:rPr>
        <w:tab/>
      </w:r>
      <w:r w:rsidRPr="00202419">
        <w:rPr>
          <w:i/>
          <w:iCs/>
        </w:rPr>
        <w:t>Government Studies</w:t>
      </w:r>
      <w:r w:rsidRPr="00202419">
        <w:t>, </w:t>
      </w:r>
      <w:r w:rsidRPr="00202419">
        <w:rPr>
          <w:i/>
          <w:iCs/>
        </w:rPr>
        <w:t>41</w:t>
      </w:r>
      <w:r w:rsidRPr="00202419">
        <w:t>(1), 20-43. </w:t>
      </w:r>
      <w:hyperlink r:id="rId20" w:history="1">
        <w:r w:rsidRPr="00C71CD9">
          <w:rPr>
            <w:rStyle w:val="Hyperlink"/>
          </w:rPr>
          <w:t>https://doi.org/10.1080/03003930.2014.930024</w:t>
        </w:r>
      </w:hyperlink>
      <w:r>
        <w:t xml:space="preserve"> </w:t>
      </w:r>
    </w:p>
    <w:p w14:paraId="58D5FBC7" w14:textId="1708D316" w:rsidR="001B0BA0" w:rsidRPr="001B0BA0" w:rsidRDefault="001B0BA0" w:rsidP="00CF48A6">
      <w:pPr>
        <w:jc w:val="left"/>
        <w:rPr>
          <w:lang w:val="en-GB"/>
        </w:rPr>
      </w:pPr>
      <w:r w:rsidRPr="001B0BA0">
        <w:rPr>
          <w:lang w:val="en-GB"/>
        </w:rPr>
        <w:t>Callanan, M., &amp; Tatham, M. (2014). Territorial interest representation in the European Union:</w:t>
      </w:r>
      <w:r>
        <w:rPr>
          <w:lang w:val="en-GB"/>
        </w:rPr>
        <w:tab/>
      </w:r>
      <w:r w:rsidRPr="001B0BA0">
        <w:rPr>
          <w:lang w:val="en-GB"/>
        </w:rPr>
        <w:t xml:space="preserve">actors, objectives and strategies. </w:t>
      </w:r>
      <w:r w:rsidRPr="001B0BA0">
        <w:rPr>
          <w:i/>
          <w:iCs/>
          <w:lang w:val="en-GB"/>
        </w:rPr>
        <w:t>Journal of European Public Policy</w:t>
      </w:r>
      <w:r w:rsidRPr="001B0BA0">
        <w:rPr>
          <w:lang w:val="en-GB"/>
        </w:rPr>
        <w:t xml:space="preserve">, </w:t>
      </w:r>
      <w:r w:rsidRPr="001B0BA0">
        <w:rPr>
          <w:i/>
          <w:iCs/>
          <w:lang w:val="en-GB"/>
        </w:rPr>
        <w:t>21</w:t>
      </w:r>
      <w:r w:rsidRPr="001B0BA0">
        <w:rPr>
          <w:lang w:val="en-GB"/>
        </w:rPr>
        <w:t>(2), 188-210.</w:t>
      </w:r>
    </w:p>
    <w:p w14:paraId="34DC85CD" w14:textId="061B9CBD" w:rsidR="00D0773D" w:rsidRDefault="00D0773D" w:rsidP="00CF48A6">
      <w:pPr>
        <w:jc w:val="left"/>
      </w:pPr>
      <w:r>
        <w:t xml:space="preserve">Centraal Bureau </w:t>
      </w:r>
      <w:r w:rsidR="009664EA">
        <w:t xml:space="preserve">voor de Statistiek. (z.j.). </w:t>
      </w:r>
      <w:r w:rsidR="00E753FB">
        <w:rPr>
          <w:i/>
          <w:iCs/>
        </w:rPr>
        <w:t xml:space="preserve">Gemeentelijke indelingen per jaar. </w:t>
      </w:r>
      <w:r w:rsidR="00C35CFF">
        <w:t xml:space="preserve">[Data set]. </w:t>
      </w:r>
      <w:r w:rsidR="00C35CFF">
        <w:tab/>
      </w:r>
      <w:hyperlink r:id="rId21" w:history="1">
        <w:r w:rsidR="0059053D" w:rsidRPr="00D631D8">
          <w:rPr>
            <w:rStyle w:val="Hyperlink"/>
          </w:rPr>
          <w:t>https://www.cbs.nl/nl-nl/onze-diensten/methoden/classificaties/overig/gemeentelijke-indelingen-per-jaar</w:t>
        </w:r>
      </w:hyperlink>
      <w:r w:rsidR="00810519">
        <w:t xml:space="preserve"> </w:t>
      </w:r>
    </w:p>
    <w:p w14:paraId="49815180" w14:textId="799FE91C" w:rsidR="00D53FB9" w:rsidRPr="00E753FB" w:rsidRDefault="00D53FB9" w:rsidP="00CF48A6">
      <w:pPr>
        <w:jc w:val="left"/>
      </w:pPr>
      <w:r w:rsidRPr="00D53FB9">
        <w:t>Cohen, J.</w:t>
      </w:r>
      <w:r>
        <w:t xml:space="preserve"> &amp; </w:t>
      </w:r>
      <w:r w:rsidRPr="00D53FB9">
        <w:t>Cohen, P. (1975)</w:t>
      </w:r>
      <w:r w:rsidR="0073226A">
        <w:t>.</w:t>
      </w:r>
      <w:r w:rsidRPr="00D53FB9">
        <w:t xml:space="preserve"> </w:t>
      </w:r>
      <w:r w:rsidRPr="003125A3">
        <w:rPr>
          <w:i/>
          <w:iCs/>
        </w:rPr>
        <w:t>Applied Multiple Regression Correlation Analysis for the</w:t>
      </w:r>
      <w:r w:rsidR="003125A3">
        <w:rPr>
          <w:i/>
          <w:iCs/>
        </w:rPr>
        <w:tab/>
      </w:r>
      <w:r w:rsidRPr="003125A3">
        <w:rPr>
          <w:i/>
          <w:iCs/>
        </w:rPr>
        <w:tab/>
        <w:t>Behavioral Sciences</w:t>
      </w:r>
      <w:r w:rsidR="0073226A" w:rsidRPr="003125A3">
        <w:rPr>
          <w:i/>
          <w:iCs/>
        </w:rPr>
        <w:t>.</w:t>
      </w:r>
      <w:r w:rsidRPr="003125A3">
        <w:rPr>
          <w:i/>
          <w:iCs/>
        </w:rPr>
        <w:t xml:space="preserve"> </w:t>
      </w:r>
      <w:r w:rsidRPr="00D53FB9">
        <w:t>New York</w:t>
      </w:r>
      <w:r w:rsidR="0073226A">
        <w:t>, NY</w:t>
      </w:r>
      <w:r w:rsidRPr="00D53FB9">
        <w:t>: John Wiley</w:t>
      </w:r>
      <w:r w:rsidR="009F1C68">
        <w:t>.</w:t>
      </w:r>
    </w:p>
    <w:p w14:paraId="17CA549A" w14:textId="36DB7F35" w:rsidR="0010123D" w:rsidRDefault="0010123D" w:rsidP="00CF48A6">
      <w:pPr>
        <w:jc w:val="left"/>
      </w:pPr>
      <w:r>
        <w:t xml:space="preserve">Elemans, S., </w:t>
      </w:r>
      <w:r w:rsidR="009C0C5E">
        <w:t xml:space="preserve">Witteveen, J., Woesik, R. &amp; Zuijlen, T. van. (2019). </w:t>
      </w:r>
      <w:r w:rsidR="009C0C5E" w:rsidRPr="009C0C5E">
        <w:rPr>
          <w:i/>
          <w:iCs/>
        </w:rPr>
        <w:t>De drijvende kracht achter</w:t>
      </w:r>
      <w:r w:rsidR="009C0C5E" w:rsidRPr="009C0C5E">
        <w:rPr>
          <w:i/>
          <w:iCs/>
        </w:rPr>
        <w:tab/>
        <w:t>Europeanisering bij Nederlandse gemeenten</w:t>
      </w:r>
      <w:r w:rsidR="009C0C5E">
        <w:t xml:space="preserve">. </w:t>
      </w:r>
      <w:r w:rsidR="00012BAB">
        <w:t>[niet gepubliceerd]</w:t>
      </w:r>
    </w:p>
    <w:p w14:paraId="1DABF1EB" w14:textId="25E80D85" w:rsidR="006C4D5A" w:rsidRPr="00DF43F2" w:rsidRDefault="006C4D5A" w:rsidP="00CF48A6">
      <w:pPr>
        <w:jc w:val="left"/>
      </w:pPr>
      <w:r>
        <w:t xml:space="preserve">European </w:t>
      </w:r>
      <w:r w:rsidR="001C1B27">
        <w:t xml:space="preserve">Committee of the Regions. </w:t>
      </w:r>
      <w:r w:rsidR="00142B27">
        <w:t xml:space="preserve">(2020). </w:t>
      </w:r>
      <w:r w:rsidR="00BF687A" w:rsidRPr="00BF687A">
        <w:rPr>
          <w:i/>
          <w:iCs/>
        </w:rPr>
        <w:t>Decentralization Index</w:t>
      </w:r>
      <w:r w:rsidR="00BF687A">
        <w:rPr>
          <w:i/>
          <w:iCs/>
        </w:rPr>
        <w:t xml:space="preserve">: </w:t>
      </w:r>
      <w:r w:rsidR="000064A7">
        <w:rPr>
          <w:i/>
          <w:iCs/>
        </w:rPr>
        <w:t>Fiscal decentralization</w:t>
      </w:r>
      <w:r w:rsidR="000064A7">
        <w:rPr>
          <w:i/>
          <w:iCs/>
        </w:rPr>
        <w:tab/>
        <w:t>(</w:t>
      </w:r>
      <w:r w:rsidR="00DF43F2">
        <w:rPr>
          <w:i/>
          <w:iCs/>
        </w:rPr>
        <w:t xml:space="preserve">Revenue Autonomy). </w:t>
      </w:r>
      <w:r w:rsidR="00DF43F2">
        <w:t xml:space="preserve">[Data </w:t>
      </w:r>
      <w:r w:rsidR="00643EB4">
        <w:t>s</w:t>
      </w:r>
      <w:r w:rsidR="00DF43F2">
        <w:t>et].</w:t>
      </w:r>
      <w:r w:rsidR="00643EB4">
        <w:tab/>
      </w:r>
      <w:r w:rsidR="00643EB4">
        <w:tab/>
      </w:r>
      <w:r w:rsidR="00643EB4">
        <w:tab/>
      </w:r>
      <w:r w:rsidR="00643EB4">
        <w:tab/>
      </w:r>
      <w:r w:rsidR="00643EB4">
        <w:tab/>
      </w:r>
      <w:r w:rsidR="00643EB4">
        <w:tab/>
      </w:r>
      <w:r w:rsidR="00643EB4">
        <w:tab/>
      </w:r>
      <w:r w:rsidR="00643EB4">
        <w:tab/>
      </w:r>
      <w:hyperlink r:id="rId22" w:history="1">
        <w:r w:rsidR="00643EB4" w:rsidRPr="00194AA5">
          <w:rPr>
            <w:rStyle w:val="Hyperlink"/>
          </w:rPr>
          <w:t>https://portal.cor.europa.eu/divisionpowers/Pages/Decentralization-Index.aspx#</w:t>
        </w:r>
      </w:hyperlink>
      <w:r w:rsidR="00643EB4">
        <w:t xml:space="preserve"> </w:t>
      </w:r>
    </w:p>
    <w:p w14:paraId="64F35CBE" w14:textId="6D6DE1EF" w:rsidR="009D7DC9" w:rsidRDefault="009D7DC9" w:rsidP="00CF48A6">
      <w:pPr>
        <w:jc w:val="left"/>
      </w:pPr>
      <w:r w:rsidRPr="009D7DC9">
        <w:t xml:space="preserve">Field, A. P. (2018). </w:t>
      </w:r>
      <w:r w:rsidRPr="003D1888">
        <w:rPr>
          <w:i/>
          <w:iCs/>
        </w:rPr>
        <w:t>Discovering statistics using IBM SPSS statistics.</w:t>
      </w:r>
      <w:r w:rsidRPr="009D7DC9">
        <w:t xml:space="preserve"> Thousand Oaks, C</w:t>
      </w:r>
      <w:r w:rsidR="005B3583">
        <w:t>A</w:t>
      </w:r>
      <w:r w:rsidRPr="009D7DC9">
        <w:t>:</w:t>
      </w:r>
      <w:r>
        <w:tab/>
      </w:r>
      <w:r w:rsidRPr="009D7DC9">
        <w:t>SAGE Publications.</w:t>
      </w:r>
      <w:r>
        <w:t xml:space="preserve"> </w:t>
      </w:r>
    </w:p>
    <w:p w14:paraId="315E1C13" w14:textId="776D5CA3" w:rsidR="00843719" w:rsidRDefault="00843719" w:rsidP="00CF48A6">
      <w:pPr>
        <w:jc w:val="left"/>
      </w:pPr>
      <w:r w:rsidRPr="00843719">
        <w:t xml:space="preserve">Goldsmith, M. </w:t>
      </w:r>
      <w:r>
        <w:t>(</w:t>
      </w:r>
      <w:r w:rsidRPr="00843719">
        <w:t>1993</w:t>
      </w:r>
      <w:r>
        <w:t>)</w:t>
      </w:r>
      <w:r w:rsidRPr="00843719">
        <w:t xml:space="preserve">. The Europeanisation of Local Government. </w:t>
      </w:r>
      <w:r w:rsidRPr="00843719">
        <w:rPr>
          <w:i/>
          <w:iCs/>
        </w:rPr>
        <w:t>Urban Studies 30</w:t>
      </w:r>
      <w:r w:rsidRPr="00843719">
        <w:t>(4</w:t>
      </w:r>
      <w:r>
        <w:t>-</w:t>
      </w:r>
      <w:r w:rsidRPr="00843719">
        <w:t>5):</w:t>
      </w:r>
      <w:r>
        <w:tab/>
      </w:r>
      <w:r w:rsidRPr="00843719">
        <w:t xml:space="preserve">683–699. </w:t>
      </w:r>
      <w:r w:rsidR="00041DE6">
        <w:t>DOI</w:t>
      </w:r>
      <w:r w:rsidRPr="00843719">
        <w:t>:10.1080/00420989320081871</w:t>
      </w:r>
      <w:r>
        <w:t xml:space="preserve"> </w:t>
      </w:r>
    </w:p>
    <w:p w14:paraId="5DE5A5DF" w14:textId="30C74D1D" w:rsidR="00E01159" w:rsidRDefault="00E01159" w:rsidP="00CF48A6">
      <w:pPr>
        <w:jc w:val="left"/>
      </w:pPr>
      <w:r w:rsidRPr="00E01159">
        <w:t>Gröbe, B., Grohs, S., &amp; Porth, J. (2022). Local responses to european integration: patterns of</w:t>
      </w:r>
      <w:r>
        <w:tab/>
      </w:r>
      <w:r w:rsidRPr="00E01159">
        <w:t>europe-related activities of german local governments. </w:t>
      </w:r>
      <w:r w:rsidRPr="00E01159">
        <w:rPr>
          <w:i/>
          <w:iCs/>
        </w:rPr>
        <w:t>Local Government Studies</w:t>
      </w:r>
      <w:r w:rsidRPr="00E01159">
        <w:t>, 1–</w:t>
      </w:r>
      <w:r w:rsidR="009A6F7D">
        <w:tab/>
      </w:r>
      <w:r w:rsidRPr="00E01159">
        <w:t xml:space="preserve">24. </w:t>
      </w:r>
      <w:hyperlink r:id="rId23" w:history="1">
        <w:r w:rsidRPr="008B4B4D">
          <w:rPr>
            <w:rStyle w:val="Hyperlink"/>
          </w:rPr>
          <w:t>https://doi.org/10.1080/03003930.2022.2105840</w:t>
        </w:r>
      </w:hyperlink>
      <w:r>
        <w:t xml:space="preserve"> </w:t>
      </w:r>
    </w:p>
    <w:p w14:paraId="581EBF2E" w14:textId="70D3DF69" w:rsidR="00547ACF" w:rsidRDefault="00547ACF" w:rsidP="00CF48A6">
      <w:pPr>
        <w:jc w:val="left"/>
      </w:pPr>
      <w:r w:rsidRPr="00547ACF">
        <w:t>Gross, M., &amp; M. Debus. (2018). Does EU Regional Policy Increase Parties’ Support for</w:t>
      </w:r>
      <w:r w:rsidRPr="00547ACF">
        <w:tab/>
        <w:t xml:space="preserve">European Integration? </w:t>
      </w:r>
      <w:r w:rsidRPr="00547ACF">
        <w:rPr>
          <w:i/>
          <w:iCs/>
        </w:rPr>
        <w:t>West European Politics 41</w:t>
      </w:r>
      <w:r w:rsidRPr="00547ACF">
        <w:t xml:space="preserve">(3): 594–614. </w:t>
      </w:r>
      <w:r w:rsidR="00041DE6">
        <w:t>DOI</w:t>
      </w:r>
      <w:r w:rsidRPr="00547ACF">
        <w:t xml:space="preserve">:10.1080/ </w:t>
      </w:r>
      <w:r w:rsidRPr="00547ACF">
        <w:tab/>
        <w:t>01402382.2017.1395249</w:t>
      </w:r>
      <w:r>
        <w:t xml:space="preserve"> </w:t>
      </w:r>
    </w:p>
    <w:p w14:paraId="4D2C5C2B" w14:textId="5EF5FF04" w:rsidR="00F00864" w:rsidRDefault="00F00864" w:rsidP="00CF48A6">
      <w:pPr>
        <w:jc w:val="left"/>
      </w:pPr>
      <w:r w:rsidRPr="00F00864">
        <w:t>Guderjan, M.M. (2015). Theorising European Integration of Local Government – Insights</w:t>
      </w:r>
      <w:r>
        <w:tab/>
      </w:r>
      <w:r w:rsidRPr="00F00864">
        <w:t>from the Fusion Approach. </w:t>
      </w:r>
      <w:r w:rsidRPr="00F00864">
        <w:rPr>
          <w:i/>
          <w:iCs/>
        </w:rPr>
        <w:t>Local Government Studies, 41</w:t>
      </w:r>
      <w:r w:rsidRPr="00F00864">
        <w:t>, 937-955.</w:t>
      </w:r>
    </w:p>
    <w:p w14:paraId="61613F2B" w14:textId="7DE092CB" w:rsidR="009C70A5" w:rsidRDefault="009C70A5" w:rsidP="00CF48A6">
      <w:pPr>
        <w:jc w:val="left"/>
      </w:pPr>
      <w:r w:rsidRPr="009C70A5">
        <w:t>Hamedinger, A.</w:t>
      </w:r>
      <w:r w:rsidR="00146C26">
        <w:t xml:space="preserve"> &amp;</w:t>
      </w:r>
      <w:r w:rsidRPr="009C70A5">
        <w:t xml:space="preserve"> Wolffhardt</w:t>
      </w:r>
      <w:r w:rsidR="00146C26">
        <w:t>, A.</w:t>
      </w:r>
      <w:r w:rsidRPr="009C70A5">
        <w:t xml:space="preserve"> </w:t>
      </w:r>
      <w:r w:rsidR="00146C26">
        <w:t>(</w:t>
      </w:r>
      <w:r w:rsidRPr="009C70A5">
        <w:t>2010</w:t>
      </w:r>
      <w:r w:rsidR="00146C26">
        <w:t>)</w:t>
      </w:r>
      <w:r w:rsidRPr="009C70A5">
        <w:t xml:space="preserve">. </w:t>
      </w:r>
      <w:r w:rsidRPr="00146C26">
        <w:rPr>
          <w:i/>
          <w:iCs/>
        </w:rPr>
        <w:t>The Europeanization of Cities.</w:t>
      </w:r>
      <w:r w:rsidRPr="009C70A5">
        <w:t xml:space="preserve"> Amsterdam</w:t>
      </w:r>
      <w:r w:rsidR="00BE2872">
        <w:t xml:space="preserve">, </w:t>
      </w:r>
      <w:r w:rsidR="00BE2872">
        <w:tab/>
        <w:t>Nederland</w:t>
      </w:r>
      <w:r w:rsidRPr="009C70A5">
        <w:t>:</w:t>
      </w:r>
      <w:r w:rsidR="00BE2872">
        <w:t xml:space="preserve"> </w:t>
      </w:r>
      <w:r w:rsidRPr="009C70A5">
        <w:t>Techne Press.</w:t>
      </w:r>
    </w:p>
    <w:p w14:paraId="2B6C701B" w14:textId="1C188F98" w:rsidR="00A97889" w:rsidRDefault="00A97889" w:rsidP="00CF48A6">
      <w:pPr>
        <w:jc w:val="left"/>
      </w:pPr>
      <w:r w:rsidRPr="00A97889">
        <w:t xml:space="preserve">Hansen, A., Cottle, S., Negrine, R. &amp; Newbold (1998). </w:t>
      </w:r>
      <w:r w:rsidRPr="00A97889">
        <w:rPr>
          <w:i/>
          <w:iCs/>
        </w:rPr>
        <w:t>Mass communication research</w:t>
      </w:r>
      <w:r w:rsidRPr="00A97889">
        <w:rPr>
          <w:i/>
          <w:iCs/>
        </w:rPr>
        <w:tab/>
      </w:r>
      <w:r w:rsidRPr="00A97889">
        <w:rPr>
          <w:i/>
          <w:iCs/>
        </w:rPr>
        <w:tab/>
        <w:t>methods</w:t>
      </w:r>
      <w:r w:rsidRPr="00A97889">
        <w:t xml:space="preserve">. </w:t>
      </w:r>
      <w:r w:rsidR="00C54C33">
        <w:t xml:space="preserve">Verenigd Koninkrijk: </w:t>
      </w:r>
      <w:r w:rsidRPr="00A97889">
        <w:t>Palgrave Macmillan</w:t>
      </w:r>
      <w:r w:rsidR="00C54C33">
        <w:t xml:space="preserve">. </w:t>
      </w:r>
    </w:p>
    <w:p w14:paraId="72209F4D" w14:textId="343F156A" w:rsidR="00B22C9D" w:rsidRDefault="00B22C9D" w:rsidP="00CF48A6">
      <w:pPr>
        <w:jc w:val="left"/>
      </w:pPr>
      <w:r w:rsidRPr="00B22C9D">
        <w:t xml:space="preserve">Hooghe, L. &amp; Marks, G. (2001). </w:t>
      </w:r>
      <w:r w:rsidRPr="00747D90">
        <w:rPr>
          <w:i/>
          <w:iCs/>
        </w:rPr>
        <w:t>Multi-Level Governance and European Integratio</w:t>
      </w:r>
      <w:r w:rsidR="00747D90" w:rsidRPr="00747D90">
        <w:rPr>
          <w:i/>
          <w:iCs/>
        </w:rPr>
        <w:t>n.</w:t>
      </w:r>
      <w:r>
        <w:tab/>
      </w:r>
      <w:r w:rsidRPr="00B22C9D">
        <w:t>Lanham, M</w:t>
      </w:r>
      <w:r w:rsidR="00C54C33">
        <w:t>A</w:t>
      </w:r>
      <w:r w:rsidRPr="00B22C9D">
        <w:t>: Rowman &amp; Littlefield Publishers.</w:t>
      </w:r>
    </w:p>
    <w:p w14:paraId="029D9EEA" w14:textId="10C17373" w:rsidR="001A0660" w:rsidRDefault="001A0660" w:rsidP="00CF48A6">
      <w:pPr>
        <w:jc w:val="left"/>
      </w:pPr>
      <w:r w:rsidRPr="001A0660">
        <w:t xml:space="preserve">John, P. 2001. </w:t>
      </w:r>
      <w:r w:rsidRPr="00146C26">
        <w:rPr>
          <w:i/>
          <w:iCs/>
        </w:rPr>
        <w:t>Local Governance in Western Europe.</w:t>
      </w:r>
      <w:r w:rsidRPr="001A0660">
        <w:t xml:space="preserve"> Lond</w:t>
      </w:r>
      <w:r w:rsidR="00BE2872">
        <w:t>en, Verenigd Koninkrijk</w:t>
      </w:r>
      <w:r w:rsidRPr="001A0660">
        <w:t>: SAGE.</w:t>
      </w:r>
    </w:p>
    <w:p w14:paraId="0B30510C" w14:textId="136EA7A0" w:rsidR="002A21A6" w:rsidRDefault="002A21A6" w:rsidP="00CF48A6">
      <w:pPr>
        <w:jc w:val="left"/>
      </w:pPr>
      <w:r w:rsidRPr="002A21A6">
        <w:t xml:space="preserve">Kern K. &amp; Bulkeley H. (2009), Cities, Europeanization and Multi-level Governance: </w:t>
      </w:r>
      <w:r>
        <w:tab/>
      </w:r>
      <w:r w:rsidRPr="002A21A6">
        <w:t xml:space="preserve">Governing Climate Change through Transnational Municipal Networks. </w:t>
      </w:r>
      <w:r w:rsidRPr="002A21A6">
        <w:rPr>
          <w:i/>
          <w:iCs/>
        </w:rPr>
        <w:t>Journal of</w:t>
      </w:r>
      <w:r>
        <w:rPr>
          <w:i/>
          <w:iCs/>
        </w:rPr>
        <w:tab/>
      </w:r>
      <w:r w:rsidRPr="002A21A6">
        <w:rPr>
          <w:i/>
          <w:iCs/>
        </w:rPr>
        <w:t>Common Market Studies, 47</w:t>
      </w:r>
      <w:r w:rsidRPr="002A21A6">
        <w:t>(2), 309-</w:t>
      </w:r>
      <w:r w:rsidR="00336028">
        <w:t>3</w:t>
      </w:r>
      <w:r w:rsidRPr="002A21A6">
        <w:t>22</w:t>
      </w:r>
      <w:r w:rsidR="008819B6">
        <w:t xml:space="preserve">. </w:t>
      </w:r>
    </w:p>
    <w:p w14:paraId="5143E71A" w14:textId="7E960FE5" w:rsidR="0001116A" w:rsidRDefault="0001116A" w:rsidP="00CF48A6">
      <w:pPr>
        <w:jc w:val="left"/>
      </w:pPr>
      <w:r w:rsidRPr="0001116A">
        <w:t xml:space="preserve">Klausen, K. K. </w:t>
      </w:r>
      <w:r>
        <w:t>&amp;</w:t>
      </w:r>
      <w:r w:rsidRPr="0001116A">
        <w:t xml:space="preserve"> Goldsmith, M. (1997)</w:t>
      </w:r>
      <w:r>
        <w:t>.</w:t>
      </w:r>
      <w:r w:rsidRPr="0001116A">
        <w:t xml:space="preserve"> </w:t>
      </w:r>
      <w:r w:rsidRPr="002A3DB7">
        <w:rPr>
          <w:i/>
          <w:iCs/>
        </w:rPr>
        <w:t>European Integration and Local Government.</w:t>
      </w:r>
      <w:r w:rsidR="002A3DB7">
        <w:rPr>
          <w:i/>
          <w:iCs/>
        </w:rPr>
        <w:tab/>
      </w:r>
      <w:r w:rsidR="002A3DB7">
        <w:rPr>
          <w:i/>
          <w:iCs/>
        </w:rPr>
        <w:tab/>
      </w:r>
      <w:r w:rsidRPr="0001116A">
        <w:t>Cheltenham</w:t>
      </w:r>
      <w:r w:rsidR="00FF2892">
        <w:t>, Verenigd Koninkrijk</w:t>
      </w:r>
      <w:r w:rsidRPr="0001116A">
        <w:t>: Edward Elgar</w:t>
      </w:r>
      <w:r w:rsidR="00FF2892">
        <w:t>.</w:t>
      </w:r>
    </w:p>
    <w:p w14:paraId="72A72A61" w14:textId="6FF43DE5" w:rsidR="00860EFC" w:rsidRDefault="00517289" w:rsidP="00CF48A6">
      <w:pPr>
        <w:jc w:val="left"/>
      </w:pPr>
      <w:r>
        <w:t>Krippendorff</w:t>
      </w:r>
      <w:r w:rsidR="00D17DA7">
        <w:t xml:space="preserve">, K. </w:t>
      </w:r>
      <w:r>
        <w:t>(1980).</w:t>
      </w:r>
      <w:r w:rsidR="00D17DA7">
        <w:t xml:space="preserve"> </w:t>
      </w:r>
      <w:r w:rsidR="00D17DA7">
        <w:rPr>
          <w:i/>
          <w:iCs/>
        </w:rPr>
        <w:t>Content analysis: an introduction to its methodo</w:t>
      </w:r>
      <w:r w:rsidR="0065135A">
        <w:rPr>
          <w:i/>
          <w:iCs/>
        </w:rPr>
        <w:t xml:space="preserve">logy. </w:t>
      </w:r>
      <w:r w:rsidR="0065135A">
        <w:t xml:space="preserve">Beverly Hills, </w:t>
      </w:r>
      <w:r w:rsidR="00DF3D9F">
        <w:tab/>
      </w:r>
      <w:r w:rsidR="0065135A">
        <w:t>CA: S</w:t>
      </w:r>
      <w:r w:rsidR="00DF3D9F">
        <w:t xml:space="preserve">AGE Publications. </w:t>
      </w:r>
      <w:r>
        <w:t xml:space="preserve"> </w:t>
      </w:r>
    </w:p>
    <w:p w14:paraId="6E7C571E" w14:textId="48474CDA" w:rsidR="00152B98" w:rsidRDefault="00152B98" w:rsidP="00CF48A6">
      <w:pPr>
        <w:jc w:val="left"/>
      </w:pPr>
      <w:r w:rsidRPr="00152B98">
        <w:t>Marshall, A. (2005). Europeanization at the urban level: local actors, institutions and the</w:t>
      </w:r>
      <w:r>
        <w:tab/>
      </w:r>
      <w:r w:rsidRPr="00152B98">
        <w:t>dynamics of multi-level interaction. </w:t>
      </w:r>
      <w:r w:rsidRPr="00152B98">
        <w:rPr>
          <w:i/>
          <w:iCs/>
        </w:rPr>
        <w:t>Journal of European Public Policy</w:t>
      </w:r>
      <w:r w:rsidRPr="00152B98">
        <w:t>, </w:t>
      </w:r>
      <w:r w:rsidRPr="00152B98">
        <w:rPr>
          <w:i/>
          <w:iCs/>
        </w:rPr>
        <w:t>12</w:t>
      </w:r>
      <w:r w:rsidRPr="00152B98">
        <w:t>(4), 668–</w:t>
      </w:r>
      <w:r>
        <w:tab/>
      </w:r>
      <w:r w:rsidRPr="00152B98">
        <w:t xml:space="preserve">686. </w:t>
      </w:r>
      <w:hyperlink r:id="rId24" w:history="1">
        <w:r w:rsidRPr="008B4B4D">
          <w:rPr>
            <w:rStyle w:val="Hyperlink"/>
          </w:rPr>
          <w:t>https://doi.org/10.1080/13501760500160292</w:t>
        </w:r>
      </w:hyperlink>
      <w:r>
        <w:t xml:space="preserve"> </w:t>
      </w:r>
    </w:p>
    <w:p w14:paraId="66D9C31B" w14:textId="76C48F66" w:rsidR="00EA73C8" w:rsidRDefault="00EA73C8" w:rsidP="00CF48A6">
      <w:pPr>
        <w:jc w:val="left"/>
      </w:pPr>
      <w:r w:rsidRPr="00EA73C8">
        <w:t xml:space="preserve">Moore, C. (2008). A </w:t>
      </w:r>
      <w:r w:rsidR="00A505EA">
        <w:t>E</w:t>
      </w:r>
      <w:r w:rsidRPr="00EA73C8">
        <w:t xml:space="preserve">urope of the </w:t>
      </w:r>
      <w:r w:rsidR="008D4620">
        <w:t>R</w:t>
      </w:r>
      <w:r w:rsidRPr="00EA73C8">
        <w:t xml:space="preserve">egions vs. the </w:t>
      </w:r>
      <w:r w:rsidR="008D4620">
        <w:t>R</w:t>
      </w:r>
      <w:r w:rsidRPr="00EA73C8">
        <w:t xml:space="preserve">egions in </w:t>
      </w:r>
      <w:r w:rsidR="008D4620">
        <w:t>E</w:t>
      </w:r>
      <w:r w:rsidRPr="00EA73C8">
        <w:t xml:space="preserve">urope: </w:t>
      </w:r>
      <w:r w:rsidR="008D4620">
        <w:t>R</w:t>
      </w:r>
      <w:r w:rsidRPr="00EA73C8">
        <w:t>eflections on</w:t>
      </w:r>
      <w:r w:rsidR="008D4620">
        <w:tab/>
      </w:r>
      <w:r w:rsidR="008D4620">
        <w:tab/>
        <w:t>R</w:t>
      </w:r>
      <w:r w:rsidRPr="00EA73C8">
        <w:t>egional</w:t>
      </w:r>
      <w:r w:rsidR="008D4620">
        <w:t xml:space="preserve"> E</w:t>
      </w:r>
      <w:r w:rsidRPr="00EA73C8">
        <w:t xml:space="preserve">ngagement in </w:t>
      </w:r>
      <w:r w:rsidR="008D4620">
        <w:t>B</w:t>
      </w:r>
      <w:r w:rsidRPr="00EA73C8">
        <w:t>russels. </w:t>
      </w:r>
      <w:r w:rsidRPr="00EA73C8">
        <w:rPr>
          <w:i/>
          <w:iCs/>
        </w:rPr>
        <w:t>Regional and Federal Studies</w:t>
      </w:r>
      <w:r w:rsidRPr="00EA73C8">
        <w:t>, </w:t>
      </w:r>
      <w:r w:rsidRPr="00EA73C8">
        <w:rPr>
          <w:i/>
          <w:iCs/>
        </w:rPr>
        <w:t>18</w:t>
      </w:r>
      <w:r w:rsidRPr="00EA73C8">
        <w:t>(5), 517–535.</w:t>
      </w:r>
      <w:r>
        <w:tab/>
      </w:r>
      <w:hyperlink r:id="rId25" w:history="1">
        <w:r w:rsidR="00766D5D" w:rsidRPr="00BF24CE">
          <w:rPr>
            <w:rStyle w:val="Hyperlink"/>
          </w:rPr>
          <w:t>https://doi.org/10.1080/13597560802351564</w:t>
        </w:r>
      </w:hyperlink>
      <w:r>
        <w:t xml:space="preserve"> </w:t>
      </w:r>
    </w:p>
    <w:p w14:paraId="5E831DAA" w14:textId="19A1AC12" w:rsidR="00B34EB9" w:rsidRDefault="00B34EB9" w:rsidP="00CF48A6">
      <w:pPr>
        <w:jc w:val="left"/>
      </w:pPr>
      <w:r w:rsidRPr="00B34EB9">
        <w:t>Moury, C. (2010). Coalition agreement and party mandate: How coalition agreements</w:t>
      </w:r>
      <w:r>
        <w:tab/>
      </w:r>
      <w:r w:rsidRPr="00B34EB9">
        <w:t xml:space="preserve">constrain the ministers. </w:t>
      </w:r>
      <w:r w:rsidRPr="00B34EB9">
        <w:rPr>
          <w:i/>
          <w:iCs/>
        </w:rPr>
        <w:t>Party Politics, 17</w:t>
      </w:r>
      <w:r w:rsidRPr="00B34EB9">
        <w:t>(3), 385-404.</w:t>
      </w:r>
    </w:p>
    <w:p w14:paraId="3A2E6D05" w14:textId="1DF3F041" w:rsidR="00771B86" w:rsidRDefault="00771B86" w:rsidP="00CF48A6">
      <w:pPr>
        <w:jc w:val="left"/>
      </w:pPr>
      <w:r w:rsidRPr="00771B86">
        <w:t>Pedersen, H. H., &amp; Christiansen, F. J. (2012). </w:t>
      </w:r>
      <w:r w:rsidRPr="00771B86">
        <w:rPr>
          <w:i/>
          <w:iCs/>
        </w:rPr>
        <w:t>The Impact of Coalition Agreements on the</w:t>
      </w:r>
      <w:r>
        <w:rPr>
          <w:i/>
          <w:iCs/>
        </w:rPr>
        <w:tab/>
      </w:r>
      <w:r w:rsidRPr="00771B86">
        <w:rPr>
          <w:i/>
          <w:iCs/>
        </w:rPr>
        <w:t>Legislative Process</w:t>
      </w:r>
      <w:r w:rsidRPr="00771B86">
        <w:t>. Paper presented at Dansk Selskab for Statskundskabs årsmøde,</w:t>
      </w:r>
      <w:r>
        <w:tab/>
      </w:r>
      <w:r w:rsidRPr="00771B86">
        <w:t>Vejle, Denmark.</w:t>
      </w:r>
    </w:p>
    <w:p w14:paraId="6143EE1A" w14:textId="402E202F" w:rsidR="006007EF" w:rsidRDefault="006007EF" w:rsidP="00CF48A6">
      <w:pPr>
        <w:jc w:val="left"/>
      </w:pPr>
      <w:r w:rsidRPr="006007EF">
        <w:t xml:space="preserve">Pakull, D., Marshall, D. &amp; Bernhagen, P. </w:t>
      </w:r>
      <w:r w:rsidR="00D5208B">
        <w:t xml:space="preserve">(2020). </w:t>
      </w:r>
      <w:r w:rsidRPr="006007EF">
        <w:t>Shop till you drop? Venue choices of</w:t>
      </w:r>
      <w:r w:rsidR="00D5208B">
        <w:tab/>
      </w:r>
      <w:r w:rsidRPr="006007EF">
        <w:t>business and non-business interests in the European Union. </w:t>
      </w:r>
      <w:r w:rsidRPr="006007EF">
        <w:rPr>
          <w:i/>
          <w:iCs/>
        </w:rPr>
        <w:t>Int</w:t>
      </w:r>
      <w:r w:rsidR="00C475DD">
        <w:rPr>
          <w:i/>
          <w:iCs/>
        </w:rPr>
        <w:t>erest</w:t>
      </w:r>
      <w:r w:rsidRPr="006007EF">
        <w:rPr>
          <w:i/>
          <w:iCs/>
        </w:rPr>
        <w:t xml:space="preserve"> Groups </w:t>
      </w:r>
      <w:r w:rsidR="00C475DD">
        <w:rPr>
          <w:i/>
          <w:iCs/>
        </w:rPr>
        <w:t>&amp;</w:t>
      </w:r>
      <w:r w:rsidR="00174083">
        <w:rPr>
          <w:i/>
          <w:iCs/>
        </w:rPr>
        <w:tab/>
      </w:r>
      <w:r w:rsidR="00174083">
        <w:rPr>
          <w:i/>
          <w:iCs/>
        </w:rPr>
        <w:tab/>
      </w:r>
      <w:r w:rsidRPr="006007EF">
        <w:rPr>
          <w:i/>
          <w:iCs/>
        </w:rPr>
        <w:t>Adv</w:t>
      </w:r>
      <w:r w:rsidR="00C475DD">
        <w:rPr>
          <w:i/>
          <w:iCs/>
        </w:rPr>
        <w:t>ocacy,</w:t>
      </w:r>
      <w:r w:rsidR="003145C3" w:rsidRPr="003145C3">
        <w:t xml:space="preserve"> </w:t>
      </w:r>
      <w:r w:rsidRPr="003145C3">
        <w:t>9</w:t>
      </w:r>
      <w:r w:rsidRPr="006007EF">
        <w:t xml:space="preserve">, 520–540. </w:t>
      </w:r>
      <w:hyperlink r:id="rId26" w:history="1">
        <w:r w:rsidRPr="00B42BD0">
          <w:rPr>
            <w:rStyle w:val="Hyperlink"/>
          </w:rPr>
          <w:t>https://doi.org/10.1057/s41309-020-00092-y</w:t>
        </w:r>
      </w:hyperlink>
      <w:r>
        <w:t xml:space="preserve"> </w:t>
      </w:r>
    </w:p>
    <w:p w14:paraId="567A0462" w14:textId="4B0035BC" w:rsidR="00B67914" w:rsidRDefault="00B135CB" w:rsidP="00CF48A6">
      <w:pPr>
        <w:jc w:val="left"/>
      </w:pPr>
      <w:r>
        <w:t>Raad</w:t>
      </w:r>
      <w:r w:rsidR="00266864">
        <w:t xml:space="preserve"> voor het openbaar bestuur (2013). </w:t>
      </w:r>
      <w:r w:rsidR="00B1152D">
        <w:rPr>
          <w:i/>
          <w:iCs/>
        </w:rPr>
        <w:t>Met Europa verbonden: een verkenning van de</w:t>
      </w:r>
      <w:r w:rsidR="00B1152D">
        <w:rPr>
          <w:i/>
          <w:iCs/>
        </w:rPr>
        <w:tab/>
        <w:t xml:space="preserve">betekenis van Europa voor gemeenten en provincies. </w:t>
      </w:r>
      <w:r w:rsidR="00704EED">
        <w:t>(Rob-rapport nr. 69).</w:t>
      </w:r>
      <w:r w:rsidR="00704EED">
        <w:tab/>
      </w:r>
      <w:r w:rsidR="00704EED">
        <w:tab/>
        <w:t xml:space="preserve">Amsterdam University Press. </w:t>
      </w:r>
      <w:r w:rsidR="00E16D69">
        <w:tab/>
      </w:r>
      <w:r w:rsidR="00E16D69">
        <w:tab/>
      </w:r>
      <w:hyperlink r:id="rId27" w:history="1">
        <w:r w:rsidR="00E16D69" w:rsidRPr="001624CB">
          <w:rPr>
            <w:rStyle w:val="Hyperlink"/>
          </w:rPr>
          <w:t>https://www.raadopenbaarbestuur.nl/documenten/publicaties/2013/11/25/met-europa-verbonden</w:t>
        </w:r>
      </w:hyperlink>
      <w:r w:rsidR="00E16D69">
        <w:t xml:space="preserve"> </w:t>
      </w:r>
    </w:p>
    <w:p w14:paraId="7E521B27" w14:textId="499DD227" w:rsidR="00F83544" w:rsidRDefault="00F83544" w:rsidP="00CF48A6">
      <w:pPr>
        <w:jc w:val="left"/>
      </w:pPr>
      <w:r w:rsidRPr="00F83544">
        <w:t>Radaelli C. (2000)</w:t>
      </w:r>
      <w:r w:rsidR="000056A9">
        <w:t>.</w:t>
      </w:r>
      <w:r w:rsidRPr="00F83544">
        <w:t xml:space="preserve"> Whither Europeanization? Concept stretching and substantive change.</w:t>
      </w:r>
      <w:r w:rsidR="00782F40">
        <w:tab/>
      </w:r>
      <w:r w:rsidRPr="00782F40">
        <w:rPr>
          <w:i/>
          <w:iCs/>
        </w:rPr>
        <w:t>European Integration online Papers (EIoP), 4</w:t>
      </w:r>
      <w:r w:rsidRPr="00F83544">
        <w:t xml:space="preserve">(8). </w:t>
      </w:r>
      <w:hyperlink r:id="rId28" w:history="1">
        <w:r w:rsidR="0035722F" w:rsidRPr="00EE2AA0">
          <w:rPr>
            <w:rStyle w:val="Hyperlink"/>
          </w:rPr>
          <w:t>http://eiop.or.at/eiop/texte/2000-008a.htm</w:t>
        </w:r>
      </w:hyperlink>
      <w:r w:rsidR="0035722F">
        <w:t xml:space="preserve"> </w:t>
      </w:r>
    </w:p>
    <w:p w14:paraId="7A39B490" w14:textId="20400036" w:rsidR="00DE5CE0" w:rsidRPr="00B1152D" w:rsidRDefault="00DE5CE0" w:rsidP="00CF48A6">
      <w:pPr>
        <w:jc w:val="left"/>
      </w:pPr>
      <w:r w:rsidRPr="00DE5CE0">
        <w:t>Pasquier, R. 2005. Cognitive Europeanization’ and the Territorial Effects of Multilevel</w:t>
      </w:r>
      <w:r>
        <w:tab/>
      </w:r>
      <w:r>
        <w:tab/>
      </w:r>
      <w:r w:rsidRPr="00DE5CE0">
        <w:t xml:space="preserve">Policy Transfer: Local Development in French and Spanish Regions. </w:t>
      </w:r>
      <w:r w:rsidRPr="00DE5CE0">
        <w:rPr>
          <w:i/>
          <w:iCs/>
        </w:rPr>
        <w:t>Regional &amp;</w:t>
      </w:r>
      <w:r w:rsidRPr="00DE5CE0">
        <w:rPr>
          <w:i/>
          <w:iCs/>
        </w:rPr>
        <w:tab/>
        <w:t>Federal Studies</w:t>
      </w:r>
      <w:r w:rsidR="008C0C33">
        <w:rPr>
          <w:i/>
          <w:iCs/>
        </w:rPr>
        <w:t>,</w:t>
      </w:r>
      <w:r w:rsidRPr="00DE5CE0">
        <w:rPr>
          <w:i/>
          <w:iCs/>
        </w:rPr>
        <w:t xml:space="preserve"> 15</w:t>
      </w:r>
      <w:r w:rsidRPr="00DE5CE0">
        <w:t>(3)</w:t>
      </w:r>
      <w:r w:rsidR="008C0C33">
        <w:t>,</w:t>
      </w:r>
      <w:r w:rsidRPr="00DE5CE0">
        <w:t xml:space="preserve"> 295–310. </w:t>
      </w:r>
      <w:r w:rsidR="00041DE6">
        <w:t>DOI</w:t>
      </w:r>
      <w:r w:rsidRPr="00DE5CE0">
        <w:t>:10.1080/10438590500223269</w:t>
      </w:r>
      <w:r>
        <w:t xml:space="preserve"> </w:t>
      </w:r>
    </w:p>
    <w:p w14:paraId="4FB23ADF" w14:textId="41F6B366" w:rsidR="00A749CF" w:rsidRDefault="00A749CF" w:rsidP="00CF48A6">
      <w:pPr>
        <w:jc w:val="left"/>
      </w:pPr>
      <w:r w:rsidRPr="00A749CF">
        <w:t>Rooij, R.</w:t>
      </w:r>
      <w:r>
        <w:t xml:space="preserve"> de.</w:t>
      </w:r>
      <w:r w:rsidRPr="00A749CF">
        <w:t xml:space="preserve"> (2002). The impact of the European Union on local government in the</w:t>
      </w:r>
      <w:r>
        <w:tab/>
      </w:r>
      <w:r>
        <w:tab/>
      </w:r>
      <w:r w:rsidRPr="00A749CF">
        <w:t xml:space="preserve">Netherlands. </w:t>
      </w:r>
      <w:r w:rsidRPr="00A749CF">
        <w:rPr>
          <w:i/>
          <w:iCs/>
        </w:rPr>
        <w:t>Journal of European Public Policy, 9</w:t>
      </w:r>
      <w:r w:rsidRPr="00A749CF">
        <w:t>(3), 447-467.</w:t>
      </w:r>
      <w:r>
        <w:tab/>
      </w:r>
      <w:r w:rsidR="00041DE6">
        <w:t>DOI</w:t>
      </w:r>
      <w:r w:rsidRPr="00A749CF">
        <w:t>:10.1080/13501760210139713</w:t>
      </w:r>
      <w:r>
        <w:t xml:space="preserve"> </w:t>
      </w:r>
    </w:p>
    <w:p w14:paraId="7DC6C660" w14:textId="5C0C1BFB" w:rsidR="000A36DF" w:rsidRDefault="000A36DF" w:rsidP="00CF48A6">
      <w:pPr>
        <w:jc w:val="left"/>
      </w:pPr>
      <w:r w:rsidRPr="000A36DF">
        <w:t xml:space="preserve">Schaap, L. (2015). </w:t>
      </w:r>
      <w:r w:rsidRPr="000A36DF">
        <w:rPr>
          <w:i/>
          <w:iCs/>
        </w:rPr>
        <w:t>Lokaal bestuur.</w:t>
      </w:r>
      <w:r w:rsidRPr="000A36DF">
        <w:t xml:space="preserve"> Dordrecht, Nederland: Convoy Uitgevers B</w:t>
      </w:r>
      <w:r w:rsidR="00DD5AAD">
        <w:t>.</w:t>
      </w:r>
      <w:r w:rsidRPr="000A36DF">
        <w:t>V.</w:t>
      </w:r>
    </w:p>
    <w:p w14:paraId="1A6AEF12" w14:textId="26379D31" w:rsidR="0068254B" w:rsidRDefault="0068254B" w:rsidP="00CF48A6">
      <w:pPr>
        <w:jc w:val="left"/>
      </w:pPr>
      <w:r w:rsidRPr="0068254B">
        <w:t>Schreiber-Gregory, D.N., Jackson, H.M., &amp; Bader, K. (2018). Logistic and Linear Regression</w:t>
      </w:r>
      <w:r w:rsidRPr="0068254B">
        <w:tab/>
        <w:t xml:space="preserve">Assumptions: Violation Recognition and Control. </w:t>
      </w:r>
      <w:r w:rsidRPr="0068254B">
        <w:rPr>
          <w:i/>
          <w:iCs/>
        </w:rPr>
        <w:t xml:space="preserve">SESUG Paper, </w:t>
      </w:r>
      <w:r w:rsidRPr="0068254B">
        <w:t xml:space="preserve">247, 1-20. </w:t>
      </w:r>
    </w:p>
    <w:p w14:paraId="718D63C7" w14:textId="66162843" w:rsidR="00E51B5F" w:rsidRDefault="00E51B5F" w:rsidP="00CF48A6">
      <w:pPr>
        <w:jc w:val="left"/>
      </w:pPr>
      <w:r w:rsidRPr="00E51B5F">
        <w:t>Schultze, C.J. (2003). Cities and EU governance: Policy-Takers or policy-makers? </w:t>
      </w:r>
      <w:r w:rsidRPr="00E51B5F">
        <w:rPr>
          <w:i/>
          <w:iCs/>
        </w:rPr>
        <w:t>Regional</w:t>
      </w:r>
      <w:r>
        <w:rPr>
          <w:i/>
          <w:iCs/>
        </w:rPr>
        <w:tab/>
      </w:r>
      <w:r w:rsidRPr="00E51B5F">
        <w:rPr>
          <w:i/>
          <w:iCs/>
        </w:rPr>
        <w:t>&amp; Federal Studies, 13</w:t>
      </w:r>
      <w:r w:rsidRPr="00E51B5F">
        <w:t>, 121-147.</w:t>
      </w:r>
    </w:p>
    <w:p w14:paraId="663AB532" w14:textId="69957268" w:rsidR="00945E7F" w:rsidRDefault="00945E7F" w:rsidP="00CF48A6">
      <w:pPr>
        <w:jc w:val="left"/>
      </w:pPr>
      <w:r w:rsidRPr="00945E7F">
        <w:t>Toshkov, D. (2019). Does Euroscepticism Influence Compliance and Enforcement of EU Law</w:t>
      </w:r>
      <w:r>
        <w:tab/>
      </w:r>
      <w:r w:rsidRPr="00945E7F">
        <w:t>in the Member States?. In C. Rauchegger &amp; A. Wallerman (Eds.). </w:t>
      </w:r>
      <w:r w:rsidRPr="00945E7F">
        <w:rPr>
          <w:i/>
          <w:iCs/>
        </w:rPr>
        <w:t>The Eurosceptic</w:t>
      </w:r>
      <w:r>
        <w:rPr>
          <w:i/>
          <w:iCs/>
        </w:rPr>
        <w:tab/>
      </w:r>
      <w:r w:rsidRPr="00945E7F">
        <w:rPr>
          <w:i/>
          <w:iCs/>
        </w:rPr>
        <w:t>Challenge: National Implementation and Interpretation of EU Law</w:t>
      </w:r>
      <w:r w:rsidRPr="00945E7F">
        <w:t xml:space="preserve"> (EU Law in the </w:t>
      </w:r>
      <w:r>
        <w:tab/>
      </w:r>
      <w:r w:rsidRPr="00945E7F">
        <w:t>Member States, pp. 27–44). Oxford: Hart Publishing. </w:t>
      </w:r>
    </w:p>
    <w:p w14:paraId="4E0E12F3" w14:textId="715F1423" w:rsidR="00D15831" w:rsidRDefault="00D15831" w:rsidP="00CF48A6">
      <w:pPr>
        <w:jc w:val="left"/>
      </w:pPr>
      <w:r w:rsidRPr="00D15831">
        <w:t xml:space="preserve">Vennix, J. (2016). </w:t>
      </w:r>
      <w:r w:rsidRPr="00D15831">
        <w:rPr>
          <w:i/>
          <w:iCs/>
        </w:rPr>
        <w:t>Onderzoeks- en interventiemethodologie.</w:t>
      </w:r>
      <w:r w:rsidRPr="00D15831">
        <w:t xml:space="preserve"> Nijmegen, Nederland: Pearson</w:t>
      </w:r>
      <w:r>
        <w:tab/>
      </w:r>
      <w:r w:rsidRPr="00D15831">
        <w:t>Benelux B.V.</w:t>
      </w:r>
    </w:p>
    <w:p w14:paraId="67946EAF" w14:textId="2CA79E42" w:rsidR="0017690E" w:rsidRDefault="0017690E" w:rsidP="00CF48A6">
      <w:pPr>
        <w:jc w:val="left"/>
      </w:pPr>
      <w:r w:rsidRPr="0017690E">
        <w:t>Verhelst, T. (2017</w:t>
      </w:r>
      <w:r w:rsidR="00E61F3B">
        <w:t>a</w:t>
      </w:r>
      <w:r w:rsidRPr="0017690E">
        <w:t>). Van uitvoerder tot medebeslisser : de rol van lokale besturen in de</w:t>
      </w:r>
      <w:r>
        <w:tab/>
      </w:r>
      <w:r>
        <w:tab/>
      </w:r>
      <w:r w:rsidRPr="0017690E">
        <w:t xml:space="preserve">meerlagige Europese besluitvorming. In H. Reynaert (Ed.), </w:t>
      </w:r>
      <w:r w:rsidRPr="007A11BA">
        <w:rPr>
          <w:i/>
          <w:iCs/>
        </w:rPr>
        <w:t>Veranderende lokale</w:t>
      </w:r>
      <w:r w:rsidR="00505AAB">
        <w:rPr>
          <w:i/>
          <w:iCs/>
        </w:rPr>
        <w:tab/>
      </w:r>
      <w:r w:rsidRPr="007A11BA">
        <w:rPr>
          <w:i/>
          <w:iCs/>
        </w:rPr>
        <w:tab/>
        <w:t xml:space="preserve">besturen voor en door de mensen?! </w:t>
      </w:r>
      <w:r w:rsidRPr="0017690E">
        <w:t>(pp. 85–112). Vanden Broele.</w:t>
      </w:r>
    </w:p>
    <w:p w14:paraId="735525E3" w14:textId="632D2743" w:rsidR="006F116B" w:rsidRDefault="006F116B" w:rsidP="00CF48A6">
      <w:pPr>
        <w:jc w:val="left"/>
      </w:pPr>
      <w:r w:rsidRPr="006F116B">
        <w:t>Verhelst, T. (2017</w:t>
      </w:r>
      <w:r>
        <w:t>b</w:t>
      </w:r>
      <w:r w:rsidRPr="006F116B">
        <w:t>). Processes and patterns of urban Europeanisation: Evidence from the</w:t>
      </w:r>
      <w:r>
        <w:tab/>
      </w:r>
      <w:r w:rsidRPr="006F116B">
        <w:t>EUROCITIES network. </w:t>
      </w:r>
      <w:r w:rsidRPr="006F116B">
        <w:rPr>
          <w:i/>
          <w:iCs/>
        </w:rPr>
        <w:t>Territory of Research on Settlements and</w:t>
      </w:r>
      <w:r w:rsidR="008A2788">
        <w:rPr>
          <w:i/>
          <w:iCs/>
        </w:rPr>
        <w:tab/>
      </w:r>
      <w:r>
        <w:rPr>
          <w:i/>
          <w:iCs/>
        </w:rPr>
        <w:tab/>
      </w:r>
      <w:r w:rsidRPr="006F116B">
        <w:rPr>
          <w:i/>
          <w:iCs/>
        </w:rPr>
        <w:t>Environment</w:t>
      </w:r>
      <w:r w:rsidRPr="006F116B">
        <w:t>, </w:t>
      </w:r>
      <w:r w:rsidRPr="006F116B">
        <w:rPr>
          <w:i/>
          <w:iCs/>
        </w:rPr>
        <w:t>10</w:t>
      </w:r>
      <w:r w:rsidRPr="006F116B">
        <w:t>(1), 75-96.</w:t>
      </w:r>
    </w:p>
    <w:p w14:paraId="56482D73" w14:textId="099B8707" w:rsidR="00A370B7" w:rsidRPr="00DD3B5C" w:rsidRDefault="00BC0B7A" w:rsidP="00CF48A6">
      <w:pPr>
        <w:jc w:val="left"/>
      </w:pPr>
      <w:r>
        <w:t xml:space="preserve">Vereniging Nederlandse Gemeenten. (2022). </w:t>
      </w:r>
      <w:r w:rsidR="00DD3B5C" w:rsidRPr="00DD3B5C">
        <w:rPr>
          <w:i/>
          <w:iCs/>
        </w:rPr>
        <w:t>Nederlandse gemeenten in Europa:</w:t>
      </w:r>
      <w:r w:rsidR="00DD3B5C">
        <w:rPr>
          <w:i/>
          <w:iCs/>
        </w:rPr>
        <w:tab/>
      </w:r>
      <w:r w:rsidR="00DD3B5C">
        <w:rPr>
          <w:i/>
          <w:iCs/>
        </w:rPr>
        <w:tab/>
      </w:r>
      <w:r w:rsidR="00DD3B5C">
        <w:rPr>
          <w:i/>
          <w:iCs/>
        </w:rPr>
        <w:tab/>
      </w:r>
      <w:r w:rsidR="00DD3B5C" w:rsidRPr="00DD3B5C">
        <w:rPr>
          <w:i/>
          <w:iCs/>
        </w:rPr>
        <w:t>ontwikkelingen en opgaven 2022-2030</w:t>
      </w:r>
      <w:r w:rsidR="00DD3B5C">
        <w:t xml:space="preserve">. </w:t>
      </w:r>
      <w:r w:rsidR="001C194F">
        <w:tab/>
      </w:r>
      <w:r w:rsidR="001C194F">
        <w:tab/>
      </w:r>
      <w:r w:rsidR="001C194F">
        <w:tab/>
      </w:r>
      <w:r w:rsidR="001C194F">
        <w:tab/>
      </w:r>
      <w:hyperlink r:id="rId29" w:history="1">
        <w:r w:rsidR="001C194F" w:rsidRPr="00194AA5">
          <w:rPr>
            <w:rStyle w:val="Hyperlink"/>
          </w:rPr>
          <w:t>https://vng.nl/nieuws/vng-stelt-nieuwe-europavisie-en-strategie-vast</w:t>
        </w:r>
      </w:hyperlink>
      <w:r w:rsidR="001C194F">
        <w:t xml:space="preserve"> </w:t>
      </w:r>
    </w:p>
    <w:p w14:paraId="35F369A4" w14:textId="0928415C" w:rsidR="00C440B8" w:rsidRDefault="00C440B8" w:rsidP="00CF48A6">
      <w:pPr>
        <w:jc w:val="left"/>
      </w:pPr>
      <w:r w:rsidRPr="00C440B8">
        <w:t>Vollaard, H., &amp; Voerman, G. (2017). Nederlandse partijen over Europese integratie: van</w:t>
      </w:r>
      <w:r w:rsidRPr="00C440B8">
        <w:tab/>
        <w:t xml:space="preserve">eenheidsworst naar splijtzwam? </w:t>
      </w:r>
      <w:r w:rsidRPr="00C440B8">
        <w:rPr>
          <w:i/>
          <w:iCs/>
        </w:rPr>
        <w:t>Internationale Spectator, 71</w:t>
      </w:r>
      <w:r w:rsidRPr="00C440B8">
        <w:t xml:space="preserve">(2), </w:t>
      </w:r>
      <w:r w:rsidR="0082273C">
        <w:t>1-14</w:t>
      </w:r>
      <w:r w:rsidRPr="00C440B8">
        <w:t>.</w:t>
      </w:r>
      <w:r w:rsidR="008A2788">
        <w:tab/>
      </w:r>
      <w:r w:rsidR="008A2788">
        <w:tab/>
      </w:r>
      <w:r w:rsidR="008A2788">
        <w:tab/>
      </w:r>
      <w:hyperlink r:id="rId30" w:history="1">
        <w:r w:rsidR="008A2788" w:rsidRPr="00D631D8">
          <w:rPr>
            <w:rStyle w:val="Hyperlink"/>
          </w:rPr>
          <w:t>https://spectator.clingendael.org/pub/2017/2/nederlandse_partijen_over_europese_integratie/</w:t>
        </w:r>
      </w:hyperlink>
      <w:r w:rsidRPr="00C440B8">
        <w:t xml:space="preserve"> </w:t>
      </w:r>
    </w:p>
    <w:p w14:paraId="22A4D209" w14:textId="4E430BAC" w:rsidR="009C7B57" w:rsidRDefault="009C7B57" w:rsidP="00CF48A6">
      <w:pPr>
        <w:jc w:val="left"/>
      </w:pPr>
      <w:r w:rsidRPr="009C7B57">
        <w:t>Wolters, M. (1997). The Netherlands. In </w:t>
      </w:r>
      <w:r w:rsidRPr="00AE6A47">
        <w:t>M.J.F. Goldsmith and K.K. Klausen (eds.).</w:t>
      </w:r>
      <w:r>
        <w:rPr>
          <w:i/>
          <w:iCs/>
        </w:rPr>
        <w:tab/>
      </w:r>
      <w:r w:rsidRPr="009C7B57">
        <w:rPr>
          <w:i/>
          <w:iCs/>
        </w:rPr>
        <w:t>European Integration and local Government </w:t>
      </w:r>
      <w:r w:rsidRPr="009C7B57">
        <w:t>(pp. 39-56). Edward Elgar.</w:t>
      </w:r>
    </w:p>
    <w:p w14:paraId="54866261" w14:textId="02B987AA" w:rsidR="00EF0B5E" w:rsidRDefault="00EF0B5E" w:rsidP="00CF48A6">
      <w:pPr>
        <w:jc w:val="left"/>
      </w:pPr>
      <w:r w:rsidRPr="00EF0B5E">
        <w:t>Zerbinati</w:t>
      </w:r>
      <w:r>
        <w:t>, S.</w:t>
      </w:r>
      <w:r w:rsidRPr="00EF0B5E">
        <w:t> (2004)</w:t>
      </w:r>
      <w:r>
        <w:t>.</w:t>
      </w:r>
      <w:r w:rsidRPr="00EF0B5E">
        <w:t> Europeanization and EU funding in Italy and England. A comparative</w:t>
      </w:r>
      <w:r w:rsidR="00884A34">
        <w:tab/>
      </w:r>
      <w:r w:rsidRPr="00EF0B5E">
        <w:t>local perspective</w:t>
      </w:r>
      <w:r w:rsidR="00884A34">
        <w:t>.</w:t>
      </w:r>
      <w:r w:rsidRPr="00EF0B5E">
        <w:t> </w:t>
      </w:r>
      <w:r w:rsidRPr="00884A34">
        <w:rPr>
          <w:i/>
          <w:iCs/>
        </w:rPr>
        <w:t>Journal of European Public Policy, 11</w:t>
      </w:r>
      <w:r w:rsidR="00884A34">
        <w:t>(</w:t>
      </w:r>
      <w:r w:rsidRPr="00EF0B5E">
        <w:t>6</w:t>
      </w:r>
      <w:r w:rsidR="00884A34">
        <w:t>)</w:t>
      </w:r>
      <w:r w:rsidRPr="00EF0B5E">
        <w:t>, 1000-</w:t>
      </w:r>
      <w:r w:rsidR="00884A34">
        <w:tab/>
      </w:r>
      <w:r w:rsidRPr="00EF0B5E">
        <w:t>1019</w:t>
      </w:r>
      <w:r w:rsidR="00884A34">
        <w:t>.</w:t>
      </w:r>
      <w:r w:rsidRPr="00EF0B5E">
        <w:t> DOI: </w:t>
      </w:r>
      <w:hyperlink r:id="rId31" w:history="1">
        <w:r w:rsidRPr="00EF0B5E">
          <w:rPr>
            <w:rStyle w:val="Hyperlink"/>
          </w:rPr>
          <w:t>10.1080/1350176042000298075</w:t>
        </w:r>
      </w:hyperlink>
    </w:p>
    <w:p w14:paraId="071F4705" w14:textId="2F8B1249" w:rsidR="00BD6258" w:rsidRDefault="00211689" w:rsidP="00513A9D">
      <w:pPr>
        <w:jc w:val="left"/>
      </w:pPr>
      <w:r w:rsidRPr="00211689">
        <w:t xml:space="preserve">Zwaan, P., &amp; Genugten, M. (2014). </w:t>
      </w:r>
      <w:r w:rsidRPr="00294307">
        <w:rPr>
          <w:i/>
          <w:iCs/>
        </w:rPr>
        <w:t>Met Europa verbonden?</w:t>
      </w:r>
      <w:r w:rsidR="00012BAB">
        <w:t xml:space="preserve"> [niet gepubliceerd]</w:t>
      </w:r>
      <w:r w:rsidR="00BD6258">
        <w:br w:type="page"/>
      </w:r>
    </w:p>
    <w:p w14:paraId="13D60E24" w14:textId="77777777" w:rsidR="00BD6258" w:rsidRDefault="00BD6258" w:rsidP="00CF48A6">
      <w:pPr>
        <w:jc w:val="left"/>
        <w:sectPr w:rsidR="00BD6258" w:rsidSect="00D25210">
          <w:pgSz w:w="11906" w:h="16838"/>
          <w:pgMar w:top="1417" w:right="1417" w:bottom="1417" w:left="1417" w:header="708" w:footer="708" w:gutter="0"/>
          <w:cols w:space="708"/>
          <w:docGrid w:linePitch="360"/>
        </w:sectPr>
      </w:pPr>
    </w:p>
    <w:p w14:paraId="4405108A" w14:textId="499D2507" w:rsidR="00885023" w:rsidRDefault="00BD6258" w:rsidP="00BD6258">
      <w:pPr>
        <w:pStyle w:val="Kop1"/>
      </w:pPr>
      <w:r>
        <w:t xml:space="preserve">Bijlage I: </w:t>
      </w:r>
      <w:r w:rsidR="005D7BF9">
        <w:t>codeerschema</w:t>
      </w:r>
      <w:r w:rsidR="003732A1">
        <w:t xml:space="preserve"> ‘</w:t>
      </w:r>
      <w:r w:rsidR="005D7BF9">
        <w:t xml:space="preserve">Politiek-bestuurlijke Europeanisering </w:t>
      </w:r>
      <w:r w:rsidR="003732A1">
        <w:t>gemeenten’</w:t>
      </w:r>
    </w:p>
    <w:p w14:paraId="0EAEEC91" w14:textId="7D1CD739" w:rsidR="002B684A" w:rsidRDefault="00552215" w:rsidP="003732A1">
      <w:r>
        <w:rPr>
          <w:noProof/>
        </w:rPr>
        <w:drawing>
          <wp:inline distT="0" distB="0" distL="0" distR="0" wp14:anchorId="76E3E10E" wp14:editId="3A777783">
            <wp:extent cx="9075420" cy="5334000"/>
            <wp:effectExtent l="0" t="0" r="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4A98AD4F" w14:textId="5E3D9D3E" w:rsidR="00E13854" w:rsidRDefault="00E13854" w:rsidP="002B684A">
      <w:pPr>
        <w:pStyle w:val="Kop2"/>
        <w:sectPr w:rsidR="00E13854" w:rsidSect="00366FD2">
          <w:footerReference w:type="first" r:id="rId37"/>
          <w:pgSz w:w="16838" w:h="11906" w:orient="landscape"/>
          <w:pgMar w:top="1418" w:right="1418" w:bottom="1418" w:left="1418" w:header="709" w:footer="709" w:gutter="0"/>
          <w:cols w:space="708"/>
          <w:docGrid w:linePitch="360"/>
        </w:sectPr>
      </w:pPr>
    </w:p>
    <w:p w14:paraId="1A0641F3" w14:textId="53574A59" w:rsidR="003732A1" w:rsidRDefault="002B684A" w:rsidP="006F19CB">
      <w:pPr>
        <w:pStyle w:val="Kop1"/>
      </w:pPr>
      <w:r>
        <w:t>Bijlage II: indeling Nederlandse politieke partijen</w:t>
      </w:r>
      <w:r w:rsidR="00E13854">
        <w:t xml:space="preserve"> ten aanzien van de EU</w:t>
      </w:r>
    </w:p>
    <w:p w14:paraId="56CC29FF" w14:textId="112CBD87" w:rsidR="00E13854" w:rsidRDefault="00E13854" w:rsidP="00A26A0E">
      <w:pPr>
        <w:jc w:val="center"/>
      </w:pPr>
      <w:r>
        <w:rPr>
          <w:noProof/>
        </w:rPr>
        <w:drawing>
          <wp:inline distT="0" distB="0" distL="0" distR="0" wp14:anchorId="758E137E" wp14:editId="4994447C">
            <wp:extent cx="5310479" cy="4679950"/>
            <wp:effectExtent l="0" t="0" r="5080" b="635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13195" cy="4682344"/>
                    </a:xfrm>
                    <a:prstGeom prst="rect">
                      <a:avLst/>
                    </a:prstGeom>
                  </pic:spPr>
                </pic:pic>
              </a:graphicData>
            </a:graphic>
          </wp:inline>
        </w:drawing>
      </w:r>
    </w:p>
    <w:p w14:paraId="7C6F90EC" w14:textId="04E23ADF" w:rsidR="00D11BEF" w:rsidRDefault="00A75C03" w:rsidP="00A26A0E">
      <w:pPr>
        <w:jc w:val="center"/>
      </w:pPr>
      <w:r w:rsidRPr="00EA0FEE">
        <w:t xml:space="preserve">Figuur </w:t>
      </w:r>
      <w:r w:rsidR="00EA0FEE" w:rsidRPr="00EA0FEE">
        <w:t>3</w:t>
      </w:r>
      <w:r w:rsidRPr="00EA0FEE">
        <w:t>:</w:t>
      </w:r>
      <w:r>
        <w:t xml:space="preserve"> houding </w:t>
      </w:r>
      <w:r w:rsidR="00504912">
        <w:t>Nederlandse politieke partijen ten opzichte van de Europese Unie (</w:t>
      </w:r>
      <w:r w:rsidR="001F719A">
        <w:t>Vollaard &amp; Voerman, 2017, p. 8)</w:t>
      </w:r>
    </w:p>
    <w:p w14:paraId="79258628" w14:textId="77777777" w:rsidR="00EB3F93" w:rsidRDefault="00EB3F93">
      <w:pPr>
        <w:jc w:val="center"/>
        <w:sectPr w:rsidR="00EB3F93" w:rsidSect="00EB3F93">
          <w:footerReference w:type="default" r:id="rId39"/>
          <w:pgSz w:w="11906" w:h="16838"/>
          <w:pgMar w:top="1418" w:right="1418" w:bottom="1418" w:left="1418" w:header="709" w:footer="709" w:gutter="0"/>
          <w:cols w:space="708"/>
          <w:docGrid w:linePitch="360"/>
        </w:sectPr>
      </w:pPr>
    </w:p>
    <w:p w14:paraId="189FAAB3" w14:textId="14BA963C" w:rsidR="0083795E" w:rsidRDefault="0083795E" w:rsidP="0083795E">
      <w:pPr>
        <w:pStyle w:val="Kop1"/>
      </w:pPr>
      <w:r>
        <w:t>Appendix</w:t>
      </w:r>
    </w:p>
    <w:p w14:paraId="55224620" w14:textId="398DD85F" w:rsidR="009575F9" w:rsidRPr="009575F9" w:rsidRDefault="009575F9" w:rsidP="009575F9">
      <w:pPr>
        <w:spacing w:line="240" w:lineRule="auto"/>
        <w:rPr>
          <w:b/>
          <w:bCs/>
          <w:sz w:val="20"/>
          <w:szCs w:val="18"/>
        </w:rPr>
      </w:pPr>
      <w:r w:rsidRPr="009575F9">
        <w:rPr>
          <w:b/>
          <w:bCs/>
          <w:sz w:val="20"/>
          <w:szCs w:val="18"/>
        </w:rPr>
        <w:t xml:space="preserve">Tabel I: </w:t>
      </w:r>
      <w:r>
        <w:rPr>
          <w:b/>
          <w:bCs/>
          <w:sz w:val="20"/>
          <w:szCs w:val="18"/>
        </w:rPr>
        <w:t>beschrijvende statistieken</w:t>
      </w:r>
    </w:p>
    <w:tbl>
      <w:tblPr>
        <w:tblW w:w="9076" w:type="dxa"/>
        <w:tblLayout w:type="fixed"/>
        <w:tblCellMar>
          <w:left w:w="0" w:type="dxa"/>
          <w:right w:w="0" w:type="dxa"/>
        </w:tblCellMar>
        <w:tblLook w:val="0000" w:firstRow="0" w:lastRow="0" w:firstColumn="0" w:lastColumn="0" w:noHBand="0" w:noVBand="0"/>
      </w:tblPr>
      <w:tblGrid>
        <w:gridCol w:w="2655"/>
        <w:gridCol w:w="1217"/>
        <w:gridCol w:w="1218"/>
        <w:gridCol w:w="1218"/>
        <w:gridCol w:w="1255"/>
        <w:gridCol w:w="1513"/>
      </w:tblGrid>
      <w:tr w:rsidR="009575F9" w:rsidRPr="009575F9" w14:paraId="35FFB548" w14:textId="77777777" w:rsidTr="005A1DA2">
        <w:trPr>
          <w:cantSplit/>
          <w:trHeight w:val="395"/>
        </w:trPr>
        <w:tc>
          <w:tcPr>
            <w:tcW w:w="2655" w:type="dxa"/>
            <w:tcBorders>
              <w:top w:val="single" w:sz="8" w:space="0" w:color="000000"/>
              <w:left w:val="nil"/>
              <w:bottom w:val="single" w:sz="8" w:space="0" w:color="000000"/>
              <w:right w:val="nil"/>
            </w:tcBorders>
            <w:shd w:val="clear" w:color="auto" w:fill="FFFFFF"/>
            <w:vAlign w:val="bottom"/>
          </w:tcPr>
          <w:p w14:paraId="263FCA73" w14:textId="77777777" w:rsidR="009575F9" w:rsidRPr="009575F9" w:rsidRDefault="009575F9" w:rsidP="009575F9">
            <w:pPr>
              <w:spacing w:line="240" w:lineRule="auto"/>
              <w:rPr>
                <w:rFonts w:cs="Times New Roman"/>
                <w:sz w:val="20"/>
                <w:szCs w:val="20"/>
              </w:rPr>
            </w:pPr>
          </w:p>
        </w:tc>
        <w:tc>
          <w:tcPr>
            <w:tcW w:w="1217" w:type="dxa"/>
            <w:tcBorders>
              <w:top w:val="single" w:sz="8" w:space="0" w:color="000000"/>
              <w:left w:val="nil"/>
              <w:bottom w:val="single" w:sz="8" w:space="0" w:color="000000"/>
              <w:right w:val="nil"/>
            </w:tcBorders>
            <w:shd w:val="clear" w:color="auto" w:fill="FFFFFF"/>
            <w:vAlign w:val="bottom"/>
          </w:tcPr>
          <w:p w14:paraId="78466063" w14:textId="77777777" w:rsidR="009575F9" w:rsidRPr="009575F9" w:rsidRDefault="009575F9" w:rsidP="009575F9">
            <w:pPr>
              <w:spacing w:line="240" w:lineRule="auto"/>
              <w:rPr>
                <w:rFonts w:cs="Times New Roman"/>
                <w:sz w:val="20"/>
                <w:szCs w:val="20"/>
              </w:rPr>
            </w:pPr>
            <w:r w:rsidRPr="009575F9">
              <w:rPr>
                <w:rFonts w:cs="Times New Roman"/>
                <w:sz w:val="20"/>
                <w:szCs w:val="20"/>
              </w:rPr>
              <w:t>N</w:t>
            </w:r>
          </w:p>
        </w:tc>
        <w:tc>
          <w:tcPr>
            <w:tcW w:w="1218" w:type="dxa"/>
            <w:tcBorders>
              <w:top w:val="single" w:sz="8" w:space="0" w:color="000000"/>
              <w:left w:val="nil"/>
              <w:bottom w:val="single" w:sz="8" w:space="0" w:color="000000"/>
              <w:right w:val="nil"/>
            </w:tcBorders>
            <w:shd w:val="clear" w:color="auto" w:fill="FFFFFF"/>
            <w:vAlign w:val="bottom"/>
          </w:tcPr>
          <w:p w14:paraId="3EECA229" w14:textId="77777777" w:rsidR="009575F9" w:rsidRPr="009575F9" w:rsidRDefault="009575F9" w:rsidP="009575F9">
            <w:pPr>
              <w:spacing w:line="240" w:lineRule="auto"/>
              <w:rPr>
                <w:rFonts w:cs="Times New Roman"/>
                <w:sz w:val="20"/>
                <w:szCs w:val="20"/>
              </w:rPr>
            </w:pPr>
            <w:r w:rsidRPr="009575F9">
              <w:rPr>
                <w:rFonts w:cs="Times New Roman"/>
                <w:sz w:val="20"/>
                <w:szCs w:val="20"/>
              </w:rPr>
              <w:t>Minimum</w:t>
            </w:r>
          </w:p>
        </w:tc>
        <w:tc>
          <w:tcPr>
            <w:tcW w:w="1218" w:type="dxa"/>
            <w:tcBorders>
              <w:top w:val="single" w:sz="8" w:space="0" w:color="000000"/>
              <w:left w:val="nil"/>
              <w:bottom w:val="single" w:sz="8" w:space="0" w:color="000000"/>
              <w:right w:val="nil"/>
            </w:tcBorders>
            <w:shd w:val="clear" w:color="auto" w:fill="FFFFFF"/>
            <w:vAlign w:val="bottom"/>
          </w:tcPr>
          <w:p w14:paraId="1715E3D3" w14:textId="77777777" w:rsidR="009575F9" w:rsidRPr="005172BA" w:rsidRDefault="009575F9" w:rsidP="009575F9">
            <w:pPr>
              <w:spacing w:line="240" w:lineRule="auto"/>
              <w:rPr>
                <w:rFonts w:cs="Times New Roman"/>
                <w:sz w:val="20"/>
                <w:szCs w:val="20"/>
                <w:lang w:val="en-US"/>
              </w:rPr>
            </w:pPr>
            <w:r w:rsidRPr="005172BA">
              <w:rPr>
                <w:rFonts w:cs="Times New Roman"/>
                <w:sz w:val="20"/>
                <w:szCs w:val="20"/>
                <w:lang w:val="en-US"/>
              </w:rPr>
              <w:t>Maximum</w:t>
            </w:r>
          </w:p>
        </w:tc>
        <w:tc>
          <w:tcPr>
            <w:tcW w:w="1255" w:type="dxa"/>
            <w:tcBorders>
              <w:top w:val="single" w:sz="8" w:space="0" w:color="000000"/>
              <w:left w:val="nil"/>
              <w:bottom w:val="single" w:sz="8" w:space="0" w:color="000000"/>
              <w:right w:val="nil"/>
            </w:tcBorders>
            <w:shd w:val="clear" w:color="auto" w:fill="FFFFFF"/>
            <w:vAlign w:val="bottom"/>
          </w:tcPr>
          <w:p w14:paraId="3DD1E2D4" w14:textId="77777777" w:rsidR="009575F9" w:rsidRPr="005172BA" w:rsidRDefault="009575F9" w:rsidP="009575F9">
            <w:pPr>
              <w:spacing w:line="240" w:lineRule="auto"/>
              <w:rPr>
                <w:rFonts w:cs="Times New Roman"/>
                <w:sz w:val="20"/>
                <w:szCs w:val="20"/>
                <w:lang w:val="en-US"/>
              </w:rPr>
            </w:pPr>
            <w:r w:rsidRPr="005172BA">
              <w:rPr>
                <w:rFonts w:cs="Times New Roman"/>
                <w:sz w:val="20"/>
                <w:szCs w:val="20"/>
                <w:lang w:val="en-US"/>
              </w:rPr>
              <w:t>Mean</w:t>
            </w:r>
          </w:p>
        </w:tc>
        <w:tc>
          <w:tcPr>
            <w:tcW w:w="1513" w:type="dxa"/>
            <w:tcBorders>
              <w:top w:val="single" w:sz="8" w:space="0" w:color="000000"/>
              <w:left w:val="nil"/>
              <w:bottom w:val="single" w:sz="8" w:space="0" w:color="000000"/>
              <w:right w:val="nil"/>
            </w:tcBorders>
            <w:shd w:val="clear" w:color="auto" w:fill="FFFFFF"/>
            <w:vAlign w:val="bottom"/>
          </w:tcPr>
          <w:p w14:paraId="37F7BC4D" w14:textId="77777777" w:rsidR="009575F9" w:rsidRPr="005172BA" w:rsidRDefault="009575F9" w:rsidP="009575F9">
            <w:pPr>
              <w:spacing w:line="240" w:lineRule="auto"/>
              <w:rPr>
                <w:rFonts w:cs="Times New Roman"/>
                <w:sz w:val="20"/>
                <w:szCs w:val="20"/>
                <w:lang w:val="en-US"/>
              </w:rPr>
            </w:pPr>
            <w:r w:rsidRPr="005172BA">
              <w:rPr>
                <w:rFonts w:cs="Times New Roman"/>
                <w:sz w:val="20"/>
                <w:szCs w:val="20"/>
                <w:lang w:val="en-US"/>
              </w:rPr>
              <w:t>Std. Deviation</w:t>
            </w:r>
          </w:p>
        </w:tc>
      </w:tr>
      <w:tr w:rsidR="009575F9" w:rsidRPr="009575F9" w14:paraId="4EA318DB" w14:textId="77777777" w:rsidTr="005A1DA2">
        <w:trPr>
          <w:cantSplit/>
          <w:trHeight w:val="259"/>
        </w:trPr>
        <w:tc>
          <w:tcPr>
            <w:tcW w:w="2655" w:type="dxa"/>
            <w:tcBorders>
              <w:top w:val="nil"/>
              <w:left w:val="nil"/>
              <w:bottom w:val="nil"/>
              <w:right w:val="nil"/>
            </w:tcBorders>
            <w:shd w:val="clear" w:color="auto" w:fill="FFFFFF"/>
          </w:tcPr>
          <w:p w14:paraId="2DDA66CC" w14:textId="77777777" w:rsidR="009575F9" w:rsidRPr="009575F9" w:rsidRDefault="009575F9" w:rsidP="009575F9">
            <w:pPr>
              <w:spacing w:line="240" w:lineRule="auto"/>
              <w:jc w:val="left"/>
              <w:rPr>
                <w:rFonts w:cs="Times New Roman"/>
                <w:sz w:val="20"/>
                <w:szCs w:val="20"/>
              </w:rPr>
            </w:pPr>
            <w:r w:rsidRPr="009575F9">
              <w:rPr>
                <w:rFonts w:cs="Times New Roman"/>
                <w:sz w:val="20"/>
                <w:szCs w:val="20"/>
              </w:rPr>
              <w:t>Ontvangst EU-gelden (log)</w:t>
            </w:r>
          </w:p>
        </w:tc>
        <w:tc>
          <w:tcPr>
            <w:tcW w:w="1217" w:type="dxa"/>
            <w:tcBorders>
              <w:top w:val="single" w:sz="8" w:space="0" w:color="000000"/>
              <w:left w:val="nil"/>
              <w:bottom w:val="nil"/>
              <w:right w:val="nil"/>
            </w:tcBorders>
            <w:shd w:val="clear" w:color="auto" w:fill="FFFFFF"/>
          </w:tcPr>
          <w:p w14:paraId="2EA65935"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single" w:sz="8" w:space="0" w:color="000000"/>
              <w:left w:val="nil"/>
              <w:bottom w:val="nil"/>
              <w:right w:val="nil"/>
            </w:tcBorders>
            <w:shd w:val="clear" w:color="auto" w:fill="FFFFFF"/>
          </w:tcPr>
          <w:p w14:paraId="3EB90977" w14:textId="77777777" w:rsidR="009575F9" w:rsidRPr="009575F9" w:rsidRDefault="009575F9" w:rsidP="009575F9">
            <w:pPr>
              <w:spacing w:line="240" w:lineRule="auto"/>
              <w:rPr>
                <w:rFonts w:cs="Times New Roman"/>
                <w:sz w:val="20"/>
                <w:szCs w:val="20"/>
              </w:rPr>
            </w:pPr>
            <w:r w:rsidRPr="009575F9">
              <w:rPr>
                <w:rFonts w:cs="Times New Roman"/>
                <w:sz w:val="20"/>
                <w:szCs w:val="20"/>
              </w:rPr>
              <w:t>-6.91</w:t>
            </w:r>
          </w:p>
        </w:tc>
        <w:tc>
          <w:tcPr>
            <w:tcW w:w="1218" w:type="dxa"/>
            <w:tcBorders>
              <w:top w:val="single" w:sz="8" w:space="0" w:color="000000"/>
              <w:left w:val="nil"/>
              <w:bottom w:val="nil"/>
              <w:right w:val="nil"/>
            </w:tcBorders>
            <w:shd w:val="clear" w:color="auto" w:fill="FFFFFF"/>
          </w:tcPr>
          <w:p w14:paraId="5BACF172" w14:textId="77777777" w:rsidR="009575F9" w:rsidRPr="009575F9" w:rsidRDefault="009575F9" w:rsidP="009575F9">
            <w:pPr>
              <w:spacing w:line="240" w:lineRule="auto"/>
              <w:rPr>
                <w:rFonts w:cs="Times New Roman"/>
                <w:sz w:val="20"/>
                <w:szCs w:val="20"/>
              </w:rPr>
            </w:pPr>
            <w:r w:rsidRPr="009575F9">
              <w:rPr>
                <w:rFonts w:cs="Times New Roman"/>
                <w:sz w:val="20"/>
                <w:szCs w:val="20"/>
              </w:rPr>
              <w:t>1.53</w:t>
            </w:r>
          </w:p>
        </w:tc>
        <w:tc>
          <w:tcPr>
            <w:tcW w:w="1255" w:type="dxa"/>
            <w:tcBorders>
              <w:top w:val="single" w:sz="8" w:space="0" w:color="000000"/>
              <w:left w:val="nil"/>
              <w:bottom w:val="nil"/>
              <w:right w:val="nil"/>
            </w:tcBorders>
            <w:shd w:val="clear" w:color="auto" w:fill="FFFFFF"/>
          </w:tcPr>
          <w:p w14:paraId="14B78CBE" w14:textId="77777777" w:rsidR="009575F9" w:rsidRPr="009575F9" w:rsidRDefault="009575F9" w:rsidP="009575F9">
            <w:pPr>
              <w:spacing w:line="240" w:lineRule="auto"/>
              <w:rPr>
                <w:rFonts w:cs="Times New Roman"/>
                <w:sz w:val="20"/>
                <w:szCs w:val="20"/>
              </w:rPr>
            </w:pPr>
            <w:r w:rsidRPr="009575F9">
              <w:rPr>
                <w:rFonts w:cs="Times New Roman"/>
                <w:sz w:val="20"/>
                <w:szCs w:val="20"/>
              </w:rPr>
              <w:t>-2.68</w:t>
            </w:r>
          </w:p>
        </w:tc>
        <w:tc>
          <w:tcPr>
            <w:tcW w:w="1513" w:type="dxa"/>
            <w:tcBorders>
              <w:top w:val="single" w:sz="8" w:space="0" w:color="000000"/>
              <w:left w:val="nil"/>
              <w:bottom w:val="nil"/>
              <w:right w:val="nil"/>
            </w:tcBorders>
            <w:shd w:val="clear" w:color="auto" w:fill="FFFFFF"/>
          </w:tcPr>
          <w:p w14:paraId="609EFED5" w14:textId="77777777" w:rsidR="009575F9" w:rsidRPr="009575F9" w:rsidRDefault="009575F9" w:rsidP="009575F9">
            <w:pPr>
              <w:spacing w:line="240" w:lineRule="auto"/>
              <w:rPr>
                <w:rFonts w:cs="Times New Roman"/>
                <w:sz w:val="20"/>
                <w:szCs w:val="20"/>
              </w:rPr>
            </w:pPr>
            <w:r w:rsidRPr="009575F9">
              <w:rPr>
                <w:rFonts w:cs="Times New Roman"/>
                <w:sz w:val="20"/>
                <w:szCs w:val="20"/>
              </w:rPr>
              <w:t>1.25</w:t>
            </w:r>
          </w:p>
        </w:tc>
      </w:tr>
      <w:tr w:rsidR="009575F9" w:rsidRPr="009575F9" w14:paraId="7D31BAE4" w14:textId="77777777" w:rsidTr="005A1DA2">
        <w:trPr>
          <w:cantSplit/>
          <w:trHeight w:val="299"/>
        </w:trPr>
        <w:tc>
          <w:tcPr>
            <w:tcW w:w="2655" w:type="dxa"/>
            <w:tcBorders>
              <w:top w:val="nil"/>
              <w:left w:val="nil"/>
              <w:bottom w:val="nil"/>
              <w:right w:val="nil"/>
            </w:tcBorders>
            <w:shd w:val="clear" w:color="auto" w:fill="FFFFFF"/>
          </w:tcPr>
          <w:p w14:paraId="61FD5D7A" w14:textId="77777777" w:rsidR="009575F9" w:rsidRPr="009575F9" w:rsidRDefault="009575F9" w:rsidP="009575F9">
            <w:pPr>
              <w:spacing w:line="240" w:lineRule="auto"/>
              <w:jc w:val="left"/>
              <w:rPr>
                <w:rFonts w:cs="Times New Roman"/>
                <w:sz w:val="20"/>
                <w:szCs w:val="20"/>
              </w:rPr>
            </w:pPr>
            <w:r w:rsidRPr="009575F9">
              <w:rPr>
                <w:rFonts w:cs="Times New Roman"/>
                <w:sz w:val="20"/>
                <w:szCs w:val="20"/>
              </w:rPr>
              <w:t>Inwoneraantal (log)</w:t>
            </w:r>
          </w:p>
        </w:tc>
        <w:tc>
          <w:tcPr>
            <w:tcW w:w="1217" w:type="dxa"/>
            <w:tcBorders>
              <w:top w:val="nil"/>
              <w:left w:val="nil"/>
              <w:bottom w:val="nil"/>
              <w:right w:val="nil"/>
            </w:tcBorders>
            <w:shd w:val="clear" w:color="auto" w:fill="FFFFFF"/>
          </w:tcPr>
          <w:p w14:paraId="4FF7FBF1"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77893898" w14:textId="77777777" w:rsidR="009575F9" w:rsidRPr="009575F9" w:rsidRDefault="009575F9" w:rsidP="009575F9">
            <w:pPr>
              <w:spacing w:line="240" w:lineRule="auto"/>
              <w:rPr>
                <w:rFonts w:cs="Times New Roman"/>
                <w:sz w:val="20"/>
                <w:szCs w:val="20"/>
              </w:rPr>
            </w:pPr>
            <w:r w:rsidRPr="009575F9">
              <w:rPr>
                <w:rFonts w:cs="Times New Roman"/>
                <w:sz w:val="20"/>
                <w:szCs w:val="20"/>
              </w:rPr>
              <w:t>-0.07</w:t>
            </w:r>
          </w:p>
        </w:tc>
        <w:tc>
          <w:tcPr>
            <w:tcW w:w="1218" w:type="dxa"/>
            <w:tcBorders>
              <w:top w:val="nil"/>
              <w:left w:val="nil"/>
              <w:bottom w:val="nil"/>
              <w:right w:val="nil"/>
            </w:tcBorders>
            <w:shd w:val="clear" w:color="auto" w:fill="FFFFFF"/>
          </w:tcPr>
          <w:p w14:paraId="664D1C92" w14:textId="77777777" w:rsidR="009575F9" w:rsidRPr="009575F9" w:rsidRDefault="009575F9" w:rsidP="009575F9">
            <w:pPr>
              <w:spacing w:line="240" w:lineRule="auto"/>
              <w:rPr>
                <w:rFonts w:cs="Times New Roman"/>
                <w:sz w:val="20"/>
                <w:szCs w:val="20"/>
              </w:rPr>
            </w:pPr>
            <w:r w:rsidRPr="009575F9">
              <w:rPr>
                <w:rFonts w:cs="Times New Roman"/>
                <w:sz w:val="20"/>
                <w:szCs w:val="20"/>
              </w:rPr>
              <w:t>6.81</w:t>
            </w:r>
          </w:p>
        </w:tc>
        <w:tc>
          <w:tcPr>
            <w:tcW w:w="1255" w:type="dxa"/>
            <w:tcBorders>
              <w:top w:val="nil"/>
              <w:left w:val="nil"/>
              <w:bottom w:val="nil"/>
              <w:right w:val="nil"/>
            </w:tcBorders>
            <w:shd w:val="clear" w:color="auto" w:fill="FFFFFF"/>
          </w:tcPr>
          <w:p w14:paraId="374E08E5" w14:textId="77777777" w:rsidR="009575F9" w:rsidRPr="009575F9" w:rsidRDefault="009575F9" w:rsidP="009575F9">
            <w:pPr>
              <w:spacing w:line="240" w:lineRule="auto"/>
              <w:rPr>
                <w:rFonts w:cs="Times New Roman"/>
                <w:sz w:val="20"/>
                <w:szCs w:val="20"/>
              </w:rPr>
            </w:pPr>
            <w:r w:rsidRPr="009575F9">
              <w:rPr>
                <w:rFonts w:cs="Times New Roman"/>
                <w:sz w:val="20"/>
                <w:szCs w:val="20"/>
              </w:rPr>
              <w:t>3.45</w:t>
            </w:r>
          </w:p>
        </w:tc>
        <w:tc>
          <w:tcPr>
            <w:tcW w:w="1513" w:type="dxa"/>
            <w:tcBorders>
              <w:top w:val="nil"/>
              <w:left w:val="nil"/>
              <w:bottom w:val="nil"/>
              <w:right w:val="nil"/>
            </w:tcBorders>
            <w:shd w:val="clear" w:color="auto" w:fill="FFFFFF"/>
          </w:tcPr>
          <w:p w14:paraId="47B81CB2" w14:textId="77777777" w:rsidR="009575F9" w:rsidRPr="009575F9" w:rsidRDefault="009575F9" w:rsidP="009575F9">
            <w:pPr>
              <w:spacing w:line="240" w:lineRule="auto"/>
              <w:rPr>
                <w:rFonts w:cs="Times New Roman"/>
                <w:sz w:val="20"/>
                <w:szCs w:val="20"/>
              </w:rPr>
            </w:pPr>
            <w:r w:rsidRPr="009575F9">
              <w:rPr>
                <w:rFonts w:cs="Times New Roman"/>
                <w:sz w:val="20"/>
                <w:szCs w:val="20"/>
              </w:rPr>
              <w:t>0.83</w:t>
            </w:r>
          </w:p>
        </w:tc>
      </w:tr>
      <w:tr w:rsidR="009575F9" w:rsidRPr="009575F9" w14:paraId="4CE2A58F" w14:textId="77777777" w:rsidTr="005A1DA2">
        <w:trPr>
          <w:cantSplit/>
          <w:trHeight w:val="190"/>
        </w:trPr>
        <w:tc>
          <w:tcPr>
            <w:tcW w:w="2655" w:type="dxa"/>
            <w:tcBorders>
              <w:top w:val="nil"/>
              <w:left w:val="nil"/>
              <w:bottom w:val="nil"/>
              <w:right w:val="nil"/>
            </w:tcBorders>
            <w:shd w:val="clear" w:color="auto" w:fill="FFFFFF"/>
          </w:tcPr>
          <w:p w14:paraId="77DBC20C" w14:textId="77777777" w:rsidR="009575F9" w:rsidRPr="009575F9" w:rsidRDefault="009575F9" w:rsidP="009575F9">
            <w:pPr>
              <w:spacing w:line="240" w:lineRule="auto"/>
              <w:rPr>
                <w:rFonts w:cs="Times New Roman"/>
                <w:sz w:val="20"/>
                <w:szCs w:val="20"/>
              </w:rPr>
            </w:pPr>
            <w:r w:rsidRPr="009575F9">
              <w:rPr>
                <w:rFonts w:cs="Times New Roman"/>
                <w:sz w:val="20"/>
                <w:szCs w:val="20"/>
              </w:rPr>
              <w:t>Solvabiliteitsratio</w:t>
            </w:r>
          </w:p>
        </w:tc>
        <w:tc>
          <w:tcPr>
            <w:tcW w:w="1217" w:type="dxa"/>
            <w:tcBorders>
              <w:top w:val="nil"/>
              <w:left w:val="nil"/>
              <w:bottom w:val="nil"/>
              <w:right w:val="nil"/>
            </w:tcBorders>
            <w:shd w:val="clear" w:color="auto" w:fill="FFFFFF"/>
          </w:tcPr>
          <w:p w14:paraId="44B04510"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395656A6" w14:textId="77777777" w:rsidR="009575F9" w:rsidRPr="009575F9" w:rsidRDefault="009575F9" w:rsidP="009575F9">
            <w:pPr>
              <w:spacing w:line="240" w:lineRule="auto"/>
              <w:rPr>
                <w:rFonts w:cs="Times New Roman"/>
                <w:sz w:val="20"/>
                <w:szCs w:val="20"/>
              </w:rPr>
            </w:pPr>
            <w:r w:rsidRPr="009575F9">
              <w:rPr>
                <w:rFonts w:cs="Times New Roman"/>
                <w:sz w:val="20"/>
                <w:szCs w:val="20"/>
              </w:rPr>
              <w:t>-0.55</w:t>
            </w:r>
          </w:p>
        </w:tc>
        <w:tc>
          <w:tcPr>
            <w:tcW w:w="1218" w:type="dxa"/>
            <w:tcBorders>
              <w:top w:val="nil"/>
              <w:left w:val="nil"/>
              <w:bottom w:val="nil"/>
              <w:right w:val="nil"/>
            </w:tcBorders>
            <w:shd w:val="clear" w:color="auto" w:fill="FFFFFF"/>
          </w:tcPr>
          <w:p w14:paraId="4046DDFE" w14:textId="77777777" w:rsidR="009575F9" w:rsidRPr="009575F9" w:rsidRDefault="009575F9" w:rsidP="009575F9">
            <w:pPr>
              <w:spacing w:line="240" w:lineRule="auto"/>
              <w:rPr>
                <w:rFonts w:cs="Times New Roman"/>
                <w:sz w:val="20"/>
                <w:szCs w:val="20"/>
              </w:rPr>
            </w:pPr>
            <w:r w:rsidRPr="009575F9">
              <w:rPr>
                <w:rFonts w:cs="Times New Roman"/>
                <w:sz w:val="20"/>
                <w:szCs w:val="20"/>
              </w:rPr>
              <w:t>0.90</w:t>
            </w:r>
          </w:p>
        </w:tc>
        <w:tc>
          <w:tcPr>
            <w:tcW w:w="1255" w:type="dxa"/>
            <w:tcBorders>
              <w:top w:val="nil"/>
              <w:left w:val="nil"/>
              <w:bottom w:val="nil"/>
              <w:right w:val="nil"/>
            </w:tcBorders>
            <w:shd w:val="clear" w:color="auto" w:fill="FFFFFF"/>
          </w:tcPr>
          <w:p w14:paraId="79BF423F" w14:textId="77777777" w:rsidR="009575F9" w:rsidRPr="009575F9" w:rsidRDefault="009575F9" w:rsidP="009575F9">
            <w:pPr>
              <w:spacing w:line="240" w:lineRule="auto"/>
              <w:rPr>
                <w:rFonts w:cs="Times New Roman"/>
                <w:sz w:val="20"/>
                <w:szCs w:val="20"/>
              </w:rPr>
            </w:pPr>
            <w:r w:rsidRPr="009575F9">
              <w:rPr>
                <w:rFonts w:cs="Times New Roman"/>
                <w:sz w:val="20"/>
                <w:szCs w:val="20"/>
              </w:rPr>
              <w:t>0.35</w:t>
            </w:r>
          </w:p>
        </w:tc>
        <w:tc>
          <w:tcPr>
            <w:tcW w:w="1513" w:type="dxa"/>
            <w:tcBorders>
              <w:top w:val="nil"/>
              <w:left w:val="nil"/>
              <w:bottom w:val="nil"/>
              <w:right w:val="nil"/>
            </w:tcBorders>
            <w:shd w:val="clear" w:color="auto" w:fill="FFFFFF"/>
          </w:tcPr>
          <w:p w14:paraId="395D5715" w14:textId="77777777" w:rsidR="009575F9" w:rsidRPr="009575F9" w:rsidRDefault="009575F9" w:rsidP="009575F9">
            <w:pPr>
              <w:spacing w:line="240" w:lineRule="auto"/>
              <w:rPr>
                <w:rFonts w:cs="Times New Roman"/>
                <w:sz w:val="20"/>
                <w:szCs w:val="20"/>
              </w:rPr>
            </w:pPr>
            <w:r w:rsidRPr="009575F9">
              <w:rPr>
                <w:rFonts w:cs="Times New Roman"/>
                <w:sz w:val="20"/>
                <w:szCs w:val="20"/>
              </w:rPr>
              <w:t>0.18</w:t>
            </w:r>
          </w:p>
        </w:tc>
      </w:tr>
      <w:tr w:rsidR="009575F9" w:rsidRPr="009575F9" w14:paraId="6F41D9DE" w14:textId="77777777" w:rsidTr="005A1DA2">
        <w:trPr>
          <w:cantSplit/>
          <w:trHeight w:val="224"/>
        </w:trPr>
        <w:tc>
          <w:tcPr>
            <w:tcW w:w="2655" w:type="dxa"/>
            <w:tcBorders>
              <w:top w:val="nil"/>
              <w:left w:val="nil"/>
              <w:bottom w:val="nil"/>
              <w:right w:val="nil"/>
            </w:tcBorders>
            <w:shd w:val="clear" w:color="auto" w:fill="FFFFFF"/>
          </w:tcPr>
          <w:p w14:paraId="2DF62C20" w14:textId="77777777" w:rsidR="009575F9" w:rsidRPr="009575F9" w:rsidRDefault="009575F9" w:rsidP="009575F9">
            <w:pPr>
              <w:spacing w:line="240" w:lineRule="auto"/>
              <w:rPr>
                <w:rFonts w:cs="Times New Roman"/>
                <w:sz w:val="20"/>
                <w:szCs w:val="20"/>
              </w:rPr>
            </w:pPr>
            <w:r w:rsidRPr="009575F9">
              <w:rPr>
                <w:rFonts w:cs="Times New Roman"/>
                <w:sz w:val="20"/>
                <w:szCs w:val="20"/>
              </w:rPr>
              <w:t>Grensgemeenten</w:t>
            </w:r>
          </w:p>
        </w:tc>
        <w:tc>
          <w:tcPr>
            <w:tcW w:w="1217" w:type="dxa"/>
            <w:tcBorders>
              <w:top w:val="nil"/>
              <w:left w:val="nil"/>
              <w:bottom w:val="nil"/>
              <w:right w:val="nil"/>
            </w:tcBorders>
            <w:shd w:val="clear" w:color="auto" w:fill="FFFFFF"/>
          </w:tcPr>
          <w:p w14:paraId="5807A4E9"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384E5DF4"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31773547"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4543C440" w14:textId="77777777" w:rsidR="009575F9" w:rsidRPr="009575F9" w:rsidRDefault="009575F9" w:rsidP="009575F9">
            <w:pPr>
              <w:spacing w:line="240" w:lineRule="auto"/>
              <w:rPr>
                <w:rFonts w:cs="Times New Roman"/>
                <w:sz w:val="20"/>
                <w:szCs w:val="20"/>
              </w:rPr>
            </w:pPr>
            <w:r w:rsidRPr="009575F9">
              <w:rPr>
                <w:rFonts w:cs="Times New Roman"/>
                <w:sz w:val="20"/>
                <w:szCs w:val="20"/>
              </w:rPr>
              <w:t>0.17</w:t>
            </w:r>
          </w:p>
        </w:tc>
        <w:tc>
          <w:tcPr>
            <w:tcW w:w="1513" w:type="dxa"/>
            <w:tcBorders>
              <w:top w:val="nil"/>
              <w:left w:val="nil"/>
              <w:bottom w:val="nil"/>
              <w:right w:val="nil"/>
            </w:tcBorders>
            <w:shd w:val="clear" w:color="auto" w:fill="FFFFFF"/>
          </w:tcPr>
          <w:p w14:paraId="53CCB4D3" w14:textId="77777777" w:rsidR="009575F9" w:rsidRPr="009575F9" w:rsidRDefault="009575F9" w:rsidP="009575F9">
            <w:pPr>
              <w:spacing w:line="240" w:lineRule="auto"/>
              <w:rPr>
                <w:rFonts w:cs="Times New Roman"/>
                <w:sz w:val="20"/>
                <w:szCs w:val="20"/>
              </w:rPr>
            </w:pPr>
            <w:r w:rsidRPr="009575F9">
              <w:rPr>
                <w:rFonts w:cs="Times New Roman"/>
                <w:sz w:val="20"/>
                <w:szCs w:val="20"/>
              </w:rPr>
              <w:t>0.38</w:t>
            </w:r>
          </w:p>
        </w:tc>
      </w:tr>
      <w:tr w:rsidR="009575F9" w:rsidRPr="009575F9" w14:paraId="3FA3C457" w14:textId="77777777" w:rsidTr="005A1DA2">
        <w:trPr>
          <w:cantSplit/>
          <w:trHeight w:val="198"/>
        </w:trPr>
        <w:tc>
          <w:tcPr>
            <w:tcW w:w="2655" w:type="dxa"/>
            <w:tcBorders>
              <w:top w:val="nil"/>
              <w:left w:val="nil"/>
              <w:bottom w:val="nil"/>
              <w:right w:val="nil"/>
            </w:tcBorders>
            <w:shd w:val="clear" w:color="auto" w:fill="FFFFFF"/>
          </w:tcPr>
          <w:p w14:paraId="4C5003F9" w14:textId="2168BA6C" w:rsidR="009575F9" w:rsidRPr="009575F9" w:rsidRDefault="000D11C4" w:rsidP="009575F9">
            <w:pPr>
              <w:spacing w:line="240" w:lineRule="auto"/>
              <w:rPr>
                <w:rFonts w:cs="Times New Roman"/>
                <w:sz w:val="20"/>
                <w:szCs w:val="20"/>
              </w:rPr>
            </w:pPr>
            <w:r>
              <w:rPr>
                <w:rFonts w:cs="Times New Roman"/>
                <w:sz w:val="20"/>
                <w:szCs w:val="20"/>
              </w:rPr>
              <w:t>Opstelling</w:t>
            </w:r>
            <w:r w:rsidR="009575F9" w:rsidRPr="009575F9">
              <w:rPr>
                <w:rFonts w:cs="Times New Roman"/>
                <w:sz w:val="20"/>
                <w:szCs w:val="20"/>
              </w:rPr>
              <w:t xml:space="preserve"> gemeentebestuur</w:t>
            </w:r>
          </w:p>
        </w:tc>
        <w:tc>
          <w:tcPr>
            <w:tcW w:w="1217" w:type="dxa"/>
            <w:tcBorders>
              <w:top w:val="nil"/>
              <w:left w:val="nil"/>
              <w:bottom w:val="nil"/>
              <w:right w:val="nil"/>
            </w:tcBorders>
            <w:shd w:val="clear" w:color="auto" w:fill="FFFFFF"/>
          </w:tcPr>
          <w:p w14:paraId="34B537B5"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2726E2D6" w14:textId="77777777" w:rsidR="009575F9" w:rsidRPr="009575F9" w:rsidRDefault="009575F9" w:rsidP="009575F9">
            <w:pPr>
              <w:spacing w:line="240" w:lineRule="auto"/>
              <w:rPr>
                <w:rFonts w:cs="Times New Roman"/>
                <w:sz w:val="20"/>
                <w:szCs w:val="20"/>
              </w:rPr>
            </w:pPr>
            <w:r w:rsidRPr="009575F9">
              <w:rPr>
                <w:rFonts w:cs="Times New Roman"/>
                <w:sz w:val="20"/>
                <w:szCs w:val="20"/>
              </w:rPr>
              <w:t>1.21</w:t>
            </w:r>
          </w:p>
        </w:tc>
        <w:tc>
          <w:tcPr>
            <w:tcW w:w="1218" w:type="dxa"/>
            <w:tcBorders>
              <w:top w:val="nil"/>
              <w:left w:val="nil"/>
              <w:bottom w:val="nil"/>
              <w:right w:val="nil"/>
            </w:tcBorders>
            <w:shd w:val="clear" w:color="auto" w:fill="FFFFFF"/>
          </w:tcPr>
          <w:p w14:paraId="19D8FB8B" w14:textId="05B846C6" w:rsidR="009575F9" w:rsidRPr="009575F9" w:rsidRDefault="009575F9" w:rsidP="009575F9">
            <w:pPr>
              <w:spacing w:line="240" w:lineRule="auto"/>
              <w:rPr>
                <w:rFonts w:cs="Times New Roman"/>
                <w:sz w:val="20"/>
                <w:szCs w:val="20"/>
              </w:rPr>
            </w:pPr>
            <w:r w:rsidRPr="009575F9">
              <w:rPr>
                <w:rFonts w:cs="Times New Roman"/>
                <w:sz w:val="20"/>
                <w:szCs w:val="20"/>
              </w:rPr>
              <w:t>3</w:t>
            </w:r>
            <w:r w:rsidR="006463C3">
              <w:rPr>
                <w:rFonts w:cs="Times New Roman"/>
                <w:sz w:val="20"/>
                <w:szCs w:val="20"/>
              </w:rPr>
              <w:t>.</w:t>
            </w:r>
            <w:r w:rsidRPr="009575F9">
              <w:rPr>
                <w:rFonts w:cs="Times New Roman"/>
                <w:sz w:val="20"/>
                <w:szCs w:val="20"/>
              </w:rPr>
              <w:t>00</w:t>
            </w:r>
          </w:p>
        </w:tc>
        <w:tc>
          <w:tcPr>
            <w:tcW w:w="1255" w:type="dxa"/>
            <w:tcBorders>
              <w:top w:val="nil"/>
              <w:left w:val="nil"/>
              <w:bottom w:val="nil"/>
              <w:right w:val="nil"/>
            </w:tcBorders>
            <w:shd w:val="clear" w:color="auto" w:fill="FFFFFF"/>
          </w:tcPr>
          <w:p w14:paraId="3436C822" w14:textId="77777777" w:rsidR="009575F9" w:rsidRPr="009575F9" w:rsidRDefault="009575F9" w:rsidP="009575F9">
            <w:pPr>
              <w:spacing w:line="240" w:lineRule="auto"/>
              <w:rPr>
                <w:rFonts w:cs="Times New Roman"/>
                <w:sz w:val="20"/>
                <w:szCs w:val="20"/>
              </w:rPr>
            </w:pPr>
            <w:r w:rsidRPr="009575F9">
              <w:rPr>
                <w:rFonts w:cs="Times New Roman"/>
                <w:sz w:val="20"/>
                <w:szCs w:val="20"/>
              </w:rPr>
              <w:t>2.42</w:t>
            </w:r>
          </w:p>
        </w:tc>
        <w:tc>
          <w:tcPr>
            <w:tcW w:w="1513" w:type="dxa"/>
            <w:tcBorders>
              <w:top w:val="nil"/>
              <w:left w:val="nil"/>
              <w:bottom w:val="nil"/>
              <w:right w:val="nil"/>
            </w:tcBorders>
            <w:shd w:val="clear" w:color="auto" w:fill="FFFFFF"/>
          </w:tcPr>
          <w:p w14:paraId="34A88284" w14:textId="77777777" w:rsidR="009575F9" w:rsidRPr="009575F9" w:rsidRDefault="009575F9" w:rsidP="009575F9">
            <w:pPr>
              <w:spacing w:line="240" w:lineRule="auto"/>
              <w:rPr>
                <w:rFonts w:cs="Times New Roman"/>
                <w:sz w:val="20"/>
                <w:szCs w:val="20"/>
              </w:rPr>
            </w:pPr>
            <w:r w:rsidRPr="009575F9">
              <w:rPr>
                <w:rFonts w:cs="Times New Roman"/>
                <w:sz w:val="20"/>
                <w:szCs w:val="20"/>
              </w:rPr>
              <w:t>0.36</w:t>
            </w:r>
          </w:p>
        </w:tc>
      </w:tr>
      <w:tr w:rsidR="009575F9" w:rsidRPr="009575F9" w14:paraId="458A6D20" w14:textId="77777777" w:rsidTr="005A1DA2">
        <w:trPr>
          <w:cantSplit/>
          <w:trHeight w:val="232"/>
        </w:trPr>
        <w:tc>
          <w:tcPr>
            <w:tcW w:w="2655" w:type="dxa"/>
            <w:tcBorders>
              <w:top w:val="nil"/>
              <w:left w:val="nil"/>
              <w:bottom w:val="nil"/>
              <w:right w:val="nil"/>
            </w:tcBorders>
            <w:shd w:val="clear" w:color="auto" w:fill="FFFFFF"/>
          </w:tcPr>
          <w:p w14:paraId="08B014E7" w14:textId="77777777" w:rsidR="009575F9" w:rsidRPr="009575F9" w:rsidRDefault="009575F9" w:rsidP="009575F9">
            <w:pPr>
              <w:spacing w:line="240" w:lineRule="auto"/>
              <w:rPr>
                <w:rFonts w:cs="Times New Roman"/>
                <w:sz w:val="20"/>
                <w:szCs w:val="20"/>
              </w:rPr>
            </w:pPr>
            <w:r w:rsidRPr="009575F9">
              <w:rPr>
                <w:rFonts w:cs="Times New Roman"/>
                <w:sz w:val="20"/>
                <w:szCs w:val="20"/>
              </w:rPr>
              <w:t>Wel/geen aandacht</w:t>
            </w:r>
          </w:p>
        </w:tc>
        <w:tc>
          <w:tcPr>
            <w:tcW w:w="1217" w:type="dxa"/>
            <w:tcBorders>
              <w:top w:val="nil"/>
              <w:left w:val="nil"/>
              <w:bottom w:val="nil"/>
              <w:right w:val="nil"/>
            </w:tcBorders>
            <w:shd w:val="clear" w:color="auto" w:fill="FFFFFF"/>
          </w:tcPr>
          <w:p w14:paraId="661E867B" w14:textId="77777777" w:rsidR="009575F9" w:rsidRPr="009575F9" w:rsidRDefault="009575F9" w:rsidP="009575F9">
            <w:pPr>
              <w:spacing w:line="240" w:lineRule="auto"/>
              <w:rPr>
                <w:rFonts w:cs="Times New Roman"/>
                <w:sz w:val="20"/>
                <w:szCs w:val="20"/>
              </w:rPr>
            </w:pPr>
            <w:r w:rsidRPr="009575F9">
              <w:rPr>
                <w:rFonts w:cs="Times New Roman"/>
                <w:sz w:val="20"/>
                <w:szCs w:val="20"/>
              </w:rPr>
              <w:t>1076</w:t>
            </w:r>
          </w:p>
        </w:tc>
        <w:tc>
          <w:tcPr>
            <w:tcW w:w="1218" w:type="dxa"/>
            <w:tcBorders>
              <w:top w:val="nil"/>
              <w:left w:val="nil"/>
              <w:bottom w:val="nil"/>
              <w:right w:val="nil"/>
            </w:tcBorders>
            <w:shd w:val="clear" w:color="auto" w:fill="FFFFFF"/>
          </w:tcPr>
          <w:p w14:paraId="3C1A0F1A"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4EC219EF"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0769B63A" w14:textId="77777777" w:rsidR="009575F9" w:rsidRPr="009575F9" w:rsidRDefault="009575F9" w:rsidP="009575F9">
            <w:pPr>
              <w:spacing w:line="240" w:lineRule="auto"/>
              <w:rPr>
                <w:rFonts w:cs="Times New Roman"/>
                <w:sz w:val="20"/>
                <w:szCs w:val="20"/>
              </w:rPr>
            </w:pPr>
            <w:r w:rsidRPr="009575F9">
              <w:rPr>
                <w:rFonts w:cs="Times New Roman"/>
                <w:sz w:val="20"/>
                <w:szCs w:val="20"/>
              </w:rPr>
              <w:t>0.33</w:t>
            </w:r>
          </w:p>
        </w:tc>
        <w:tc>
          <w:tcPr>
            <w:tcW w:w="1513" w:type="dxa"/>
            <w:tcBorders>
              <w:top w:val="nil"/>
              <w:left w:val="nil"/>
              <w:bottom w:val="nil"/>
              <w:right w:val="nil"/>
            </w:tcBorders>
            <w:shd w:val="clear" w:color="auto" w:fill="FFFFFF"/>
          </w:tcPr>
          <w:p w14:paraId="7D807EB9" w14:textId="77777777" w:rsidR="009575F9" w:rsidRPr="009575F9" w:rsidRDefault="009575F9" w:rsidP="009575F9">
            <w:pPr>
              <w:spacing w:line="240" w:lineRule="auto"/>
              <w:rPr>
                <w:rFonts w:cs="Times New Roman"/>
                <w:sz w:val="20"/>
                <w:szCs w:val="20"/>
              </w:rPr>
            </w:pPr>
            <w:r w:rsidRPr="009575F9">
              <w:rPr>
                <w:rFonts w:cs="Times New Roman"/>
                <w:sz w:val="20"/>
                <w:szCs w:val="20"/>
              </w:rPr>
              <w:t>0.47</w:t>
            </w:r>
          </w:p>
        </w:tc>
      </w:tr>
      <w:tr w:rsidR="009575F9" w:rsidRPr="009575F9" w14:paraId="4141F6F0" w14:textId="77777777" w:rsidTr="005A1DA2">
        <w:trPr>
          <w:cantSplit/>
          <w:trHeight w:val="232"/>
        </w:trPr>
        <w:tc>
          <w:tcPr>
            <w:tcW w:w="2655" w:type="dxa"/>
            <w:tcBorders>
              <w:top w:val="nil"/>
              <w:left w:val="nil"/>
              <w:bottom w:val="nil"/>
              <w:right w:val="nil"/>
            </w:tcBorders>
            <w:shd w:val="clear" w:color="auto" w:fill="FFFFFF"/>
          </w:tcPr>
          <w:p w14:paraId="6A895072" w14:textId="77777777" w:rsidR="009575F9" w:rsidRPr="009575F9" w:rsidRDefault="009575F9" w:rsidP="009575F9">
            <w:pPr>
              <w:spacing w:line="240" w:lineRule="auto"/>
              <w:rPr>
                <w:rFonts w:cs="Times New Roman"/>
                <w:sz w:val="20"/>
                <w:szCs w:val="20"/>
              </w:rPr>
            </w:pPr>
            <w:r w:rsidRPr="009575F9">
              <w:rPr>
                <w:rFonts w:cs="Times New Roman"/>
                <w:sz w:val="20"/>
                <w:szCs w:val="20"/>
              </w:rPr>
              <w:t>Primaire vorm Europeanisering</w:t>
            </w:r>
          </w:p>
        </w:tc>
        <w:tc>
          <w:tcPr>
            <w:tcW w:w="1217" w:type="dxa"/>
            <w:tcBorders>
              <w:top w:val="nil"/>
              <w:left w:val="nil"/>
              <w:bottom w:val="nil"/>
              <w:right w:val="nil"/>
            </w:tcBorders>
            <w:shd w:val="clear" w:color="auto" w:fill="FFFFFF"/>
          </w:tcPr>
          <w:p w14:paraId="30E00DDE" w14:textId="77777777" w:rsidR="009575F9" w:rsidRPr="009575F9" w:rsidRDefault="009575F9" w:rsidP="009575F9">
            <w:pPr>
              <w:spacing w:line="240" w:lineRule="auto"/>
              <w:rPr>
                <w:rFonts w:cs="Times New Roman"/>
                <w:sz w:val="20"/>
                <w:szCs w:val="20"/>
              </w:rPr>
            </w:pPr>
            <w:r w:rsidRPr="009575F9">
              <w:rPr>
                <w:rFonts w:cs="Times New Roman"/>
                <w:sz w:val="20"/>
                <w:szCs w:val="20"/>
              </w:rPr>
              <w:t>1076</w:t>
            </w:r>
          </w:p>
        </w:tc>
        <w:tc>
          <w:tcPr>
            <w:tcW w:w="1218" w:type="dxa"/>
            <w:tcBorders>
              <w:top w:val="nil"/>
              <w:left w:val="nil"/>
              <w:bottom w:val="nil"/>
              <w:right w:val="nil"/>
            </w:tcBorders>
            <w:shd w:val="clear" w:color="auto" w:fill="FFFFFF"/>
          </w:tcPr>
          <w:p w14:paraId="1E80B912"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4B489C97" w14:textId="77777777" w:rsidR="009575F9" w:rsidRPr="009575F9" w:rsidRDefault="009575F9" w:rsidP="009575F9">
            <w:pPr>
              <w:spacing w:line="240" w:lineRule="auto"/>
              <w:rPr>
                <w:rFonts w:cs="Times New Roman"/>
                <w:sz w:val="20"/>
                <w:szCs w:val="20"/>
              </w:rPr>
            </w:pPr>
            <w:r w:rsidRPr="009575F9">
              <w:rPr>
                <w:rFonts w:cs="Times New Roman"/>
                <w:sz w:val="20"/>
                <w:szCs w:val="20"/>
              </w:rPr>
              <w:t>4</w:t>
            </w:r>
          </w:p>
        </w:tc>
        <w:tc>
          <w:tcPr>
            <w:tcW w:w="1255" w:type="dxa"/>
            <w:tcBorders>
              <w:top w:val="nil"/>
              <w:left w:val="nil"/>
              <w:bottom w:val="nil"/>
              <w:right w:val="nil"/>
            </w:tcBorders>
            <w:shd w:val="clear" w:color="auto" w:fill="FFFFFF"/>
          </w:tcPr>
          <w:p w14:paraId="3BAC1769" w14:textId="77777777" w:rsidR="009575F9" w:rsidRPr="009575F9" w:rsidRDefault="009575F9" w:rsidP="009575F9">
            <w:pPr>
              <w:spacing w:line="240" w:lineRule="auto"/>
              <w:rPr>
                <w:rFonts w:cs="Times New Roman"/>
                <w:sz w:val="20"/>
                <w:szCs w:val="20"/>
              </w:rPr>
            </w:pPr>
            <w:r w:rsidRPr="009575F9">
              <w:rPr>
                <w:rFonts w:cs="Times New Roman"/>
                <w:sz w:val="20"/>
                <w:szCs w:val="20"/>
              </w:rPr>
              <w:t>0.81</w:t>
            </w:r>
          </w:p>
        </w:tc>
        <w:tc>
          <w:tcPr>
            <w:tcW w:w="1513" w:type="dxa"/>
            <w:tcBorders>
              <w:top w:val="nil"/>
              <w:left w:val="nil"/>
              <w:bottom w:val="nil"/>
              <w:right w:val="nil"/>
            </w:tcBorders>
            <w:shd w:val="clear" w:color="auto" w:fill="FFFFFF"/>
          </w:tcPr>
          <w:p w14:paraId="540AE6B8" w14:textId="77777777" w:rsidR="009575F9" w:rsidRPr="009575F9" w:rsidRDefault="009575F9" w:rsidP="009575F9">
            <w:pPr>
              <w:spacing w:line="240" w:lineRule="auto"/>
              <w:rPr>
                <w:rFonts w:cs="Times New Roman"/>
                <w:sz w:val="20"/>
                <w:szCs w:val="20"/>
              </w:rPr>
            </w:pPr>
            <w:r w:rsidRPr="009575F9">
              <w:rPr>
                <w:rFonts w:cs="Times New Roman"/>
                <w:sz w:val="20"/>
                <w:szCs w:val="20"/>
              </w:rPr>
              <w:t>1.28</w:t>
            </w:r>
          </w:p>
        </w:tc>
      </w:tr>
      <w:tr w:rsidR="009575F9" w:rsidRPr="009575F9" w14:paraId="4625F89B" w14:textId="77777777" w:rsidTr="005A1DA2">
        <w:trPr>
          <w:cantSplit/>
          <w:trHeight w:val="270"/>
        </w:trPr>
        <w:tc>
          <w:tcPr>
            <w:tcW w:w="2655" w:type="dxa"/>
            <w:tcBorders>
              <w:top w:val="nil"/>
              <w:left w:val="nil"/>
              <w:bottom w:val="nil"/>
              <w:right w:val="nil"/>
            </w:tcBorders>
            <w:shd w:val="clear" w:color="auto" w:fill="FFFFFF"/>
          </w:tcPr>
          <w:p w14:paraId="1AAB23B7" w14:textId="77777777" w:rsidR="009575F9" w:rsidRPr="009575F9" w:rsidRDefault="009575F9" w:rsidP="009575F9">
            <w:pPr>
              <w:spacing w:line="240" w:lineRule="auto"/>
              <w:rPr>
                <w:rFonts w:cs="Times New Roman"/>
                <w:sz w:val="20"/>
                <w:szCs w:val="20"/>
              </w:rPr>
            </w:pPr>
            <w:r w:rsidRPr="009575F9">
              <w:rPr>
                <w:rFonts w:cs="Times New Roman"/>
                <w:sz w:val="20"/>
                <w:szCs w:val="20"/>
              </w:rPr>
              <w:t>Mate van Europeanisering</w:t>
            </w:r>
          </w:p>
        </w:tc>
        <w:tc>
          <w:tcPr>
            <w:tcW w:w="1217" w:type="dxa"/>
            <w:tcBorders>
              <w:top w:val="nil"/>
              <w:left w:val="nil"/>
              <w:bottom w:val="nil"/>
              <w:right w:val="nil"/>
            </w:tcBorders>
            <w:shd w:val="clear" w:color="auto" w:fill="FFFFFF"/>
          </w:tcPr>
          <w:p w14:paraId="3285E4BF" w14:textId="77777777" w:rsidR="009575F9" w:rsidRPr="009575F9" w:rsidRDefault="009575F9" w:rsidP="009575F9">
            <w:pPr>
              <w:spacing w:line="240" w:lineRule="auto"/>
              <w:rPr>
                <w:rFonts w:cs="Times New Roman"/>
                <w:sz w:val="20"/>
                <w:szCs w:val="20"/>
              </w:rPr>
            </w:pPr>
            <w:r w:rsidRPr="009575F9">
              <w:rPr>
                <w:rFonts w:cs="Times New Roman"/>
                <w:sz w:val="20"/>
                <w:szCs w:val="20"/>
              </w:rPr>
              <w:t>1076</w:t>
            </w:r>
          </w:p>
        </w:tc>
        <w:tc>
          <w:tcPr>
            <w:tcW w:w="1218" w:type="dxa"/>
            <w:tcBorders>
              <w:top w:val="nil"/>
              <w:left w:val="nil"/>
              <w:bottom w:val="nil"/>
              <w:right w:val="nil"/>
            </w:tcBorders>
            <w:shd w:val="clear" w:color="auto" w:fill="FFFFFF"/>
          </w:tcPr>
          <w:p w14:paraId="55A52EE1"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3D04501F" w14:textId="77777777" w:rsidR="009575F9" w:rsidRPr="009575F9" w:rsidRDefault="009575F9" w:rsidP="009575F9">
            <w:pPr>
              <w:spacing w:line="240" w:lineRule="auto"/>
              <w:rPr>
                <w:rFonts w:cs="Times New Roman"/>
                <w:sz w:val="20"/>
                <w:szCs w:val="20"/>
              </w:rPr>
            </w:pPr>
            <w:r w:rsidRPr="009575F9">
              <w:rPr>
                <w:rFonts w:cs="Times New Roman"/>
                <w:sz w:val="20"/>
                <w:szCs w:val="20"/>
              </w:rPr>
              <w:t>4</w:t>
            </w:r>
          </w:p>
        </w:tc>
        <w:tc>
          <w:tcPr>
            <w:tcW w:w="1255" w:type="dxa"/>
            <w:tcBorders>
              <w:top w:val="nil"/>
              <w:left w:val="nil"/>
              <w:bottom w:val="nil"/>
              <w:right w:val="nil"/>
            </w:tcBorders>
            <w:shd w:val="clear" w:color="auto" w:fill="FFFFFF"/>
          </w:tcPr>
          <w:p w14:paraId="69827BB1" w14:textId="77777777" w:rsidR="009575F9" w:rsidRPr="009575F9" w:rsidRDefault="009575F9" w:rsidP="009575F9">
            <w:pPr>
              <w:spacing w:line="240" w:lineRule="auto"/>
              <w:rPr>
                <w:rFonts w:cs="Times New Roman"/>
                <w:sz w:val="20"/>
                <w:szCs w:val="20"/>
              </w:rPr>
            </w:pPr>
            <w:r w:rsidRPr="009575F9">
              <w:rPr>
                <w:rFonts w:cs="Times New Roman"/>
                <w:sz w:val="20"/>
                <w:szCs w:val="20"/>
              </w:rPr>
              <w:t>0.54</w:t>
            </w:r>
          </w:p>
        </w:tc>
        <w:tc>
          <w:tcPr>
            <w:tcW w:w="1513" w:type="dxa"/>
            <w:tcBorders>
              <w:top w:val="nil"/>
              <w:left w:val="nil"/>
              <w:bottom w:val="nil"/>
              <w:right w:val="nil"/>
            </w:tcBorders>
            <w:shd w:val="clear" w:color="auto" w:fill="FFFFFF"/>
          </w:tcPr>
          <w:p w14:paraId="4DD02B9D" w14:textId="77777777" w:rsidR="009575F9" w:rsidRPr="009575F9" w:rsidRDefault="009575F9" w:rsidP="009575F9">
            <w:pPr>
              <w:spacing w:line="240" w:lineRule="auto"/>
              <w:rPr>
                <w:rFonts w:cs="Times New Roman"/>
                <w:sz w:val="20"/>
                <w:szCs w:val="20"/>
              </w:rPr>
            </w:pPr>
            <w:r w:rsidRPr="009575F9">
              <w:rPr>
                <w:rFonts w:cs="Times New Roman"/>
                <w:sz w:val="20"/>
                <w:szCs w:val="20"/>
              </w:rPr>
              <w:t>0.89</w:t>
            </w:r>
          </w:p>
        </w:tc>
      </w:tr>
      <w:tr w:rsidR="009575F9" w:rsidRPr="009575F9" w14:paraId="37601572" w14:textId="77777777" w:rsidTr="005A1DA2">
        <w:trPr>
          <w:cantSplit/>
          <w:trHeight w:val="243"/>
        </w:trPr>
        <w:tc>
          <w:tcPr>
            <w:tcW w:w="2655" w:type="dxa"/>
            <w:tcBorders>
              <w:top w:val="nil"/>
              <w:left w:val="nil"/>
              <w:bottom w:val="nil"/>
              <w:right w:val="nil"/>
            </w:tcBorders>
            <w:shd w:val="clear" w:color="auto" w:fill="FFFFFF"/>
          </w:tcPr>
          <w:p w14:paraId="39BF3298" w14:textId="77777777" w:rsidR="009575F9" w:rsidRPr="009575F9" w:rsidRDefault="009575F9" w:rsidP="009575F9">
            <w:pPr>
              <w:spacing w:line="240" w:lineRule="auto"/>
              <w:rPr>
                <w:rFonts w:cs="Times New Roman"/>
                <w:i/>
                <w:iCs/>
                <w:sz w:val="20"/>
                <w:szCs w:val="20"/>
              </w:rPr>
            </w:pPr>
            <w:r w:rsidRPr="009575F9">
              <w:rPr>
                <w:rFonts w:cs="Times New Roman"/>
                <w:i/>
                <w:iCs/>
                <w:sz w:val="20"/>
                <w:szCs w:val="20"/>
              </w:rPr>
              <w:t>Controle</w:t>
            </w:r>
          </w:p>
        </w:tc>
        <w:tc>
          <w:tcPr>
            <w:tcW w:w="1217" w:type="dxa"/>
            <w:tcBorders>
              <w:top w:val="nil"/>
              <w:left w:val="nil"/>
              <w:bottom w:val="nil"/>
              <w:right w:val="nil"/>
            </w:tcBorders>
            <w:shd w:val="clear" w:color="auto" w:fill="FFFFFF"/>
          </w:tcPr>
          <w:p w14:paraId="7704B45A" w14:textId="77777777" w:rsidR="009575F9" w:rsidRPr="009575F9" w:rsidRDefault="009575F9" w:rsidP="009575F9">
            <w:pPr>
              <w:spacing w:line="240" w:lineRule="auto"/>
              <w:rPr>
                <w:rFonts w:cs="Times New Roman"/>
                <w:sz w:val="20"/>
                <w:szCs w:val="20"/>
              </w:rPr>
            </w:pPr>
          </w:p>
        </w:tc>
        <w:tc>
          <w:tcPr>
            <w:tcW w:w="1218" w:type="dxa"/>
            <w:tcBorders>
              <w:top w:val="nil"/>
              <w:left w:val="nil"/>
              <w:bottom w:val="nil"/>
              <w:right w:val="nil"/>
            </w:tcBorders>
            <w:shd w:val="clear" w:color="auto" w:fill="FFFFFF"/>
          </w:tcPr>
          <w:p w14:paraId="0A87D74F" w14:textId="77777777" w:rsidR="009575F9" w:rsidRPr="009575F9" w:rsidRDefault="009575F9" w:rsidP="009575F9">
            <w:pPr>
              <w:spacing w:line="240" w:lineRule="auto"/>
              <w:rPr>
                <w:rFonts w:cs="Times New Roman"/>
                <w:sz w:val="20"/>
                <w:szCs w:val="20"/>
              </w:rPr>
            </w:pPr>
          </w:p>
        </w:tc>
        <w:tc>
          <w:tcPr>
            <w:tcW w:w="1218" w:type="dxa"/>
            <w:tcBorders>
              <w:top w:val="nil"/>
              <w:left w:val="nil"/>
              <w:bottom w:val="nil"/>
              <w:right w:val="nil"/>
            </w:tcBorders>
            <w:shd w:val="clear" w:color="auto" w:fill="FFFFFF"/>
          </w:tcPr>
          <w:p w14:paraId="185BB9DC" w14:textId="77777777" w:rsidR="009575F9" w:rsidRPr="009575F9" w:rsidRDefault="009575F9" w:rsidP="009575F9">
            <w:pPr>
              <w:spacing w:line="240" w:lineRule="auto"/>
              <w:rPr>
                <w:rFonts w:cs="Times New Roman"/>
                <w:sz w:val="20"/>
                <w:szCs w:val="20"/>
              </w:rPr>
            </w:pPr>
          </w:p>
        </w:tc>
        <w:tc>
          <w:tcPr>
            <w:tcW w:w="1255" w:type="dxa"/>
            <w:tcBorders>
              <w:top w:val="nil"/>
              <w:left w:val="nil"/>
              <w:bottom w:val="nil"/>
              <w:right w:val="nil"/>
            </w:tcBorders>
            <w:shd w:val="clear" w:color="auto" w:fill="FFFFFF"/>
          </w:tcPr>
          <w:p w14:paraId="11F5DD54" w14:textId="77777777" w:rsidR="009575F9" w:rsidRPr="009575F9" w:rsidRDefault="009575F9" w:rsidP="009575F9">
            <w:pPr>
              <w:spacing w:line="240" w:lineRule="auto"/>
              <w:rPr>
                <w:rFonts w:cs="Times New Roman"/>
                <w:sz w:val="20"/>
                <w:szCs w:val="20"/>
              </w:rPr>
            </w:pPr>
          </w:p>
        </w:tc>
        <w:tc>
          <w:tcPr>
            <w:tcW w:w="1513" w:type="dxa"/>
            <w:tcBorders>
              <w:top w:val="nil"/>
              <w:left w:val="nil"/>
              <w:bottom w:val="nil"/>
              <w:right w:val="nil"/>
            </w:tcBorders>
            <w:shd w:val="clear" w:color="auto" w:fill="FFFFFF"/>
          </w:tcPr>
          <w:p w14:paraId="2038A008" w14:textId="77777777" w:rsidR="009575F9" w:rsidRPr="009575F9" w:rsidRDefault="009575F9" w:rsidP="009575F9">
            <w:pPr>
              <w:spacing w:line="240" w:lineRule="auto"/>
              <w:rPr>
                <w:rFonts w:cs="Times New Roman"/>
                <w:sz w:val="20"/>
                <w:szCs w:val="20"/>
              </w:rPr>
            </w:pPr>
          </w:p>
        </w:tc>
      </w:tr>
      <w:tr w:rsidR="009575F9" w:rsidRPr="009575F9" w14:paraId="69A5B5ED" w14:textId="77777777" w:rsidTr="005A1DA2">
        <w:trPr>
          <w:cantSplit/>
          <w:trHeight w:val="196"/>
        </w:trPr>
        <w:tc>
          <w:tcPr>
            <w:tcW w:w="2655" w:type="dxa"/>
            <w:tcBorders>
              <w:top w:val="nil"/>
              <w:left w:val="nil"/>
              <w:bottom w:val="nil"/>
              <w:right w:val="nil"/>
            </w:tcBorders>
            <w:shd w:val="clear" w:color="auto" w:fill="FFFFFF"/>
          </w:tcPr>
          <w:p w14:paraId="7C237547" w14:textId="77777777" w:rsidR="009575F9" w:rsidRPr="009575F9" w:rsidRDefault="009575F9" w:rsidP="009575F9">
            <w:pPr>
              <w:spacing w:line="240" w:lineRule="auto"/>
              <w:rPr>
                <w:rFonts w:cs="Times New Roman"/>
                <w:sz w:val="20"/>
                <w:szCs w:val="20"/>
              </w:rPr>
            </w:pPr>
            <w:r w:rsidRPr="009575F9">
              <w:rPr>
                <w:rFonts w:cs="Times New Roman"/>
                <w:sz w:val="20"/>
                <w:szCs w:val="20"/>
              </w:rPr>
              <w:t>Geen aandacht</w:t>
            </w:r>
          </w:p>
        </w:tc>
        <w:tc>
          <w:tcPr>
            <w:tcW w:w="1217" w:type="dxa"/>
            <w:tcBorders>
              <w:top w:val="nil"/>
              <w:left w:val="nil"/>
              <w:bottom w:val="nil"/>
              <w:right w:val="nil"/>
            </w:tcBorders>
            <w:shd w:val="clear" w:color="auto" w:fill="FFFFFF"/>
          </w:tcPr>
          <w:p w14:paraId="77570DD7"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61BAE46B"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59D9CBB0"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13681195" w14:textId="77777777" w:rsidR="009575F9" w:rsidRPr="009575F9" w:rsidRDefault="009575F9" w:rsidP="009575F9">
            <w:pPr>
              <w:spacing w:line="240" w:lineRule="auto"/>
              <w:rPr>
                <w:rFonts w:cs="Times New Roman"/>
                <w:sz w:val="20"/>
                <w:szCs w:val="20"/>
              </w:rPr>
            </w:pPr>
            <w:r w:rsidRPr="009575F9">
              <w:rPr>
                <w:rFonts w:cs="Times New Roman"/>
                <w:sz w:val="20"/>
                <w:szCs w:val="20"/>
              </w:rPr>
              <w:t>0.43</w:t>
            </w:r>
          </w:p>
        </w:tc>
        <w:tc>
          <w:tcPr>
            <w:tcW w:w="1513" w:type="dxa"/>
            <w:tcBorders>
              <w:top w:val="nil"/>
              <w:left w:val="nil"/>
              <w:bottom w:val="nil"/>
              <w:right w:val="nil"/>
            </w:tcBorders>
            <w:shd w:val="clear" w:color="auto" w:fill="FFFFFF"/>
          </w:tcPr>
          <w:p w14:paraId="1A773129" w14:textId="77777777" w:rsidR="009575F9" w:rsidRPr="009575F9" w:rsidRDefault="009575F9" w:rsidP="009575F9">
            <w:pPr>
              <w:spacing w:line="240" w:lineRule="auto"/>
              <w:rPr>
                <w:rFonts w:cs="Times New Roman"/>
                <w:sz w:val="20"/>
                <w:szCs w:val="20"/>
              </w:rPr>
            </w:pPr>
            <w:r w:rsidRPr="009575F9">
              <w:rPr>
                <w:rFonts w:cs="Times New Roman"/>
                <w:sz w:val="20"/>
                <w:szCs w:val="20"/>
              </w:rPr>
              <w:t>0.50</w:t>
            </w:r>
          </w:p>
        </w:tc>
      </w:tr>
      <w:tr w:rsidR="009575F9" w:rsidRPr="009575F9" w14:paraId="55976E35" w14:textId="77777777" w:rsidTr="005A1DA2">
        <w:trPr>
          <w:cantSplit/>
          <w:trHeight w:val="230"/>
        </w:trPr>
        <w:tc>
          <w:tcPr>
            <w:tcW w:w="2655" w:type="dxa"/>
            <w:tcBorders>
              <w:top w:val="nil"/>
              <w:left w:val="nil"/>
              <w:bottom w:val="nil"/>
              <w:right w:val="nil"/>
            </w:tcBorders>
            <w:shd w:val="clear" w:color="auto" w:fill="FFFFFF"/>
          </w:tcPr>
          <w:p w14:paraId="1541429B" w14:textId="77777777" w:rsidR="009575F9" w:rsidRPr="009575F9" w:rsidRDefault="009575F9" w:rsidP="009575F9">
            <w:pPr>
              <w:spacing w:line="240" w:lineRule="auto"/>
              <w:rPr>
                <w:rFonts w:cs="Times New Roman"/>
                <w:sz w:val="20"/>
                <w:szCs w:val="20"/>
              </w:rPr>
            </w:pPr>
            <w:r w:rsidRPr="009575F9">
              <w:rPr>
                <w:rFonts w:cs="Times New Roman"/>
                <w:sz w:val="20"/>
                <w:szCs w:val="20"/>
              </w:rPr>
              <w:t>Wel aandacht</w:t>
            </w:r>
          </w:p>
        </w:tc>
        <w:tc>
          <w:tcPr>
            <w:tcW w:w="1217" w:type="dxa"/>
            <w:tcBorders>
              <w:top w:val="nil"/>
              <w:left w:val="nil"/>
              <w:bottom w:val="nil"/>
              <w:right w:val="nil"/>
            </w:tcBorders>
            <w:shd w:val="clear" w:color="auto" w:fill="FFFFFF"/>
          </w:tcPr>
          <w:p w14:paraId="03A4F14E"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69C9EB44"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025376CF"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57019447" w14:textId="77777777" w:rsidR="009575F9" w:rsidRPr="009575F9" w:rsidRDefault="009575F9" w:rsidP="009575F9">
            <w:pPr>
              <w:spacing w:line="240" w:lineRule="auto"/>
              <w:rPr>
                <w:rFonts w:cs="Times New Roman"/>
                <w:sz w:val="20"/>
                <w:szCs w:val="20"/>
              </w:rPr>
            </w:pPr>
            <w:r w:rsidRPr="009575F9">
              <w:rPr>
                <w:rFonts w:cs="Times New Roman"/>
                <w:sz w:val="20"/>
                <w:szCs w:val="20"/>
              </w:rPr>
              <w:t>0.20</w:t>
            </w:r>
          </w:p>
        </w:tc>
        <w:tc>
          <w:tcPr>
            <w:tcW w:w="1513" w:type="dxa"/>
            <w:tcBorders>
              <w:top w:val="nil"/>
              <w:left w:val="nil"/>
              <w:bottom w:val="nil"/>
              <w:right w:val="nil"/>
            </w:tcBorders>
            <w:shd w:val="clear" w:color="auto" w:fill="FFFFFF"/>
          </w:tcPr>
          <w:p w14:paraId="72A240A8" w14:textId="77777777" w:rsidR="009575F9" w:rsidRPr="009575F9" w:rsidRDefault="009575F9" w:rsidP="009575F9">
            <w:pPr>
              <w:spacing w:line="240" w:lineRule="auto"/>
              <w:rPr>
                <w:rFonts w:cs="Times New Roman"/>
                <w:sz w:val="20"/>
                <w:szCs w:val="20"/>
              </w:rPr>
            </w:pPr>
            <w:r w:rsidRPr="009575F9">
              <w:rPr>
                <w:rFonts w:cs="Times New Roman"/>
                <w:sz w:val="20"/>
                <w:szCs w:val="20"/>
              </w:rPr>
              <w:t>0.40</w:t>
            </w:r>
          </w:p>
        </w:tc>
      </w:tr>
      <w:tr w:rsidR="009575F9" w:rsidRPr="009575F9" w14:paraId="23DD6F7B" w14:textId="77777777" w:rsidTr="005A1DA2">
        <w:trPr>
          <w:cantSplit/>
          <w:trHeight w:val="264"/>
        </w:trPr>
        <w:tc>
          <w:tcPr>
            <w:tcW w:w="2655" w:type="dxa"/>
            <w:tcBorders>
              <w:top w:val="nil"/>
              <w:left w:val="nil"/>
              <w:bottom w:val="nil"/>
              <w:right w:val="nil"/>
            </w:tcBorders>
            <w:shd w:val="clear" w:color="auto" w:fill="FFFFFF"/>
          </w:tcPr>
          <w:p w14:paraId="2D6BC6CA" w14:textId="77777777" w:rsidR="009575F9" w:rsidRPr="009575F9" w:rsidRDefault="009575F9" w:rsidP="009575F9">
            <w:pPr>
              <w:spacing w:line="240" w:lineRule="auto"/>
              <w:rPr>
                <w:rFonts w:cs="Times New Roman"/>
                <w:sz w:val="20"/>
                <w:szCs w:val="20"/>
              </w:rPr>
            </w:pPr>
            <w:r w:rsidRPr="009575F9">
              <w:rPr>
                <w:rFonts w:cs="Times New Roman"/>
                <w:sz w:val="20"/>
                <w:szCs w:val="20"/>
              </w:rPr>
              <w:t>2022</w:t>
            </w:r>
          </w:p>
        </w:tc>
        <w:tc>
          <w:tcPr>
            <w:tcW w:w="1217" w:type="dxa"/>
            <w:tcBorders>
              <w:top w:val="nil"/>
              <w:left w:val="nil"/>
              <w:bottom w:val="nil"/>
              <w:right w:val="nil"/>
            </w:tcBorders>
            <w:shd w:val="clear" w:color="auto" w:fill="FFFFFF"/>
          </w:tcPr>
          <w:p w14:paraId="1AB5FD90"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52CD5068"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2992907B"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76BD8B55" w14:textId="77777777" w:rsidR="009575F9" w:rsidRPr="009575F9" w:rsidRDefault="009575F9" w:rsidP="009575F9">
            <w:pPr>
              <w:spacing w:line="240" w:lineRule="auto"/>
              <w:rPr>
                <w:rFonts w:cs="Times New Roman"/>
                <w:sz w:val="20"/>
                <w:szCs w:val="20"/>
              </w:rPr>
            </w:pPr>
            <w:r w:rsidRPr="009575F9">
              <w:rPr>
                <w:rFonts w:cs="Times New Roman"/>
                <w:sz w:val="20"/>
                <w:szCs w:val="20"/>
              </w:rPr>
              <w:t>0.32</w:t>
            </w:r>
          </w:p>
        </w:tc>
        <w:tc>
          <w:tcPr>
            <w:tcW w:w="1513" w:type="dxa"/>
            <w:tcBorders>
              <w:top w:val="nil"/>
              <w:left w:val="nil"/>
              <w:bottom w:val="nil"/>
              <w:right w:val="nil"/>
            </w:tcBorders>
            <w:shd w:val="clear" w:color="auto" w:fill="FFFFFF"/>
          </w:tcPr>
          <w:p w14:paraId="6097351C" w14:textId="77777777" w:rsidR="009575F9" w:rsidRPr="009575F9" w:rsidRDefault="009575F9" w:rsidP="009575F9">
            <w:pPr>
              <w:spacing w:line="240" w:lineRule="auto"/>
              <w:rPr>
                <w:rFonts w:cs="Times New Roman"/>
                <w:sz w:val="20"/>
                <w:szCs w:val="20"/>
              </w:rPr>
            </w:pPr>
            <w:r w:rsidRPr="009575F9">
              <w:rPr>
                <w:rFonts w:cs="Times New Roman"/>
                <w:sz w:val="20"/>
                <w:szCs w:val="20"/>
              </w:rPr>
              <w:t>0.47</w:t>
            </w:r>
          </w:p>
        </w:tc>
      </w:tr>
      <w:tr w:rsidR="009575F9" w:rsidRPr="009575F9" w14:paraId="5231DA3D" w14:textId="77777777" w:rsidTr="005A1DA2">
        <w:trPr>
          <w:cantSplit/>
          <w:trHeight w:val="156"/>
        </w:trPr>
        <w:tc>
          <w:tcPr>
            <w:tcW w:w="2655" w:type="dxa"/>
            <w:tcBorders>
              <w:top w:val="nil"/>
              <w:left w:val="nil"/>
              <w:bottom w:val="nil"/>
              <w:right w:val="nil"/>
            </w:tcBorders>
            <w:shd w:val="clear" w:color="auto" w:fill="FFFFFF"/>
          </w:tcPr>
          <w:p w14:paraId="010A8247" w14:textId="77777777" w:rsidR="009575F9" w:rsidRPr="009575F9" w:rsidRDefault="009575F9" w:rsidP="009575F9">
            <w:pPr>
              <w:spacing w:line="240" w:lineRule="auto"/>
              <w:rPr>
                <w:rFonts w:cs="Times New Roman"/>
                <w:sz w:val="20"/>
                <w:szCs w:val="20"/>
              </w:rPr>
            </w:pPr>
            <w:r w:rsidRPr="009575F9">
              <w:rPr>
                <w:rFonts w:cs="Times New Roman"/>
                <w:sz w:val="20"/>
                <w:szCs w:val="20"/>
              </w:rPr>
              <w:t>2018</w:t>
            </w:r>
          </w:p>
        </w:tc>
        <w:tc>
          <w:tcPr>
            <w:tcW w:w="1217" w:type="dxa"/>
            <w:tcBorders>
              <w:top w:val="nil"/>
              <w:left w:val="nil"/>
              <w:bottom w:val="nil"/>
              <w:right w:val="nil"/>
            </w:tcBorders>
            <w:shd w:val="clear" w:color="auto" w:fill="FFFFFF"/>
          </w:tcPr>
          <w:p w14:paraId="0B3480F0"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nil"/>
              <w:right w:val="nil"/>
            </w:tcBorders>
            <w:shd w:val="clear" w:color="auto" w:fill="FFFFFF"/>
          </w:tcPr>
          <w:p w14:paraId="784331EE"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nil"/>
              <w:right w:val="nil"/>
            </w:tcBorders>
            <w:shd w:val="clear" w:color="auto" w:fill="FFFFFF"/>
          </w:tcPr>
          <w:p w14:paraId="44DF6C63"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nil"/>
              <w:right w:val="nil"/>
            </w:tcBorders>
            <w:shd w:val="clear" w:color="auto" w:fill="FFFFFF"/>
          </w:tcPr>
          <w:p w14:paraId="4A4DEA01" w14:textId="77777777" w:rsidR="009575F9" w:rsidRPr="009575F9" w:rsidRDefault="009575F9" w:rsidP="009575F9">
            <w:pPr>
              <w:spacing w:line="240" w:lineRule="auto"/>
              <w:rPr>
                <w:rFonts w:cs="Times New Roman"/>
                <w:sz w:val="20"/>
                <w:szCs w:val="20"/>
              </w:rPr>
            </w:pPr>
            <w:r w:rsidRPr="009575F9">
              <w:rPr>
                <w:rFonts w:cs="Times New Roman"/>
                <w:sz w:val="20"/>
                <w:szCs w:val="20"/>
              </w:rPr>
              <w:t>0.32</w:t>
            </w:r>
          </w:p>
        </w:tc>
        <w:tc>
          <w:tcPr>
            <w:tcW w:w="1513" w:type="dxa"/>
            <w:tcBorders>
              <w:top w:val="nil"/>
              <w:left w:val="nil"/>
              <w:bottom w:val="nil"/>
              <w:right w:val="nil"/>
            </w:tcBorders>
            <w:shd w:val="clear" w:color="auto" w:fill="FFFFFF"/>
          </w:tcPr>
          <w:p w14:paraId="2A17129D" w14:textId="77777777" w:rsidR="009575F9" w:rsidRPr="009575F9" w:rsidRDefault="009575F9" w:rsidP="009575F9">
            <w:pPr>
              <w:spacing w:line="240" w:lineRule="auto"/>
              <w:rPr>
                <w:rFonts w:cs="Times New Roman"/>
                <w:sz w:val="20"/>
                <w:szCs w:val="20"/>
              </w:rPr>
            </w:pPr>
            <w:r w:rsidRPr="009575F9">
              <w:rPr>
                <w:rFonts w:cs="Times New Roman"/>
                <w:sz w:val="20"/>
                <w:szCs w:val="20"/>
              </w:rPr>
              <w:t>0.47</w:t>
            </w:r>
          </w:p>
        </w:tc>
      </w:tr>
      <w:tr w:rsidR="009575F9" w:rsidRPr="009575F9" w14:paraId="37EB9CDA" w14:textId="77777777" w:rsidTr="005A1DA2">
        <w:trPr>
          <w:cantSplit/>
          <w:trHeight w:val="190"/>
        </w:trPr>
        <w:tc>
          <w:tcPr>
            <w:tcW w:w="2655" w:type="dxa"/>
            <w:tcBorders>
              <w:top w:val="nil"/>
              <w:left w:val="nil"/>
              <w:bottom w:val="single" w:sz="8" w:space="0" w:color="000000"/>
              <w:right w:val="nil"/>
            </w:tcBorders>
            <w:shd w:val="clear" w:color="auto" w:fill="FFFFFF"/>
          </w:tcPr>
          <w:p w14:paraId="5D8E41C1" w14:textId="77777777" w:rsidR="009575F9" w:rsidRPr="009575F9" w:rsidRDefault="009575F9" w:rsidP="009575F9">
            <w:pPr>
              <w:spacing w:line="240" w:lineRule="auto"/>
              <w:rPr>
                <w:rFonts w:cs="Times New Roman"/>
                <w:sz w:val="20"/>
                <w:szCs w:val="20"/>
              </w:rPr>
            </w:pPr>
            <w:r w:rsidRPr="009575F9">
              <w:rPr>
                <w:rFonts w:cs="Times New Roman"/>
                <w:sz w:val="20"/>
                <w:szCs w:val="20"/>
              </w:rPr>
              <w:t>2014</w:t>
            </w:r>
          </w:p>
        </w:tc>
        <w:tc>
          <w:tcPr>
            <w:tcW w:w="1217" w:type="dxa"/>
            <w:tcBorders>
              <w:top w:val="nil"/>
              <w:left w:val="nil"/>
              <w:bottom w:val="single" w:sz="8" w:space="0" w:color="000000"/>
              <w:right w:val="nil"/>
            </w:tcBorders>
            <w:shd w:val="clear" w:color="auto" w:fill="FFFFFF"/>
          </w:tcPr>
          <w:p w14:paraId="357D8306" w14:textId="77777777" w:rsidR="009575F9" w:rsidRPr="009575F9" w:rsidRDefault="009575F9" w:rsidP="009575F9">
            <w:pPr>
              <w:spacing w:line="240" w:lineRule="auto"/>
              <w:rPr>
                <w:rFonts w:cs="Times New Roman"/>
                <w:sz w:val="20"/>
                <w:szCs w:val="20"/>
              </w:rPr>
            </w:pPr>
            <w:r w:rsidRPr="009575F9">
              <w:rPr>
                <w:rFonts w:cs="Times New Roman"/>
                <w:sz w:val="20"/>
                <w:szCs w:val="20"/>
              </w:rPr>
              <w:t>1078</w:t>
            </w:r>
          </w:p>
        </w:tc>
        <w:tc>
          <w:tcPr>
            <w:tcW w:w="1218" w:type="dxa"/>
            <w:tcBorders>
              <w:top w:val="nil"/>
              <w:left w:val="nil"/>
              <w:bottom w:val="single" w:sz="8" w:space="0" w:color="000000"/>
              <w:right w:val="nil"/>
            </w:tcBorders>
            <w:shd w:val="clear" w:color="auto" w:fill="FFFFFF"/>
            <w:vAlign w:val="center"/>
          </w:tcPr>
          <w:p w14:paraId="2B1844F6" w14:textId="77777777" w:rsidR="009575F9" w:rsidRPr="009575F9" w:rsidRDefault="009575F9" w:rsidP="009575F9">
            <w:pPr>
              <w:spacing w:line="240" w:lineRule="auto"/>
              <w:rPr>
                <w:rFonts w:cs="Times New Roman"/>
                <w:sz w:val="20"/>
                <w:szCs w:val="20"/>
              </w:rPr>
            </w:pPr>
            <w:r w:rsidRPr="009575F9">
              <w:rPr>
                <w:rFonts w:cs="Times New Roman"/>
                <w:sz w:val="20"/>
                <w:szCs w:val="20"/>
              </w:rPr>
              <w:t>0</w:t>
            </w:r>
          </w:p>
        </w:tc>
        <w:tc>
          <w:tcPr>
            <w:tcW w:w="1218" w:type="dxa"/>
            <w:tcBorders>
              <w:top w:val="nil"/>
              <w:left w:val="nil"/>
              <w:bottom w:val="single" w:sz="8" w:space="0" w:color="000000"/>
              <w:right w:val="nil"/>
            </w:tcBorders>
            <w:shd w:val="clear" w:color="auto" w:fill="FFFFFF"/>
            <w:vAlign w:val="center"/>
          </w:tcPr>
          <w:p w14:paraId="5D1A6BA8" w14:textId="77777777" w:rsidR="009575F9" w:rsidRPr="009575F9" w:rsidRDefault="009575F9" w:rsidP="009575F9">
            <w:pPr>
              <w:spacing w:line="240" w:lineRule="auto"/>
              <w:rPr>
                <w:rFonts w:cs="Times New Roman"/>
                <w:sz w:val="20"/>
                <w:szCs w:val="20"/>
              </w:rPr>
            </w:pPr>
            <w:r w:rsidRPr="009575F9">
              <w:rPr>
                <w:rFonts w:cs="Times New Roman"/>
                <w:sz w:val="20"/>
                <w:szCs w:val="20"/>
              </w:rPr>
              <w:t>1</w:t>
            </w:r>
          </w:p>
        </w:tc>
        <w:tc>
          <w:tcPr>
            <w:tcW w:w="1255" w:type="dxa"/>
            <w:tcBorders>
              <w:top w:val="nil"/>
              <w:left w:val="nil"/>
              <w:bottom w:val="single" w:sz="8" w:space="0" w:color="000000"/>
              <w:right w:val="nil"/>
            </w:tcBorders>
            <w:shd w:val="clear" w:color="auto" w:fill="FFFFFF"/>
            <w:vAlign w:val="center"/>
          </w:tcPr>
          <w:p w14:paraId="59A0E126" w14:textId="77777777" w:rsidR="009575F9" w:rsidRPr="009575F9" w:rsidRDefault="009575F9" w:rsidP="009575F9">
            <w:pPr>
              <w:spacing w:line="240" w:lineRule="auto"/>
              <w:rPr>
                <w:rFonts w:cs="Times New Roman"/>
                <w:sz w:val="20"/>
                <w:szCs w:val="20"/>
              </w:rPr>
            </w:pPr>
            <w:r w:rsidRPr="009575F9">
              <w:rPr>
                <w:rFonts w:cs="Times New Roman"/>
                <w:sz w:val="20"/>
                <w:szCs w:val="20"/>
              </w:rPr>
              <w:t>0.36</w:t>
            </w:r>
          </w:p>
        </w:tc>
        <w:tc>
          <w:tcPr>
            <w:tcW w:w="1513" w:type="dxa"/>
            <w:tcBorders>
              <w:top w:val="nil"/>
              <w:left w:val="nil"/>
              <w:bottom w:val="single" w:sz="8" w:space="0" w:color="000000"/>
              <w:right w:val="nil"/>
            </w:tcBorders>
            <w:shd w:val="clear" w:color="auto" w:fill="FFFFFF"/>
            <w:vAlign w:val="center"/>
          </w:tcPr>
          <w:p w14:paraId="0BEA55D6" w14:textId="77777777" w:rsidR="009575F9" w:rsidRPr="009575F9" w:rsidRDefault="009575F9" w:rsidP="009575F9">
            <w:pPr>
              <w:spacing w:line="240" w:lineRule="auto"/>
              <w:rPr>
                <w:rFonts w:cs="Times New Roman"/>
                <w:sz w:val="20"/>
                <w:szCs w:val="20"/>
              </w:rPr>
            </w:pPr>
            <w:r w:rsidRPr="009575F9">
              <w:rPr>
                <w:rFonts w:cs="Times New Roman"/>
                <w:sz w:val="20"/>
                <w:szCs w:val="20"/>
              </w:rPr>
              <w:t>0.48</w:t>
            </w:r>
          </w:p>
        </w:tc>
      </w:tr>
    </w:tbl>
    <w:p w14:paraId="4344EC3A" w14:textId="77777777" w:rsidR="00CD73E5" w:rsidRDefault="00CD73E5" w:rsidP="00CD73E5">
      <w:pPr>
        <w:spacing w:line="240" w:lineRule="auto"/>
        <w:rPr>
          <w:b/>
          <w:bCs/>
          <w:sz w:val="20"/>
          <w:szCs w:val="18"/>
        </w:rPr>
      </w:pPr>
    </w:p>
    <w:p w14:paraId="66616A45" w14:textId="473176E5" w:rsidR="00CD73E5" w:rsidRPr="007D42AE" w:rsidRDefault="0015367A" w:rsidP="00CD73E5">
      <w:pPr>
        <w:spacing w:line="240" w:lineRule="auto"/>
        <w:rPr>
          <w:b/>
          <w:bCs/>
          <w:sz w:val="20"/>
          <w:szCs w:val="18"/>
        </w:rPr>
      </w:pPr>
      <w:r w:rsidRPr="007D42AE">
        <w:rPr>
          <w:b/>
          <w:bCs/>
          <w:sz w:val="20"/>
          <w:szCs w:val="18"/>
        </w:rPr>
        <w:t>Tabel I</w:t>
      </w:r>
      <w:r w:rsidR="007D42AE">
        <w:rPr>
          <w:b/>
          <w:bCs/>
          <w:sz w:val="20"/>
          <w:szCs w:val="18"/>
        </w:rPr>
        <w:t>I</w:t>
      </w:r>
      <w:r w:rsidR="007D42AE" w:rsidRPr="007D42AE">
        <w:rPr>
          <w:b/>
          <w:bCs/>
          <w:sz w:val="20"/>
          <w:szCs w:val="18"/>
        </w:rPr>
        <w:t xml:space="preserve">: </w:t>
      </w:r>
      <w:r w:rsidR="007D42AE">
        <w:rPr>
          <w:b/>
          <w:bCs/>
          <w:sz w:val="20"/>
          <w:szCs w:val="18"/>
        </w:rPr>
        <w:t xml:space="preserve">beschrijvende statistieken </w:t>
      </w:r>
      <w:r w:rsidR="00A41066">
        <w:rPr>
          <w:b/>
          <w:bCs/>
          <w:sz w:val="20"/>
          <w:szCs w:val="18"/>
        </w:rPr>
        <w:t>variabelen zonder log</w:t>
      </w:r>
      <w:r w:rsidR="000B7D1B">
        <w:rPr>
          <w:b/>
          <w:bCs/>
          <w:sz w:val="20"/>
          <w:szCs w:val="18"/>
        </w:rPr>
        <w:t>-</w:t>
      </w:r>
      <w:r w:rsidR="00A41066">
        <w:rPr>
          <w:b/>
          <w:bCs/>
          <w:sz w:val="20"/>
          <w:szCs w:val="18"/>
        </w:rPr>
        <w:t>transformatie</w:t>
      </w:r>
    </w:p>
    <w:tbl>
      <w:tblPr>
        <w:tblW w:w="9076" w:type="dxa"/>
        <w:tblLayout w:type="fixed"/>
        <w:tblCellMar>
          <w:left w:w="0" w:type="dxa"/>
          <w:right w:w="0" w:type="dxa"/>
        </w:tblCellMar>
        <w:tblLook w:val="0000" w:firstRow="0" w:lastRow="0" w:firstColumn="0" w:lastColumn="0" w:noHBand="0" w:noVBand="0"/>
      </w:tblPr>
      <w:tblGrid>
        <w:gridCol w:w="2655"/>
        <w:gridCol w:w="1217"/>
        <w:gridCol w:w="1218"/>
        <w:gridCol w:w="1218"/>
        <w:gridCol w:w="1255"/>
        <w:gridCol w:w="1513"/>
      </w:tblGrid>
      <w:tr w:rsidR="000044A9" w:rsidRPr="000044A9" w14:paraId="26512A61" w14:textId="77777777" w:rsidTr="005A1DA2">
        <w:trPr>
          <w:cantSplit/>
          <w:trHeight w:val="395"/>
        </w:trPr>
        <w:tc>
          <w:tcPr>
            <w:tcW w:w="2655" w:type="dxa"/>
            <w:tcBorders>
              <w:top w:val="single" w:sz="8" w:space="0" w:color="000000"/>
              <w:left w:val="nil"/>
              <w:bottom w:val="single" w:sz="8" w:space="0" w:color="000000"/>
              <w:right w:val="nil"/>
            </w:tcBorders>
            <w:shd w:val="clear" w:color="auto" w:fill="FFFFFF"/>
            <w:vAlign w:val="bottom"/>
          </w:tcPr>
          <w:p w14:paraId="5040FBD8" w14:textId="77777777" w:rsidR="000044A9" w:rsidRPr="000044A9" w:rsidRDefault="000044A9" w:rsidP="00CD73E5">
            <w:pPr>
              <w:spacing w:line="240" w:lineRule="auto"/>
              <w:rPr>
                <w:rFonts w:cs="Times New Roman"/>
                <w:sz w:val="20"/>
                <w:szCs w:val="20"/>
              </w:rPr>
            </w:pPr>
          </w:p>
        </w:tc>
        <w:tc>
          <w:tcPr>
            <w:tcW w:w="1217" w:type="dxa"/>
            <w:tcBorders>
              <w:top w:val="single" w:sz="8" w:space="0" w:color="000000"/>
              <w:left w:val="nil"/>
              <w:bottom w:val="single" w:sz="8" w:space="0" w:color="000000"/>
              <w:right w:val="nil"/>
            </w:tcBorders>
            <w:shd w:val="clear" w:color="auto" w:fill="FFFFFF"/>
            <w:vAlign w:val="bottom"/>
          </w:tcPr>
          <w:p w14:paraId="680A5B04" w14:textId="77777777" w:rsidR="000044A9" w:rsidRPr="000044A9" w:rsidRDefault="000044A9" w:rsidP="00CD73E5">
            <w:pPr>
              <w:spacing w:line="240" w:lineRule="auto"/>
              <w:rPr>
                <w:rFonts w:cs="Times New Roman"/>
                <w:sz w:val="20"/>
                <w:szCs w:val="20"/>
              </w:rPr>
            </w:pPr>
            <w:r w:rsidRPr="000044A9">
              <w:rPr>
                <w:rFonts w:cs="Times New Roman"/>
                <w:sz w:val="20"/>
                <w:szCs w:val="20"/>
              </w:rPr>
              <w:t>N</w:t>
            </w:r>
          </w:p>
        </w:tc>
        <w:tc>
          <w:tcPr>
            <w:tcW w:w="1218" w:type="dxa"/>
            <w:tcBorders>
              <w:top w:val="single" w:sz="8" w:space="0" w:color="000000"/>
              <w:left w:val="nil"/>
              <w:bottom w:val="single" w:sz="8" w:space="0" w:color="000000"/>
              <w:right w:val="nil"/>
            </w:tcBorders>
            <w:shd w:val="clear" w:color="auto" w:fill="FFFFFF"/>
            <w:vAlign w:val="bottom"/>
          </w:tcPr>
          <w:p w14:paraId="7052A894" w14:textId="77777777" w:rsidR="000044A9" w:rsidRPr="000044A9" w:rsidRDefault="000044A9" w:rsidP="00CD73E5">
            <w:pPr>
              <w:spacing w:line="240" w:lineRule="auto"/>
              <w:rPr>
                <w:rFonts w:cs="Times New Roman"/>
                <w:sz w:val="20"/>
                <w:szCs w:val="20"/>
              </w:rPr>
            </w:pPr>
            <w:r w:rsidRPr="000044A9">
              <w:rPr>
                <w:rFonts w:cs="Times New Roman"/>
                <w:sz w:val="20"/>
                <w:szCs w:val="20"/>
              </w:rPr>
              <w:t>Minimum</w:t>
            </w:r>
          </w:p>
        </w:tc>
        <w:tc>
          <w:tcPr>
            <w:tcW w:w="1218" w:type="dxa"/>
            <w:tcBorders>
              <w:top w:val="single" w:sz="8" w:space="0" w:color="000000"/>
              <w:left w:val="nil"/>
              <w:bottom w:val="single" w:sz="8" w:space="0" w:color="000000"/>
              <w:right w:val="nil"/>
            </w:tcBorders>
            <w:shd w:val="clear" w:color="auto" w:fill="FFFFFF"/>
            <w:vAlign w:val="bottom"/>
          </w:tcPr>
          <w:p w14:paraId="2E1A26D5" w14:textId="77777777" w:rsidR="000044A9" w:rsidRPr="000044A9" w:rsidRDefault="000044A9" w:rsidP="00CD73E5">
            <w:pPr>
              <w:spacing w:line="240" w:lineRule="auto"/>
              <w:rPr>
                <w:rFonts w:cs="Times New Roman"/>
                <w:sz w:val="20"/>
                <w:szCs w:val="20"/>
              </w:rPr>
            </w:pPr>
            <w:r w:rsidRPr="000044A9">
              <w:rPr>
                <w:rFonts w:cs="Times New Roman"/>
                <w:sz w:val="20"/>
                <w:szCs w:val="20"/>
              </w:rPr>
              <w:t>Maximum</w:t>
            </w:r>
          </w:p>
        </w:tc>
        <w:tc>
          <w:tcPr>
            <w:tcW w:w="1255" w:type="dxa"/>
            <w:tcBorders>
              <w:top w:val="single" w:sz="8" w:space="0" w:color="000000"/>
              <w:left w:val="nil"/>
              <w:bottom w:val="single" w:sz="8" w:space="0" w:color="000000"/>
              <w:right w:val="nil"/>
            </w:tcBorders>
            <w:shd w:val="clear" w:color="auto" w:fill="FFFFFF"/>
            <w:vAlign w:val="bottom"/>
          </w:tcPr>
          <w:p w14:paraId="3C5096F7" w14:textId="77777777" w:rsidR="000044A9" w:rsidRPr="000044A9" w:rsidRDefault="000044A9" w:rsidP="00CD73E5">
            <w:pPr>
              <w:spacing w:line="240" w:lineRule="auto"/>
              <w:rPr>
                <w:rFonts w:cs="Times New Roman"/>
                <w:sz w:val="20"/>
                <w:szCs w:val="20"/>
              </w:rPr>
            </w:pPr>
            <w:r w:rsidRPr="000044A9">
              <w:rPr>
                <w:rFonts w:cs="Times New Roman"/>
                <w:sz w:val="20"/>
                <w:szCs w:val="20"/>
              </w:rPr>
              <w:t>Mean</w:t>
            </w:r>
          </w:p>
        </w:tc>
        <w:tc>
          <w:tcPr>
            <w:tcW w:w="1513" w:type="dxa"/>
            <w:tcBorders>
              <w:top w:val="single" w:sz="8" w:space="0" w:color="000000"/>
              <w:left w:val="nil"/>
              <w:bottom w:val="single" w:sz="8" w:space="0" w:color="000000"/>
              <w:right w:val="nil"/>
            </w:tcBorders>
            <w:shd w:val="clear" w:color="auto" w:fill="FFFFFF"/>
            <w:vAlign w:val="bottom"/>
          </w:tcPr>
          <w:p w14:paraId="7ABC568C" w14:textId="77777777" w:rsidR="000044A9" w:rsidRPr="000044A9" w:rsidRDefault="000044A9" w:rsidP="00CD73E5">
            <w:pPr>
              <w:spacing w:line="240" w:lineRule="auto"/>
              <w:rPr>
                <w:rFonts w:cs="Times New Roman"/>
                <w:sz w:val="20"/>
                <w:szCs w:val="20"/>
              </w:rPr>
            </w:pPr>
            <w:r w:rsidRPr="000044A9">
              <w:rPr>
                <w:rFonts w:cs="Times New Roman"/>
                <w:sz w:val="20"/>
                <w:szCs w:val="20"/>
              </w:rPr>
              <w:t>Std. Deviation</w:t>
            </w:r>
          </w:p>
        </w:tc>
      </w:tr>
      <w:tr w:rsidR="000044A9" w:rsidRPr="000044A9" w14:paraId="2A4A2719" w14:textId="77777777" w:rsidTr="0015367A">
        <w:trPr>
          <w:cantSplit/>
          <w:trHeight w:val="259"/>
        </w:trPr>
        <w:tc>
          <w:tcPr>
            <w:tcW w:w="2655" w:type="dxa"/>
            <w:tcBorders>
              <w:top w:val="nil"/>
              <w:left w:val="nil"/>
              <w:right w:val="nil"/>
            </w:tcBorders>
            <w:shd w:val="clear" w:color="auto" w:fill="FFFFFF"/>
          </w:tcPr>
          <w:p w14:paraId="12D385E9" w14:textId="54DA99E9" w:rsidR="000044A9" w:rsidRPr="000044A9" w:rsidRDefault="000044A9" w:rsidP="00CD73E5">
            <w:pPr>
              <w:spacing w:line="240" w:lineRule="auto"/>
              <w:jc w:val="left"/>
              <w:rPr>
                <w:rFonts w:cs="Times New Roman"/>
                <w:sz w:val="20"/>
                <w:szCs w:val="20"/>
              </w:rPr>
            </w:pPr>
            <w:r w:rsidRPr="000044A9">
              <w:rPr>
                <w:rFonts w:cs="Times New Roman"/>
                <w:sz w:val="20"/>
                <w:szCs w:val="20"/>
              </w:rPr>
              <w:t>Ontvangst EU-gelden</w:t>
            </w:r>
          </w:p>
        </w:tc>
        <w:tc>
          <w:tcPr>
            <w:tcW w:w="1217" w:type="dxa"/>
            <w:tcBorders>
              <w:top w:val="single" w:sz="8" w:space="0" w:color="000000"/>
              <w:left w:val="nil"/>
              <w:right w:val="nil"/>
            </w:tcBorders>
            <w:shd w:val="clear" w:color="auto" w:fill="FFFFFF"/>
          </w:tcPr>
          <w:p w14:paraId="57C4F7BC" w14:textId="77777777" w:rsidR="000044A9" w:rsidRPr="000044A9" w:rsidRDefault="000044A9" w:rsidP="00CD73E5">
            <w:pPr>
              <w:spacing w:line="240" w:lineRule="auto"/>
              <w:rPr>
                <w:rFonts w:cs="Times New Roman"/>
                <w:sz w:val="20"/>
                <w:szCs w:val="20"/>
              </w:rPr>
            </w:pPr>
            <w:r w:rsidRPr="000044A9">
              <w:rPr>
                <w:rFonts w:cs="Times New Roman"/>
                <w:sz w:val="20"/>
                <w:szCs w:val="20"/>
              </w:rPr>
              <w:t>1078</w:t>
            </w:r>
          </w:p>
        </w:tc>
        <w:tc>
          <w:tcPr>
            <w:tcW w:w="1218" w:type="dxa"/>
            <w:tcBorders>
              <w:top w:val="single" w:sz="8" w:space="0" w:color="000000"/>
              <w:left w:val="nil"/>
              <w:right w:val="nil"/>
            </w:tcBorders>
            <w:shd w:val="clear" w:color="auto" w:fill="FFFFFF"/>
          </w:tcPr>
          <w:p w14:paraId="3A60DB10" w14:textId="43490081" w:rsidR="000044A9" w:rsidRPr="000044A9" w:rsidRDefault="00D14E68" w:rsidP="00CD73E5">
            <w:pPr>
              <w:spacing w:line="240" w:lineRule="auto"/>
              <w:rPr>
                <w:rFonts w:cs="Times New Roman"/>
                <w:sz w:val="20"/>
                <w:szCs w:val="20"/>
              </w:rPr>
            </w:pPr>
            <w:r>
              <w:rPr>
                <w:rFonts w:cs="Times New Roman"/>
                <w:sz w:val="20"/>
                <w:szCs w:val="20"/>
              </w:rPr>
              <w:t>0</w:t>
            </w:r>
          </w:p>
        </w:tc>
        <w:tc>
          <w:tcPr>
            <w:tcW w:w="1218" w:type="dxa"/>
            <w:tcBorders>
              <w:top w:val="single" w:sz="8" w:space="0" w:color="000000"/>
              <w:left w:val="nil"/>
              <w:right w:val="nil"/>
            </w:tcBorders>
            <w:shd w:val="clear" w:color="auto" w:fill="FFFFFF"/>
          </w:tcPr>
          <w:p w14:paraId="30C0C0A4" w14:textId="3DF53ECD" w:rsidR="000044A9" w:rsidRPr="000044A9" w:rsidRDefault="00693700" w:rsidP="00CD73E5">
            <w:pPr>
              <w:spacing w:line="240" w:lineRule="auto"/>
              <w:rPr>
                <w:rFonts w:cs="Times New Roman"/>
                <w:sz w:val="20"/>
                <w:szCs w:val="20"/>
              </w:rPr>
            </w:pPr>
            <w:r>
              <w:rPr>
                <w:rFonts w:cs="Times New Roman"/>
                <w:sz w:val="20"/>
                <w:szCs w:val="20"/>
              </w:rPr>
              <w:t>4621</w:t>
            </w:r>
            <w:r w:rsidR="00BB7B66">
              <w:rPr>
                <w:rFonts w:cs="Times New Roman"/>
                <w:sz w:val="20"/>
                <w:szCs w:val="20"/>
              </w:rPr>
              <w:t>.92</w:t>
            </w:r>
          </w:p>
        </w:tc>
        <w:tc>
          <w:tcPr>
            <w:tcW w:w="1255" w:type="dxa"/>
            <w:tcBorders>
              <w:top w:val="single" w:sz="8" w:space="0" w:color="000000"/>
              <w:left w:val="nil"/>
              <w:right w:val="nil"/>
            </w:tcBorders>
            <w:shd w:val="clear" w:color="auto" w:fill="FFFFFF"/>
          </w:tcPr>
          <w:p w14:paraId="6DAB2685" w14:textId="7924AFD3" w:rsidR="000044A9" w:rsidRPr="000044A9" w:rsidRDefault="002A5B3B" w:rsidP="00CD73E5">
            <w:pPr>
              <w:spacing w:line="240" w:lineRule="auto"/>
              <w:rPr>
                <w:rFonts w:cs="Times New Roman"/>
                <w:sz w:val="20"/>
                <w:szCs w:val="20"/>
              </w:rPr>
            </w:pPr>
            <w:r>
              <w:rPr>
                <w:rFonts w:cs="Times New Roman"/>
                <w:sz w:val="20"/>
                <w:szCs w:val="20"/>
              </w:rPr>
              <w:t>128.78</w:t>
            </w:r>
          </w:p>
        </w:tc>
        <w:tc>
          <w:tcPr>
            <w:tcW w:w="1513" w:type="dxa"/>
            <w:tcBorders>
              <w:top w:val="single" w:sz="8" w:space="0" w:color="000000"/>
              <w:left w:val="nil"/>
              <w:right w:val="nil"/>
            </w:tcBorders>
            <w:shd w:val="clear" w:color="auto" w:fill="FFFFFF"/>
          </w:tcPr>
          <w:p w14:paraId="59F1BF71" w14:textId="7AB72856" w:rsidR="000044A9" w:rsidRPr="000044A9" w:rsidRDefault="00AB0E28" w:rsidP="00CD73E5">
            <w:pPr>
              <w:spacing w:line="240" w:lineRule="auto"/>
              <w:rPr>
                <w:rFonts w:cs="Times New Roman"/>
                <w:sz w:val="20"/>
                <w:szCs w:val="20"/>
              </w:rPr>
            </w:pPr>
            <w:r>
              <w:rPr>
                <w:rFonts w:cs="Times New Roman"/>
                <w:sz w:val="20"/>
                <w:szCs w:val="20"/>
              </w:rPr>
              <w:t>260.86</w:t>
            </w:r>
          </w:p>
        </w:tc>
      </w:tr>
      <w:tr w:rsidR="000044A9" w:rsidRPr="000044A9" w14:paraId="71930F99" w14:textId="77777777" w:rsidTr="0015367A">
        <w:trPr>
          <w:cantSplit/>
          <w:trHeight w:val="299"/>
        </w:trPr>
        <w:tc>
          <w:tcPr>
            <w:tcW w:w="2655" w:type="dxa"/>
            <w:tcBorders>
              <w:top w:val="nil"/>
              <w:left w:val="nil"/>
              <w:bottom w:val="single" w:sz="4" w:space="0" w:color="auto"/>
              <w:right w:val="nil"/>
            </w:tcBorders>
            <w:shd w:val="clear" w:color="auto" w:fill="FFFFFF"/>
          </w:tcPr>
          <w:p w14:paraId="79CAA3C6" w14:textId="11AAD974" w:rsidR="000044A9" w:rsidRPr="000044A9" w:rsidRDefault="000044A9" w:rsidP="00CD73E5">
            <w:pPr>
              <w:spacing w:line="240" w:lineRule="auto"/>
              <w:jc w:val="left"/>
              <w:rPr>
                <w:rFonts w:cs="Times New Roman"/>
                <w:sz w:val="20"/>
                <w:szCs w:val="20"/>
              </w:rPr>
            </w:pPr>
            <w:r w:rsidRPr="000044A9">
              <w:rPr>
                <w:rFonts w:cs="Times New Roman"/>
                <w:sz w:val="20"/>
                <w:szCs w:val="20"/>
              </w:rPr>
              <w:t>Inwoneraantal</w:t>
            </w:r>
          </w:p>
        </w:tc>
        <w:tc>
          <w:tcPr>
            <w:tcW w:w="1217" w:type="dxa"/>
            <w:tcBorders>
              <w:top w:val="nil"/>
              <w:left w:val="nil"/>
              <w:bottom w:val="single" w:sz="4" w:space="0" w:color="auto"/>
              <w:right w:val="nil"/>
            </w:tcBorders>
            <w:shd w:val="clear" w:color="auto" w:fill="FFFFFF"/>
          </w:tcPr>
          <w:p w14:paraId="6DF9DDE2" w14:textId="77777777" w:rsidR="000044A9" w:rsidRPr="000044A9" w:rsidRDefault="000044A9" w:rsidP="00CD73E5">
            <w:pPr>
              <w:spacing w:line="240" w:lineRule="auto"/>
              <w:rPr>
                <w:rFonts w:cs="Times New Roman"/>
                <w:sz w:val="20"/>
                <w:szCs w:val="20"/>
              </w:rPr>
            </w:pPr>
            <w:r w:rsidRPr="000044A9">
              <w:rPr>
                <w:rFonts w:cs="Times New Roman"/>
                <w:sz w:val="20"/>
                <w:szCs w:val="20"/>
              </w:rPr>
              <w:t>1078</w:t>
            </w:r>
          </w:p>
        </w:tc>
        <w:tc>
          <w:tcPr>
            <w:tcW w:w="1218" w:type="dxa"/>
            <w:tcBorders>
              <w:top w:val="nil"/>
              <w:left w:val="nil"/>
              <w:bottom w:val="single" w:sz="4" w:space="0" w:color="auto"/>
              <w:right w:val="nil"/>
            </w:tcBorders>
            <w:shd w:val="clear" w:color="auto" w:fill="FFFFFF"/>
          </w:tcPr>
          <w:p w14:paraId="25C22A27" w14:textId="5C211C00" w:rsidR="000044A9" w:rsidRPr="000044A9" w:rsidRDefault="00BB7B66" w:rsidP="00CD73E5">
            <w:pPr>
              <w:spacing w:line="240" w:lineRule="auto"/>
              <w:rPr>
                <w:rFonts w:cs="Times New Roman"/>
                <w:sz w:val="20"/>
                <w:szCs w:val="20"/>
              </w:rPr>
            </w:pPr>
            <w:r>
              <w:rPr>
                <w:rFonts w:cs="Times New Roman"/>
                <w:sz w:val="20"/>
                <w:szCs w:val="20"/>
              </w:rPr>
              <w:t>932</w:t>
            </w:r>
          </w:p>
        </w:tc>
        <w:tc>
          <w:tcPr>
            <w:tcW w:w="1218" w:type="dxa"/>
            <w:tcBorders>
              <w:top w:val="nil"/>
              <w:left w:val="nil"/>
              <w:bottom w:val="single" w:sz="4" w:space="0" w:color="auto"/>
              <w:right w:val="nil"/>
            </w:tcBorders>
            <w:shd w:val="clear" w:color="auto" w:fill="FFFFFF"/>
          </w:tcPr>
          <w:p w14:paraId="24D7E82C" w14:textId="1D02AE2D" w:rsidR="000044A9" w:rsidRPr="000044A9" w:rsidRDefault="00BB7B66" w:rsidP="00CD73E5">
            <w:pPr>
              <w:spacing w:line="240" w:lineRule="auto"/>
              <w:rPr>
                <w:rFonts w:cs="Times New Roman"/>
                <w:sz w:val="20"/>
                <w:szCs w:val="20"/>
              </w:rPr>
            </w:pPr>
            <w:r>
              <w:rPr>
                <w:rFonts w:cs="Times New Roman"/>
                <w:sz w:val="20"/>
                <w:szCs w:val="20"/>
              </w:rPr>
              <w:t>903399</w:t>
            </w:r>
          </w:p>
        </w:tc>
        <w:tc>
          <w:tcPr>
            <w:tcW w:w="1255" w:type="dxa"/>
            <w:tcBorders>
              <w:top w:val="nil"/>
              <w:left w:val="nil"/>
              <w:bottom w:val="single" w:sz="4" w:space="0" w:color="auto"/>
              <w:right w:val="nil"/>
            </w:tcBorders>
            <w:shd w:val="clear" w:color="auto" w:fill="FFFFFF"/>
          </w:tcPr>
          <w:p w14:paraId="09F296D6" w14:textId="1842C342" w:rsidR="000044A9" w:rsidRPr="000044A9" w:rsidRDefault="0020669A" w:rsidP="00CD73E5">
            <w:pPr>
              <w:spacing w:line="240" w:lineRule="auto"/>
              <w:rPr>
                <w:rFonts w:cs="Times New Roman"/>
                <w:sz w:val="20"/>
                <w:szCs w:val="20"/>
              </w:rPr>
            </w:pPr>
            <w:r>
              <w:rPr>
                <w:rFonts w:cs="Times New Roman"/>
                <w:sz w:val="20"/>
                <w:szCs w:val="20"/>
              </w:rPr>
              <w:t>47102</w:t>
            </w:r>
          </w:p>
        </w:tc>
        <w:tc>
          <w:tcPr>
            <w:tcW w:w="1513" w:type="dxa"/>
            <w:tcBorders>
              <w:top w:val="nil"/>
              <w:left w:val="nil"/>
              <w:bottom w:val="single" w:sz="4" w:space="0" w:color="auto"/>
              <w:right w:val="nil"/>
            </w:tcBorders>
            <w:shd w:val="clear" w:color="auto" w:fill="FFFFFF"/>
          </w:tcPr>
          <w:p w14:paraId="3A9141B8" w14:textId="16ABDC20" w:rsidR="000044A9" w:rsidRPr="000044A9" w:rsidRDefault="00AB0E28" w:rsidP="00CD73E5">
            <w:pPr>
              <w:spacing w:line="240" w:lineRule="auto"/>
              <w:rPr>
                <w:rFonts w:cs="Times New Roman"/>
                <w:sz w:val="20"/>
                <w:szCs w:val="20"/>
              </w:rPr>
            </w:pPr>
            <w:r>
              <w:rPr>
                <w:rFonts w:cs="Times New Roman"/>
                <w:sz w:val="20"/>
                <w:szCs w:val="20"/>
              </w:rPr>
              <w:t>71328.9</w:t>
            </w:r>
            <w:r w:rsidR="0020669A">
              <w:rPr>
                <w:rFonts w:cs="Times New Roman"/>
                <w:sz w:val="20"/>
                <w:szCs w:val="20"/>
              </w:rPr>
              <w:t>4</w:t>
            </w:r>
          </w:p>
        </w:tc>
      </w:tr>
    </w:tbl>
    <w:p w14:paraId="114AFC18" w14:textId="77DF7370" w:rsidR="00CD73E5" w:rsidRPr="009575F9" w:rsidRDefault="00E0122E" w:rsidP="005A37EC">
      <w:pPr>
        <w:rPr>
          <w:b/>
          <w:bCs/>
          <w:iCs/>
          <w:sz w:val="20"/>
          <w:szCs w:val="18"/>
        </w:rPr>
      </w:pPr>
      <w:r w:rsidRPr="00185F03">
        <w:rPr>
          <w:b/>
          <w:bCs/>
          <w:sz w:val="20"/>
          <w:szCs w:val="18"/>
        </w:rPr>
        <w:t>Tabel I</w:t>
      </w:r>
      <w:r w:rsidR="000044A9">
        <w:rPr>
          <w:b/>
          <w:bCs/>
          <w:sz w:val="20"/>
          <w:szCs w:val="18"/>
        </w:rPr>
        <w:t>I</w:t>
      </w:r>
      <w:r w:rsidRPr="00185F03">
        <w:rPr>
          <w:b/>
          <w:bCs/>
          <w:sz w:val="20"/>
          <w:szCs w:val="18"/>
        </w:rPr>
        <w:t xml:space="preserve">I: </w:t>
      </w:r>
      <w:r w:rsidR="00185F03" w:rsidRPr="00185F03">
        <w:rPr>
          <w:b/>
          <w:bCs/>
          <w:iCs/>
          <w:sz w:val="20"/>
          <w:szCs w:val="18"/>
        </w:rPr>
        <w:t>frequenties</w:t>
      </w:r>
      <w:r w:rsidR="000657F4" w:rsidRPr="000657F4">
        <w:rPr>
          <w:b/>
          <w:bCs/>
          <w:iCs/>
          <w:sz w:val="20"/>
          <w:szCs w:val="18"/>
        </w:rPr>
        <w:t xml:space="preserve"> </w:t>
      </w:r>
      <w:r w:rsidR="00795739">
        <w:rPr>
          <w:b/>
          <w:bCs/>
          <w:iCs/>
          <w:sz w:val="20"/>
          <w:szCs w:val="18"/>
        </w:rPr>
        <w:t>‘Wel/geen</w:t>
      </w:r>
      <w:r w:rsidR="000657F4" w:rsidRPr="000657F4">
        <w:rPr>
          <w:b/>
          <w:bCs/>
          <w:iCs/>
          <w:sz w:val="20"/>
          <w:szCs w:val="18"/>
        </w:rPr>
        <w:t xml:space="preserve"> Europeanisering</w:t>
      </w:r>
      <w:r w:rsidR="00795739">
        <w:rPr>
          <w:b/>
          <w:bCs/>
          <w:iCs/>
          <w:sz w:val="20"/>
          <w:szCs w:val="18"/>
        </w:rPr>
        <w:t>’</w:t>
      </w:r>
      <w:r w:rsidR="000657F4" w:rsidRPr="000657F4">
        <w:rPr>
          <w:b/>
          <w:bCs/>
          <w:iCs/>
          <w:sz w:val="20"/>
          <w:szCs w:val="18"/>
        </w:rPr>
        <w:t xml:space="preserve"> (afhankelijke variabele </w:t>
      </w:r>
      <w:r w:rsidR="000657F4">
        <w:rPr>
          <w:b/>
          <w:bCs/>
          <w:iCs/>
          <w:sz w:val="20"/>
          <w:szCs w:val="18"/>
        </w:rPr>
        <w:t>binaire</w:t>
      </w:r>
      <w:r w:rsidR="000657F4" w:rsidRPr="000657F4">
        <w:rPr>
          <w:b/>
          <w:bCs/>
          <w:iCs/>
          <w:sz w:val="20"/>
          <w:szCs w:val="18"/>
        </w:rPr>
        <w:t xml:space="preserve"> logistische regressieanalyse)</w:t>
      </w:r>
    </w:p>
    <w:tbl>
      <w:tblPr>
        <w:tblW w:w="4673" w:type="dxa"/>
        <w:tblLayout w:type="fixed"/>
        <w:tblCellMar>
          <w:left w:w="0" w:type="dxa"/>
          <w:right w:w="0" w:type="dxa"/>
        </w:tblCellMar>
        <w:tblLook w:val="0000" w:firstRow="0" w:lastRow="0" w:firstColumn="0" w:lastColumn="0" w:noHBand="0" w:noVBand="0"/>
      </w:tblPr>
      <w:tblGrid>
        <w:gridCol w:w="814"/>
        <w:gridCol w:w="769"/>
        <w:gridCol w:w="1030"/>
        <w:gridCol w:w="1030"/>
        <w:gridCol w:w="1030"/>
      </w:tblGrid>
      <w:tr w:rsidR="00795739" w:rsidRPr="00D9019B" w14:paraId="71E5BF1D" w14:textId="77777777" w:rsidTr="005A1DA2">
        <w:trPr>
          <w:cantSplit/>
        </w:trPr>
        <w:tc>
          <w:tcPr>
            <w:tcW w:w="1583" w:type="dxa"/>
            <w:gridSpan w:val="2"/>
            <w:tcBorders>
              <w:top w:val="single" w:sz="8" w:space="0" w:color="000000"/>
              <w:left w:val="nil"/>
              <w:right w:val="nil"/>
            </w:tcBorders>
            <w:shd w:val="clear" w:color="auto" w:fill="FFFFFF"/>
            <w:vAlign w:val="bottom"/>
          </w:tcPr>
          <w:p w14:paraId="7D06F933" w14:textId="77777777" w:rsidR="00795739" w:rsidRPr="00D9019B" w:rsidRDefault="00795739" w:rsidP="00CD73E5">
            <w:pPr>
              <w:spacing w:line="240" w:lineRule="auto"/>
              <w:rPr>
                <w:rFonts w:eastAsia="Calibri" w:cs="Times New Roman"/>
                <w:iCs/>
                <w:sz w:val="20"/>
                <w:szCs w:val="20"/>
              </w:rPr>
            </w:pPr>
          </w:p>
        </w:tc>
        <w:tc>
          <w:tcPr>
            <w:tcW w:w="2060" w:type="dxa"/>
            <w:gridSpan w:val="2"/>
            <w:tcBorders>
              <w:top w:val="single" w:sz="8" w:space="0" w:color="000000"/>
              <w:left w:val="nil"/>
              <w:bottom w:val="single" w:sz="8" w:space="0" w:color="000000"/>
              <w:right w:val="nil"/>
            </w:tcBorders>
            <w:shd w:val="clear" w:color="auto" w:fill="FFFFFF"/>
            <w:vAlign w:val="bottom"/>
          </w:tcPr>
          <w:p w14:paraId="0F93238C"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Frequency</w:t>
            </w:r>
          </w:p>
        </w:tc>
        <w:tc>
          <w:tcPr>
            <w:tcW w:w="1030" w:type="dxa"/>
            <w:tcBorders>
              <w:top w:val="single" w:sz="8" w:space="0" w:color="000000"/>
              <w:left w:val="nil"/>
              <w:right w:val="nil"/>
            </w:tcBorders>
            <w:shd w:val="clear" w:color="auto" w:fill="FFFFFF"/>
            <w:vAlign w:val="bottom"/>
          </w:tcPr>
          <w:p w14:paraId="1AC77BD1" w14:textId="77777777" w:rsidR="00795739" w:rsidRPr="00D9019B" w:rsidRDefault="00795739" w:rsidP="00CD73E5">
            <w:pPr>
              <w:spacing w:line="240" w:lineRule="auto"/>
              <w:rPr>
                <w:rFonts w:eastAsia="Calibri" w:cs="Times New Roman"/>
                <w:iCs/>
                <w:sz w:val="20"/>
                <w:szCs w:val="20"/>
              </w:rPr>
            </w:pPr>
          </w:p>
        </w:tc>
      </w:tr>
      <w:tr w:rsidR="00795739" w:rsidRPr="00D9019B" w14:paraId="38ED4C2F" w14:textId="77777777" w:rsidTr="005A1DA2">
        <w:trPr>
          <w:cantSplit/>
        </w:trPr>
        <w:tc>
          <w:tcPr>
            <w:tcW w:w="1583" w:type="dxa"/>
            <w:gridSpan w:val="2"/>
            <w:tcBorders>
              <w:left w:val="nil"/>
              <w:bottom w:val="single" w:sz="4" w:space="0" w:color="auto"/>
              <w:right w:val="nil"/>
            </w:tcBorders>
            <w:shd w:val="clear" w:color="auto" w:fill="FFFFFF"/>
            <w:vAlign w:val="bottom"/>
          </w:tcPr>
          <w:p w14:paraId="15E1B299" w14:textId="77777777" w:rsidR="00795739" w:rsidRPr="00D9019B" w:rsidRDefault="00795739" w:rsidP="00CD73E5">
            <w:pPr>
              <w:spacing w:line="240" w:lineRule="auto"/>
              <w:rPr>
                <w:rFonts w:eastAsia="Calibri" w:cs="Times New Roman"/>
                <w:iCs/>
                <w:sz w:val="20"/>
                <w:szCs w:val="20"/>
              </w:rPr>
            </w:pPr>
          </w:p>
        </w:tc>
        <w:tc>
          <w:tcPr>
            <w:tcW w:w="1030" w:type="dxa"/>
            <w:tcBorders>
              <w:top w:val="single" w:sz="8" w:space="0" w:color="000000"/>
              <w:left w:val="nil"/>
              <w:bottom w:val="single" w:sz="8" w:space="0" w:color="000000"/>
              <w:right w:val="nil"/>
            </w:tcBorders>
            <w:shd w:val="clear" w:color="auto" w:fill="FFFFFF"/>
            <w:vAlign w:val="bottom"/>
          </w:tcPr>
          <w:p w14:paraId="0E8D6330"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Absolute</w:t>
            </w:r>
          </w:p>
        </w:tc>
        <w:tc>
          <w:tcPr>
            <w:tcW w:w="1030" w:type="dxa"/>
            <w:tcBorders>
              <w:top w:val="single" w:sz="8" w:space="0" w:color="000000"/>
              <w:left w:val="nil"/>
              <w:bottom w:val="single" w:sz="8" w:space="0" w:color="000000"/>
              <w:right w:val="nil"/>
            </w:tcBorders>
            <w:shd w:val="clear" w:color="auto" w:fill="FFFFFF"/>
          </w:tcPr>
          <w:p w14:paraId="6122E67A"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Relative</w:t>
            </w:r>
          </w:p>
        </w:tc>
        <w:tc>
          <w:tcPr>
            <w:tcW w:w="1030" w:type="dxa"/>
            <w:tcBorders>
              <w:left w:val="nil"/>
              <w:bottom w:val="single" w:sz="4" w:space="0" w:color="auto"/>
              <w:right w:val="nil"/>
            </w:tcBorders>
            <w:shd w:val="clear" w:color="auto" w:fill="FFFFFF"/>
            <w:vAlign w:val="bottom"/>
          </w:tcPr>
          <w:p w14:paraId="12F0BF73"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w:t>
            </w:r>
          </w:p>
        </w:tc>
      </w:tr>
      <w:tr w:rsidR="00795739" w:rsidRPr="00D9019B" w14:paraId="5DBE240E" w14:textId="77777777" w:rsidTr="005A1DA2">
        <w:trPr>
          <w:cantSplit/>
        </w:trPr>
        <w:tc>
          <w:tcPr>
            <w:tcW w:w="1583" w:type="dxa"/>
            <w:gridSpan w:val="2"/>
            <w:tcBorders>
              <w:top w:val="single" w:sz="4" w:space="0" w:color="auto"/>
              <w:left w:val="nil"/>
              <w:bottom w:val="nil"/>
              <w:right w:val="nil"/>
            </w:tcBorders>
            <w:shd w:val="clear" w:color="auto" w:fill="FFFFFF"/>
          </w:tcPr>
          <w:p w14:paraId="029083C4" w14:textId="77777777" w:rsidR="00795739" w:rsidRPr="00D9019B" w:rsidRDefault="00795739" w:rsidP="00CD73E5">
            <w:pPr>
              <w:spacing w:line="240" w:lineRule="auto"/>
              <w:rPr>
                <w:rFonts w:eastAsia="Calibri" w:cs="Times New Roman"/>
                <w:iCs/>
                <w:sz w:val="20"/>
                <w:szCs w:val="20"/>
              </w:rPr>
            </w:pPr>
            <w:r w:rsidRPr="00D9019B">
              <w:rPr>
                <w:rFonts w:eastAsia="Calibri" w:cs="Times New Roman"/>
                <w:iCs/>
                <w:sz w:val="20"/>
                <w:szCs w:val="20"/>
              </w:rPr>
              <w:t>0</w:t>
            </w:r>
            <w:r>
              <w:rPr>
                <w:rFonts w:eastAsia="Calibri" w:cs="Times New Roman"/>
                <w:iCs/>
                <w:sz w:val="20"/>
                <w:szCs w:val="20"/>
              </w:rPr>
              <w:t xml:space="preserve"> (geen)</w:t>
            </w:r>
          </w:p>
        </w:tc>
        <w:tc>
          <w:tcPr>
            <w:tcW w:w="1030" w:type="dxa"/>
            <w:tcBorders>
              <w:top w:val="single" w:sz="8" w:space="0" w:color="000000"/>
              <w:left w:val="nil"/>
              <w:bottom w:val="nil"/>
              <w:right w:val="nil"/>
            </w:tcBorders>
            <w:shd w:val="clear" w:color="auto" w:fill="FFFFFF"/>
          </w:tcPr>
          <w:p w14:paraId="7D1B9DC3" w14:textId="77777777" w:rsidR="00795739" w:rsidRPr="00D9019B" w:rsidRDefault="00795739" w:rsidP="00CD73E5">
            <w:pPr>
              <w:spacing w:line="240" w:lineRule="auto"/>
              <w:jc w:val="center"/>
              <w:rPr>
                <w:rFonts w:eastAsia="Calibri" w:cs="Times New Roman"/>
                <w:iCs/>
                <w:sz w:val="20"/>
                <w:szCs w:val="20"/>
              </w:rPr>
            </w:pPr>
            <w:r w:rsidRPr="00D9019B">
              <w:rPr>
                <w:rFonts w:eastAsia="Calibri" w:cs="Times New Roman"/>
                <w:iCs/>
                <w:sz w:val="20"/>
                <w:szCs w:val="20"/>
              </w:rPr>
              <w:t>718</w:t>
            </w:r>
          </w:p>
        </w:tc>
        <w:tc>
          <w:tcPr>
            <w:tcW w:w="1030" w:type="dxa"/>
            <w:tcBorders>
              <w:top w:val="single" w:sz="4" w:space="0" w:color="auto"/>
              <w:left w:val="nil"/>
              <w:bottom w:val="nil"/>
              <w:right w:val="nil"/>
            </w:tcBorders>
            <w:shd w:val="clear" w:color="auto" w:fill="FFFFFF"/>
          </w:tcPr>
          <w:p w14:paraId="27803E73"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.666</w:t>
            </w:r>
          </w:p>
        </w:tc>
        <w:tc>
          <w:tcPr>
            <w:tcW w:w="1030" w:type="dxa"/>
            <w:tcBorders>
              <w:top w:val="single" w:sz="4" w:space="0" w:color="auto"/>
              <w:left w:val="nil"/>
              <w:bottom w:val="nil"/>
              <w:right w:val="nil"/>
            </w:tcBorders>
            <w:shd w:val="clear" w:color="auto" w:fill="FFFFFF"/>
          </w:tcPr>
          <w:p w14:paraId="7DE88EE0" w14:textId="77777777" w:rsidR="00795739" w:rsidRPr="00D9019B" w:rsidRDefault="00795739" w:rsidP="00CD73E5">
            <w:pPr>
              <w:spacing w:line="240" w:lineRule="auto"/>
              <w:jc w:val="center"/>
              <w:rPr>
                <w:rFonts w:eastAsia="Calibri" w:cs="Times New Roman"/>
                <w:iCs/>
                <w:sz w:val="20"/>
                <w:szCs w:val="20"/>
              </w:rPr>
            </w:pPr>
            <w:r w:rsidRPr="00D9019B">
              <w:rPr>
                <w:rFonts w:eastAsia="Calibri" w:cs="Times New Roman"/>
                <w:iCs/>
                <w:sz w:val="20"/>
                <w:szCs w:val="20"/>
              </w:rPr>
              <w:t>66,6%</w:t>
            </w:r>
          </w:p>
        </w:tc>
      </w:tr>
      <w:tr w:rsidR="00795739" w:rsidRPr="00D9019B" w14:paraId="7B4BE049" w14:textId="77777777" w:rsidTr="005A1DA2">
        <w:trPr>
          <w:cantSplit/>
        </w:trPr>
        <w:tc>
          <w:tcPr>
            <w:tcW w:w="1583" w:type="dxa"/>
            <w:gridSpan w:val="2"/>
            <w:tcBorders>
              <w:top w:val="nil"/>
              <w:left w:val="nil"/>
              <w:bottom w:val="nil"/>
              <w:right w:val="nil"/>
            </w:tcBorders>
            <w:shd w:val="clear" w:color="auto" w:fill="FFFFFF"/>
          </w:tcPr>
          <w:p w14:paraId="627A1084" w14:textId="774338C6" w:rsidR="00795739" w:rsidRPr="00D9019B" w:rsidRDefault="00795739" w:rsidP="00CD73E5">
            <w:pPr>
              <w:spacing w:line="240" w:lineRule="auto"/>
              <w:rPr>
                <w:rFonts w:eastAsia="Calibri" w:cs="Times New Roman"/>
                <w:iCs/>
                <w:sz w:val="20"/>
                <w:szCs w:val="20"/>
              </w:rPr>
            </w:pPr>
            <w:r w:rsidRPr="00D9019B">
              <w:rPr>
                <w:rFonts w:eastAsia="Calibri" w:cs="Times New Roman"/>
                <w:iCs/>
                <w:sz w:val="20"/>
                <w:szCs w:val="20"/>
              </w:rPr>
              <w:t>1</w:t>
            </w:r>
            <w:r>
              <w:rPr>
                <w:rFonts w:eastAsia="Calibri" w:cs="Times New Roman"/>
                <w:iCs/>
                <w:sz w:val="20"/>
                <w:szCs w:val="20"/>
              </w:rPr>
              <w:t xml:space="preserve"> (wel)</w:t>
            </w:r>
          </w:p>
        </w:tc>
        <w:tc>
          <w:tcPr>
            <w:tcW w:w="1030" w:type="dxa"/>
            <w:tcBorders>
              <w:top w:val="nil"/>
              <w:left w:val="nil"/>
              <w:bottom w:val="nil"/>
              <w:right w:val="nil"/>
            </w:tcBorders>
            <w:shd w:val="clear" w:color="auto" w:fill="FFFFFF"/>
          </w:tcPr>
          <w:p w14:paraId="7FD87336" w14:textId="6D00AA70" w:rsidR="00795739" w:rsidRPr="00D9019B" w:rsidRDefault="00DE36D9" w:rsidP="00CD73E5">
            <w:pPr>
              <w:spacing w:line="240" w:lineRule="auto"/>
              <w:jc w:val="center"/>
              <w:rPr>
                <w:rFonts w:eastAsia="Calibri" w:cs="Times New Roman"/>
                <w:iCs/>
                <w:sz w:val="20"/>
                <w:szCs w:val="20"/>
              </w:rPr>
            </w:pPr>
            <w:r>
              <w:rPr>
                <w:rFonts w:eastAsia="Calibri" w:cs="Times New Roman"/>
                <w:iCs/>
                <w:sz w:val="20"/>
                <w:szCs w:val="20"/>
              </w:rPr>
              <w:t>35</w:t>
            </w:r>
            <w:r w:rsidR="00795739" w:rsidRPr="00D9019B">
              <w:rPr>
                <w:rFonts w:eastAsia="Calibri" w:cs="Times New Roman"/>
                <w:iCs/>
                <w:sz w:val="20"/>
                <w:szCs w:val="20"/>
              </w:rPr>
              <w:t>8</w:t>
            </w:r>
          </w:p>
        </w:tc>
        <w:tc>
          <w:tcPr>
            <w:tcW w:w="1030" w:type="dxa"/>
            <w:tcBorders>
              <w:top w:val="nil"/>
              <w:left w:val="nil"/>
              <w:bottom w:val="nil"/>
              <w:right w:val="nil"/>
            </w:tcBorders>
            <w:shd w:val="clear" w:color="auto" w:fill="FFFFFF"/>
          </w:tcPr>
          <w:p w14:paraId="2DC8E7F6" w14:textId="10319AEE"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w:t>
            </w:r>
            <w:r w:rsidR="00DE36D9">
              <w:rPr>
                <w:rFonts w:eastAsia="Calibri" w:cs="Times New Roman"/>
                <w:iCs/>
                <w:sz w:val="20"/>
                <w:szCs w:val="20"/>
              </w:rPr>
              <w:t>332</w:t>
            </w:r>
          </w:p>
        </w:tc>
        <w:tc>
          <w:tcPr>
            <w:tcW w:w="1030" w:type="dxa"/>
            <w:tcBorders>
              <w:top w:val="nil"/>
              <w:left w:val="nil"/>
              <w:bottom w:val="nil"/>
              <w:right w:val="nil"/>
            </w:tcBorders>
            <w:shd w:val="clear" w:color="auto" w:fill="FFFFFF"/>
          </w:tcPr>
          <w:p w14:paraId="0F77A043" w14:textId="1FE88A51" w:rsidR="00795739" w:rsidRPr="00D9019B" w:rsidRDefault="00DE36D9" w:rsidP="00CD73E5">
            <w:pPr>
              <w:spacing w:line="240" w:lineRule="auto"/>
              <w:jc w:val="center"/>
              <w:rPr>
                <w:rFonts w:eastAsia="Calibri" w:cs="Times New Roman"/>
                <w:iCs/>
                <w:sz w:val="20"/>
                <w:szCs w:val="20"/>
              </w:rPr>
            </w:pPr>
            <w:r>
              <w:rPr>
                <w:rFonts w:eastAsia="Calibri" w:cs="Times New Roman"/>
                <w:iCs/>
                <w:sz w:val="20"/>
                <w:szCs w:val="20"/>
              </w:rPr>
              <w:t>33,2</w:t>
            </w:r>
            <w:r w:rsidR="00795739" w:rsidRPr="00D9019B">
              <w:rPr>
                <w:rFonts w:eastAsia="Calibri" w:cs="Times New Roman"/>
                <w:iCs/>
                <w:sz w:val="20"/>
                <w:szCs w:val="20"/>
              </w:rPr>
              <w:t>%</w:t>
            </w:r>
          </w:p>
        </w:tc>
      </w:tr>
      <w:tr w:rsidR="00795739" w:rsidRPr="00D9019B" w14:paraId="14914852" w14:textId="77777777" w:rsidTr="005A1DA2">
        <w:trPr>
          <w:cantSplit/>
        </w:trPr>
        <w:tc>
          <w:tcPr>
            <w:tcW w:w="814" w:type="dxa"/>
            <w:tcBorders>
              <w:top w:val="nil"/>
              <w:left w:val="nil"/>
              <w:bottom w:val="single" w:sz="4" w:space="0" w:color="auto"/>
              <w:right w:val="nil"/>
            </w:tcBorders>
            <w:shd w:val="clear" w:color="auto" w:fill="FFFFFF"/>
          </w:tcPr>
          <w:p w14:paraId="3C9E836B" w14:textId="77777777" w:rsidR="00795739" w:rsidRPr="00D9019B" w:rsidRDefault="00795739" w:rsidP="00CD73E5">
            <w:pPr>
              <w:spacing w:line="240" w:lineRule="auto"/>
              <w:rPr>
                <w:rFonts w:eastAsia="Calibri" w:cs="Times New Roman"/>
                <w:iCs/>
                <w:sz w:val="20"/>
                <w:szCs w:val="20"/>
              </w:rPr>
            </w:pPr>
            <w:r w:rsidRPr="00D9019B">
              <w:rPr>
                <w:rFonts w:eastAsia="Calibri" w:cs="Times New Roman"/>
                <w:iCs/>
                <w:sz w:val="20"/>
                <w:szCs w:val="20"/>
              </w:rPr>
              <w:t>Missing</w:t>
            </w:r>
          </w:p>
        </w:tc>
        <w:tc>
          <w:tcPr>
            <w:tcW w:w="769" w:type="dxa"/>
            <w:tcBorders>
              <w:top w:val="nil"/>
              <w:left w:val="nil"/>
              <w:bottom w:val="single" w:sz="4" w:space="0" w:color="auto"/>
              <w:right w:val="nil"/>
            </w:tcBorders>
            <w:shd w:val="clear" w:color="auto" w:fill="FFFFFF"/>
          </w:tcPr>
          <w:p w14:paraId="28248207" w14:textId="77777777" w:rsidR="00795739" w:rsidRPr="00D9019B" w:rsidRDefault="00795739" w:rsidP="00CD73E5">
            <w:pPr>
              <w:spacing w:line="240" w:lineRule="auto"/>
              <w:rPr>
                <w:rFonts w:eastAsia="Calibri" w:cs="Times New Roman"/>
                <w:iCs/>
                <w:sz w:val="20"/>
                <w:szCs w:val="20"/>
              </w:rPr>
            </w:pPr>
          </w:p>
        </w:tc>
        <w:tc>
          <w:tcPr>
            <w:tcW w:w="1030" w:type="dxa"/>
            <w:tcBorders>
              <w:top w:val="nil"/>
              <w:left w:val="nil"/>
              <w:bottom w:val="single" w:sz="4" w:space="0" w:color="auto"/>
              <w:right w:val="nil"/>
            </w:tcBorders>
            <w:shd w:val="clear" w:color="auto" w:fill="FFFFFF"/>
          </w:tcPr>
          <w:p w14:paraId="1B9D1E70" w14:textId="77777777" w:rsidR="00795739" w:rsidRPr="00D9019B" w:rsidRDefault="00795739" w:rsidP="00CD73E5">
            <w:pPr>
              <w:spacing w:line="240" w:lineRule="auto"/>
              <w:jc w:val="center"/>
              <w:rPr>
                <w:rFonts w:eastAsia="Calibri" w:cs="Times New Roman"/>
                <w:iCs/>
                <w:sz w:val="20"/>
                <w:szCs w:val="20"/>
              </w:rPr>
            </w:pPr>
            <w:r w:rsidRPr="00D9019B">
              <w:rPr>
                <w:rFonts w:eastAsia="Calibri" w:cs="Times New Roman"/>
                <w:iCs/>
                <w:sz w:val="20"/>
                <w:szCs w:val="20"/>
              </w:rPr>
              <w:t>2</w:t>
            </w:r>
          </w:p>
        </w:tc>
        <w:tc>
          <w:tcPr>
            <w:tcW w:w="1030" w:type="dxa"/>
            <w:tcBorders>
              <w:top w:val="nil"/>
              <w:left w:val="nil"/>
              <w:bottom w:val="single" w:sz="4" w:space="0" w:color="auto"/>
              <w:right w:val="nil"/>
            </w:tcBorders>
            <w:shd w:val="clear" w:color="auto" w:fill="FFFFFF"/>
          </w:tcPr>
          <w:p w14:paraId="75A564A2"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.002</w:t>
            </w:r>
          </w:p>
        </w:tc>
        <w:tc>
          <w:tcPr>
            <w:tcW w:w="1030" w:type="dxa"/>
            <w:tcBorders>
              <w:top w:val="nil"/>
              <w:left w:val="nil"/>
              <w:bottom w:val="single" w:sz="4" w:space="0" w:color="auto"/>
              <w:right w:val="nil"/>
            </w:tcBorders>
            <w:shd w:val="clear" w:color="auto" w:fill="FFFFFF"/>
          </w:tcPr>
          <w:p w14:paraId="651292A9" w14:textId="77777777" w:rsidR="00795739" w:rsidRPr="00D9019B" w:rsidRDefault="00795739" w:rsidP="00CD73E5">
            <w:pPr>
              <w:spacing w:line="240" w:lineRule="auto"/>
              <w:jc w:val="center"/>
              <w:rPr>
                <w:rFonts w:eastAsia="Calibri" w:cs="Times New Roman"/>
                <w:iCs/>
                <w:sz w:val="20"/>
                <w:szCs w:val="20"/>
              </w:rPr>
            </w:pPr>
            <w:r w:rsidRPr="00D9019B">
              <w:rPr>
                <w:rFonts w:eastAsia="Calibri" w:cs="Times New Roman"/>
                <w:iCs/>
                <w:sz w:val="20"/>
                <w:szCs w:val="20"/>
              </w:rPr>
              <w:t>0,2%</w:t>
            </w:r>
          </w:p>
        </w:tc>
      </w:tr>
      <w:tr w:rsidR="00795739" w:rsidRPr="00D9019B" w14:paraId="4B8C3031" w14:textId="77777777" w:rsidTr="005A1DA2">
        <w:trPr>
          <w:cantSplit/>
        </w:trPr>
        <w:tc>
          <w:tcPr>
            <w:tcW w:w="814" w:type="dxa"/>
            <w:tcBorders>
              <w:top w:val="single" w:sz="4" w:space="0" w:color="auto"/>
              <w:left w:val="nil"/>
              <w:bottom w:val="single" w:sz="8" w:space="0" w:color="000000"/>
              <w:right w:val="nil"/>
            </w:tcBorders>
            <w:shd w:val="clear" w:color="auto" w:fill="FFFFFF"/>
          </w:tcPr>
          <w:p w14:paraId="24902CFC" w14:textId="77777777" w:rsidR="00795739" w:rsidRPr="00D9019B" w:rsidRDefault="00795739" w:rsidP="00CD73E5">
            <w:pPr>
              <w:spacing w:line="240" w:lineRule="auto"/>
              <w:rPr>
                <w:rFonts w:eastAsia="Calibri" w:cs="Times New Roman"/>
                <w:iCs/>
                <w:sz w:val="20"/>
                <w:szCs w:val="20"/>
              </w:rPr>
            </w:pPr>
            <w:r>
              <w:rPr>
                <w:rFonts w:eastAsia="Calibri" w:cs="Times New Roman"/>
                <w:iCs/>
                <w:sz w:val="20"/>
                <w:szCs w:val="20"/>
              </w:rPr>
              <w:t>Total</w:t>
            </w:r>
          </w:p>
        </w:tc>
        <w:tc>
          <w:tcPr>
            <w:tcW w:w="769" w:type="dxa"/>
            <w:tcBorders>
              <w:top w:val="single" w:sz="4" w:space="0" w:color="auto"/>
              <w:left w:val="nil"/>
              <w:bottom w:val="single" w:sz="8" w:space="0" w:color="000000"/>
              <w:right w:val="nil"/>
            </w:tcBorders>
            <w:shd w:val="clear" w:color="auto" w:fill="FFFFFF"/>
          </w:tcPr>
          <w:p w14:paraId="4A1A860E" w14:textId="77777777" w:rsidR="00795739" w:rsidRPr="00D9019B" w:rsidRDefault="00795739" w:rsidP="00CD73E5">
            <w:pPr>
              <w:spacing w:line="240" w:lineRule="auto"/>
              <w:rPr>
                <w:rFonts w:eastAsia="Calibri" w:cs="Times New Roman"/>
                <w:iCs/>
                <w:sz w:val="20"/>
                <w:szCs w:val="20"/>
              </w:rPr>
            </w:pPr>
          </w:p>
        </w:tc>
        <w:tc>
          <w:tcPr>
            <w:tcW w:w="1030" w:type="dxa"/>
            <w:tcBorders>
              <w:top w:val="single" w:sz="4" w:space="0" w:color="auto"/>
              <w:left w:val="nil"/>
              <w:bottom w:val="single" w:sz="8" w:space="0" w:color="000000"/>
              <w:right w:val="nil"/>
            </w:tcBorders>
            <w:shd w:val="clear" w:color="auto" w:fill="FFFFFF"/>
          </w:tcPr>
          <w:p w14:paraId="76959E00"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1078</w:t>
            </w:r>
          </w:p>
        </w:tc>
        <w:tc>
          <w:tcPr>
            <w:tcW w:w="1030" w:type="dxa"/>
            <w:tcBorders>
              <w:top w:val="single" w:sz="4" w:space="0" w:color="auto"/>
              <w:left w:val="nil"/>
              <w:bottom w:val="single" w:sz="8" w:space="0" w:color="000000"/>
              <w:right w:val="nil"/>
            </w:tcBorders>
            <w:shd w:val="clear" w:color="auto" w:fill="FFFFFF"/>
          </w:tcPr>
          <w:p w14:paraId="64DB5AD0" w14:textId="77777777" w:rsidR="00795739" w:rsidRDefault="00795739" w:rsidP="00CD73E5">
            <w:pPr>
              <w:spacing w:line="240" w:lineRule="auto"/>
              <w:jc w:val="center"/>
              <w:rPr>
                <w:rFonts w:eastAsia="Calibri" w:cs="Times New Roman"/>
                <w:iCs/>
                <w:sz w:val="20"/>
                <w:szCs w:val="20"/>
              </w:rPr>
            </w:pPr>
            <w:r>
              <w:rPr>
                <w:rFonts w:eastAsia="Calibri" w:cs="Times New Roman"/>
                <w:iCs/>
                <w:sz w:val="20"/>
                <w:szCs w:val="20"/>
              </w:rPr>
              <w:t>1</w:t>
            </w:r>
          </w:p>
        </w:tc>
        <w:tc>
          <w:tcPr>
            <w:tcW w:w="1030" w:type="dxa"/>
            <w:tcBorders>
              <w:top w:val="single" w:sz="4" w:space="0" w:color="auto"/>
              <w:left w:val="nil"/>
              <w:bottom w:val="single" w:sz="8" w:space="0" w:color="000000"/>
              <w:right w:val="nil"/>
            </w:tcBorders>
            <w:shd w:val="clear" w:color="auto" w:fill="FFFFFF"/>
          </w:tcPr>
          <w:p w14:paraId="4E37BE4B" w14:textId="77777777" w:rsidR="00795739" w:rsidRPr="00D9019B" w:rsidRDefault="00795739" w:rsidP="00CD73E5">
            <w:pPr>
              <w:spacing w:line="240" w:lineRule="auto"/>
              <w:jc w:val="center"/>
              <w:rPr>
                <w:rFonts w:eastAsia="Calibri" w:cs="Times New Roman"/>
                <w:iCs/>
                <w:sz w:val="20"/>
                <w:szCs w:val="20"/>
              </w:rPr>
            </w:pPr>
            <w:r>
              <w:rPr>
                <w:rFonts w:eastAsia="Calibri" w:cs="Times New Roman"/>
                <w:iCs/>
                <w:sz w:val="20"/>
                <w:szCs w:val="20"/>
              </w:rPr>
              <w:t>100</w:t>
            </w:r>
          </w:p>
        </w:tc>
      </w:tr>
    </w:tbl>
    <w:p w14:paraId="7D6CD9A4" w14:textId="77777777" w:rsidR="00CD73E5" w:rsidRDefault="00CD73E5" w:rsidP="00CD73E5">
      <w:pPr>
        <w:spacing w:line="240" w:lineRule="auto"/>
        <w:rPr>
          <w:rFonts w:eastAsia="Calibri" w:cs="Times New Roman"/>
          <w:b/>
          <w:bCs/>
          <w:iCs/>
          <w:sz w:val="20"/>
          <w:szCs w:val="20"/>
        </w:rPr>
      </w:pPr>
    </w:p>
    <w:p w14:paraId="0636F816" w14:textId="2B4EB09C" w:rsidR="00CD73E5" w:rsidRPr="00D9019B" w:rsidRDefault="00D9019B" w:rsidP="005A37EC">
      <w:pPr>
        <w:rPr>
          <w:rFonts w:eastAsia="Calibri" w:cs="Times New Roman"/>
          <w:b/>
          <w:bCs/>
          <w:iCs/>
          <w:sz w:val="20"/>
          <w:szCs w:val="20"/>
        </w:rPr>
      </w:pPr>
      <w:bookmarkStart w:id="5" w:name="_Hlk126238684"/>
      <w:r>
        <w:rPr>
          <w:rFonts w:eastAsia="Calibri" w:cs="Times New Roman"/>
          <w:b/>
          <w:bCs/>
          <w:iCs/>
          <w:sz w:val="20"/>
          <w:szCs w:val="20"/>
        </w:rPr>
        <w:t xml:space="preserve">Tabel </w:t>
      </w:r>
      <w:r w:rsidR="00FB1F10">
        <w:rPr>
          <w:rFonts w:eastAsia="Calibri" w:cs="Times New Roman"/>
          <w:b/>
          <w:bCs/>
          <w:iCs/>
          <w:sz w:val="20"/>
          <w:szCs w:val="20"/>
        </w:rPr>
        <w:t>IV</w:t>
      </w:r>
      <w:r w:rsidRPr="00185F03">
        <w:rPr>
          <w:rFonts w:eastAsia="Calibri" w:cs="Times New Roman"/>
          <w:b/>
          <w:bCs/>
          <w:iCs/>
          <w:sz w:val="20"/>
          <w:szCs w:val="20"/>
        </w:rPr>
        <w:t xml:space="preserve">: </w:t>
      </w:r>
      <w:r w:rsidR="00185F03" w:rsidRPr="00185F03">
        <w:rPr>
          <w:rFonts w:eastAsia="Calibri" w:cs="Times New Roman"/>
          <w:b/>
          <w:bCs/>
          <w:iCs/>
          <w:sz w:val="20"/>
          <w:szCs w:val="20"/>
        </w:rPr>
        <w:t>frequenties</w:t>
      </w:r>
      <w:r w:rsidR="00AA19ED">
        <w:rPr>
          <w:rFonts w:eastAsia="Calibri" w:cs="Times New Roman"/>
          <w:b/>
          <w:bCs/>
          <w:iCs/>
          <w:sz w:val="20"/>
          <w:szCs w:val="20"/>
        </w:rPr>
        <w:t xml:space="preserve"> </w:t>
      </w:r>
      <w:r w:rsidR="00795739">
        <w:rPr>
          <w:rFonts w:eastAsia="Calibri" w:cs="Times New Roman"/>
          <w:b/>
          <w:bCs/>
          <w:iCs/>
          <w:sz w:val="20"/>
          <w:szCs w:val="20"/>
        </w:rPr>
        <w:t>‘</w:t>
      </w:r>
      <w:r w:rsidR="002D1FF0">
        <w:rPr>
          <w:rFonts w:eastAsia="Calibri" w:cs="Times New Roman"/>
          <w:b/>
          <w:bCs/>
          <w:iCs/>
          <w:sz w:val="20"/>
          <w:szCs w:val="20"/>
        </w:rPr>
        <w:t>Primaire vorm Europeanisering</w:t>
      </w:r>
      <w:r w:rsidR="00795739">
        <w:rPr>
          <w:rFonts w:eastAsia="Calibri" w:cs="Times New Roman"/>
          <w:b/>
          <w:bCs/>
          <w:iCs/>
          <w:sz w:val="20"/>
          <w:szCs w:val="20"/>
        </w:rPr>
        <w:t>’</w:t>
      </w:r>
      <w:r w:rsidR="002D1FF0">
        <w:rPr>
          <w:rFonts w:eastAsia="Calibri" w:cs="Times New Roman"/>
          <w:b/>
          <w:bCs/>
          <w:iCs/>
          <w:sz w:val="20"/>
          <w:szCs w:val="20"/>
        </w:rPr>
        <w:t xml:space="preserve"> (afhankelijke variabele</w:t>
      </w:r>
      <w:r w:rsidR="006D6E1F">
        <w:rPr>
          <w:rFonts w:eastAsia="Calibri" w:cs="Times New Roman"/>
          <w:b/>
          <w:bCs/>
          <w:iCs/>
          <w:sz w:val="20"/>
          <w:szCs w:val="20"/>
        </w:rPr>
        <w:t xml:space="preserve"> multinomiale logistische regressieanalyse)</w:t>
      </w:r>
    </w:p>
    <w:tbl>
      <w:tblPr>
        <w:tblW w:w="4673" w:type="dxa"/>
        <w:tblLayout w:type="fixed"/>
        <w:tblCellMar>
          <w:left w:w="0" w:type="dxa"/>
          <w:right w:w="0" w:type="dxa"/>
        </w:tblCellMar>
        <w:tblLook w:val="0000" w:firstRow="0" w:lastRow="0" w:firstColumn="0" w:lastColumn="0" w:noHBand="0" w:noVBand="0"/>
      </w:tblPr>
      <w:tblGrid>
        <w:gridCol w:w="814"/>
        <w:gridCol w:w="769"/>
        <w:gridCol w:w="1030"/>
        <w:gridCol w:w="1030"/>
        <w:gridCol w:w="1030"/>
      </w:tblGrid>
      <w:tr w:rsidR="00421FCF" w:rsidRPr="00D9019B" w14:paraId="45D439B3" w14:textId="77777777" w:rsidTr="003D7938">
        <w:trPr>
          <w:cantSplit/>
        </w:trPr>
        <w:tc>
          <w:tcPr>
            <w:tcW w:w="1583" w:type="dxa"/>
            <w:gridSpan w:val="2"/>
            <w:tcBorders>
              <w:top w:val="single" w:sz="8" w:space="0" w:color="000000"/>
              <w:left w:val="nil"/>
              <w:right w:val="nil"/>
            </w:tcBorders>
            <w:shd w:val="clear" w:color="auto" w:fill="FFFFFF"/>
            <w:vAlign w:val="bottom"/>
          </w:tcPr>
          <w:p w14:paraId="07810C04" w14:textId="65C66F9E" w:rsidR="00421FCF" w:rsidRPr="00D9019B" w:rsidRDefault="00421FCF" w:rsidP="00CD73E5">
            <w:pPr>
              <w:spacing w:line="240" w:lineRule="auto"/>
              <w:rPr>
                <w:rFonts w:eastAsia="Calibri" w:cs="Times New Roman"/>
                <w:iCs/>
                <w:sz w:val="20"/>
                <w:szCs w:val="20"/>
              </w:rPr>
            </w:pPr>
          </w:p>
        </w:tc>
        <w:tc>
          <w:tcPr>
            <w:tcW w:w="2060" w:type="dxa"/>
            <w:gridSpan w:val="2"/>
            <w:tcBorders>
              <w:top w:val="single" w:sz="8" w:space="0" w:color="000000"/>
              <w:left w:val="nil"/>
              <w:bottom w:val="single" w:sz="8" w:space="0" w:color="000000"/>
              <w:right w:val="nil"/>
            </w:tcBorders>
            <w:shd w:val="clear" w:color="auto" w:fill="FFFFFF"/>
            <w:vAlign w:val="bottom"/>
          </w:tcPr>
          <w:p w14:paraId="34EEBA85" w14:textId="2B20723D" w:rsidR="00421FCF" w:rsidRPr="00D9019B" w:rsidRDefault="00421FCF" w:rsidP="00CD73E5">
            <w:pPr>
              <w:spacing w:line="240" w:lineRule="auto"/>
              <w:jc w:val="center"/>
              <w:rPr>
                <w:rFonts w:eastAsia="Calibri" w:cs="Times New Roman"/>
                <w:iCs/>
                <w:sz w:val="20"/>
                <w:szCs w:val="20"/>
              </w:rPr>
            </w:pPr>
            <w:r>
              <w:rPr>
                <w:rFonts w:eastAsia="Calibri" w:cs="Times New Roman"/>
                <w:iCs/>
                <w:sz w:val="20"/>
                <w:szCs w:val="20"/>
              </w:rPr>
              <w:t>Frequency</w:t>
            </w:r>
          </w:p>
        </w:tc>
        <w:tc>
          <w:tcPr>
            <w:tcW w:w="1030" w:type="dxa"/>
            <w:tcBorders>
              <w:top w:val="single" w:sz="8" w:space="0" w:color="000000"/>
              <w:left w:val="nil"/>
              <w:right w:val="nil"/>
            </w:tcBorders>
            <w:shd w:val="clear" w:color="auto" w:fill="FFFFFF"/>
            <w:vAlign w:val="bottom"/>
          </w:tcPr>
          <w:p w14:paraId="0545121B" w14:textId="70391307" w:rsidR="00421FCF" w:rsidRPr="00D9019B" w:rsidRDefault="00421FCF" w:rsidP="00CD73E5">
            <w:pPr>
              <w:spacing w:line="240" w:lineRule="auto"/>
              <w:rPr>
                <w:rFonts w:eastAsia="Calibri" w:cs="Times New Roman"/>
                <w:iCs/>
                <w:sz w:val="20"/>
                <w:szCs w:val="20"/>
              </w:rPr>
            </w:pPr>
          </w:p>
        </w:tc>
      </w:tr>
      <w:tr w:rsidR="00421FCF" w:rsidRPr="00D9019B" w14:paraId="31EF718E" w14:textId="77777777" w:rsidTr="003D7938">
        <w:trPr>
          <w:cantSplit/>
        </w:trPr>
        <w:tc>
          <w:tcPr>
            <w:tcW w:w="1583" w:type="dxa"/>
            <w:gridSpan w:val="2"/>
            <w:tcBorders>
              <w:left w:val="nil"/>
              <w:bottom w:val="single" w:sz="4" w:space="0" w:color="auto"/>
              <w:right w:val="nil"/>
            </w:tcBorders>
            <w:shd w:val="clear" w:color="auto" w:fill="FFFFFF"/>
            <w:vAlign w:val="bottom"/>
          </w:tcPr>
          <w:p w14:paraId="1E5AE1D0" w14:textId="77777777" w:rsidR="00421FCF" w:rsidRPr="00D9019B" w:rsidRDefault="00421FCF" w:rsidP="00CD73E5">
            <w:pPr>
              <w:spacing w:line="240" w:lineRule="auto"/>
              <w:rPr>
                <w:rFonts w:eastAsia="Calibri" w:cs="Times New Roman"/>
                <w:iCs/>
                <w:sz w:val="20"/>
                <w:szCs w:val="20"/>
              </w:rPr>
            </w:pPr>
          </w:p>
        </w:tc>
        <w:tc>
          <w:tcPr>
            <w:tcW w:w="1030" w:type="dxa"/>
            <w:tcBorders>
              <w:top w:val="single" w:sz="8" w:space="0" w:color="000000"/>
              <w:left w:val="nil"/>
              <w:bottom w:val="single" w:sz="8" w:space="0" w:color="000000"/>
              <w:right w:val="nil"/>
            </w:tcBorders>
            <w:shd w:val="clear" w:color="auto" w:fill="FFFFFF"/>
            <w:vAlign w:val="bottom"/>
          </w:tcPr>
          <w:p w14:paraId="1F959E37" w14:textId="290B701D" w:rsidR="00421FCF" w:rsidRPr="00D9019B" w:rsidRDefault="00421FCF" w:rsidP="00CD73E5">
            <w:pPr>
              <w:spacing w:line="240" w:lineRule="auto"/>
              <w:jc w:val="center"/>
              <w:rPr>
                <w:rFonts w:eastAsia="Calibri" w:cs="Times New Roman"/>
                <w:iCs/>
                <w:sz w:val="20"/>
                <w:szCs w:val="20"/>
              </w:rPr>
            </w:pPr>
            <w:r>
              <w:rPr>
                <w:rFonts w:eastAsia="Calibri" w:cs="Times New Roman"/>
                <w:iCs/>
                <w:sz w:val="20"/>
                <w:szCs w:val="20"/>
              </w:rPr>
              <w:t>Absolute</w:t>
            </w:r>
          </w:p>
        </w:tc>
        <w:tc>
          <w:tcPr>
            <w:tcW w:w="1030" w:type="dxa"/>
            <w:tcBorders>
              <w:top w:val="single" w:sz="8" w:space="0" w:color="000000"/>
              <w:left w:val="nil"/>
              <w:bottom w:val="single" w:sz="8" w:space="0" w:color="000000"/>
              <w:right w:val="nil"/>
            </w:tcBorders>
            <w:shd w:val="clear" w:color="auto" w:fill="FFFFFF"/>
          </w:tcPr>
          <w:p w14:paraId="54635EC0" w14:textId="0C032898" w:rsidR="00421FCF" w:rsidRPr="00D9019B" w:rsidRDefault="00421FCF" w:rsidP="00CD73E5">
            <w:pPr>
              <w:spacing w:line="240" w:lineRule="auto"/>
              <w:jc w:val="center"/>
              <w:rPr>
                <w:rFonts w:eastAsia="Calibri" w:cs="Times New Roman"/>
                <w:iCs/>
                <w:sz w:val="20"/>
                <w:szCs w:val="20"/>
              </w:rPr>
            </w:pPr>
            <w:r>
              <w:rPr>
                <w:rFonts w:eastAsia="Calibri" w:cs="Times New Roman"/>
                <w:iCs/>
                <w:sz w:val="20"/>
                <w:szCs w:val="20"/>
              </w:rPr>
              <w:t>Relative</w:t>
            </w:r>
          </w:p>
        </w:tc>
        <w:tc>
          <w:tcPr>
            <w:tcW w:w="1030" w:type="dxa"/>
            <w:tcBorders>
              <w:left w:val="nil"/>
              <w:bottom w:val="single" w:sz="4" w:space="0" w:color="auto"/>
              <w:right w:val="nil"/>
            </w:tcBorders>
            <w:shd w:val="clear" w:color="auto" w:fill="FFFFFF"/>
            <w:vAlign w:val="bottom"/>
          </w:tcPr>
          <w:p w14:paraId="49E3598E" w14:textId="589BDC24" w:rsidR="00421FCF" w:rsidRPr="00D9019B" w:rsidRDefault="00421FCF" w:rsidP="00CD73E5">
            <w:pPr>
              <w:spacing w:line="240" w:lineRule="auto"/>
              <w:jc w:val="center"/>
              <w:rPr>
                <w:rFonts w:eastAsia="Calibri" w:cs="Times New Roman"/>
                <w:iCs/>
                <w:sz w:val="20"/>
                <w:szCs w:val="20"/>
              </w:rPr>
            </w:pPr>
            <w:r>
              <w:rPr>
                <w:rFonts w:eastAsia="Calibri" w:cs="Times New Roman"/>
                <w:iCs/>
                <w:sz w:val="20"/>
                <w:szCs w:val="20"/>
              </w:rPr>
              <w:t>%</w:t>
            </w:r>
          </w:p>
        </w:tc>
      </w:tr>
      <w:tr w:rsidR="00421FCF" w:rsidRPr="00D9019B" w14:paraId="4F14656A" w14:textId="77777777" w:rsidTr="003D7938">
        <w:trPr>
          <w:cantSplit/>
        </w:trPr>
        <w:tc>
          <w:tcPr>
            <w:tcW w:w="1583" w:type="dxa"/>
            <w:gridSpan w:val="2"/>
            <w:tcBorders>
              <w:top w:val="single" w:sz="4" w:space="0" w:color="auto"/>
              <w:left w:val="nil"/>
              <w:bottom w:val="nil"/>
              <w:right w:val="nil"/>
            </w:tcBorders>
            <w:shd w:val="clear" w:color="auto" w:fill="FFFFFF"/>
          </w:tcPr>
          <w:p w14:paraId="79B66217" w14:textId="798DEA65"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0</w:t>
            </w:r>
            <w:r>
              <w:rPr>
                <w:rFonts w:eastAsia="Calibri" w:cs="Times New Roman"/>
                <w:iCs/>
                <w:sz w:val="20"/>
                <w:szCs w:val="20"/>
              </w:rPr>
              <w:t xml:space="preserve"> (geen)</w:t>
            </w:r>
          </w:p>
        </w:tc>
        <w:tc>
          <w:tcPr>
            <w:tcW w:w="1030" w:type="dxa"/>
            <w:tcBorders>
              <w:top w:val="single" w:sz="8" w:space="0" w:color="000000"/>
              <w:left w:val="nil"/>
              <w:bottom w:val="nil"/>
              <w:right w:val="nil"/>
            </w:tcBorders>
            <w:shd w:val="clear" w:color="auto" w:fill="FFFFFF"/>
          </w:tcPr>
          <w:p w14:paraId="64DDF2EE"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718</w:t>
            </w:r>
          </w:p>
        </w:tc>
        <w:tc>
          <w:tcPr>
            <w:tcW w:w="1030" w:type="dxa"/>
            <w:tcBorders>
              <w:top w:val="single" w:sz="4" w:space="0" w:color="auto"/>
              <w:left w:val="nil"/>
              <w:bottom w:val="nil"/>
              <w:right w:val="nil"/>
            </w:tcBorders>
            <w:shd w:val="clear" w:color="auto" w:fill="FFFFFF"/>
          </w:tcPr>
          <w:p w14:paraId="50EAA1AF" w14:textId="3C005565"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.666</w:t>
            </w:r>
          </w:p>
        </w:tc>
        <w:tc>
          <w:tcPr>
            <w:tcW w:w="1030" w:type="dxa"/>
            <w:tcBorders>
              <w:top w:val="single" w:sz="4" w:space="0" w:color="auto"/>
              <w:left w:val="nil"/>
              <w:bottom w:val="nil"/>
              <w:right w:val="nil"/>
            </w:tcBorders>
            <w:shd w:val="clear" w:color="auto" w:fill="FFFFFF"/>
          </w:tcPr>
          <w:p w14:paraId="31BD87ED" w14:textId="53C53E0F"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66,6%</w:t>
            </w:r>
          </w:p>
        </w:tc>
      </w:tr>
      <w:tr w:rsidR="00421FCF" w:rsidRPr="00D9019B" w14:paraId="44AF004B" w14:textId="77777777" w:rsidTr="00421FCF">
        <w:trPr>
          <w:cantSplit/>
        </w:trPr>
        <w:tc>
          <w:tcPr>
            <w:tcW w:w="1583" w:type="dxa"/>
            <w:gridSpan w:val="2"/>
            <w:tcBorders>
              <w:top w:val="nil"/>
              <w:left w:val="nil"/>
              <w:bottom w:val="nil"/>
              <w:right w:val="nil"/>
            </w:tcBorders>
            <w:shd w:val="clear" w:color="auto" w:fill="FFFFFF"/>
          </w:tcPr>
          <w:p w14:paraId="5C8376F0" w14:textId="665176B7"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1</w:t>
            </w:r>
            <w:r>
              <w:rPr>
                <w:rFonts w:eastAsia="Calibri" w:cs="Times New Roman"/>
                <w:iCs/>
                <w:sz w:val="20"/>
                <w:szCs w:val="20"/>
              </w:rPr>
              <w:t xml:space="preserve"> (minimal)</w:t>
            </w:r>
          </w:p>
        </w:tc>
        <w:tc>
          <w:tcPr>
            <w:tcW w:w="1030" w:type="dxa"/>
            <w:tcBorders>
              <w:top w:val="nil"/>
              <w:left w:val="nil"/>
              <w:bottom w:val="nil"/>
              <w:right w:val="nil"/>
            </w:tcBorders>
            <w:shd w:val="clear" w:color="auto" w:fill="FFFFFF"/>
          </w:tcPr>
          <w:p w14:paraId="3A76B073"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68</w:t>
            </w:r>
          </w:p>
        </w:tc>
        <w:tc>
          <w:tcPr>
            <w:tcW w:w="1030" w:type="dxa"/>
            <w:tcBorders>
              <w:top w:val="nil"/>
              <w:left w:val="nil"/>
              <w:bottom w:val="nil"/>
              <w:right w:val="nil"/>
            </w:tcBorders>
            <w:shd w:val="clear" w:color="auto" w:fill="FFFFFF"/>
          </w:tcPr>
          <w:p w14:paraId="68520BEB" w14:textId="0363DEF7"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.063</w:t>
            </w:r>
          </w:p>
        </w:tc>
        <w:tc>
          <w:tcPr>
            <w:tcW w:w="1030" w:type="dxa"/>
            <w:tcBorders>
              <w:top w:val="nil"/>
              <w:left w:val="nil"/>
              <w:bottom w:val="nil"/>
              <w:right w:val="nil"/>
            </w:tcBorders>
            <w:shd w:val="clear" w:color="auto" w:fill="FFFFFF"/>
          </w:tcPr>
          <w:p w14:paraId="765C0EC1" w14:textId="62BC2E88"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6,3%</w:t>
            </w:r>
          </w:p>
        </w:tc>
      </w:tr>
      <w:tr w:rsidR="00421FCF" w:rsidRPr="00D9019B" w14:paraId="74CD12DC" w14:textId="77777777" w:rsidTr="00421FCF">
        <w:trPr>
          <w:cantSplit/>
        </w:trPr>
        <w:tc>
          <w:tcPr>
            <w:tcW w:w="1583" w:type="dxa"/>
            <w:gridSpan w:val="2"/>
            <w:tcBorders>
              <w:top w:val="nil"/>
              <w:left w:val="nil"/>
              <w:bottom w:val="nil"/>
              <w:right w:val="nil"/>
            </w:tcBorders>
            <w:shd w:val="clear" w:color="auto" w:fill="FFFFFF"/>
          </w:tcPr>
          <w:p w14:paraId="08AB1298" w14:textId="423C0310"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2</w:t>
            </w:r>
            <w:r>
              <w:rPr>
                <w:rFonts w:eastAsia="Calibri" w:cs="Times New Roman"/>
                <w:iCs/>
                <w:sz w:val="20"/>
                <w:szCs w:val="20"/>
              </w:rPr>
              <w:t xml:space="preserve"> (financial)</w:t>
            </w:r>
          </w:p>
        </w:tc>
        <w:tc>
          <w:tcPr>
            <w:tcW w:w="1030" w:type="dxa"/>
            <w:tcBorders>
              <w:top w:val="nil"/>
              <w:left w:val="nil"/>
              <w:bottom w:val="nil"/>
              <w:right w:val="nil"/>
            </w:tcBorders>
            <w:shd w:val="clear" w:color="auto" w:fill="FFFFFF"/>
          </w:tcPr>
          <w:p w14:paraId="25F5006D"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122</w:t>
            </w:r>
          </w:p>
        </w:tc>
        <w:tc>
          <w:tcPr>
            <w:tcW w:w="1030" w:type="dxa"/>
            <w:tcBorders>
              <w:top w:val="nil"/>
              <w:left w:val="nil"/>
              <w:bottom w:val="nil"/>
              <w:right w:val="nil"/>
            </w:tcBorders>
            <w:shd w:val="clear" w:color="auto" w:fill="FFFFFF"/>
          </w:tcPr>
          <w:p w14:paraId="2A561B7F" w14:textId="2AB341CE"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.113</w:t>
            </w:r>
          </w:p>
        </w:tc>
        <w:tc>
          <w:tcPr>
            <w:tcW w:w="1030" w:type="dxa"/>
            <w:tcBorders>
              <w:top w:val="nil"/>
              <w:left w:val="nil"/>
              <w:bottom w:val="nil"/>
              <w:right w:val="nil"/>
            </w:tcBorders>
            <w:shd w:val="clear" w:color="auto" w:fill="FFFFFF"/>
          </w:tcPr>
          <w:p w14:paraId="431E19B5" w14:textId="454CB204"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11,3%</w:t>
            </w:r>
          </w:p>
        </w:tc>
      </w:tr>
      <w:tr w:rsidR="00421FCF" w:rsidRPr="00D9019B" w14:paraId="43B59E96" w14:textId="77777777" w:rsidTr="00421FCF">
        <w:trPr>
          <w:cantSplit/>
        </w:trPr>
        <w:tc>
          <w:tcPr>
            <w:tcW w:w="1583" w:type="dxa"/>
            <w:gridSpan w:val="2"/>
            <w:tcBorders>
              <w:top w:val="nil"/>
              <w:left w:val="nil"/>
              <w:bottom w:val="nil"/>
              <w:right w:val="nil"/>
            </w:tcBorders>
            <w:shd w:val="clear" w:color="auto" w:fill="FFFFFF"/>
          </w:tcPr>
          <w:p w14:paraId="7A598784" w14:textId="39DF477D"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3</w:t>
            </w:r>
            <w:r>
              <w:rPr>
                <w:rFonts w:eastAsia="Calibri" w:cs="Times New Roman"/>
                <w:iCs/>
                <w:sz w:val="20"/>
                <w:szCs w:val="20"/>
              </w:rPr>
              <w:t xml:space="preserve"> (networking)</w:t>
            </w:r>
          </w:p>
        </w:tc>
        <w:tc>
          <w:tcPr>
            <w:tcW w:w="1030" w:type="dxa"/>
            <w:tcBorders>
              <w:top w:val="nil"/>
              <w:left w:val="nil"/>
              <w:bottom w:val="nil"/>
              <w:right w:val="nil"/>
            </w:tcBorders>
            <w:shd w:val="clear" w:color="auto" w:fill="FFFFFF"/>
          </w:tcPr>
          <w:p w14:paraId="57B0CE0F"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113</w:t>
            </w:r>
          </w:p>
        </w:tc>
        <w:tc>
          <w:tcPr>
            <w:tcW w:w="1030" w:type="dxa"/>
            <w:tcBorders>
              <w:top w:val="nil"/>
              <w:left w:val="nil"/>
              <w:bottom w:val="nil"/>
              <w:right w:val="nil"/>
            </w:tcBorders>
            <w:shd w:val="clear" w:color="auto" w:fill="FFFFFF"/>
          </w:tcPr>
          <w:p w14:paraId="0E373513" w14:textId="2ED8B524"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.105</w:t>
            </w:r>
          </w:p>
        </w:tc>
        <w:tc>
          <w:tcPr>
            <w:tcW w:w="1030" w:type="dxa"/>
            <w:tcBorders>
              <w:top w:val="nil"/>
              <w:left w:val="nil"/>
              <w:bottom w:val="nil"/>
              <w:right w:val="nil"/>
            </w:tcBorders>
            <w:shd w:val="clear" w:color="auto" w:fill="FFFFFF"/>
          </w:tcPr>
          <w:p w14:paraId="34DE0013" w14:textId="4A67E133"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10,5%</w:t>
            </w:r>
          </w:p>
        </w:tc>
      </w:tr>
      <w:tr w:rsidR="00421FCF" w:rsidRPr="00D9019B" w14:paraId="12535F8F" w14:textId="77777777" w:rsidTr="00421FCF">
        <w:trPr>
          <w:cantSplit/>
        </w:trPr>
        <w:tc>
          <w:tcPr>
            <w:tcW w:w="1583" w:type="dxa"/>
            <w:gridSpan w:val="2"/>
            <w:tcBorders>
              <w:top w:val="nil"/>
              <w:left w:val="nil"/>
              <w:bottom w:val="nil"/>
              <w:right w:val="nil"/>
            </w:tcBorders>
            <w:shd w:val="clear" w:color="auto" w:fill="FFFFFF"/>
          </w:tcPr>
          <w:p w14:paraId="2991B77C" w14:textId="24D5EF95"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4</w:t>
            </w:r>
            <w:r>
              <w:rPr>
                <w:rFonts w:eastAsia="Calibri" w:cs="Times New Roman"/>
                <w:iCs/>
                <w:sz w:val="20"/>
                <w:szCs w:val="20"/>
              </w:rPr>
              <w:t xml:space="preserve"> (lobbying)</w:t>
            </w:r>
          </w:p>
        </w:tc>
        <w:tc>
          <w:tcPr>
            <w:tcW w:w="1030" w:type="dxa"/>
            <w:tcBorders>
              <w:top w:val="nil"/>
              <w:left w:val="nil"/>
              <w:bottom w:val="nil"/>
              <w:right w:val="nil"/>
            </w:tcBorders>
            <w:shd w:val="clear" w:color="auto" w:fill="FFFFFF"/>
          </w:tcPr>
          <w:p w14:paraId="5638E577"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55</w:t>
            </w:r>
          </w:p>
        </w:tc>
        <w:tc>
          <w:tcPr>
            <w:tcW w:w="1030" w:type="dxa"/>
            <w:tcBorders>
              <w:top w:val="nil"/>
              <w:left w:val="nil"/>
              <w:bottom w:val="nil"/>
              <w:right w:val="nil"/>
            </w:tcBorders>
            <w:shd w:val="clear" w:color="auto" w:fill="FFFFFF"/>
          </w:tcPr>
          <w:p w14:paraId="324ACD51" w14:textId="4E26770E"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.051</w:t>
            </w:r>
          </w:p>
        </w:tc>
        <w:tc>
          <w:tcPr>
            <w:tcW w:w="1030" w:type="dxa"/>
            <w:tcBorders>
              <w:top w:val="nil"/>
              <w:left w:val="nil"/>
              <w:bottom w:val="nil"/>
              <w:right w:val="nil"/>
            </w:tcBorders>
            <w:shd w:val="clear" w:color="auto" w:fill="FFFFFF"/>
          </w:tcPr>
          <w:p w14:paraId="5FC7E2C4" w14:textId="0512837C"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5,1%</w:t>
            </w:r>
          </w:p>
        </w:tc>
      </w:tr>
      <w:tr w:rsidR="00421FCF" w:rsidRPr="00D9019B" w14:paraId="7CAB8F8F" w14:textId="77777777" w:rsidTr="006D6E1F">
        <w:trPr>
          <w:cantSplit/>
        </w:trPr>
        <w:tc>
          <w:tcPr>
            <w:tcW w:w="814" w:type="dxa"/>
            <w:tcBorders>
              <w:top w:val="nil"/>
              <w:left w:val="nil"/>
              <w:bottom w:val="single" w:sz="4" w:space="0" w:color="auto"/>
              <w:right w:val="nil"/>
            </w:tcBorders>
            <w:shd w:val="clear" w:color="auto" w:fill="FFFFFF"/>
          </w:tcPr>
          <w:p w14:paraId="2385A913" w14:textId="77777777" w:rsidR="00421FCF" w:rsidRPr="00D9019B" w:rsidRDefault="00421FCF" w:rsidP="00CD73E5">
            <w:pPr>
              <w:spacing w:line="240" w:lineRule="auto"/>
              <w:rPr>
                <w:rFonts w:eastAsia="Calibri" w:cs="Times New Roman"/>
                <w:iCs/>
                <w:sz w:val="20"/>
                <w:szCs w:val="20"/>
              </w:rPr>
            </w:pPr>
            <w:r w:rsidRPr="00D9019B">
              <w:rPr>
                <w:rFonts w:eastAsia="Calibri" w:cs="Times New Roman"/>
                <w:iCs/>
                <w:sz w:val="20"/>
                <w:szCs w:val="20"/>
              </w:rPr>
              <w:t>Missing</w:t>
            </w:r>
          </w:p>
        </w:tc>
        <w:tc>
          <w:tcPr>
            <w:tcW w:w="769" w:type="dxa"/>
            <w:tcBorders>
              <w:top w:val="nil"/>
              <w:left w:val="nil"/>
              <w:bottom w:val="single" w:sz="4" w:space="0" w:color="auto"/>
              <w:right w:val="nil"/>
            </w:tcBorders>
            <w:shd w:val="clear" w:color="auto" w:fill="FFFFFF"/>
          </w:tcPr>
          <w:p w14:paraId="59B3F340" w14:textId="787D13EB" w:rsidR="00421FCF" w:rsidRPr="00D9019B" w:rsidRDefault="00421FCF" w:rsidP="00CD73E5">
            <w:pPr>
              <w:spacing w:line="240" w:lineRule="auto"/>
              <w:rPr>
                <w:rFonts w:eastAsia="Calibri" w:cs="Times New Roman"/>
                <w:iCs/>
                <w:sz w:val="20"/>
                <w:szCs w:val="20"/>
              </w:rPr>
            </w:pPr>
          </w:p>
        </w:tc>
        <w:tc>
          <w:tcPr>
            <w:tcW w:w="1030" w:type="dxa"/>
            <w:tcBorders>
              <w:top w:val="nil"/>
              <w:left w:val="nil"/>
              <w:bottom w:val="single" w:sz="4" w:space="0" w:color="auto"/>
              <w:right w:val="nil"/>
            </w:tcBorders>
            <w:shd w:val="clear" w:color="auto" w:fill="FFFFFF"/>
          </w:tcPr>
          <w:p w14:paraId="6787C4AD" w14:textId="77777777"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2</w:t>
            </w:r>
          </w:p>
        </w:tc>
        <w:tc>
          <w:tcPr>
            <w:tcW w:w="1030" w:type="dxa"/>
            <w:tcBorders>
              <w:top w:val="nil"/>
              <w:left w:val="nil"/>
              <w:bottom w:val="single" w:sz="4" w:space="0" w:color="auto"/>
              <w:right w:val="nil"/>
            </w:tcBorders>
            <w:shd w:val="clear" w:color="auto" w:fill="FFFFFF"/>
          </w:tcPr>
          <w:p w14:paraId="487D062C" w14:textId="4F886ABD" w:rsidR="00421FCF" w:rsidRPr="00D9019B" w:rsidRDefault="003E73CD" w:rsidP="00CD73E5">
            <w:pPr>
              <w:spacing w:line="240" w:lineRule="auto"/>
              <w:jc w:val="center"/>
              <w:rPr>
                <w:rFonts w:eastAsia="Calibri" w:cs="Times New Roman"/>
                <w:iCs/>
                <w:sz w:val="20"/>
                <w:szCs w:val="20"/>
              </w:rPr>
            </w:pPr>
            <w:r>
              <w:rPr>
                <w:rFonts w:eastAsia="Calibri" w:cs="Times New Roman"/>
                <w:iCs/>
                <w:sz w:val="20"/>
                <w:szCs w:val="20"/>
              </w:rPr>
              <w:t>.</w:t>
            </w:r>
            <w:r w:rsidR="006D6E1F">
              <w:rPr>
                <w:rFonts w:eastAsia="Calibri" w:cs="Times New Roman"/>
                <w:iCs/>
                <w:sz w:val="20"/>
                <w:szCs w:val="20"/>
              </w:rPr>
              <w:t>002</w:t>
            </w:r>
          </w:p>
        </w:tc>
        <w:tc>
          <w:tcPr>
            <w:tcW w:w="1030" w:type="dxa"/>
            <w:tcBorders>
              <w:top w:val="nil"/>
              <w:left w:val="nil"/>
              <w:bottom w:val="single" w:sz="4" w:space="0" w:color="auto"/>
              <w:right w:val="nil"/>
            </w:tcBorders>
            <w:shd w:val="clear" w:color="auto" w:fill="FFFFFF"/>
          </w:tcPr>
          <w:p w14:paraId="5E91064D" w14:textId="32462819" w:rsidR="00421FCF" w:rsidRPr="00D9019B" w:rsidRDefault="00421FCF" w:rsidP="00CD73E5">
            <w:pPr>
              <w:spacing w:line="240" w:lineRule="auto"/>
              <w:jc w:val="center"/>
              <w:rPr>
                <w:rFonts w:eastAsia="Calibri" w:cs="Times New Roman"/>
                <w:iCs/>
                <w:sz w:val="20"/>
                <w:szCs w:val="20"/>
              </w:rPr>
            </w:pPr>
            <w:r w:rsidRPr="00D9019B">
              <w:rPr>
                <w:rFonts w:eastAsia="Calibri" w:cs="Times New Roman"/>
                <w:iCs/>
                <w:sz w:val="20"/>
                <w:szCs w:val="20"/>
              </w:rPr>
              <w:t>0,2%</w:t>
            </w:r>
          </w:p>
        </w:tc>
      </w:tr>
      <w:tr w:rsidR="006D6E1F" w:rsidRPr="00D9019B" w14:paraId="3E2DA80D" w14:textId="77777777" w:rsidTr="006D6E1F">
        <w:trPr>
          <w:cantSplit/>
        </w:trPr>
        <w:tc>
          <w:tcPr>
            <w:tcW w:w="814" w:type="dxa"/>
            <w:tcBorders>
              <w:top w:val="single" w:sz="4" w:space="0" w:color="auto"/>
              <w:left w:val="nil"/>
              <w:bottom w:val="single" w:sz="8" w:space="0" w:color="000000"/>
              <w:right w:val="nil"/>
            </w:tcBorders>
            <w:shd w:val="clear" w:color="auto" w:fill="FFFFFF"/>
          </w:tcPr>
          <w:p w14:paraId="090175E2" w14:textId="18E85FEC" w:rsidR="006D6E1F" w:rsidRPr="00D9019B" w:rsidRDefault="006D6E1F" w:rsidP="00CD73E5">
            <w:pPr>
              <w:spacing w:line="240" w:lineRule="auto"/>
              <w:rPr>
                <w:rFonts w:eastAsia="Calibri" w:cs="Times New Roman"/>
                <w:iCs/>
                <w:sz w:val="20"/>
                <w:szCs w:val="20"/>
              </w:rPr>
            </w:pPr>
            <w:r>
              <w:rPr>
                <w:rFonts w:eastAsia="Calibri" w:cs="Times New Roman"/>
                <w:iCs/>
                <w:sz w:val="20"/>
                <w:szCs w:val="20"/>
              </w:rPr>
              <w:t>Total</w:t>
            </w:r>
          </w:p>
        </w:tc>
        <w:tc>
          <w:tcPr>
            <w:tcW w:w="769" w:type="dxa"/>
            <w:tcBorders>
              <w:top w:val="single" w:sz="4" w:space="0" w:color="auto"/>
              <w:left w:val="nil"/>
              <w:bottom w:val="single" w:sz="8" w:space="0" w:color="000000"/>
              <w:right w:val="nil"/>
            </w:tcBorders>
            <w:shd w:val="clear" w:color="auto" w:fill="FFFFFF"/>
          </w:tcPr>
          <w:p w14:paraId="18141248" w14:textId="77777777" w:rsidR="006D6E1F" w:rsidRPr="00D9019B" w:rsidRDefault="006D6E1F" w:rsidP="00CD73E5">
            <w:pPr>
              <w:spacing w:line="240" w:lineRule="auto"/>
              <w:rPr>
                <w:rFonts w:eastAsia="Calibri" w:cs="Times New Roman"/>
                <w:iCs/>
                <w:sz w:val="20"/>
                <w:szCs w:val="20"/>
              </w:rPr>
            </w:pPr>
          </w:p>
        </w:tc>
        <w:tc>
          <w:tcPr>
            <w:tcW w:w="1030" w:type="dxa"/>
            <w:tcBorders>
              <w:top w:val="single" w:sz="4" w:space="0" w:color="auto"/>
              <w:left w:val="nil"/>
              <w:bottom w:val="single" w:sz="8" w:space="0" w:color="000000"/>
              <w:right w:val="nil"/>
            </w:tcBorders>
            <w:shd w:val="clear" w:color="auto" w:fill="FFFFFF"/>
          </w:tcPr>
          <w:p w14:paraId="550E09F4" w14:textId="48CBEC2A" w:rsidR="006D6E1F" w:rsidRPr="00D9019B" w:rsidRDefault="006D6E1F" w:rsidP="00CD73E5">
            <w:pPr>
              <w:spacing w:line="240" w:lineRule="auto"/>
              <w:jc w:val="center"/>
              <w:rPr>
                <w:rFonts w:eastAsia="Calibri" w:cs="Times New Roman"/>
                <w:iCs/>
                <w:sz w:val="20"/>
                <w:szCs w:val="20"/>
              </w:rPr>
            </w:pPr>
            <w:r>
              <w:rPr>
                <w:rFonts w:eastAsia="Calibri" w:cs="Times New Roman"/>
                <w:iCs/>
                <w:sz w:val="20"/>
                <w:szCs w:val="20"/>
              </w:rPr>
              <w:t>1078</w:t>
            </w:r>
          </w:p>
        </w:tc>
        <w:tc>
          <w:tcPr>
            <w:tcW w:w="1030" w:type="dxa"/>
            <w:tcBorders>
              <w:top w:val="single" w:sz="4" w:space="0" w:color="auto"/>
              <w:left w:val="nil"/>
              <w:bottom w:val="single" w:sz="8" w:space="0" w:color="000000"/>
              <w:right w:val="nil"/>
            </w:tcBorders>
            <w:shd w:val="clear" w:color="auto" w:fill="FFFFFF"/>
          </w:tcPr>
          <w:p w14:paraId="16A0BF84" w14:textId="522FE60B" w:rsidR="006D6E1F" w:rsidRDefault="006D6E1F" w:rsidP="00CD73E5">
            <w:pPr>
              <w:spacing w:line="240" w:lineRule="auto"/>
              <w:jc w:val="center"/>
              <w:rPr>
                <w:rFonts w:eastAsia="Calibri" w:cs="Times New Roman"/>
                <w:iCs/>
                <w:sz w:val="20"/>
                <w:szCs w:val="20"/>
              </w:rPr>
            </w:pPr>
            <w:r>
              <w:rPr>
                <w:rFonts w:eastAsia="Calibri" w:cs="Times New Roman"/>
                <w:iCs/>
                <w:sz w:val="20"/>
                <w:szCs w:val="20"/>
              </w:rPr>
              <w:t>1</w:t>
            </w:r>
          </w:p>
        </w:tc>
        <w:tc>
          <w:tcPr>
            <w:tcW w:w="1030" w:type="dxa"/>
            <w:tcBorders>
              <w:top w:val="single" w:sz="4" w:space="0" w:color="auto"/>
              <w:left w:val="nil"/>
              <w:bottom w:val="single" w:sz="8" w:space="0" w:color="000000"/>
              <w:right w:val="nil"/>
            </w:tcBorders>
            <w:shd w:val="clear" w:color="auto" w:fill="FFFFFF"/>
          </w:tcPr>
          <w:p w14:paraId="2FDFF7AE" w14:textId="663FD678" w:rsidR="006D6E1F" w:rsidRPr="00D9019B" w:rsidRDefault="006D6E1F" w:rsidP="00CD73E5">
            <w:pPr>
              <w:spacing w:line="240" w:lineRule="auto"/>
              <w:jc w:val="center"/>
              <w:rPr>
                <w:rFonts w:eastAsia="Calibri" w:cs="Times New Roman"/>
                <w:iCs/>
                <w:sz w:val="20"/>
                <w:szCs w:val="20"/>
              </w:rPr>
            </w:pPr>
            <w:r>
              <w:rPr>
                <w:rFonts w:eastAsia="Calibri" w:cs="Times New Roman"/>
                <w:iCs/>
                <w:sz w:val="20"/>
                <w:szCs w:val="20"/>
              </w:rPr>
              <w:t>100</w:t>
            </w:r>
          </w:p>
        </w:tc>
      </w:tr>
      <w:bookmarkEnd w:id="5"/>
    </w:tbl>
    <w:p w14:paraId="4D35BCE9" w14:textId="77777777" w:rsidR="00162D7F" w:rsidRDefault="00162D7F" w:rsidP="00763930">
      <w:pPr>
        <w:rPr>
          <w:rFonts w:eastAsia="Calibri" w:cs="Times New Roman"/>
          <w:iCs/>
          <w:sz w:val="20"/>
          <w:szCs w:val="20"/>
        </w:rPr>
      </w:pPr>
    </w:p>
    <w:p w14:paraId="2A421DA5" w14:textId="77777777" w:rsidR="00C552BB" w:rsidRDefault="00C552BB" w:rsidP="005A37EC">
      <w:pPr>
        <w:rPr>
          <w:rFonts w:eastAsia="Calibri" w:cs="Times New Roman"/>
          <w:b/>
          <w:bCs/>
          <w:iCs/>
          <w:sz w:val="20"/>
          <w:szCs w:val="20"/>
        </w:rPr>
      </w:pPr>
    </w:p>
    <w:p w14:paraId="295174B9" w14:textId="77777777" w:rsidR="00C552BB" w:rsidRDefault="00C552BB" w:rsidP="005A37EC">
      <w:pPr>
        <w:rPr>
          <w:rFonts w:eastAsia="Calibri" w:cs="Times New Roman"/>
          <w:b/>
          <w:bCs/>
          <w:iCs/>
          <w:sz w:val="20"/>
          <w:szCs w:val="20"/>
        </w:rPr>
      </w:pPr>
    </w:p>
    <w:p w14:paraId="5250849F" w14:textId="2E4EB26A" w:rsidR="005A37EC" w:rsidRPr="00D9019B" w:rsidRDefault="005A37EC" w:rsidP="005A37EC">
      <w:pPr>
        <w:rPr>
          <w:rFonts w:eastAsia="Calibri" w:cs="Times New Roman"/>
          <w:b/>
          <w:bCs/>
          <w:iCs/>
          <w:sz w:val="20"/>
          <w:szCs w:val="20"/>
        </w:rPr>
      </w:pPr>
      <w:r>
        <w:rPr>
          <w:rFonts w:eastAsia="Calibri" w:cs="Times New Roman"/>
          <w:b/>
          <w:bCs/>
          <w:iCs/>
          <w:sz w:val="20"/>
          <w:szCs w:val="20"/>
        </w:rPr>
        <w:t>Tabel V</w:t>
      </w:r>
      <w:r w:rsidRPr="00185F03">
        <w:rPr>
          <w:rFonts w:eastAsia="Calibri" w:cs="Times New Roman"/>
          <w:b/>
          <w:bCs/>
          <w:iCs/>
          <w:sz w:val="20"/>
          <w:szCs w:val="20"/>
        </w:rPr>
        <w:t>: frequenties</w:t>
      </w:r>
      <w:r>
        <w:rPr>
          <w:rFonts w:eastAsia="Calibri" w:cs="Times New Roman"/>
          <w:b/>
          <w:bCs/>
          <w:iCs/>
          <w:sz w:val="20"/>
          <w:szCs w:val="20"/>
        </w:rPr>
        <w:t xml:space="preserve"> ‘Mate van Europeanisering (afhankelijke variabele o</w:t>
      </w:r>
      <w:r w:rsidR="00D1168A">
        <w:rPr>
          <w:rFonts w:eastAsia="Calibri" w:cs="Times New Roman"/>
          <w:b/>
          <w:bCs/>
          <w:iCs/>
          <w:sz w:val="20"/>
          <w:szCs w:val="20"/>
        </w:rPr>
        <w:t>rdinale logistische regressieanalyse</w:t>
      </w:r>
      <w:r>
        <w:rPr>
          <w:rFonts w:eastAsia="Calibri" w:cs="Times New Roman"/>
          <w:b/>
          <w:bCs/>
          <w:iCs/>
          <w:sz w:val="20"/>
          <w:szCs w:val="20"/>
        </w:rPr>
        <w:t>)</w:t>
      </w:r>
    </w:p>
    <w:tbl>
      <w:tblPr>
        <w:tblW w:w="4673" w:type="dxa"/>
        <w:tblLayout w:type="fixed"/>
        <w:tblCellMar>
          <w:left w:w="0" w:type="dxa"/>
          <w:right w:w="0" w:type="dxa"/>
        </w:tblCellMar>
        <w:tblLook w:val="0000" w:firstRow="0" w:lastRow="0" w:firstColumn="0" w:lastColumn="0" w:noHBand="0" w:noVBand="0"/>
      </w:tblPr>
      <w:tblGrid>
        <w:gridCol w:w="814"/>
        <w:gridCol w:w="769"/>
        <w:gridCol w:w="1030"/>
        <w:gridCol w:w="1030"/>
        <w:gridCol w:w="1030"/>
      </w:tblGrid>
      <w:tr w:rsidR="005A37EC" w:rsidRPr="00D9019B" w14:paraId="1665157E" w14:textId="77777777" w:rsidTr="005A1DA2">
        <w:trPr>
          <w:cantSplit/>
        </w:trPr>
        <w:tc>
          <w:tcPr>
            <w:tcW w:w="1583" w:type="dxa"/>
            <w:gridSpan w:val="2"/>
            <w:tcBorders>
              <w:top w:val="single" w:sz="8" w:space="0" w:color="000000"/>
              <w:left w:val="nil"/>
              <w:right w:val="nil"/>
            </w:tcBorders>
            <w:shd w:val="clear" w:color="auto" w:fill="FFFFFF"/>
            <w:vAlign w:val="bottom"/>
          </w:tcPr>
          <w:p w14:paraId="75FCAE30" w14:textId="77777777" w:rsidR="005A37EC" w:rsidRPr="00D9019B" w:rsidRDefault="005A37EC" w:rsidP="005A1DA2">
            <w:pPr>
              <w:spacing w:line="240" w:lineRule="auto"/>
              <w:rPr>
                <w:rFonts w:eastAsia="Calibri" w:cs="Times New Roman"/>
                <w:iCs/>
                <w:sz w:val="20"/>
                <w:szCs w:val="20"/>
              </w:rPr>
            </w:pPr>
          </w:p>
        </w:tc>
        <w:tc>
          <w:tcPr>
            <w:tcW w:w="2060" w:type="dxa"/>
            <w:gridSpan w:val="2"/>
            <w:tcBorders>
              <w:top w:val="single" w:sz="8" w:space="0" w:color="000000"/>
              <w:left w:val="nil"/>
              <w:bottom w:val="single" w:sz="8" w:space="0" w:color="000000"/>
              <w:right w:val="nil"/>
            </w:tcBorders>
            <w:shd w:val="clear" w:color="auto" w:fill="FFFFFF"/>
            <w:vAlign w:val="bottom"/>
          </w:tcPr>
          <w:p w14:paraId="79B34CE3"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Frequency</w:t>
            </w:r>
          </w:p>
        </w:tc>
        <w:tc>
          <w:tcPr>
            <w:tcW w:w="1030" w:type="dxa"/>
            <w:tcBorders>
              <w:top w:val="single" w:sz="8" w:space="0" w:color="000000"/>
              <w:left w:val="nil"/>
              <w:right w:val="nil"/>
            </w:tcBorders>
            <w:shd w:val="clear" w:color="auto" w:fill="FFFFFF"/>
            <w:vAlign w:val="bottom"/>
          </w:tcPr>
          <w:p w14:paraId="6E999E91" w14:textId="77777777" w:rsidR="005A37EC" w:rsidRPr="00D9019B" w:rsidRDefault="005A37EC" w:rsidP="005A1DA2">
            <w:pPr>
              <w:spacing w:line="240" w:lineRule="auto"/>
              <w:rPr>
                <w:rFonts w:eastAsia="Calibri" w:cs="Times New Roman"/>
                <w:iCs/>
                <w:sz w:val="20"/>
                <w:szCs w:val="20"/>
              </w:rPr>
            </w:pPr>
          </w:p>
        </w:tc>
      </w:tr>
      <w:tr w:rsidR="005A37EC" w:rsidRPr="00D9019B" w14:paraId="60F7BEE5" w14:textId="77777777" w:rsidTr="005A1DA2">
        <w:trPr>
          <w:cantSplit/>
        </w:trPr>
        <w:tc>
          <w:tcPr>
            <w:tcW w:w="1583" w:type="dxa"/>
            <w:gridSpan w:val="2"/>
            <w:tcBorders>
              <w:left w:val="nil"/>
              <w:bottom w:val="single" w:sz="4" w:space="0" w:color="auto"/>
              <w:right w:val="nil"/>
            </w:tcBorders>
            <w:shd w:val="clear" w:color="auto" w:fill="FFFFFF"/>
            <w:vAlign w:val="bottom"/>
          </w:tcPr>
          <w:p w14:paraId="3EF63D25" w14:textId="77777777" w:rsidR="005A37EC" w:rsidRPr="00D9019B" w:rsidRDefault="005A37EC" w:rsidP="005A1DA2">
            <w:pPr>
              <w:spacing w:line="240" w:lineRule="auto"/>
              <w:rPr>
                <w:rFonts w:eastAsia="Calibri" w:cs="Times New Roman"/>
                <w:iCs/>
                <w:sz w:val="20"/>
                <w:szCs w:val="20"/>
              </w:rPr>
            </w:pPr>
          </w:p>
        </w:tc>
        <w:tc>
          <w:tcPr>
            <w:tcW w:w="1030" w:type="dxa"/>
            <w:tcBorders>
              <w:top w:val="single" w:sz="8" w:space="0" w:color="000000"/>
              <w:left w:val="nil"/>
              <w:bottom w:val="single" w:sz="8" w:space="0" w:color="000000"/>
              <w:right w:val="nil"/>
            </w:tcBorders>
            <w:shd w:val="clear" w:color="auto" w:fill="FFFFFF"/>
            <w:vAlign w:val="bottom"/>
          </w:tcPr>
          <w:p w14:paraId="07947B07"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Absolute</w:t>
            </w:r>
          </w:p>
        </w:tc>
        <w:tc>
          <w:tcPr>
            <w:tcW w:w="1030" w:type="dxa"/>
            <w:tcBorders>
              <w:top w:val="single" w:sz="8" w:space="0" w:color="000000"/>
              <w:left w:val="nil"/>
              <w:bottom w:val="single" w:sz="8" w:space="0" w:color="000000"/>
              <w:right w:val="nil"/>
            </w:tcBorders>
            <w:shd w:val="clear" w:color="auto" w:fill="FFFFFF"/>
          </w:tcPr>
          <w:p w14:paraId="66407310"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Relative</w:t>
            </w:r>
          </w:p>
        </w:tc>
        <w:tc>
          <w:tcPr>
            <w:tcW w:w="1030" w:type="dxa"/>
            <w:tcBorders>
              <w:left w:val="nil"/>
              <w:bottom w:val="single" w:sz="4" w:space="0" w:color="auto"/>
              <w:right w:val="nil"/>
            </w:tcBorders>
            <w:shd w:val="clear" w:color="auto" w:fill="FFFFFF"/>
            <w:vAlign w:val="bottom"/>
          </w:tcPr>
          <w:p w14:paraId="518B1D81"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w:t>
            </w:r>
          </w:p>
        </w:tc>
      </w:tr>
      <w:tr w:rsidR="005A37EC" w:rsidRPr="00D9019B" w14:paraId="444A4DAA" w14:textId="77777777" w:rsidTr="005A1DA2">
        <w:trPr>
          <w:cantSplit/>
        </w:trPr>
        <w:tc>
          <w:tcPr>
            <w:tcW w:w="1583" w:type="dxa"/>
            <w:gridSpan w:val="2"/>
            <w:tcBorders>
              <w:top w:val="single" w:sz="4" w:space="0" w:color="auto"/>
              <w:left w:val="nil"/>
              <w:bottom w:val="nil"/>
              <w:right w:val="nil"/>
            </w:tcBorders>
            <w:shd w:val="clear" w:color="auto" w:fill="FFFFFF"/>
          </w:tcPr>
          <w:p w14:paraId="1B6339A6" w14:textId="77777777"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0</w:t>
            </w:r>
            <w:r>
              <w:rPr>
                <w:rFonts w:eastAsia="Calibri" w:cs="Times New Roman"/>
                <w:iCs/>
                <w:sz w:val="20"/>
                <w:szCs w:val="20"/>
              </w:rPr>
              <w:t xml:space="preserve"> (geen)</w:t>
            </w:r>
          </w:p>
        </w:tc>
        <w:tc>
          <w:tcPr>
            <w:tcW w:w="1030" w:type="dxa"/>
            <w:tcBorders>
              <w:top w:val="single" w:sz="8" w:space="0" w:color="000000"/>
              <w:left w:val="nil"/>
              <w:bottom w:val="nil"/>
              <w:right w:val="nil"/>
            </w:tcBorders>
            <w:shd w:val="clear" w:color="auto" w:fill="FFFFFF"/>
          </w:tcPr>
          <w:p w14:paraId="48A762B5" w14:textId="77777777"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718</w:t>
            </w:r>
          </w:p>
        </w:tc>
        <w:tc>
          <w:tcPr>
            <w:tcW w:w="1030" w:type="dxa"/>
            <w:tcBorders>
              <w:top w:val="single" w:sz="4" w:space="0" w:color="auto"/>
              <w:left w:val="nil"/>
              <w:bottom w:val="nil"/>
              <w:right w:val="nil"/>
            </w:tcBorders>
            <w:shd w:val="clear" w:color="auto" w:fill="FFFFFF"/>
          </w:tcPr>
          <w:p w14:paraId="58828595"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.666</w:t>
            </w:r>
          </w:p>
        </w:tc>
        <w:tc>
          <w:tcPr>
            <w:tcW w:w="1030" w:type="dxa"/>
            <w:tcBorders>
              <w:top w:val="single" w:sz="4" w:space="0" w:color="auto"/>
              <w:left w:val="nil"/>
              <w:bottom w:val="nil"/>
              <w:right w:val="nil"/>
            </w:tcBorders>
            <w:shd w:val="clear" w:color="auto" w:fill="FFFFFF"/>
          </w:tcPr>
          <w:p w14:paraId="224B7814" w14:textId="77777777"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66,6%</w:t>
            </w:r>
          </w:p>
        </w:tc>
      </w:tr>
      <w:tr w:rsidR="005A37EC" w:rsidRPr="00D9019B" w14:paraId="37BEE041" w14:textId="77777777" w:rsidTr="005A1DA2">
        <w:trPr>
          <w:cantSplit/>
        </w:trPr>
        <w:tc>
          <w:tcPr>
            <w:tcW w:w="1583" w:type="dxa"/>
            <w:gridSpan w:val="2"/>
            <w:tcBorders>
              <w:top w:val="nil"/>
              <w:left w:val="nil"/>
              <w:bottom w:val="nil"/>
              <w:right w:val="nil"/>
            </w:tcBorders>
            <w:shd w:val="clear" w:color="auto" w:fill="FFFFFF"/>
          </w:tcPr>
          <w:p w14:paraId="719247A6" w14:textId="423400EF"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1</w:t>
            </w:r>
            <w:r>
              <w:rPr>
                <w:rFonts w:eastAsia="Calibri" w:cs="Times New Roman"/>
                <w:iCs/>
                <w:sz w:val="20"/>
                <w:szCs w:val="20"/>
              </w:rPr>
              <w:t xml:space="preserve"> (</w:t>
            </w:r>
            <w:r w:rsidR="00CC5AAE">
              <w:rPr>
                <w:rFonts w:eastAsia="Calibri" w:cs="Times New Roman"/>
                <w:iCs/>
                <w:sz w:val="20"/>
                <w:szCs w:val="20"/>
              </w:rPr>
              <w:t>1 categorie</w:t>
            </w:r>
            <w:r>
              <w:rPr>
                <w:rFonts w:eastAsia="Calibri" w:cs="Times New Roman"/>
                <w:iCs/>
                <w:sz w:val="20"/>
                <w:szCs w:val="20"/>
              </w:rPr>
              <w:t>)</w:t>
            </w:r>
          </w:p>
        </w:tc>
        <w:tc>
          <w:tcPr>
            <w:tcW w:w="1030" w:type="dxa"/>
            <w:tcBorders>
              <w:top w:val="nil"/>
              <w:left w:val="nil"/>
              <w:bottom w:val="nil"/>
              <w:right w:val="nil"/>
            </w:tcBorders>
            <w:shd w:val="clear" w:color="auto" w:fill="FFFFFF"/>
          </w:tcPr>
          <w:p w14:paraId="13D3A3CB" w14:textId="1255D4B5" w:rsidR="005A37EC" w:rsidRPr="00D9019B" w:rsidRDefault="00AE0494" w:rsidP="005A1DA2">
            <w:pPr>
              <w:spacing w:line="240" w:lineRule="auto"/>
              <w:jc w:val="center"/>
              <w:rPr>
                <w:rFonts w:eastAsia="Calibri" w:cs="Times New Roman"/>
                <w:iCs/>
                <w:sz w:val="20"/>
                <w:szCs w:val="20"/>
              </w:rPr>
            </w:pPr>
            <w:r>
              <w:rPr>
                <w:rFonts w:eastAsia="Calibri" w:cs="Times New Roman"/>
                <w:iCs/>
                <w:sz w:val="20"/>
                <w:szCs w:val="20"/>
              </w:rPr>
              <w:t>20</w:t>
            </w:r>
            <w:r w:rsidR="00D87D49">
              <w:rPr>
                <w:rFonts w:eastAsia="Calibri" w:cs="Times New Roman"/>
                <w:iCs/>
                <w:sz w:val="20"/>
                <w:szCs w:val="20"/>
              </w:rPr>
              <w:t>0</w:t>
            </w:r>
          </w:p>
        </w:tc>
        <w:tc>
          <w:tcPr>
            <w:tcW w:w="1030" w:type="dxa"/>
            <w:tcBorders>
              <w:top w:val="nil"/>
              <w:left w:val="nil"/>
              <w:bottom w:val="nil"/>
              <w:right w:val="nil"/>
            </w:tcBorders>
            <w:shd w:val="clear" w:color="auto" w:fill="FFFFFF"/>
          </w:tcPr>
          <w:p w14:paraId="393F5938" w14:textId="448C117F"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w:t>
            </w:r>
            <w:r w:rsidR="00DD670E">
              <w:rPr>
                <w:rFonts w:eastAsia="Calibri" w:cs="Times New Roman"/>
                <w:iCs/>
                <w:sz w:val="20"/>
                <w:szCs w:val="20"/>
              </w:rPr>
              <w:t>186</w:t>
            </w:r>
          </w:p>
        </w:tc>
        <w:tc>
          <w:tcPr>
            <w:tcW w:w="1030" w:type="dxa"/>
            <w:tcBorders>
              <w:top w:val="nil"/>
              <w:left w:val="nil"/>
              <w:bottom w:val="nil"/>
              <w:right w:val="nil"/>
            </w:tcBorders>
            <w:shd w:val="clear" w:color="auto" w:fill="FFFFFF"/>
          </w:tcPr>
          <w:p w14:paraId="4E4E9535" w14:textId="107CAAC4" w:rsidR="005A37EC" w:rsidRPr="00D9019B" w:rsidRDefault="00DD670E" w:rsidP="005A1DA2">
            <w:pPr>
              <w:spacing w:line="240" w:lineRule="auto"/>
              <w:jc w:val="center"/>
              <w:rPr>
                <w:rFonts w:eastAsia="Calibri" w:cs="Times New Roman"/>
                <w:iCs/>
                <w:sz w:val="20"/>
                <w:szCs w:val="20"/>
              </w:rPr>
            </w:pPr>
            <w:r>
              <w:rPr>
                <w:rFonts w:eastAsia="Calibri" w:cs="Times New Roman"/>
                <w:iCs/>
                <w:sz w:val="20"/>
                <w:szCs w:val="20"/>
              </w:rPr>
              <w:t>18</w:t>
            </w:r>
            <w:r w:rsidR="005A37EC" w:rsidRPr="00D9019B">
              <w:rPr>
                <w:rFonts w:eastAsia="Calibri" w:cs="Times New Roman"/>
                <w:iCs/>
                <w:sz w:val="20"/>
                <w:szCs w:val="20"/>
              </w:rPr>
              <w:t>,</w:t>
            </w:r>
            <w:r>
              <w:rPr>
                <w:rFonts w:eastAsia="Calibri" w:cs="Times New Roman"/>
                <w:iCs/>
                <w:sz w:val="20"/>
                <w:szCs w:val="20"/>
              </w:rPr>
              <w:t>6</w:t>
            </w:r>
            <w:r w:rsidR="005A37EC" w:rsidRPr="00D9019B">
              <w:rPr>
                <w:rFonts w:eastAsia="Calibri" w:cs="Times New Roman"/>
                <w:iCs/>
                <w:sz w:val="20"/>
                <w:szCs w:val="20"/>
              </w:rPr>
              <w:t>%</w:t>
            </w:r>
          </w:p>
        </w:tc>
      </w:tr>
      <w:tr w:rsidR="005A37EC" w:rsidRPr="00D9019B" w14:paraId="0FB0DC02" w14:textId="77777777" w:rsidTr="005A1DA2">
        <w:trPr>
          <w:cantSplit/>
        </w:trPr>
        <w:tc>
          <w:tcPr>
            <w:tcW w:w="1583" w:type="dxa"/>
            <w:gridSpan w:val="2"/>
            <w:tcBorders>
              <w:top w:val="nil"/>
              <w:left w:val="nil"/>
              <w:bottom w:val="nil"/>
              <w:right w:val="nil"/>
            </w:tcBorders>
            <w:shd w:val="clear" w:color="auto" w:fill="FFFFFF"/>
          </w:tcPr>
          <w:p w14:paraId="30ADFAD3" w14:textId="1C52D5E8"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2</w:t>
            </w:r>
            <w:r>
              <w:rPr>
                <w:rFonts w:eastAsia="Calibri" w:cs="Times New Roman"/>
                <w:iCs/>
                <w:sz w:val="20"/>
                <w:szCs w:val="20"/>
              </w:rPr>
              <w:t xml:space="preserve"> (</w:t>
            </w:r>
            <w:r w:rsidR="00CC5AAE">
              <w:rPr>
                <w:rFonts w:eastAsia="Calibri" w:cs="Times New Roman"/>
                <w:iCs/>
                <w:sz w:val="20"/>
                <w:szCs w:val="20"/>
              </w:rPr>
              <w:t>2 categorieën</w:t>
            </w:r>
            <w:r>
              <w:rPr>
                <w:rFonts w:eastAsia="Calibri" w:cs="Times New Roman"/>
                <w:iCs/>
                <w:sz w:val="20"/>
                <w:szCs w:val="20"/>
              </w:rPr>
              <w:t>)</w:t>
            </w:r>
          </w:p>
        </w:tc>
        <w:tc>
          <w:tcPr>
            <w:tcW w:w="1030" w:type="dxa"/>
            <w:tcBorders>
              <w:top w:val="nil"/>
              <w:left w:val="nil"/>
              <w:bottom w:val="nil"/>
              <w:right w:val="nil"/>
            </w:tcBorders>
            <w:shd w:val="clear" w:color="auto" w:fill="FFFFFF"/>
          </w:tcPr>
          <w:p w14:paraId="1D7C48FF" w14:textId="5441A613"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1</w:t>
            </w:r>
            <w:r w:rsidR="00D87D49">
              <w:rPr>
                <w:rFonts w:eastAsia="Calibri" w:cs="Times New Roman"/>
                <w:iCs/>
                <w:sz w:val="20"/>
                <w:szCs w:val="20"/>
              </w:rPr>
              <w:t>08</w:t>
            </w:r>
          </w:p>
        </w:tc>
        <w:tc>
          <w:tcPr>
            <w:tcW w:w="1030" w:type="dxa"/>
            <w:tcBorders>
              <w:top w:val="nil"/>
              <w:left w:val="nil"/>
              <w:bottom w:val="nil"/>
              <w:right w:val="nil"/>
            </w:tcBorders>
            <w:shd w:val="clear" w:color="auto" w:fill="FFFFFF"/>
          </w:tcPr>
          <w:p w14:paraId="44091808" w14:textId="4348BD6D"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w:t>
            </w:r>
            <w:r w:rsidR="00DD670E">
              <w:rPr>
                <w:rFonts w:eastAsia="Calibri" w:cs="Times New Roman"/>
                <w:iCs/>
                <w:sz w:val="20"/>
                <w:szCs w:val="20"/>
              </w:rPr>
              <w:t>010</w:t>
            </w:r>
          </w:p>
        </w:tc>
        <w:tc>
          <w:tcPr>
            <w:tcW w:w="1030" w:type="dxa"/>
            <w:tcBorders>
              <w:top w:val="nil"/>
              <w:left w:val="nil"/>
              <w:bottom w:val="nil"/>
              <w:right w:val="nil"/>
            </w:tcBorders>
            <w:shd w:val="clear" w:color="auto" w:fill="FFFFFF"/>
          </w:tcPr>
          <w:p w14:paraId="2BEBC9FE" w14:textId="6A24970D"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1</w:t>
            </w:r>
            <w:r w:rsidR="00DD670E">
              <w:rPr>
                <w:rFonts w:eastAsia="Calibri" w:cs="Times New Roman"/>
                <w:iCs/>
                <w:sz w:val="20"/>
                <w:szCs w:val="20"/>
              </w:rPr>
              <w:t>0</w:t>
            </w:r>
            <w:r w:rsidRPr="00D9019B">
              <w:rPr>
                <w:rFonts w:eastAsia="Calibri" w:cs="Times New Roman"/>
                <w:iCs/>
                <w:sz w:val="20"/>
                <w:szCs w:val="20"/>
              </w:rPr>
              <w:t>,</w:t>
            </w:r>
            <w:r w:rsidR="00DD670E">
              <w:rPr>
                <w:rFonts w:eastAsia="Calibri" w:cs="Times New Roman"/>
                <w:iCs/>
                <w:sz w:val="20"/>
                <w:szCs w:val="20"/>
              </w:rPr>
              <w:t>0</w:t>
            </w:r>
            <w:r w:rsidRPr="00D9019B">
              <w:rPr>
                <w:rFonts w:eastAsia="Calibri" w:cs="Times New Roman"/>
                <w:iCs/>
                <w:sz w:val="20"/>
                <w:szCs w:val="20"/>
              </w:rPr>
              <w:t>%</w:t>
            </w:r>
          </w:p>
        </w:tc>
      </w:tr>
      <w:tr w:rsidR="005A37EC" w:rsidRPr="00D9019B" w14:paraId="189BF9B6" w14:textId="77777777" w:rsidTr="005A1DA2">
        <w:trPr>
          <w:cantSplit/>
        </w:trPr>
        <w:tc>
          <w:tcPr>
            <w:tcW w:w="1583" w:type="dxa"/>
            <w:gridSpan w:val="2"/>
            <w:tcBorders>
              <w:top w:val="nil"/>
              <w:left w:val="nil"/>
              <w:bottom w:val="nil"/>
              <w:right w:val="nil"/>
            </w:tcBorders>
            <w:shd w:val="clear" w:color="auto" w:fill="FFFFFF"/>
          </w:tcPr>
          <w:p w14:paraId="0EF4FE30" w14:textId="58536584"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3</w:t>
            </w:r>
            <w:r>
              <w:rPr>
                <w:rFonts w:eastAsia="Calibri" w:cs="Times New Roman"/>
                <w:iCs/>
                <w:sz w:val="20"/>
                <w:szCs w:val="20"/>
              </w:rPr>
              <w:t xml:space="preserve"> (</w:t>
            </w:r>
            <w:r w:rsidR="00CC5AAE">
              <w:rPr>
                <w:rFonts w:eastAsia="Calibri" w:cs="Times New Roman"/>
                <w:iCs/>
                <w:sz w:val="20"/>
                <w:szCs w:val="20"/>
              </w:rPr>
              <w:t>3 categorieën</w:t>
            </w:r>
            <w:r>
              <w:rPr>
                <w:rFonts w:eastAsia="Calibri" w:cs="Times New Roman"/>
                <w:iCs/>
                <w:sz w:val="20"/>
                <w:szCs w:val="20"/>
              </w:rPr>
              <w:t>)</w:t>
            </w:r>
          </w:p>
        </w:tc>
        <w:tc>
          <w:tcPr>
            <w:tcW w:w="1030" w:type="dxa"/>
            <w:tcBorders>
              <w:top w:val="nil"/>
              <w:left w:val="nil"/>
              <w:bottom w:val="nil"/>
              <w:right w:val="nil"/>
            </w:tcBorders>
            <w:shd w:val="clear" w:color="auto" w:fill="FFFFFF"/>
          </w:tcPr>
          <w:p w14:paraId="67C83986" w14:textId="1F3F0AC5" w:rsidR="005A37EC" w:rsidRPr="00D9019B" w:rsidRDefault="00AE0494" w:rsidP="005A1DA2">
            <w:pPr>
              <w:spacing w:line="240" w:lineRule="auto"/>
              <w:jc w:val="center"/>
              <w:rPr>
                <w:rFonts w:eastAsia="Calibri" w:cs="Times New Roman"/>
                <w:iCs/>
                <w:sz w:val="20"/>
                <w:szCs w:val="20"/>
              </w:rPr>
            </w:pPr>
            <w:r>
              <w:rPr>
                <w:rFonts w:eastAsia="Calibri" w:cs="Times New Roman"/>
                <w:iCs/>
                <w:sz w:val="20"/>
                <w:szCs w:val="20"/>
              </w:rPr>
              <w:t>39</w:t>
            </w:r>
          </w:p>
        </w:tc>
        <w:tc>
          <w:tcPr>
            <w:tcW w:w="1030" w:type="dxa"/>
            <w:tcBorders>
              <w:top w:val="nil"/>
              <w:left w:val="nil"/>
              <w:bottom w:val="nil"/>
              <w:right w:val="nil"/>
            </w:tcBorders>
            <w:shd w:val="clear" w:color="auto" w:fill="FFFFFF"/>
          </w:tcPr>
          <w:p w14:paraId="0753AB77" w14:textId="25BC4D69"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w:t>
            </w:r>
            <w:r w:rsidR="00DD670E">
              <w:rPr>
                <w:rFonts w:eastAsia="Calibri" w:cs="Times New Roman"/>
                <w:iCs/>
                <w:sz w:val="20"/>
                <w:szCs w:val="20"/>
              </w:rPr>
              <w:t>036</w:t>
            </w:r>
          </w:p>
        </w:tc>
        <w:tc>
          <w:tcPr>
            <w:tcW w:w="1030" w:type="dxa"/>
            <w:tcBorders>
              <w:top w:val="nil"/>
              <w:left w:val="nil"/>
              <w:bottom w:val="nil"/>
              <w:right w:val="nil"/>
            </w:tcBorders>
            <w:shd w:val="clear" w:color="auto" w:fill="FFFFFF"/>
          </w:tcPr>
          <w:p w14:paraId="2FE5A948" w14:textId="17D995E8" w:rsidR="005A37EC" w:rsidRPr="00D9019B" w:rsidRDefault="00D87D49" w:rsidP="005A1DA2">
            <w:pPr>
              <w:spacing w:line="240" w:lineRule="auto"/>
              <w:jc w:val="center"/>
              <w:rPr>
                <w:rFonts w:eastAsia="Calibri" w:cs="Times New Roman"/>
                <w:iCs/>
                <w:sz w:val="20"/>
                <w:szCs w:val="20"/>
              </w:rPr>
            </w:pPr>
            <w:r>
              <w:rPr>
                <w:rFonts w:eastAsia="Calibri" w:cs="Times New Roman"/>
                <w:iCs/>
                <w:sz w:val="20"/>
                <w:szCs w:val="20"/>
              </w:rPr>
              <w:t>3,6</w:t>
            </w:r>
            <w:r w:rsidR="005A37EC" w:rsidRPr="00D9019B">
              <w:rPr>
                <w:rFonts w:eastAsia="Calibri" w:cs="Times New Roman"/>
                <w:iCs/>
                <w:sz w:val="20"/>
                <w:szCs w:val="20"/>
              </w:rPr>
              <w:t>%</w:t>
            </w:r>
          </w:p>
        </w:tc>
      </w:tr>
      <w:tr w:rsidR="005A37EC" w:rsidRPr="00D9019B" w14:paraId="67403C3D" w14:textId="77777777" w:rsidTr="005A1DA2">
        <w:trPr>
          <w:cantSplit/>
        </w:trPr>
        <w:tc>
          <w:tcPr>
            <w:tcW w:w="1583" w:type="dxa"/>
            <w:gridSpan w:val="2"/>
            <w:tcBorders>
              <w:top w:val="nil"/>
              <w:left w:val="nil"/>
              <w:bottom w:val="nil"/>
              <w:right w:val="nil"/>
            </w:tcBorders>
            <w:shd w:val="clear" w:color="auto" w:fill="FFFFFF"/>
          </w:tcPr>
          <w:p w14:paraId="32C78AB1" w14:textId="150DDAE0"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4</w:t>
            </w:r>
            <w:r>
              <w:rPr>
                <w:rFonts w:eastAsia="Calibri" w:cs="Times New Roman"/>
                <w:iCs/>
                <w:sz w:val="20"/>
                <w:szCs w:val="20"/>
              </w:rPr>
              <w:t xml:space="preserve"> (</w:t>
            </w:r>
            <w:r w:rsidR="00CC5AAE">
              <w:rPr>
                <w:rFonts w:eastAsia="Calibri" w:cs="Times New Roman"/>
                <w:iCs/>
                <w:sz w:val="20"/>
                <w:szCs w:val="20"/>
              </w:rPr>
              <w:t>4 categorieën</w:t>
            </w:r>
            <w:r>
              <w:rPr>
                <w:rFonts w:eastAsia="Calibri" w:cs="Times New Roman"/>
                <w:iCs/>
                <w:sz w:val="20"/>
                <w:szCs w:val="20"/>
              </w:rPr>
              <w:t>)</w:t>
            </w:r>
          </w:p>
        </w:tc>
        <w:tc>
          <w:tcPr>
            <w:tcW w:w="1030" w:type="dxa"/>
            <w:tcBorders>
              <w:top w:val="nil"/>
              <w:left w:val="nil"/>
              <w:bottom w:val="nil"/>
              <w:right w:val="nil"/>
            </w:tcBorders>
            <w:shd w:val="clear" w:color="auto" w:fill="FFFFFF"/>
          </w:tcPr>
          <w:p w14:paraId="2C207E65" w14:textId="30B28586" w:rsidR="005A37EC" w:rsidRPr="00D9019B" w:rsidRDefault="00AE0494" w:rsidP="005A1DA2">
            <w:pPr>
              <w:spacing w:line="240" w:lineRule="auto"/>
              <w:jc w:val="center"/>
              <w:rPr>
                <w:rFonts w:eastAsia="Calibri" w:cs="Times New Roman"/>
                <w:iCs/>
                <w:sz w:val="20"/>
                <w:szCs w:val="20"/>
              </w:rPr>
            </w:pPr>
            <w:r>
              <w:rPr>
                <w:rFonts w:eastAsia="Calibri" w:cs="Times New Roman"/>
                <w:iCs/>
                <w:sz w:val="20"/>
                <w:szCs w:val="20"/>
              </w:rPr>
              <w:t>11</w:t>
            </w:r>
          </w:p>
        </w:tc>
        <w:tc>
          <w:tcPr>
            <w:tcW w:w="1030" w:type="dxa"/>
            <w:tcBorders>
              <w:top w:val="nil"/>
              <w:left w:val="nil"/>
              <w:bottom w:val="nil"/>
              <w:right w:val="nil"/>
            </w:tcBorders>
            <w:shd w:val="clear" w:color="auto" w:fill="FFFFFF"/>
          </w:tcPr>
          <w:p w14:paraId="759DB737" w14:textId="1B15174C"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.0</w:t>
            </w:r>
            <w:r w:rsidR="00DD670E">
              <w:rPr>
                <w:rFonts w:eastAsia="Calibri" w:cs="Times New Roman"/>
                <w:iCs/>
                <w:sz w:val="20"/>
                <w:szCs w:val="20"/>
              </w:rPr>
              <w:t>10</w:t>
            </w:r>
          </w:p>
        </w:tc>
        <w:tc>
          <w:tcPr>
            <w:tcW w:w="1030" w:type="dxa"/>
            <w:tcBorders>
              <w:top w:val="nil"/>
              <w:left w:val="nil"/>
              <w:bottom w:val="nil"/>
              <w:right w:val="nil"/>
            </w:tcBorders>
            <w:shd w:val="clear" w:color="auto" w:fill="FFFFFF"/>
          </w:tcPr>
          <w:p w14:paraId="3E8AA09B" w14:textId="5E12A0AA" w:rsidR="005A37EC" w:rsidRPr="00D9019B" w:rsidRDefault="00DD670E" w:rsidP="005A1DA2">
            <w:pPr>
              <w:spacing w:line="240" w:lineRule="auto"/>
              <w:jc w:val="center"/>
              <w:rPr>
                <w:rFonts w:eastAsia="Calibri" w:cs="Times New Roman"/>
                <w:iCs/>
                <w:sz w:val="20"/>
                <w:szCs w:val="20"/>
              </w:rPr>
            </w:pPr>
            <w:r>
              <w:rPr>
                <w:rFonts w:eastAsia="Calibri" w:cs="Times New Roman"/>
                <w:iCs/>
                <w:sz w:val="20"/>
                <w:szCs w:val="20"/>
              </w:rPr>
              <w:t>1,0</w:t>
            </w:r>
            <w:r w:rsidR="005A37EC" w:rsidRPr="00D9019B">
              <w:rPr>
                <w:rFonts w:eastAsia="Calibri" w:cs="Times New Roman"/>
                <w:iCs/>
                <w:sz w:val="20"/>
                <w:szCs w:val="20"/>
              </w:rPr>
              <w:t>%</w:t>
            </w:r>
          </w:p>
        </w:tc>
      </w:tr>
      <w:tr w:rsidR="005A37EC" w:rsidRPr="00D9019B" w14:paraId="37F610A4" w14:textId="77777777" w:rsidTr="005A1DA2">
        <w:trPr>
          <w:cantSplit/>
        </w:trPr>
        <w:tc>
          <w:tcPr>
            <w:tcW w:w="814" w:type="dxa"/>
            <w:tcBorders>
              <w:top w:val="nil"/>
              <w:left w:val="nil"/>
              <w:bottom w:val="single" w:sz="4" w:space="0" w:color="auto"/>
              <w:right w:val="nil"/>
            </w:tcBorders>
            <w:shd w:val="clear" w:color="auto" w:fill="FFFFFF"/>
          </w:tcPr>
          <w:p w14:paraId="2653D983" w14:textId="77777777" w:rsidR="005A37EC" w:rsidRPr="00D9019B" w:rsidRDefault="005A37EC" w:rsidP="005A1DA2">
            <w:pPr>
              <w:spacing w:line="240" w:lineRule="auto"/>
              <w:rPr>
                <w:rFonts w:eastAsia="Calibri" w:cs="Times New Roman"/>
                <w:iCs/>
                <w:sz w:val="20"/>
                <w:szCs w:val="20"/>
              </w:rPr>
            </w:pPr>
            <w:r w:rsidRPr="00D9019B">
              <w:rPr>
                <w:rFonts w:eastAsia="Calibri" w:cs="Times New Roman"/>
                <w:iCs/>
                <w:sz w:val="20"/>
                <w:szCs w:val="20"/>
              </w:rPr>
              <w:t>Missing</w:t>
            </w:r>
          </w:p>
        </w:tc>
        <w:tc>
          <w:tcPr>
            <w:tcW w:w="769" w:type="dxa"/>
            <w:tcBorders>
              <w:top w:val="nil"/>
              <w:left w:val="nil"/>
              <w:bottom w:val="single" w:sz="4" w:space="0" w:color="auto"/>
              <w:right w:val="nil"/>
            </w:tcBorders>
            <w:shd w:val="clear" w:color="auto" w:fill="FFFFFF"/>
          </w:tcPr>
          <w:p w14:paraId="79CC38E6" w14:textId="77777777" w:rsidR="005A37EC" w:rsidRPr="00D9019B" w:rsidRDefault="005A37EC" w:rsidP="005A1DA2">
            <w:pPr>
              <w:spacing w:line="240" w:lineRule="auto"/>
              <w:rPr>
                <w:rFonts w:eastAsia="Calibri" w:cs="Times New Roman"/>
                <w:iCs/>
                <w:sz w:val="20"/>
                <w:szCs w:val="20"/>
              </w:rPr>
            </w:pPr>
          </w:p>
        </w:tc>
        <w:tc>
          <w:tcPr>
            <w:tcW w:w="1030" w:type="dxa"/>
            <w:tcBorders>
              <w:top w:val="nil"/>
              <w:left w:val="nil"/>
              <w:bottom w:val="single" w:sz="4" w:space="0" w:color="auto"/>
              <w:right w:val="nil"/>
            </w:tcBorders>
            <w:shd w:val="clear" w:color="auto" w:fill="FFFFFF"/>
          </w:tcPr>
          <w:p w14:paraId="2AAFC63E" w14:textId="77777777"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2</w:t>
            </w:r>
          </w:p>
        </w:tc>
        <w:tc>
          <w:tcPr>
            <w:tcW w:w="1030" w:type="dxa"/>
            <w:tcBorders>
              <w:top w:val="nil"/>
              <w:left w:val="nil"/>
              <w:bottom w:val="single" w:sz="4" w:space="0" w:color="auto"/>
              <w:right w:val="nil"/>
            </w:tcBorders>
            <w:shd w:val="clear" w:color="auto" w:fill="FFFFFF"/>
          </w:tcPr>
          <w:p w14:paraId="34550793"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.002</w:t>
            </w:r>
          </w:p>
        </w:tc>
        <w:tc>
          <w:tcPr>
            <w:tcW w:w="1030" w:type="dxa"/>
            <w:tcBorders>
              <w:top w:val="nil"/>
              <w:left w:val="nil"/>
              <w:bottom w:val="single" w:sz="4" w:space="0" w:color="auto"/>
              <w:right w:val="nil"/>
            </w:tcBorders>
            <w:shd w:val="clear" w:color="auto" w:fill="FFFFFF"/>
          </w:tcPr>
          <w:p w14:paraId="3D105E15" w14:textId="77777777" w:rsidR="005A37EC" w:rsidRPr="00D9019B" w:rsidRDefault="005A37EC" w:rsidP="005A1DA2">
            <w:pPr>
              <w:spacing w:line="240" w:lineRule="auto"/>
              <w:jc w:val="center"/>
              <w:rPr>
                <w:rFonts w:eastAsia="Calibri" w:cs="Times New Roman"/>
                <w:iCs/>
                <w:sz w:val="20"/>
                <w:szCs w:val="20"/>
              </w:rPr>
            </w:pPr>
            <w:r w:rsidRPr="00D9019B">
              <w:rPr>
                <w:rFonts w:eastAsia="Calibri" w:cs="Times New Roman"/>
                <w:iCs/>
                <w:sz w:val="20"/>
                <w:szCs w:val="20"/>
              </w:rPr>
              <w:t>0,2%</w:t>
            </w:r>
          </w:p>
        </w:tc>
      </w:tr>
      <w:tr w:rsidR="005A37EC" w:rsidRPr="00D9019B" w14:paraId="1369D63B" w14:textId="77777777" w:rsidTr="005A1DA2">
        <w:trPr>
          <w:cantSplit/>
        </w:trPr>
        <w:tc>
          <w:tcPr>
            <w:tcW w:w="814" w:type="dxa"/>
            <w:tcBorders>
              <w:top w:val="single" w:sz="4" w:space="0" w:color="auto"/>
              <w:left w:val="nil"/>
              <w:bottom w:val="single" w:sz="8" w:space="0" w:color="000000"/>
              <w:right w:val="nil"/>
            </w:tcBorders>
            <w:shd w:val="clear" w:color="auto" w:fill="FFFFFF"/>
          </w:tcPr>
          <w:p w14:paraId="75E92237" w14:textId="77777777" w:rsidR="005A37EC" w:rsidRPr="00D9019B" w:rsidRDefault="005A37EC" w:rsidP="005A1DA2">
            <w:pPr>
              <w:spacing w:line="240" w:lineRule="auto"/>
              <w:rPr>
                <w:rFonts w:eastAsia="Calibri" w:cs="Times New Roman"/>
                <w:iCs/>
                <w:sz w:val="20"/>
                <w:szCs w:val="20"/>
              </w:rPr>
            </w:pPr>
            <w:r>
              <w:rPr>
                <w:rFonts w:eastAsia="Calibri" w:cs="Times New Roman"/>
                <w:iCs/>
                <w:sz w:val="20"/>
                <w:szCs w:val="20"/>
              </w:rPr>
              <w:t>Total</w:t>
            </w:r>
          </w:p>
        </w:tc>
        <w:tc>
          <w:tcPr>
            <w:tcW w:w="769" w:type="dxa"/>
            <w:tcBorders>
              <w:top w:val="single" w:sz="4" w:space="0" w:color="auto"/>
              <w:left w:val="nil"/>
              <w:bottom w:val="single" w:sz="8" w:space="0" w:color="000000"/>
              <w:right w:val="nil"/>
            </w:tcBorders>
            <w:shd w:val="clear" w:color="auto" w:fill="FFFFFF"/>
          </w:tcPr>
          <w:p w14:paraId="0BD2927E" w14:textId="77777777" w:rsidR="005A37EC" w:rsidRPr="00D9019B" w:rsidRDefault="005A37EC" w:rsidP="005A1DA2">
            <w:pPr>
              <w:spacing w:line="240" w:lineRule="auto"/>
              <w:rPr>
                <w:rFonts w:eastAsia="Calibri" w:cs="Times New Roman"/>
                <w:iCs/>
                <w:sz w:val="20"/>
                <w:szCs w:val="20"/>
              </w:rPr>
            </w:pPr>
          </w:p>
        </w:tc>
        <w:tc>
          <w:tcPr>
            <w:tcW w:w="1030" w:type="dxa"/>
            <w:tcBorders>
              <w:top w:val="single" w:sz="4" w:space="0" w:color="auto"/>
              <w:left w:val="nil"/>
              <w:bottom w:val="single" w:sz="8" w:space="0" w:color="000000"/>
              <w:right w:val="nil"/>
            </w:tcBorders>
            <w:shd w:val="clear" w:color="auto" w:fill="FFFFFF"/>
          </w:tcPr>
          <w:p w14:paraId="284A9EA7"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1078</w:t>
            </w:r>
          </w:p>
        </w:tc>
        <w:tc>
          <w:tcPr>
            <w:tcW w:w="1030" w:type="dxa"/>
            <w:tcBorders>
              <w:top w:val="single" w:sz="4" w:space="0" w:color="auto"/>
              <w:left w:val="nil"/>
              <w:bottom w:val="single" w:sz="8" w:space="0" w:color="000000"/>
              <w:right w:val="nil"/>
            </w:tcBorders>
            <w:shd w:val="clear" w:color="auto" w:fill="FFFFFF"/>
          </w:tcPr>
          <w:p w14:paraId="51B52CF5" w14:textId="77777777" w:rsidR="005A37EC" w:rsidRDefault="005A37EC" w:rsidP="005A1DA2">
            <w:pPr>
              <w:spacing w:line="240" w:lineRule="auto"/>
              <w:jc w:val="center"/>
              <w:rPr>
                <w:rFonts w:eastAsia="Calibri" w:cs="Times New Roman"/>
                <w:iCs/>
                <w:sz w:val="20"/>
                <w:szCs w:val="20"/>
              </w:rPr>
            </w:pPr>
            <w:r>
              <w:rPr>
                <w:rFonts w:eastAsia="Calibri" w:cs="Times New Roman"/>
                <w:iCs/>
                <w:sz w:val="20"/>
                <w:szCs w:val="20"/>
              </w:rPr>
              <w:t>1</w:t>
            </w:r>
          </w:p>
        </w:tc>
        <w:tc>
          <w:tcPr>
            <w:tcW w:w="1030" w:type="dxa"/>
            <w:tcBorders>
              <w:top w:val="single" w:sz="4" w:space="0" w:color="auto"/>
              <w:left w:val="nil"/>
              <w:bottom w:val="single" w:sz="8" w:space="0" w:color="000000"/>
              <w:right w:val="nil"/>
            </w:tcBorders>
            <w:shd w:val="clear" w:color="auto" w:fill="FFFFFF"/>
          </w:tcPr>
          <w:p w14:paraId="2E8A8700" w14:textId="77777777" w:rsidR="005A37EC" w:rsidRPr="00D9019B" w:rsidRDefault="005A37EC" w:rsidP="005A1DA2">
            <w:pPr>
              <w:spacing w:line="240" w:lineRule="auto"/>
              <w:jc w:val="center"/>
              <w:rPr>
                <w:rFonts w:eastAsia="Calibri" w:cs="Times New Roman"/>
                <w:iCs/>
                <w:sz w:val="20"/>
                <w:szCs w:val="20"/>
              </w:rPr>
            </w:pPr>
            <w:r>
              <w:rPr>
                <w:rFonts w:eastAsia="Calibri" w:cs="Times New Roman"/>
                <w:iCs/>
                <w:sz w:val="20"/>
                <w:szCs w:val="20"/>
              </w:rPr>
              <w:t>100</w:t>
            </w:r>
          </w:p>
        </w:tc>
      </w:tr>
    </w:tbl>
    <w:p w14:paraId="44BCF147" w14:textId="77777777" w:rsidR="009575F9" w:rsidRDefault="009575F9" w:rsidP="00763930">
      <w:pPr>
        <w:rPr>
          <w:rFonts w:eastAsia="Calibri" w:cs="Times New Roman"/>
          <w:b/>
          <w:bCs/>
          <w:iCs/>
          <w:sz w:val="20"/>
          <w:szCs w:val="20"/>
        </w:rPr>
      </w:pPr>
    </w:p>
    <w:p w14:paraId="19CC6BDC" w14:textId="77777777" w:rsidR="00C552BB" w:rsidRDefault="00C552BB" w:rsidP="00763930">
      <w:pPr>
        <w:rPr>
          <w:rFonts w:eastAsia="Calibri" w:cs="Times New Roman"/>
          <w:b/>
          <w:bCs/>
          <w:iCs/>
          <w:sz w:val="20"/>
          <w:szCs w:val="20"/>
        </w:rPr>
      </w:pPr>
    </w:p>
    <w:p w14:paraId="44C20F26" w14:textId="77777777" w:rsidR="00C552BB" w:rsidRDefault="00C552BB" w:rsidP="00763930">
      <w:pPr>
        <w:rPr>
          <w:rFonts w:eastAsia="Calibri" w:cs="Times New Roman"/>
          <w:b/>
          <w:bCs/>
          <w:iCs/>
          <w:sz w:val="20"/>
          <w:szCs w:val="20"/>
        </w:rPr>
      </w:pPr>
    </w:p>
    <w:p w14:paraId="224884E3" w14:textId="77777777" w:rsidR="00C552BB" w:rsidRDefault="00C552BB" w:rsidP="00763930">
      <w:pPr>
        <w:rPr>
          <w:rFonts w:eastAsia="Calibri" w:cs="Times New Roman"/>
          <w:b/>
          <w:bCs/>
          <w:iCs/>
          <w:sz w:val="20"/>
          <w:szCs w:val="20"/>
        </w:rPr>
      </w:pPr>
    </w:p>
    <w:p w14:paraId="5AAE6E9C" w14:textId="77777777" w:rsidR="00C552BB" w:rsidRDefault="00C552BB" w:rsidP="00763930">
      <w:pPr>
        <w:rPr>
          <w:rFonts w:eastAsia="Calibri" w:cs="Times New Roman"/>
          <w:b/>
          <w:bCs/>
          <w:iCs/>
          <w:sz w:val="20"/>
          <w:szCs w:val="20"/>
        </w:rPr>
      </w:pPr>
    </w:p>
    <w:p w14:paraId="65D8EEB2" w14:textId="77777777" w:rsidR="00C552BB" w:rsidRDefault="00C552BB" w:rsidP="00763930">
      <w:pPr>
        <w:rPr>
          <w:rFonts w:eastAsia="Calibri" w:cs="Times New Roman"/>
          <w:b/>
          <w:bCs/>
          <w:iCs/>
          <w:sz w:val="20"/>
          <w:szCs w:val="20"/>
        </w:rPr>
      </w:pPr>
    </w:p>
    <w:p w14:paraId="0CA43646" w14:textId="77777777" w:rsidR="00C552BB" w:rsidRDefault="00C552BB" w:rsidP="00763930">
      <w:pPr>
        <w:rPr>
          <w:rFonts w:eastAsia="Calibri" w:cs="Times New Roman"/>
          <w:b/>
          <w:bCs/>
          <w:iCs/>
          <w:sz w:val="20"/>
          <w:szCs w:val="20"/>
        </w:rPr>
      </w:pPr>
    </w:p>
    <w:p w14:paraId="5620F09C" w14:textId="77777777" w:rsidR="00C552BB" w:rsidRDefault="00C552BB" w:rsidP="00763930">
      <w:pPr>
        <w:rPr>
          <w:rFonts w:eastAsia="Calibri" w:cs="Times New Roman"/>
          <w:b/>
          <w:bCs/>
          <w:iCs/>
          <w:sz w:val="20"/>
          <w:szCs w:val="20"/>
        </w:rPr>
      </w:pPr>
    </w:p>
    <w:p w14:paraId="581D3ED5" w14:textId="77777777" w:rsidR="00C552BB" w:rsidRDefault="00C552BB" w:rsidP="00763930">
      <w:pPr>
        <w:rPr>
          <w:rFonts w:eastAsia="Calibri" w:cs="Times New Roman"/>
          <w:b/>
          <w:bCs/>
          <w:iCs/>
          <w:sz w:val="20"/>
          <w:szCs w:val="20"/>
        </w:rPr>
      </w:pPr>
    </w:p>
    <w:p w14:paraId="26F67928" w14:textId="77777777" w:rsidR="00C552BB" w:rsidRDefault="00C552BB" w:rsidP="00763930">
      <w:pPr>
        <w:rPr>
          <w:rFonts w:eastAsia="Calibri" w:cs="Times New Roman"/>
          <w:b/>
          <w:bCs/>
          <w:iCs/>
          <w:sz w:val="20"/>
          <w:szCs w:val="20"/>
        </w:rPr>
      </w:pPr>
    </w:p>
    <w:p w14:paraId="3E81CBE2" w14:textId="3B29E426" w:rsidR="00D11BEF" w:rsidRPr="00D11BEF" w:rsidRDefault="0067584E" w:rsidP="00763930">
      <w:r w:rsidRPr="002F341A">
        <w:rPr>
          <w:rFonts w:eastAsia="Calibri" w:cs="Times New Roman"/>
          <w:b/>
          <w:bCs/>
          <w:iCs/>
          <w:sz w:val="20"/>
          <w:szCs w:val="20"/>
        </w:rPr>
        <w:t xml:space="preserve">Tabel </w:t>
      </w:r>
      <w:r w:rsidR="004C0D07">
        <w:rPr>
          <w:rFonts w:eastAsia="Calibri" w:cs="Times New Roman"/>
          <w:b/>
          <w:bCs/>
          <w:iCs/>
          <w:sz w:val="20"/>
          <w:szCs w:val="20"/>
        </w:rPr>
        <w:t>VI</w:t>
      </w:r>
      <w:r w:rsidRPr="002F341A">
        <w:rPr>
          <w:rFonts w:eastAsia="Calibri" w:cs="Times New Roman"/>
          <w:b/>
          <w:bCs/>
          <w:iCs/>
          <w:sz w:val="20"/>
          <w:szCs w:val="20"/>
        </w:rPr>
        <w:t xml:space="preserve">: correlaties </w:t>
      </w:r>
    </w:p>
    <w:tbl>
      <w:tblPr>
        <w:tblW w:w="5000" w:type="pct"/>
        <w:tblBorders>
          <w:top w:val="single" w:sz="4" w:space="0" w:color="auto"/>
          <w:bottom w:val="single" w:sz="4" w:space="0" w:color="auto"/>
        </w:tblBorders>
        <w:tblLook w:val="04A0" w:firstRow="1" w:lastRow="0" w:firstColumn="1" w:lastColumn="0" w:noHBand="0" w:noVBand="1"/>
      </w:tblPr>
      <w:tblGrid>
        <w:gridCol w:w="2455"/>
        <w:gridCol w:w="983"/>
        <w:gridCol w:w="1527"/>
        <w:gridCol w:w="1527"/>
        <w:gridCol w:w="1083"/>
        <w:gridCol w:w="933"/>
        <w:gridCol w:w="933"/>
        <w:gridCol w:w="1083"/>
        <w:gridCol w:w="1124"/>
        <w:gridCol w:w="933"/>
        <w:gridCol w:w="1423"/>
      </w:tblGrid>
      <w:tr w:rsidR="00D11BEF" w:rsidRPr="00D11BEF" w14:paraId="2A807AD7" w14:textId="77777777" w:rsidTr="006122F0">
        <w:trPr>
          <w:trHeight w:val="255"/>
        </w:trPr>
        <w:tc>
          <w:tcPr>
            <w:tcW w:w="855" w:type="pct"/>
            <w:tcBorders>
              <w:top w:val="single" w:sz="4" w:space="0" w:color="auto"/>
              <w:left w:val="nil"/>
              <w:bottom w:val="single" w:sz="4" w:space="0" w:color="auto"/>
              <w:right w:val="nil"/>
            </w:tcBorders>
            <w:noWrap/>
            <w:hideMark/>
          </w:tcPr>
          <w:p w14:paraId="14776E07" w14:textId="77777777" w:rsidR="00D11BEF" w:rsidRPr="00D11BEF" w:rsidRDefault="00D11BEF" w:rsidP="00D11BEF">
            <w:pPr>
              <w:suppressAutoHyphens/>
              <w:spacing w:after="0" w:line="276" w:lineRule="auto"/>
              <w:jc w:val="left"/>
              <w:rPr>
                <w:rFonts w:eastAsia="Calibri" w:cs="Times New Roman"/>
                <w:iCs/>
                <w:sz w:val="20"/>
                <w:szCs w:val="20"/>
              </w:rPr>
            </w:pPr>
          </w:p>
        </w:tc>
        <w:tc>
          <w:tcPr>
            <w:tcW w:w="351" w:type="pct"/>
            <w:tcBorders>
              <w:top w:val="single" w:sz="4" w:space="0" w:color="auto"/>
              <w:left w:val="nil"/>
              <w:bottom w:val="single" w:sz="4" w:space="0" w:color="auto"/>
              <w:right w:val="nil"/>
            </w:tcBorders>
            <w:noWrap/>
            <w:hideMark/>
          </w:tcPr>
          <w:p w14:paraId="44C4BC9D"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 xml:space="preserve">Wel/geen </w:t>
            </w:r>
          </w:p>
          <w:p w14:paraId="4A84A41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 xml:space="preserve">aandacht </w:t>
            </w:r>
          </w:p>
        </w:tc>
        <w:tc>
          <w:tcPr>
            <w:tcW w:w="216" w:type="pct"/>
            <w:tcBorders>
              <w:top w:val="single" w:sz="4" w:space="0" w:color="auto"/>
              <w:left w:val="nil"/>
              <w:bottom w:val="single" w:sz="4" w:space="0" w:color="auto"/>
              <w:right w:val="nil"/>
            </w:tcBorders>
          </w:tcPr>
          <w:p w14:paraId="5D988E2D"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Primaire</w:t>
            </w:r>
          </w:p>
          <w:p w14:paraId="4093438B"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vorm</w:t>
            </w:r>
          </w:p>
          <w:p w14:paraId="6C92F440"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Europeanisering</w:t>
            </w:r>
          </w:p>
        </w:tc>
        <w:tc>
          <w:tcPr>
            <w:tcW w:w="545" w:type="pct"/>
            <w:tcBorders>
              <w:top w:val="single" w:sz="4" w:space="0" w:color="auto"/>
              <w:left w:val="nil"/>
              <w:bottom w:val="single" w:sz="4" w:space="0" w:color="auto"/>
              <w:right w:val="nil"/>
            </w:tcBorders>
            <w:noWrap/>
            <w:hideMark/>
          </w:tcPr>
          <w:p w14:paraId="5CB12366"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 xml:space="preserve">Mate van </w:t>
            </w:r>
          </w:p>
          <w:p w14:paraId="12A7EC7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Europeanisering</w:t>
            </w:r>
          </w:p>
        </w:tc>
        <w:tc>
          <w:tcPr>
            <w:tcW w:w="387" w:type="pct"/>
            <w:tcBorders>
              <w:top w:val="single" w:sz="4" w:space="0" w:color="auto"/>
              <w:left w:val="nil"/>
              <w:bottom w:val="single" w:sz="4" w:space="0" w:color="auto"/>
              <w:right w:val="nil"/>
            </w:tcBorders>
            <w:noWrap/>
            <w:hideMark/>
          </w:tcPr>
          <w:p w14:paraId="4F27D7CA"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Ontvangst</w:t>
            </w:r>
          </w:p>
          <w:p w14:paraId="468E478F"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EU-gelden</w:t>
            </w:r>
          </w:p>
          <w:p w14:paraId="5B5C175C"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(log)</w:t>
            </w:r>
          </w:p>
        </w:tc>
        <w:tc>
          <w:tcPr>
            <w:tcW w:w="333" w:type="pct"/>
            <w:tcBorders>
              <w:top w:val="single" w:sz="4" w:space="0" w:color="auto"/>
              <w:left w:val="nil"/>
              <w:bottom w:val="single" w:sz="4" w:space="0" w:color="auto"/>
              <w:right w:val="nil"/>
            </w:tcBorders>
            <w:noWrap/>
            <w:hideMark/>
          </w:tcPr>
          <w:p w14:paraId="76F8F92A"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Inwoner</w:t>
            </w:r>
          </w:p>
          <w:p w14:paraId="487BAACE"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aantal</w:t>
            </w:r>
          </w:p>
          <w:p w14:paraId="4B548610"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(log)</w:t>
            </w:r>
          </w:p>
        </w:tc>
        <w:tc>
          <w:tcPr>
            <w:tcW w:w="454" w:type="pct"/>
            <w:tcBorders>
              <w:top w:val="single" w:sz="4" w:space="0" w:color="auto"/>
              <w:left w:val="nil"/>
              <w:bottom w:val="single" w:sz="4" w:space="0" w:color="auto"/>
              <w:right w:val="nil"/>
            </w:tcBorders>
            <w:noWrap/>
            <w:hideMark/>
          </w:tcPr>
          <w:p w14:paraId="04A7FCDE"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Solva</w:t>
            </w:r>
          </w:p>
          <w:p w14:paraId="3B9C7716"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biliteits</w:t>
            </w:r>
          </w:p>
          <w:p w14:paraId="7C9167CC"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ratio</w:t>
            </w:r>
          </w:p>
        </w:tc>
        <w:tc>
          <w:tcPr>
            <w:tcW w:w="387" w:type="pct"/>
            <w:tcBorders>
              <w:top w:val="single" w:sz="4" w:space="0" w:color="auto"/>
              <w:left w:val="nil"/>
              <w:bottom w:val="single" w:sz="4" w:space="0" w:color="auto"/>
              <w:right w:val="nil"/>
            </w:tcBorders>
            <w:noWrap/>
            <w:hideMark/>
          </w:tcPr>
          <w:p w14:paraId="7147F105"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Grens</w:t>
            </w:r>
          </w:p>
          <w:p w14:paraId="6FF64D04"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gemeenten</w:t>
            </w:r>
          </w:p>
        </w:tc>
        <w:tc>
          <w:tcPr>
            <w:tcW w:w="561" w:type="pct"/>
            <w:tcBorders>
              <w:top w:val="single" w:sz="4" w:space="0" w:color="auto"/>
              <w:left w:val="nil"/>
              <w:bottom w:val="single" w:sz="4" w:space="0" w:color="auto"/>
              <w:right w:val="nil"/>
            </w:tcBorders>
            <w:noWrap/>
            <w:hideMark/>
          </w:tcPr>
          <w:p w14:paraId="56F58A90" w14:textId="39493715" w:rsidR="00D11BEF" w:rsidRPr="00D11BEF" w:rsidRDefault="00560486" w:rsidP="00D11BEF">
            <w:pPr>
              <w:spacing w:after="0" w:line="276" w:lineRule="auto"/>
              <w:jc w:val="left"/>
              <w:rPr>
                <w:rFonts w:eastAsia="Calibri" w:cs="Times New Roman"/>
                <w:sz w:val="20"/>
                <w:szCs w:val="20"/>
              </w:rPr>
            </w:pPr>
            <w:r>
              <w:rPr>
                <w:rFonts w:eastAsia="Calibri" w:cs="Times New Roman"/>
                <w:sz w:val="20"/>
                <w:szCs w:val="20"/>
              </w:rPr>
              <w:t>Opstelling</w:t>
            </w:r>
          </w:p>
          <w:p w14:paraId="24D196BF"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gemeente</w:t>
            </w:r>
          </w:p>
          <w:p w14:paraId="1790EE76"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bestuur</w:t>
            </w:r>
          </w:p>
        </w:tc>
        <w:tc>
          <w:tcPr>
            <w:tcW w:w="333" w:type="pct"/>
            <w:tcBorders>
              <w:top w:val="single" w:sz="4" w:space="0" w:color="auto"/>
              <w:left w:val="nil"/>
              <w:bottom w:val="single" w:sz="4" w:space="0" w:color="auto"/>
              <w:right w:val="nil"/>
            </w:tcBorders>
            <w:noWrap/>
            <w:hideMark/>
          </w:tcPr>
          <w:p w14:paraId="2E18ECE0"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Tijds</w:t>
            </w:r>
          </w:p>
          <w:p w14:paraId="0D441635"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nummer</w:t>
            </w:r>
          </w:p>
        </w:tc>
        <w:tc>
          <w:tcPr>
            <w:tcW w:w="579" w:type="pct"/>
            <w:tcBorders>
              <w:top w:val="single" w:sz="4" w:space="0" w:color="auto"/>
              <w:left w:val="nil"/>
              <w:bottom w:val="single" w:sz="4" w:space="0" w:color="auto"/>
              <w:right w:val="nil"/>
            </w:tcBorders>
            <w:noWrap/>
            <w:hideMark/>
          </w:tcPr>
          <w:p w14:paraId="0814B803"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 xml:space="preserve">Aandacht </w:t>
            </w:r>
          </w:p>
          <w:p w14:paraId="1DE40CE1"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eerdere</w:t>
            </w:r>
          </w:p>
          <w:p w14:paraId="50CED9A5"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periode</w:t>
            </w:r>
          </w:p>
        </w:tc>
      </w:tr>
      <w:tr w:rsidR="00D11BEF" w:rsidRPr="00D11BEF" w14:paraId="5797B46A" w14:textId="77777777" w:rsidTr="006122F0">
        <w:trPr>
          <w:trHeight w:val="255"/>
        </w:trPr>
        <w:tc>
          <w:tcPr>
            <w:tcW w:w="855" w:type="pct"/>
            <w:tcBorders>
              <w:top w:val="single" w:sz="4" w:space="0" w:color="auto"/>
              <w:left w:val="nil"/>
              <w:bottom w:val="nil"/>
              <w:right w:val="nil"/>
            </w:tcBorders>
            <w:noWrap/>
            <w:hideMark/>
          </w:tcPr>
          <w:p w14:paraId="1DF5532A"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Wel/geen aandacht</w:t>
            </w:r>
          </w:p>
        </w:tc>
        <w:tc>
          <w:tcPr>
            <w:tcW w:w="351" w:type="pct"/>
            <w:tcBorders>
              <w:top w:val="single" w:sz="4" w:space="0" w:color="auto"/>
              <w:left w:val="nil"/>
              <w:bottom w:val="nil"/>
              <w:right w:val="nil"/>
            </w:tcBorders>
            <w:noWrap/>
            <w:hideMark/>
          </w:tcPr>
          <w:p w14:paraId="6784298E"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216" w:type="pct"/>
            <w:tcBorders>
              <w:top w:val="single" w:sz="4" w:space="0" w:color="auto"/>
              <w:left w:val="nil"/>
              <w:bottom w:val="nil"/>
              <w:right w:val="nil"/>
            </w:tcBorders>
          </w:tcPr>
          <w:p w14:paraId="543B085F"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545" w:type="pct"/>
            <w:tcBorders>
              <w:top w:val="single" w:sz="4" w:space="0" w:color="auto"/>
              <w:left w:val="nil"/>
              <w:bottom w:val="nil"/>
              <w:right w:val="nil"/>
            </w:tcBorders>
            <w:noWrap/>
            <w:hideMark/>
          </w:tcPr>
          <w:p w14:paraId="77BD11E7"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387" w:type="pct"/>
            <w:tcBorders>
              <w:top w:val="single" w:sz="4" w:space="0" w:color="auto"/>
              <w:left w:val="nil"/>
              <w:bottom w:val="nil"/>
              <w:right w:val="nil"/>
            </w:tcBorders>
            <w:noWrap/>
            <w:hideMark/>
          </w:tcPr>
          <w:p w14:paraId="2B64D29D"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single" w:sz="4" w:space="0" w:color="auto"/>
              <w:left w:val="nil"/>
              <w:bottom w:val="nil"/>
              <w:right w:val="nil"/>
            </w:tcBorders>
            <w:noWrap/>
            <w:hideMark/>
          </w:tcPr>
          <w:p w14:paraId="55F0A913"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454" w:type="pct"/>
            <w:tcBorders>
              <w:top w:val="single" w:sz="4" w:space="0" w:color="auto"/>
              <w:left w:val="nil"/>
              <w:bottom w:val="nil"/>
              <w:right w:val="nil"/>
            </w:tcBorders>
            <w:noWrap/>
            <w:hideMark/>
          </w:tcPr>
          <w:p w14:paraId="0C932827"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87" w:type="pct"/>
            <w:tcBorders>
              <w:top w:val="single" w:sz="4" w:space="0" w:color="auto"/>
              <w:left w:val="nil"/>
              <w:bottom w:val="nil"/>
              <w:right w:val="nil"/>
            </w:tcBorders>
            <w:noWrap/>
            <w:hideMark/>
          </w:tcPr>
          <w:p w14:paraId="04782960"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61" w:type="pct"/>
            <w:tcBorders>
              <w:top w:val="single" w:sz="4" w:space="0" w:color="auto"/>
              <w:left w:val="nil"/>
              <w:bottom w:val="nil"/>
              <w:right w:val="nil"/>
            </w:tcBorders>
            <w:noWrap/>
            <w:hideMark/>
          </w:tcPr>
          <w:p w14:paraId="10D80D1D"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single" w:sz="4" w:space="0" w:color="auto"/>
              <w:left w:val="nil"/>
              <w:bottom w:val="nil"/>
              <w:right w:val="nil"/>
            </w:tcBorders>
            <w:noWrap/>
            <w:hideMark/>
          </w:tcPr>
          <w:p w14:paraId="4B7BBEB7"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single" w:sz="4" w:space="0" w:color="auto"/>
              <w:left w:val="nil"/>
              <w:bottom w:val="nil"/>
              <w:right w:val="nil"/>
            </w:tcBorders>
            <w:noWrap/>
            <w:hideMark/>
          </w:tcPr>
          <w:p w14:paraId="655060A0"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652133D1" w14:textId="77777777" w:rsidTr="006122F0">
        <w:trPr>
          <w:trHeight w:val="255"/>
        </w:trPr>
        <w:tc>
          <w:tcPr>
            <w:tcW w:w="855" w:type="pct"/>
            <w:tcBorders>
              <w:top w:val="nil"/>
              <w:left w:val="nil"/>
              <w:bottom w:val="nil"/>
              <w:right w:val="nil"/>
            </w:tcBorders>
            <w:noWrap/>
          </w:tcPr>
          <w:p w14:paraId="71F11BA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 xml:space="preserve">Primaire vorm </w:t>
            </w:r>
          </w:p>
          <w:p w14:paraId="49BDB027"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Europeanisering</w:t>
            </w:r>
          </w:p>
        </w:tc>
        <w:tc>
          <w:tcPr>
            <w:tcW w:w="351" w:type="pct"/>
            <w:tcBorders>
              <w:top w:val="nil"/>
              <w:left w:val="nil"/>
              <w:bottom w:val="nil"/>
              <w:right w:val="nil"/>
            </w:tcBorders>
            <w:noWrap/>
          </w:tcPr>
          <w:p w14:paraId="0D1B98B8"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0.899**</w:t>
            </w:r>
          </w:p>
        </w:tc>
        <w:tc>
          <w:tcPr>
            <w:tcW w:w="216" w:type="pct"/>
            <w:tcBorders>
              <w:top w:val="nil"/>
              <w:left w:val="nil"/>
              <w:bottom w:val="nil"/>
              <w:right w:val="nil"/>
            </w:tcBorders>
          </w:tcPr>
          <w:p w14:paraId="76BE886F"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1</w:t>
            </w:r>
          </w:p>
        </w:tc>
        <w:tc>
          <w:tcPr>
            <w:tcW w:w="545" w:type="pct"/>
            <w:tcBorders>
              <w:top w:val="nil"/>
              <w:left w:val="nil"/>
              <w:bottom w:val="nil"/>
              <w:right w:val="nil"/>
            </w:tcBorders>
            <w:noWrap/>
          </w:tcPr>
          <w:p w14:paraId="0684F001" w14:textId="77777777" w:rsidR="00D11BEF" w:rsidRPr="00D11BEF" w:rsidRDefault="00D11BEF" w:rsidP="00D11BEF">
            <w:pPr>
              <w:spacing w:after="0" w:line="276" w:lineRule="auto"/>
              <w:jc w:val="left"/>
              <w:rPr>
                <w:rFonts w:eastAsia="Calibri" w:cs="Times New Roman"/>
                <w:sz w:val="20"/>
                <w:szCs w:val="20"/>
              </w:rPr>
            </w:pPr>
          </w:p>
        </w:tc>
        <w:tc>
          <w:tcPr>
            <w:tcW w:w="387" w:type="pct"/>
            <w:tcBorders>
              <w:top w:val="nil"/>
              <w:left w:val="nil"/>
              <w:bottom w:val="nil"/>
              <w:right w:val="nil"/>
            </w:tcBorders>
            <w:noWrap/>
          </w:tcPr>
          <w:p w14:paraId="34F81C92"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333" w:type="pct"/>
            <w:tcBorders>
              <w:top w:val="nil"/>
              <w:left w:val="nil"/>
              <w:bottom w:val="nil"/>
              <w:right w:val="nil"/>
            </w:tcBorders>
            <w:noWrap/>
          </w:tcPr>
          <w:p w14:paraId="2D6CEE73"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454" w:type="pct"/>
            <w:tcBorders>
              <w:top w:val="nil"/>
              <w:left w:val="nil"/>
              <w:bottom w:val="nil"/>
              <w:right w:val="nil"/>
            </w:tcBorders>
            <w:noWrap/>
          </w:tcPr>
          <w:p w14:paraId="47046A59"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87" w:type="pct"/>
            <w:tcBorders>
              <w:top w:val="nil"/>
              <w:left w:val="nil"/>
              <w:bottom w:val="nil"/>
              <w:right w:val="nil"/>
            </w:tcBorders>
            <w:noWrap/>
          </w:tcPr>
          <w:p w14:paraId="0F70B77F"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61" w:type="pct"/>
            <w:tcBorders>
              <w:top w:val="nil"/>
              <w:left w:val="nil"/>
              <w:bottom w:val="nil"/>
              <w:right w:val="nil"/>
            </w:tcBorders>
            <w:noWrap/>
          </w:tcPr>
          <w:p w14:paraId="723C2A79"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nil"/>
              <w:left w:val="nil"/>
              <w:bottom w:val="nil"/>
              <w:right w:val="nil"/>
            </w:tcBorders>
            <w:noWrap/>
          </w:tcPr>
          <w:p w14:paraId="09364BA9"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tcPr>
          <w:p w14:paraId="030154DC"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7C57461D" w14:textId="77777777" w:rsidTr="006122F0">
        <w:trPr>
          <w:trHeight w:val="255"/>
        </w:trPr>
        <w:tc>
          <w:tcPr>
            <w:tcW w:w="855" w:type="pct"/>
            <w:tcBorders>
              <w:top w:val="nil"/>
              <w:left w:val="nil"/>
              <w:bottom w:val="nil"/>
              <w:right w:val="nil"/>
            </w:tcBorders>
            <w:noWrap/>
            <w:hideMark/>
          </w:tcPr>
          <w:p w14:paraId="45CDC619"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Mate van Europeanisering</w:t>
            </w:r>
          </w:p>
        </w:tc>
        <w:tc>
          <w:tcPr>
            <w:tcW w:w="351" w:type="pct"/>
            <w:tcBorders>
              <w:top w:val="nil"/>
              <w:left w:val="nil"/>
              <w:bottom w:val="nil"/>
              <w:right w:val="nil"/>
            </w:tcBorders>
            <w:noWrap/>
            <w:hideMark/>
          </w:tcPr>
          <w:p w14:paraId="02359084"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0.855**</w:t>
            </w:r>
          </w:p>
        </w:tc>
        <w:tc>
          <w:tcPr>
            <w:tcW w:w="216" w:type="pct"/>
            <w:tcBorders>
              <w:top w:val="nil"/>
              <w:left w:val="nil"/>
              <w:bottom w:val="nil"/>
              <w:right w:val="nil"/>
            </w:tcBorders>
          </w:tcPr>
          <w:p w14:paraId="5BF5CCDA"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0.840**</w:t>
            </w:r>
          </w:p>
        </w:tc>
        <w:tc>
          <w:tcPr>
            <w:tcW w:w="545" w:type="pct"/>
            <w:tcBorders>
              <w:top w:val="nil"/>
              <w:left w:val="nil"/>
              <w:bottom w:val="nil"/>
              <w:right w:val="nil"/>
            </w:tcBorders>
            <w:noWrap/>
            <w:hideMark/>
          </w:tcPr>
          <w:p w14:paraId="7FC0AA2D"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387" w:type="pct"/>
            <w:tcBorders>
              <w:top w:val="nil"/>
              <w:left w:val="nil"/>
              <w:bottom w:val="nil"/>
              <w:right w:val="nil"/>
            </w:tcBorders>
            <w:noWrap/>
            <w:hideMark/>
          </w:tcPr>
          <w:p w14:paraId="1D4D6F2B"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333" w:type="pct"/>
            <w:tcBorders>
              <w:top w:val="nil"/>
              <w:left w:val="nil"/>
              <w:bottom w:val="nil"/>
              <w:right w:val="nil"/>
            </w:tcBorders>
            <w:noWrap/>
            <w:hideMark/>
          </w:tcPr>
          <w:p w14:paraId="3EAE90F9"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454" w:type="pct"/>
            <w:tcBorders>
              <w:top w:val="nil"/>
              <w:left w:val="nil"/>
              <w:bottom w:val="nil"/>
              <w:right w:val="nil"/>
            </w:tcBorders>
            <w:noWrap/>
            <w:hideMark/>
          </w:tcPr>
          <w:p w14:paraId="49FC7DD1"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87" w:type="pct"/>
            <w:tcBorders>
              <w:top w:val="nil"/>
              <w:left w:val="nil"/>
              <w:bottom w:val="nil"/>
              <w:right w:val="nil"/>
            </w:tcBorders>
            <w:noWrap/>
            <w:hideMark/>
          </w:tcPr>
          <w:p w14:paraId="7673A133"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61" w:type="pct"/>
            <w:tcBorders>
              <w:top w:val="nil"/>
              <w:left w:val="nil"/>
              <w:bottom w:val="nil"/>
              <w:right w:val="nil"/>
            </w:tcBorders>
            <w:noWrap/>
            <w:hideMark/>
          </w:tcPr>
          <w:p w14:paraId="4CFC1F68"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nil"/>
              <w:left w:val="nil"/>
              <w:bottom w:val="nil"/>
              <w:right w:val="nil"/>
            </w:tcBorders>
            <w:noWrap/>
            <w:hideMark/>
          </w:tcPr>
          <w:p w14:paraId="7F4DB89C"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hideMark/>
          </w:tcPr>
          <w:p w14:paraId="63B04516"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738E7AFA" w14:textId="77777777" w:rsidTr="006122F0">
        <w:trPr>
          <w:trHeight w:val="255"/>
        </w:trPr>
        <w:tc>
          <w:tcPr>
            <w:tcW w:w="855" w:type="pct"/>
            <w:tcBorders>
              <w:top w:val="nil"/>
              <w:left w:val="nil"/>
              <w:bottom w:val="nil"/>
              <w:right w:val="nil"/>
            </w:tcBorders>
            <w:noWrap/>
            <w:hideMark/>
          </w:tcPr>
          <w:p w14:paraId="3B29C0A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Ontvangst EU-gelden (log)</w:t>
            </w:r>
          </w:p>
        </w:tc>
        <w:tc>
          <w:tcPr>
            <w:tcW w:w="351" w:type="pct"/>
            <w:tcBorders>
              <w:top w:val="nil"/>
              <w:left w:val="nil"/>
              <w:bottom w:val="nil"/>
              <w:right w:val="nil"/>
            </w:tcBorders>
            <w:noWrap/>
            <w:hideMark/>
          </w:tcPr>
          <w:p w14:paraId="4BD13CF5"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0.146**</w:t>
            </w:r>
          </w:p>
        </w:tc>
        <w:tc>
          <w:tcPr>
            <w:tcW w:w="216" w:type="pct"/>
            <w:tcBorders>
              <w:top w:val="nil"/>
              <w:left w:val="nil"/>
              <w:bottom w:val="nil"/>
              <w:right w:val="nil"/>
            </w:tcBorders>
          </w:tcPr>
          <w:p w14:paraId="351C5EDE"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0.176**</w:t>
            </w:r>
          </w:p>
        </w:tc>
        <w:tc>
          <w:tcPr>
            <w:tcW w:w="545" w:type="pct"/>
            <w:tcBorders>
              <w:top w:val="nil"/>
              <w:left w:val="nil"/>
              <w:bottom w:val="nil"/>
              <w:right w:val="nil"/>
            </w:tcBorders>
            <w:noWrap/>
            <w:hideMark/>
          </w:tcPr>
          <w:p w14:paraId="1C7038A7"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0.182**</w:t>
            </w:r>
          </w:p>
        </w:tc>
        <w:tc>
          <w:tcPr>
            <w:tcW w:w="387" w:type="pct"/>
            <w:tcBorders>
              <w:top w:val="nil"/>
              <w:left w:val="nil"/>
              <w:bottom w:val="nil"/>
              <w:right w:val="nil"/>
            </w:tcBorders>
            <w:noWrap/>
            <w:hideMark/>
          </w:tcPr>
          <w:p w14:paraId="183A1585"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333" w:type="pct"/>
            <w:tcBorders>
              <w:top w:val="nil"/>
              <w:left w:val="nil"/>
              <w:bottom w:val="nil"/>
              <w:right w:val="nil"/>
            </w:tcBorders>
            <w:noWrap/>
            <w:hideMark/>
          </w:tcPr>
          <w:p w14:paraId="0758414C"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454" w:type="pct"/>
            <w:tcBorders>
              <w:top w:val="nil"/>
              <w:left w:val="nil"/>
              <w:bottom w:val="nil"/>
              <w:right w:val="nil"/>
            </w:tcBorders>
            <w:noWrap/>
            <w:hideMark/>
          </w:tcPr>
          <w:p w14:paraId="5FCDBA01"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87" w:type="pct"/>
            <w:tcBorders>
              <w:top w:val="nil"/>
              <w:left w:val="nil"/>
              <w:bottom w:val="nil"/>
              <w:right w:val="nil"/>
            </w:tcBorders>
            <w:noWrap/>
            <w:hideMark/>
          </w:tcPr>
          <w:p w14:paraId="72659772"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61" w:type="pct"/>
            <w:tcBorders>
              <w:top w:val="nil"/>
              <w:left w:val="nil"/>
              <w:bottom w:val="nil"/>
              <w:right w:val="nil"/>
            </w:tcBorders>
            <w:noWrap/>
            <w:hideMark/>
          </w:tcPr>
          <w:p w14:paraId="3E6FDD83"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nil"/>
              <w:left w:val="nil"/>
              <w:bottom w:val="nil"/>
              <w:right w:val="nil"/>
            </w:tcBorders>
            <w:noWrap/>
            <w:hideMark/>
          </w:tcPr>
          <w:p w14:paraId="6491B00C"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hideMark/>
          </w:tcPr>
          <w:p w14:paraId="441BA4CF"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5955AA7A" w14:textId="77777777" w:rsidTr="006122F0">
        <w:trPr>
          <w:trHeight w:val="255"/>
        </w:trPr>
        <w:tc>
          <w:tcPr>
            <w:tcW w:w="855" w:type="pct"/>
            <w:tcBorders>
              <w:top w:val="nil"/>
              <w:left w:val="nil"/>
              <w:bottom w:val="nil"/>
              <w:right w:val="nil"/>
            </w:tcBorders>
            <w:noWrap/>
            <w:hideMark/>
          </w:tcPr>
          <w:p w14:paraId="3C10CA99"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Inwoneraantal (log)</w:t>
            </w:r>
          </w:p>
        </w:tc>
        <w:tc>
          <w:tcPr>
            <w:tcW w:w="351" w:type="pct"/>
            <w:tcBorders>
              <w:top w:val="nil"/>
              <w:left w:val="nil"/>
              <w:bottom w:val="nil"/>
              <w:right w:val="nil"/>
            </w:tcBorders>
            <w:noWrap/>
            <w:hideMark/>
          </w:tcPr>
          <w:p w14:paraId="6B391A2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0.341**</w:t>
            </w:r>
          </w:p>
        </w:tc>
        <w:tc>
          <w:tcPr>
            <w:tcW w:w="216" w:type="pct"/>
            <w:tcBorders>
              <w:top w:val="nil"/>
              <w:left w:val="nil"/>
              <w:bottom w:val="nil"/>
              <w:right w:val="nil"/>
            </w:tcBorders>
          </w:tcPr>
          <w:p w14:paraId="08AC804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0.381**</w:t>
            </w:r>
          </w:p>
        </w:tc>
        <w:tc>
          <w:tcPr>
            <w:tcW w:w="545" w:type="pct"/>
            <w:tcBorders>
              <w:top w:val="nil"/>
              <w:left w:val="nil"/>
              <w:bottom w:val="nil"/>
              <w:right w:val="nil"/>
            </w:tcBorders>
            <w:noWrap/>
            <w:hideMark/>
          </w:tcPr>
          <w:p w14:paraId="5CC26D2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0.379**</w:t>
            </w:r>
          </w:p>
        </w:tc>
        <w:tc>
          <w:tcPr>
            <w:tcW w:w="387" w:type="pct"/>
            <w:tcBorders>
              <w:top w:val="nil"/>
              <w:left w:val="nil"/>
              <w:bottom w:val="nil"/>
              <w:right w:val="nil"/>
            </w:tcBorders>
            <w:noWrap/>
            <w:hideMark/>
          </w:tcPr>
          <w:p w14:paraId="29E14117"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0.272**</w:t>
            </w:r>
          </w:p>
        </w:tc>
        <w:tc>
          <w:tcPr>
            <w:tcW w:w="333" w:type="pct"/>
            <w:tcBorders>
              <w:top w:val="nil"/>
              <w:left w:val="nil"/>
              <w:bottom w:val="nil"/>
              <w:right w:val="nil"/>
            </w:tcBorders>
            <w:noWrap/>
            <w:hideMark/>
          </w:tcPr>
          <w:p w14:paraId="418AC86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454" w:type="pct"/>
            <w:tcBorders>
              <w:top w:val="nil"/>
              <w:left w:val="nil"/>
              <w:bottom w:val="nil"/>
              <w:right w:val="nil"/>
            </w:tcBorders>
            <w:noWrap/>
            <w:hideMark/>
          </w:tcPr>
          <w:p w14:paraId="0435ED7C"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387" w:type="pct"/>
            <w:tcBorders>
              <w:top w:val="nil"/>
              <w:left w:val="nil"/>
              <w:bottom w:val="nil"/>
              <w:right w:val="nil"/>
            </w:tcBorders>
            <w:noWrap/>
            <w:hideMark/>
          </w:tcPr>
          <w:p w14:paraId="23E46306"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61" w:type="pct"/>
            <w:tcBorders>
              <w:top w:val="nil"/>
              <w:left w:val="nil"/>
              <w:bottom w:val="nil"/>
              <w:right w:val="nil"/>
            </w:tcBorders>
            <w:noWrap/>
            <w:hideMark/>
          </w:tcPr>
          <w:p w14:paraId="0BB7A0C5"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nil"/>
              <w:left w:val="nil"/>
              <w:bottom w:val="nil"/>
              <w:right w:val="nil"/>
            </w:tcBorders>
            <w:noWrap/>
            <w:hideMark/>
          </w:tcPr>
          <w:p w14:paraId="1E9F52E7"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hideMark/>
          </w:tcPr>
          <w:p w14:paraId="613C1745"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5D683276" w14:textId="77777777" w:rsidTr="006122F0">
        <w:trPr>
          <w:trHeight w:val="255"/>
        </w:trPr>
        <w:tc>
          <w:tcPr>
            <w:tcW w:w="855" w:type="pct"/>
            <w:tcBorders>
              <w:top w:val="nil"/>
              <w:left w:val="nil"/>
              <w:bottom w:val="nil"/>
              <w:right w:val="nil"/>
            </w:tcBorders>
            <w:noWrap/>
            <w:hideMark/>
          </w:tcPr>
          <w:p w14:paraId="4679E03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Solvabiliteitsratio</w:t>
            </w:r>
          </w:p>
        </w:tc>
        <w:tc>
          <w:tcPr>
            <w:tcW w:w="351" w:type="pct"/>
            <w:tcBorders>
              <w:top w:val="nil"/>
              <w:left w:val="nil"/>
              <w:bottom w:val="nil"/>
              <w:right w:val="nil"/>
            </w:tcBorders>
            <w:noWrap/>
            <w:hideMark/>
          </w:tcPr>
          <w:p w14:paraId="4C9A716C"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-0.117**</w:t>
            </w:r>
          </w:p>
        </w:tc>
        <w:tc>
          <w:tcPr>
            <w:tcW w:w="216" w:type="pct"/>
            <w:tcBorders>
              <w:top w:val="nil"/>
              <w:left w:val="nil"/>
              <w:bottom w:val="nil"/>
              <w:right w:val="nil"/>
            </w:tcBorders>
          </w:tcPr>
          <w:p w14:paraId="5BFE09DC"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-0.137**</w:t>
            </w:r>
          </w:p>
        </w:tc>
        <w:tc>
          <w:tcPr>
            <w:tcW w:w="545" w:type="pct"/>
            <w:tcBorders>
              <w:top w:val="nil"/>
              <w:left w:val="nil"/>
              <w:bottom w:val="nil"/>
              <w:right w:val="nil"/>
            </w:tcBorders>
            <w:noWrap/>
            <w:hideMark/>
          </w:tcPr>
          <w:p w14:paraId="3BCD1DA8"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-0.103**</w:t>
            </w:r>
          </w:p>
        </w:tc>
        <w:tc>
          <w:tcPr>
            <w:tcW w:w="387" w:type="pct"/>
            <w:tcBorders>
              <w:top w:val="nil"/>
              <w:left w:val="nil"/>
              <w:bottom w:val="nil"/>
              <w:right w:val="nil"/>
            </w:tcBorders>
            <w:noWrap/>
            <w:hideMark/>
          </w:tcPr>
          <w:p w14:paraId="46F77C9D"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-0.043</w:t>
            </w:r>
          </w:p>
        </w:tc>
        <w:tc>
          <w:tcPr>
            <w:tcW w:w="333" w:type="pct"/>
            <w:tcBorders>
              <w:top w:val="nil"/>
              <w:left w:val="nil"/>
              <w:bottom w:val="nil"/>
              <w:right w:val="nil"/>
            </w:tcBorders>
            <w:noWrap/>
            <w:hideMark/>
          </w:tcPr>
          <w:p w14:paraId="1F7470EC"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-0.175**</w:t>
            </w:r>
          </w:p>
        </w:tc>
        <w:tc>
          <w:tcPr>
            <w:tcW w:w="454" w:type="pct"/>
            <w:tcBorders>
              <w:top w:val="nil"/>
              <w:left w:val="nil"/>
              <w:bottom w:val="nil"/>
              <w:right w:val="nil"/>
            </w:tcBorders>
            <w:noWrap/>
            <w:hideMark/>
          </w:tcPr>
          <w:p w14:paraId="511CD81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387" w:type="pct"/>
            <w:tcBorders>
              <w:top w:val="nil"/>
              <w:left w:val="nil"/>
              <w:bottom w:val="nil"/>
              <w:right w:val="nil"/>
            </w:tcBorders>
            <w:noWrap/>
            <w:hideMark/>
          </w:tcPr>
          <w:p w14:paraId="5A99BED8"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561" w:type="pct"/>
            <w:tcBorders>
              <w:top w:val="nil"/>
              <w:left w:val="nil"/>
              <w:bottom w:val="nil"/>
              <w:right w:val="nil"/>
            </w:tcBorders>
            <w:noWrap/>
            <w:hideMark/>
          </w:tcPr>
          <w:p w14:paraId="573B46EC"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333" w:type="pct"/>
            <w:tcBorders>
              <w:top w:val="nil"/>
              <w:left w:val="nil"/>
              <w:bottom w:val="nil"/>
              <w:right w:val="nil"/>
            </w:tcBorders>
            <w:noWrap/>
            <w:hideMark/>
          </w:tcPr>
          <w:p w14:paraId="181CBF80"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hideMark/>
          </w:tcPr>
          <w:p w14:paraId="21EB5D54"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43D3BD0C" w14:textId="77777777" w:rsidTr="006122F0">
        <w:trPr>
          <w:trHeight w:val="255"/>
        </w:trPr>
        <w:tc>
          <w:tcPr>
            <w:tcW w:w="855" w:type="pct"/>
            <w:tcBorders>
              <w:top w:val="nil"/>
              <w:left w:val="nil"/>
              <w:bottom w:val="nil"/>
              <w:right w:val="nil"/>
            </w:tcBorders>
            <w:noWrap/>
            <w:hideMark/>
          </w:tcPr>
          <w:p w14:paraId="0164B5A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Grensgemeenten</w:t>
            </w:r>
          </w:p>
        </w:tc>
        <w:tc>
          <w:tcPr>
            <w:tcW w:w="351" w:type="pct"/>
            <w:tcBorders>
              <w:top w:val="nil"/>
              <w:left w:val="nil"/>
              <w:bottom w:val="nil"/>
              <w:right w:val="nil"/>
            </w:tcBorders>
            <w:noWrap/>
            <w:hideMark/>
          </w:tcPr>
          <w:p w14:paraId="0F98B663"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0.152**</w:t>
            </w:r>
          </w:p>
        </w:tc>
        <w:tc>
          <w:tcPr>
            <w:tcW w:w="216" w:type="pct"/>
            <w:tcBorders>
              <w:top w:val="nil"/>
              <w:left w:val="nil"/>
              <w:bottom w:val="nil"/>
              <w:right w:val="nil"/>
            </w:tcBorders>
          </w:tcPr>
          <w:p w14:paraId="70999FB9"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0.184**</w:t>
            </w:r>
          </w:p>
        </w:tc>
        <w:tc>
          <w:tcPr>
            <w:tcW w:w="545" w:type="pct"/>
            <w:tcBorders>
              <w:top w:val="nil"/>
              <w:left w:val="nil"/>
              <w:bottom w:val="nil"/>
              <w:right w:val="nil"/>
            </w:tcBorders>
            <w:noWrap/>
            <w:hideMark/>
          </w:tcPr>
          <w:p w14:paraId="5091648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0.133**</w:t>
            </w:r>
          </w:p>
        </w:tc>
        <w:tc>
          <w:tcPr>
            <w:tcW w:w="387" w:type="pct"/>
            <w:tcBorders>
              <w:top w:val="nil"/>
              <w:left w:val="nil"/>
              <w:bottom w:val="nil"/>
              <w:right w:val="nil"/>
            </w:tcBorders>
            <w:noWrap/>
            <w:hideMark/>
          </w:tcPr>
          <w:p w14:paraId="74CB131E"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0.059</w:t>
            </w:r>
          </w:p>
        </w:tc>
        <w:tc>
          <w:tcPr>
            <w:tcW w:w="333" w:type="pct"/>
            <w:tcBorders>
              <w:top w:val="nil"/>
              <w:left w:val="nil"/>
              <w:bottom w:val="nil"/>
              <w:right w:val="nil"/>
            </w:tcBorders>
            <w:noWrap/>
            <w:hideMark/>
          </w:tcPr>
          <w:p w14:paraId="2DA951F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-0.039</w:t>
            </w:r>
          </w:p>
        </w:tc>
        <w:tc>
          <w:tcPr>
            <w:tcW w:w="454" w:type="pct"/>
            <w:tcBorders>
              <w:top w:val="nil"/>
              <w:left w:val="nil"/>
              <w:bottom w:val="nil"/>
              <w:right w:val="nil"/>
            </w:tcBorders>
            <w:noWrap/>
            <w:hideMark/>
          </w:tcPr>
          <w:p w14:paraId="53B9880E"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-0.029</w:t>
            </w:r>
          </w:p>
        </w:tc>
        <w:tc>
          <w:tcPr>
            <w:tcW w:w="387" w:type="pct"/>
            <w:tcBorders>
              <w:top w:val="nil"/>
              <w:left w:val="nil"/>
              <w:bottom w:val="nil"/>
              <w:right w:val="nil"/>
            </w:tcBorders>
            <w:noWrap/>
            <w:hideMark/>
          </w:tcPr>
          <w:p w14:paraId="0FA5647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561" w:type="pct"/>
            <w:tcBorders>
              <w:top w:val="nil"/>
              <w:left w:val="nil"/>
              <w:bottom w:val="nil"/>
              <w:right w:val="nil"/>
            </w:tcBorders>
            <w:noWrap/>
            <w:hideMark/>
          </w:tcPr>
          <w:p w14:paraId="570B1758"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333" w:type="pct"/>
            <w:tcBorders>
              <w:top w:val="nil"/>
              <w:left w:val="nil"/>
              <w:bottom w:val="nil"/>
              <w:right w:val="nil"/>
            </w:tcBorders>
            <w:noWrap/>
            <w:hideMark/>
          </w:tcPr>
          <w:p w14:paraId="5F8B7212"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c>
          <w:tcPr>
            <w:tcW w:w="579" w:type="pct"/>
            <w:tcBorders>
              <w:top w:val="nil"/>
              <w:left w:val="nil"/>
              <w:bottom w:val="nil"/>
              <w:right w:val="nil"/>
            </w:tcBorders>
            <w:noWrap/>
            <w:hideMark/>
          </w:tcPr>
          <w:p w14:paraId="03A3F3FC"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19583E4B" w14:textId="77777777" w:rsidTr="006122F0">
        <w:trPr>
          <w:trHeight w:val="255"/>
        </w:trPr>
        <w:tc>
          <w:tcPr>
            <w:tcW w:w="855" w:type="pct"/>
            <w:tcBorders>
              <w:top w:val="nil"/>
              <w:left w:val="nil"/>
              <w:bottom w:val="nil"/>
              <w:right w:val="nil"/>
            </w:tcBorders>
            <w:noWrap/>
            <w:hideMark/>
          </w:tcPr>
          <w:p w14:paraId="2D085F89" w14:textId="24F40E14" w:rsidR="00D11BEF" w:rsidRPr="00D11BEF" w:rsidRDefault="00560486" w:rsidP="00D11BEF">
            <w:pPr>
              <w:spacing w:after="0" w:line="276" w:lineRule="auto"/>
              <w:jc w:val="left"/>
              <w:rPr>
                <w:rFonts w:eastAsia="Times New Roman" w:cs="Times New Roman"/>
                <w:sz w:val="20"/>
                <w:szCs w:val="20"/>
              </w:rPr>
            </w:pPr>
            <w:r>
              <w:rPr>
                <w:rFonts w:eastAsia="Calibri" w:cs="Times New Roman"/>
                <w:sz w:val="20"/>
                <w:szCs w:val="20"/>
              </w:rPr>
              <w:t>Opstelling</w:t>
            </w:r>
            <w:r w:rsidR="00D11BEF" w:rsidRPr="00D11BEF">
              <w:rPr>
                <w:rFonts w:eastAsia="Calibri" w:cs="Times New Roman"/>
                <w:sz w:val="20"/>
                <w:szCs w:val="20"/>
              </w:rPr>
              <w:t xml:space="preserve"> gemeentebestuur</w:t>
            </w:r>
          </w:p>
        </w:tc>
        <w:tc>
          <w:tcPr>
            <w:tcW w:w="351" w:type="pct"/>
            <w:tcBorders>
              <w:top w:val="nil"/>
              <w:left w:val="nil"/>
              <w:bottom w:val="nil"/>
              <w:right w:val="nil"/>
            </w:tcBorders>
            <w:noWrap/>
            <w:hideMark/>
          </w:tcPr>
          <w:p w14:paraId="3545CD0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0.077*</w:t>
            </w:r>
          </w:p>
        </w:tc>
        <w:tc>
          <w:tcPr>
            <w:tcW w:w="216" w:type="pct"/>
            <w:tcBorders>
              <w:top w:val="nil"/>
              <w:left w:val="nil"/>
              <w:bottom w:val="nil"/>
              <w:right w:val="nil"/>
            </w:tcBorders>
          </w:tcPr>
          <w:p w14:paraId="51D68F15" w14:textId="77777777" w:rsidR="00D11BEF" w:rsidRPr="00D11BEF" w:rsidRDefault="00D11BEF" w:rsidP="00D11BEF">
            <w:pPr>
              <w:spacing w:after="0" w:line="276" w:lineRule="auto"/>
              <w:jc w:val="left"/>
              <w:rPr>
                <w:rFonts w:eastAsia="Calibri" w:cs="Times New Roman"/>
                <w:sz w:val="20"/>
                <w:szCs w:val="20"/>
              </w:rPr>
            </w:pPr>
            <w:r w:rsidRPr="00D11BEF">
              <w:rPr>
                <w:rFonts w:eastAsia="Calibri" w:cs="Times New Roman"/>
                <w:sz w:val="20"/>
                <w:szCs w:val="20"/>
              </w:rPr>
              <w:t>0.086**</w:t>
            </w:r>
          </w:p>
        </w:tc>
        <w:tc>
          <w:tcPr>
            <w:tcW w:w="545" w:type="pct"/>
            <w:tcBorders>
              <w:top w:val="nil"/>
              <w:left w:val="nil"/>
              <w:bottom w:val="nil"/>
              <w:right w:val="nil"/>
            </w:tcBorders>
            <w:noWrap/>
            <w:hideMark/>
          </w:tcPr>
          <w:p w14:paraId="2F3BEBCD"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0.101**</w:t>
            </w:r>
          </w:p>
        </w:tc>
        <w:tc>
          <w:tcPr>
            <w:tcW w:w="387" w:type="pct"/>
            <w:tcBorders>
              <w:top w:val="nil"/>
              <w:left w:val="nil"/>
              <w:bottom w:val="nil"/>
              <w:right w:val="nil"/>
            </w:tcBorders>
            <w:noWrap/>
            <w:hideMark/>
          </w:tcPr>
          <w:p w14:paraId="28D1E2C7"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0.116**</w:t>
            </w:r>
          </w:p>
        </w:tc>
        <w:tc>
          <w:tcPr>
            <w:tcW w:w="333" w:type="pct"/>
            <w:tcBorders>
              <w:top w:val="nil"/>
              <w:left w:val="nil"/>
              <w:bottom w:val="nil"/>
              <w:right w:val="nil"/>
            </w:tcBorders>
            <w:noWrap/>
            <w:hideMark/>
          </w:tcPr>
          <w:p w14:paraId="16F5B4D4"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0.188**</w:t>
            </w:r>
          </w:p>
        </w:tc>
        <w:tc>
          <w:tcPr>
            <w:tcW w:w="454" w:type="pct"/>
            <w:tcBorders>
              <w:top w:val="nil"/>
              <w:left w:val="nil"/>
              <w:bottom w:val="nil"/>
              <w:right w:val="nil"/>
            </w:tcBorders>
            <w:noWrap/>
            <w:hideMark/>
          </w:tcPr>
          <w:p w14:paraId="6B26D5E5"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-0.063*</w:t>
            </w:r>
          </w:p>
        </w:tc>
        <w:tc>
          <w:tcPr>
            <w:tcW w:w="387" w:type="pct"/>
            <w:tcBorders>
              <w:top w:val="nil"/>
              <w:left w:val="nil"/>
              <w:bottom w:val="nil"/>
              <w:right w:val="nil"/>
            </w:tcBorders>
            <w:noWrap/>
            <w:hideMark/>
          </w:tcPr>
          <w:p w14:paraId="4BE8AAD3"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0.009</w:t>
            </w:r>
          </w:p>
        </w:tc>
        <w:tc>
          <w:tcPr>
            <w:tcW w:w="561" w:type="pct"/>
            <w:tcBorders>
              <w:top w:val="nil"/>
              <w:left w:val="nil"/>
              <w:bottom w:val="nil"/>
              <w:right w:val="nil"/>
            </w:tcBorders>
            <w:noWrap/>
            <w:hideMark/>
          </w:tcPr>
          <w:p w14:paraId="37EE4B93"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333" w:type="pct"/>
            <w:tcBorders>
              <w:top w:val="nil"/>
              <w:left w:val="nil"/>
              <w:bottom w:val="nil"/>
              <w:right w:val="nil"/>
            </w:tcBorders>
            <w:noWrap/>
            <w:hideMark/>
          </w:tcPr>
          <w:p w14:paraId="4BD627F5" w14:textId="77777777" w:rsidR="00D11BEF" w:rsidRPr="00D11BEF" w:rsidRDefault="00D11BEF" w:rsidP="00D11BEF">
            <w:pPr>
              <w:suppressAutoHyphens/>
              <w:spacing w:after="0" w:line="276" w:lineRule="auto"/>
              <w:jc w:val="left"/>
              <w:rPr>
                <w:rFonts w:eastAsia="Times New Roman" w:cs="Times New Roman"/>
                <w:sz w:val="20"/>
                <w:szCs w:val="20"/>
              </w:rPr>
            </w:pPr>
          </w:p>
        </w:tc>
        <w:tc>
          <w:tcPr>
            <w:tcW w:w="579" w:type="pct"/>
            <w:tcBorders>
              <w:top w:val="nil"/>
              <w:left w:val="nil"/>
              <w:bottom w:val="nil"/>
              <w:right w:val="nil"/>
            </w:tcBorders>
            <w:noWrap/>
            <w:hideMark/>
          </w:tcPr>
          <w:p w14:paraId="71C7CEDF" w14:textId="77777777" w:rsidR="00D11BEF" w:rsidRPr="00D11BEF" w:rsidRDefault="00D11BEF" w:rsidP="00D11BEF">
            <w:pPr>
              <w:suppressAutoHyphens/>
              <w:spacing w:after="0" w:line="276" w:lineRule="auto"/>
              <w:jc w:val="left"/>
              <w:rPr>
                <w:rFonts w:ascii="Calibri" w:eastAsia="Calibri" w:hAnsi="Calibri" w:cs="Arial"/>
                <w:sz w:val="20"/>
                <w:szCs w:val="20"/>
                <w:lang w:eastAsia="nl-NL"/>
              </w:rPr>
            </w:pPr>
          </w:p>
        </w:tc>
      </w:tr>
      <w:tr w:rsidR="00D11BEF" w:rsidRPr="00D11BEF" w14:paraId="1171CB12" w14:textId="77777777" w:rsidTr="006122F0">
        <w:trPr>
          <w:trHeight w:val="255"/>
        </w:trPr>
        <w:tc>
          <w:tcPr>
            <w:tcW w:w="855" w:type="pct"/>
            <w:tcBorders>
              <w:top w:val="nil"/>
              <w:left w:val="nil"/>
              <w:bottom w:val="nil"/>
              <w:right w:val="nil"/>
            </w:tcBorders>
            <w:noWrap/>
            <w:hideMark/>
          </w:tcPr>
          <w:p w14:paraId="695A91B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Tijdsnummer</w:t>
            </w:r>
          </w:p>
        </w:tc>
        <w:tc>
          <w:tcPr>
            <w:tcW w:w="351" w:type="pct"/>
            <w:tcBorders>
              <w:top w:val="nil"/>
              <w:left w:val="nil"/>
              <w:bottom w:val="nil"/>
              <w:right w:val="nil"/>
            </w:tcBorders>
            <w:noWrap/>
            <w:hideMark/>
          </w:tcPr>
          <w:p w14:paraId="52943A5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0.064*</w:t>
            </w:r>
          </w:p>
        </w:tc>
        <w:tc>
          <w:tcPr>
            <w:tcW w:w="216" w:type="pct"/>
            <w:tcBorders>
              <w:top w:val="nil"/>
              <w:left w:val="nil"/>
              <w:bottom w:val="nil"/>
              <w:right w:val="nil"/>
            </w:tcBorders>
          </w:tcPr>
          <w:p w14:paraId="1B8E41C5"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0.055</w:t>
            </w:r>
          </w:p>
        </w:tc>
        <w:tc>
          <w:tcPr>
            <w:tcW w:w="545" w:type="pct"/>
            <w:tcBorders>
              <w:top w:val="nil"/>
              <w:left w:val="nil"/>
              <w:bottom w:val="nil"/>
              <w:right w:val="nil"/>
            </w:tcBorders>
            <w:noWrap/>
            <w:hideMark/>
          </w:tcPr>
          <w:p w14:paraId="3B7DDE36"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0.081**</w:t>
            </w:r>
          </w:p>
        </w:tc>
        <w:tc>
          <w:tcPr>
            <w:tcW w:w="387" w:type="pct"/>
            <w:tcBorders>
              <w:top w:val="nil"/>
              <w:left w:val="nil"/>
              <w:bottom w:val="nil"/>
              <w:right w:val="nil"/>
            </w:tcBorders>
            <w:noWrap/>
            <w:hideMark/>
          </w:tcPr>
          <w:p w14:paraId="66C2879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-0.375**</w:t>
            </w:r>
          </w:p>
        </w:tc>
        <w:tc>
          <w:tcPr>
            <w:tcW w:w="333" w:type="pct"/>
            <w:tcBorders>
              <w:top w:val="nil"/>
              <w:left w:val="nil"/>
              <w:bottom w:val="nil"/>
              <w:right w:val="nil"/>
            </w:tcBorders>
            <w:noWrap/>
            <w:hideMark/>
          </w:tcPr>
          <w:p w14:paraId="4FD7D098"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0.103**</w:t>
            </w:r>
          </w:p>
        </w:tc>
        <w:tc>
          <w:tcPr>
            <w:tcW w:w="454" w:type="pct"/>
            <w:tcBorders>
              <w:top w:val="nil"/>
              <w:left w:val="nil"/>
              <w:bottom w:val="nil"/>
              <w:right w:val="nil"/>
            </w:tcBorders>
            <w:noWrap/>
            <w:hideMark/>
          </w:tcPr>
          <w:p w14:paraId="256A27EB"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0.053</w:t>
            </w:r>
          </w:p>
        </w:tc>
        <w:tc>
          <w:tcPr>
            <w:tcW w:w="387" w:type="pct"/>
            <w:tcBorders>
              <w:top w:val="nil"/>
              <w:left w:val="nil"/>
              <w:bottom w:val="nil"/>
              <w:right w:val="nil"/>
            </w:tcBorders>
            <w:noWrap/>
            <w:hideMark/>
          </w:tcPr>
          <w:p w14:paraId="748A2DE5"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0.015</w:t>
            </w:r>
          </w:p>
        </w:tc>
        <w:tc>
          <w:tcPr>
            <w:tcW w:w="561" w:type="pct"/>
            <w:tcBorders>
              <w:top w:val="nil"/>
              <w:left w:val="nil"/>
              <w:bottom w:val="nil"/>
              <w:right w:val="nil"/>
            </w:tcBorders>
            <w:noWrap/>
            <w:hideMark/>
          </w:tcPr>
          <w:p w14:paraId="740FADFD"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0.066*</w:t>
            </w:r>
          </w:p>
        </w:tc>
        <w:tc>
          <w:tcPr>
            <w:tcW w:w="333" w:type="pct"/>
            <w:tcBorders>
              <w:top w:val="nil"/>
              <w:left w:val="nil"/>
              <w:bottom w:val="nil"/>
              <w:right w:val="nil"/>
            </w:tcBorders>
            <w:noWrap/>
            <w:hideMark/>
          </w:tcPr>
          <w:p w14:paraId="1892B03C"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c>
          <w:tcPr>
            <w:tcW w:w="579" w:type="pct"/>
            <w:tcBorders>
              <w:top w:val="nil"/>
              <w:left w:val="nil"/>
              <w:bottom w:val="nil"/>
              <w:right w:val="nil"/>
            </w:tcBorders>
            <w:noWrap/>
            <w:hideMark/>
          </w:tcPr>
          <w:p w14:paraId="4E7FA1DF" w14:textId="77777777" w:rsidR="00D11BEF" w:rsidRPr="00D11BEF" w:rsidRDefault="00D11BEF" w:rsidP="00D11BEF">
            <w:pPr>
              <w:suppressAutoHyphens/>
              <w:spacing w:after="0" w:line="276" w:lineRule="auto"/>
              <w:jc w:val="left"/>
              <w:rPr>
                <w:rFonts w:eastAsia="Times New Roman" w:cs="Times New Roman"/>
                <w:sz w:val="20"/>
                <w:szCs w:val="20"/>
              </w:rPr>
            </w:pPr>
          </w:p>
        </w:tc>
      </w:tr>
      <w:tr w:rsidR="00D11BEF" w:rsidRPr="00D11BEF" w14:paraId="3A7EAFDF" w14:textId="77777777" w:rsidTr="006122F0">
        <w:trPr>
          <w:trHeight w:val="255"/>
        </w:trPr>
        <w:tc>
          <w:tcPr>
            <w:tcW w:w="855" w:type="pct"/>
            <w:tcBorders>
              <w:top w:val="nil"/>
              <w:left w:val="nil"/>
              <w:bottom w:val="single" w:sz="4" w:space="0" w:color="auto"/>
              <w:right w:val="nil"/>
            </w:tcBorders>
            <w:noWrap/>
            <w:hideMark/>
          </w:tcPr>
          <w:p w14:paraId="558829F6"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Aandacht eerder periode</w:t>
            </w:r>
          </w:p>
        </w:tc>
        <w:tc>
          <w:tcPr>
            <w:tcW w:w="351" w:type="pct"/>
            <w:tcBorders>
              <w:top w:val="nil"/>
              <w:left w:val="nil"/>
              <w:bottom w:val="single" w:sz="4" w:space="0" w:color="auto"/>
              <w:right w:val="nil"/>
            </w:tcBorders>
            <w:noWrap/>
            <w:hideMark/>
          </w:tcPr>
          <w:p w14:paraId="63BE9396"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0.052</w:t>
            </w:r>
          </w:p>
        </w:tc>
        <w:tc>
          <w:tcPr>
            <w:tcW w:w="216" w:type="pct"/>
            <w:tcBorders>
              <w:top w:val="nil"/>
              <w:left w:val="nil"/>
              <w:bottom w:val="single" w:sz="4" w:space="0" w:color="auto"/>
              <w:right w:val="nil"/>
            </w:tcBorders>
          </w:tcPr>
          <w:p w14:paraId="2130DDCD"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0.060*</w:t>
            </w:r>
          </w:p>
        </w:tc>
        <w:tc>
          <w:tcPr>
            <w:tcW w:w="545" w:type="pct"/>
            <w:tcBorders>
              <w:top w:val="nil"/>
              <w:left w:val="nil"/>
              <w:bottom w:val="single" w:sz="4" w:space="0" w:color="auto"/>
              <w:right w:val="nil"/>
            </w:tcBorders>
            <w:noWrap/>
            <w:hideMark/>
          </w:tcPr>
          <w:p w14:paraId="6AB9C20F"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0.048</w:t>
            </w:r>
          </w:p>
        </w:tc>
        <w:tc>
          <w:tcPr>
            <w:tcW w:w="387" w:type="pct"/>
            <w:tcBorders>
              <w:top w:val="nil"/>
              <w:left w:val="nil"/>
              <w:bottom w:val="single" w:sz="4" w:space="0" w:color="auto"/>
              <w:right w:val="nil"/>
            </w:tcBorders>
            <w:noWrap/>
            <w:hideMark/>
          </w:tcPr>
          <w:p w14:paraId="7356A950"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0.414</w:t>
            </w:r>
          </w:p>
        </w:tc>
        <w:tc>
          <w:tcPr>
            <w:tcW w:w="333" w:type="pct"/>
            <w:tcBorders>
              <w:top w:val="nil"/>
              <w:left w:val="nil"/>
              <w:bottom w:val="single" w:sz="4" w:space="0" w:color="auto"/>
              <w:right w:val="nil"/>
            </w:tcBorders>
            <w:noWrap/>
            <w:hideMark/>
          </w:tcPr>
          <w:p w14:paraId="5EAA6988"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0.007</w:t>
            </w:r>
          </w:p>
        </w:tc>
        <w:tc>
          <w:tcPr>
            <w:tcW w:w="454" w:type="pct"/>
            <w:tcBorders>
              <w:top w:val="nil"/>
              <w:left w:val="nil"/>
              <w:bottom w:val="single" w:sz="4" w:space="0" w:color="auto"/>
              <w:right w:val="nil"/>
            </w:tcBorders>
            <w:noWrap/>
            <w:hideMark/>
          </w:tcPr>
          <w:p w14:paraId="4A9F6FD4"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-0.081**</w:t>
            </w:r>
          </w:p>
        </w:tc>
        <w:tc>
          <w:tcPr>
            <w:tcW w:w="387" w:type="pct"/>
            <w:tcBorders>
              <w:top w:val="nil"/>
              <w:left w:val="nil"/>
              <w:bottom w:val="single" w:sz="4" w:space="0" w:color="auto"/>
              <w:right w:val="nil"/>
            </w:tcBorders>
            <w:noWrap/>
            <w:hideMark/>
          </w:tcPr>
          <w:p w14:paraId="619207A8"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0.035</w:t>
            </w:r>
          </w:p>
        </w:tc>
        <w:tc>
          <w:tcPr>
            <w:tcW w:w="561" w:type="pct"/>
            <w:tcBorders>
              <w:top w:val="nil"/>
              <w:left w:val="nil"/>
              <w:bottom w:val="single" w:sz="4" w:space="0" w:color="auto"/>
              <w:right w:val="nil"/>
            </w:tcBorders>
            <w:noWrap/>
            <w:hideMark/>
          </w:tcPr>
          <w:p w14:paraId="3A3CAA99"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0.052</w:t>
            </w:r>
          </w:p>
        </w:tc>
        <w:tc>
          <w:tcPr>
            <w:tcW w:w="333" w:type="pct"/>
            <w:tcBorders>
              <w:top w:val="nil"/>
              <w:left w:val="nil"/>
              <w:bottom w:val="single" w:sz="4" w:space="0" w:color="auto"/>
              <w:right w:val="nil"/>
            </w:tcBorders>
            <w:noWrap/>
            <w:hideMark/>
          </w:tcPr>
          <w:p w14:paraId="44697F02" w14:textId="77777777" w:rsidR="00D11BEF" w:rsidRPr="00D11BEF" w:rsidRDefault="00D11BEF" w:rsidP="00D11BEF">
            <w:pPr>
              <w:spacing w:after="0" w:line="276" w:lineRule="auto"/>
              <w:jc w:val="left"/>
              <w:rPr>
                <w:rFonts w:eastAsia="Times New Roman" w:cs="Times New Roman"/>
                <w:sz w:val="20"/>
                <w:szCs w:val="20"/>
              </w:rPr>
            </w:pPr>
            <w:r w:rsidRPr="00D11BEF">
              <w:rPr>
                <w:rFonts w:eastAsia="Times New Roman" w:cs="Times New Roman"/>
                <w:sz w:val="20"/>
                <w:szCs w:val="20"/>
              </w:rPr>
              <w:t>-0.793**</w:t>
            </w:r>
          </w:p>
        </w:tc>
        <w:tc>
          <w:tcPr>
            <w:tcW w:w="579" w:type="pct"/>
            <w:tcBorders>
              <w:top w:val="nil"/>
              <w:left w:val="nil"/>
              <w:bottom w:val="single" w:sz="4" w:space="0" w:color="auto"/>
              <w:right w:val="nil"/>
            </w:tcBorders>
            <w:noWrap/>
            <w:hideMark/>
          </w:tcPr>
          <w:p w14:paraId="1E3A37E3" w14:textId="77777777" w:rsidR="00D11BEF" w:rsidRPr="00D11BEF" w:rsidRDefault="00D11BEF" w:rsidP="00D11BEF">
            <w:pPr>
              <w:spacing w:after="0" w:line="276" w:lineRule="auto"/>
              <w:jc w:val="left"/>
              <w:rPr>
                <w:rFonts w:eastAsia="Times New Roman" w:cs="Times New Roman"/>
                <w:sz w:val="20"/>
                <w:szCs w:val="20"/>
              </w:rPr>
            </w:pPr>
            <w:r w:rsidRPr="00D11BEF">
              <w:rPr>
                <w:rFonts w:eastAsia="Calibri" w:cs="Times New Roman"/>
                <w:sz w:val="20"/>
                <w:szCs w:val="20"/>
              </w:rPr>
              <w:t>1</w:t>
            </w:r>
          </w:p>
        </w:tc>
      </w:tr>
    </w:tbl>
    <w:p w14:paraId="292DBE87" w14:textId="77777777" w:rsidR="00D11BEF" w:rsidRPr="00D11BEF" w:rsidRDefault="00D11BEF" w:rsidP="00D11BEF">
      <w:pPr>
        <w:suppressAutoHyphens/>
        <w:spacing w:after="0" w:line="276" w:lineRule="auto"/>
        <w:jc w:val="left"/>
        <w:rPr>
          <w:rFonts w:eastAsia="Calibri" w:cs="Arial"/>
          <w:sz w:val="22"/>
        </w:rPr>
      </w:pPr>
    </w:p>
    <w:p w14:paraId="5AF30394" w14:textId="77777777" w:rsidR="00D11BEF" w:rsidRPr="00D11BEF" w:rsidRDefault="00D11BEF" w:rsidP="002F341A">
      <w:pPr>
        <w:suppressAutoHyphens/>
        <w:spacing w:after="0"/>
        <w:jc w:val="left"/>
        <w:rPr>
          <w:rFonts w:eastAsia="Calibri" w:cs="Arial"/>
          <w:sz w:val="20"/>
          <w:szCs w:val="20"/>
        </w:rPr>
      </w:pPr>
      <w:r w:rsidRPr="00D11BEF">
        <w:rPr>
          <w:rFonts w:eastAsia="Calibri" w:cs="Arial"/>
          <w:sz w:val="20"/>
          <w:szCs w:val="20"/>
        </w:rPr>
        <w:t>** Correlatie is significant bij p &lt; .01 (tweezijdig)</w:t>
      </w:r>
    </w:p>
    <w:p w14:paraId="37DD29FF" w14:textId="77777777" w:rsidR="00D11BEF" w:rsidRPr="00D11BEF" w:rsidRDefault="00D11BEF" w:rsidP="002F341A">
      <w:pPr>
        <w:suppressAutoHyphens/>
        <w:spacing w:after="0"/>
        <w:jc w:val="left"/>
        <w:rPr>
          <w:rFonts w:eastAsia="Calibri" w:cs="Arial"/>
          <w:sz w:val="20"/>
          <w:szCs w:val="20"/>
        </w:rPr>
      </w:pPr>
      <w:r w:rsidRPr="00D11BEF">
        <w:rPr>
          <w:rFonts w:eastAsia="Calibri" w:cs="Arial"/>
          <w:sz w:val="20"/>
          <w:szCs w:val="20"/>
        </w:rPr>
        <w:t>* Correlatie is significant bij p &lt; .05 (tweezijdig)</w:t>
      </w:r>
    </w:p>
    <w:p w14:paraId="3AA0DE53" w14:textId="77777777" w:rsidR="00D11BEF" w:rsidRPr="00D11BEF" w:rsidRDefault="00D11BEF" w:rsidP="00D11BEF">
      <w:pPr>
        <w:suppressAutoHyphens/>
        <w:spacing w:after="0"/>
        <w:jc w:val="left"/>
        <w:rPr>
          <w:rFonts w:eastAsia="Calibri" w:cs="Arial"/>
          <w:sz w:val="22"/>
        </w:rPr>
      </w:pPr>
    </w:p>
    <w:p w14:paraId="487DE2F4" w14:textId="77777777" w:rsidR="00D11BEF" w:rsidRPr="00D11BEF" w:rsidRDefault="00D11BEF" w:rsidP="00D11BEF">
      <w:pPr>
        <w:suppressAutoHyphens/>
        <w:spacing w:after="0"/>
        <w:jc w:val="left"/>
        <w:rPr>
          <w:rFonts w:eastAsia="Calibri" w:cs="Arial"/>
          <w:sz w:val="22"/>
        </w:rPr>
      </w:pPr>
    </w:p>
    <w:p w14:paraId="20788B73" w14:textId="77777777" w:rsidR="00D11BEF" w:rsidRPr="00D11BEF" w:rsidRDefault="00D11BEF" w:rsidP="00D11BEF">
      <w:pPr>
        <w:rPr>
          <w:rFonts w:cs="Times New Roman"/>
          <w:szCs w:val="24"/>
        </w:rPr>
      </w:pPr>
    </w:p>
    <w:p w14:paraId="4B8A8854" w14:textId="0A77461E" w:rsidR="00D11BEF" w:rsidRDefault="00D11BEF" w:rsidP="00D11BEF">
      <w:pPr>
        <w:rPr>
          <w:rFonts w:cs="Times New Roman"/>
          <w:szCs w:val="24"/>
        </w:rPr>
      </w:pPr>
      <w:bookmarkStart w:id="6" w:name="_Hlk124848406"/>
    </w:p>
    <w:p w14:paraId="1CC99463" w14:textId="77777777" w:rsidR="006F19CB" w:rsidRPr="00D11BEF" w:rsidRDefault="006F19CB" w:rsidP="00D11BEF">
      <w:pPr>
        <w:rPr>
          <w:rFonts w:cs="Times New Roman"/>
          <w:szCs w:val="24"/>
        </w:rPr>
      </w:pPr>
    </w:p>
    <w:p w14:paraId="68C029E8" w14:textId="77777777" w:rsidR="00763930" w:rsidRDefault="00763930" w:rsidP="006F19CB">
      <w:pPr>
        <w:jc w:val="left"/>
        <w:rPr>
          <w:rFonts w:cs="Times New Roman"/>
          <w:b/>
          <w:bCs/>
          <w:sz w:val="20"/>
          <w:szCs w:val="20"/>
        </w:rPr>
      </w:pPr>
    </w:p>
    <w:p w14:paraId="12A33862" w14:textId="77777777" w:rsidR="00162D7F" w:rsidRDefault="00162D7F" w:rsidP="006F19CB">
      <w:pPr>
        <w:jc w:val="left"/>
        <w:rPr>
          <w:rFonts w:cs="Times New Roman"/>
          <w:b/>
          <w:bCs/>
          <w:sz w:val="20"/>
          <w:szCs w:val="20"/>
        </w:rPr>
      </w:pPr>
    </w:p>
    <w:p w14:paraId="30571C1F" w14:textId="77777777" w:rsidR="004C0D07" w:rsidRDefault="004C0D07" w:rsidP="006F19CB">
      <w:pPr>
        <w:jc w:val="left"/>
        <w:rPr>
          <w:rFonts w:cs="Times New Roman"/>
          <w:b/>
          <w:bCs/>
          <w:sz w:val="20"/>
          <w:szCs w:val="20"/>
        </w:rPr>
      </w:pPr>
    </w:p>
    <w:p w14:paraId="48220CDC" w14:textId="4A8788F2" w:rsidR="00D11BEF" w:rsidRPr="00D11BEF" w:rsidRDefault="006F19CB" w:rsidP="006F19CB">
      <w:pPr>
        <w:jc w:val="left"/>
        <w:rPr>
          <w:rFonts w:cs="Times New Roman"/>
          <w:b/>
          <w:bCs/>
          <w:sz w:val="20"/>
          <w:szCs w:val="20"/>
        </w:rPr>
      </w:pPr>
      <w:r w:rsidRPr="006F19CB">
        <w:rPr>
          <w:rFonts w:cs="Times New Roman"/>
          <w:b/>
          <w:bCs/>
          <w:sz w:val="20"/>
          <w:szCs w:val="20"/>
        </w:rPr>
        <w:t xml:space="preserve">Tabel </w:t>
      </w:r>
      <w:r w:rsidR="00FB1F10">
        <w:rPr>
          <w:rFonts w:cs="Times New Roman"/>
          <w:b/>
          <w:bCs/>
          <w:sz w:val="20"/>
          <w:szCs w:val="20"/>
        </w:rPr>
        <w:t>VI</w:t>
      </w:r>
      <w:r w:rsidR="004C0D07">
        <w:rPr>
          <w:rFonts w:cs="Times New Roman"/>
          <w:b/>
          <w:bCs/>
          <w:sz w:val="20"/>
          <w:szCs w:val="20"/>
        </w:rPr>
        <w:t>I</w:t>
      </w:r>
      <w:r w:rsidRPr="006F19CB">
        <w:rPr>
          <w:rFonts w:cs="Times New Roman"/>
          <w:b/>
          <w:bCs/>
          <w:sz w:val="20"/>
          <w:szCs w:val="20"/>
        </w:rPr>
        <w:t>: logistische regressie met wel/geen aandacht voor iedere variabele afzonderlijk zonder controlevariabelen</w:t>
      </w:r>
    </w:p>
    <w:tbl>
      <w:tblPr>
        <w:tblStyle w:val="Tabelraster"/>
        <w:tblW w:w="135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1764"/>
        <w:gridCol w:w="1786"/>
        <w:gridCol w:w="1832"/>
        <w:gridCol w:w="1786"/>
        <w:gridCol w:w="1786"/>
        <w:gridCol w:w="1964"/>
      </w:tblGrid>
      <w:tr w:rsidR="00D11BEF" w:rsidRPr="00D11BEF" w14:paraId="284452E0" w14:textId="77777777" w:rsidTr="006122F0">
        <w:trPr>
          <w:trHeight w:val="677"/>
        </w:trPr>
        <w:tc>
          <w:tcPr>
            <w:tcW w:w="2596" w:type="dxa"/>
            <w:tcBorders>
              <w:top w:val="single" w:sz="4" w:space="0" w:color="auto"/>
              <w:bottom w:val="single" w:sz="4" w:space="0" w:color="auto"/>
            </w:tcBorders>
          </w:tcPr>
          <w:p w14:paraId="5D54316E" w14:textId="77777777" w:rsidR="00D11BEF" w:rsidRPr="00D11BEF" w:rsidRDefault="00D11BEF" w:rsidP="00D11BEF">
            <w:pPr>
              <w:spacing w:line="276" w:lineRule="auto"/>
              <w:jc w:val="left"/>
              <w:rPr>
                <w:rFonts w:eastAsia="Times New Roman" w:cs="Times New Roman"/>
                <w:sz w:val="20"/>
                <w:szCs w:val="20"/>
                <w:lang w:eastAsia="en-GB"/>
              </w:rPr>
            </w:pPr>
          </w:p>
        </w:tc>
        <w:tc>
          <w:tcPr>
            <w:tcW w:w="1764" w:type="dxa"/>
            <w:tcBorders>
              <w:top w:val="single" w:sz="4" w:space="0" w:color="auto"/>
              <w:bottom w:val="single" w:sz="4" w:space="0" w:color="auto"/>
            </w:tcBorders>
          </w:tcPr>
          <w:p w14:paraId="01F93D2E"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0</w:t>
            </w:r>
          </w:p>
          <w:p w14:paraId="51ACB69F"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69E6D258"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1</w:t>
            </w:r>
          </w:p>
          <w:p w14:paraId="57206FFB"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32" w:type="dxa"/>
            <w:tcBorders>
              <w:top w:val="single" w:sz="4" w:space="0" w:color="auto"/>
              <w:bottom w:val="single" w:sz="4" w:space="0" w:color="auto"/>
            </w:tcBorders>
          </w:tcPr>
          <w:p w14:paraId="1274CD3F"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2</w:t>
            </w:r>
          </w:p>
          <w:p w14:paraId="25F2B44B"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6AFB62E2"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3</w:t>
            </w:r>
          </w:p>
          <w:p w14:paraId="490D5670" w14:textId="77777777" w:rsidR="00D11BEF" w:rsidRPr="00D11BEF" w:rsidRDefault="00D11BEF" w:rsidP="00D11BEF">
            <w:pPr>
              <w:spacing w:line="276" w:lineRule="auto"/>
              <w:jc w:val="left"/>
              <w:rPr>
                <w:rFonts w:eastAsia="Times New Roman" w:cs="Times New Roman"/>
                <w:sz w:val="20"/>
                <w:szCs w:val="20"/>
                <w:highlight w:val="yellow"/>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1FB9D48A"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4</w:t>
            </w:r>
          </w:p>
          <w:p w14:paraId="371B8168"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964" w:type="dxa"/>
            <w:tcBorders>
              <w:top w:val="single" w:sz="4" w:space="0" w:color="auto"/>
              <w:bottom w:val="single" w:sz="4" w:space="0" w:color="auto"/>
            </w:tcBorders>
          </w:tcPr>
          <w:p w14:paraId="3540535D"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5</w:t>
            </w:r>
          </w:p>
          <w:p w14:paraId="7FCAF5CA"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r>
      <w:tr w:rsidR="00D11BEF" w:rsidRPr="00D11BEF" w14:paraId="2A6C2719" w14:textId="77777777" w:rsidTr="006122F0">
        <w:trPr>
          <w:trHeight w:val="677"/>
        </w:trPr>
        <w:tc>
          <w:tcPr>
            <w:tcW w:w="2596" w:type="dxa"/>
            <w:tcBorders>
              <w:top w:val="single" w:sz="4" w:space="0" w:color="auto"/>
            </w:tcBorders>
          </w:tcPr>
          <w:p w14:paraId="602C250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Intercept</w:t>
            </w:r>
          </w:p>
        </w:tc>
        <w:tc>
          <w:tcPr>
            <w:tcW w:w="1764" w:type="dxa"/>
            <w:tcBorders>
              <w:top w:val="single" w:sz="4" w:space="0" w:color="auto"/>
            </w:tcBorders>
          </w:tcPr>
          <w:p w14:paraId="18956C9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-0.696***</w:t>
            </w:r>
          </w:p>
          <w:p w14:paraId="377397A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(0.065)</w:t>
            </w:r>
          </w:p>
        </w:tc>
        <w:tc>
          <w:tcPr>
            <w:tcW w:w="1786" w:type="dxa"/>
            <w:tcBorders>
              <w:top w:val="single" w:sz="4" w:space="0" w:color="auto"/>
            </w:tcBorders>
          </w:tcPr>
          <w:p w14:paraId="688E91E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0.021</w:t>
            </w:r>
          </w:p>
          <w:p w14:paraId="407F29E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(0.162)</w:t>
            </w:r>
          </w:p>
        </w:tc>
        <w:tc>
          <w:tcPr>
            <w:tcW w:w="1832" w:type="dxa"/>
            <w:tcBorders>
              <w:top w:val="single" w:sz="4" w:space="0" w:color="auto"/>
            </w:tcBorders>
          </w:tcPr>
          <w:p w14:paraId="6977292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-4.353***</w:t>
            </w:r>
          </w:p>
          <w:p w14:paraId="1B71C94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(0.364)</w:t>
            </w:r>
          </w:p>
        </w:tc>
        <w:tc>
          <w:tcPr>
            <w:tcW w:w="1786" w:type="dxa"/>
            <w:tcBorders>
              <w:top w:val="single" w:sz="4" w:space="0" w:color="auto"/>
            </w:tcBorders>
          </w:tcPr>
          <w:p w14:paraId="77429C8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-0.204</w:t>
            </w:r>
          </w:p>
          <w:p w14:paraId="517BBFA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(0.142)</w:t>
            </w:r>
          </w:p>
        </w:tc>
        <w:tc>
          <w:tcPr>
            <w:tcW w:w="1786" w:type="dxa"/>
            <w:tcBorders>
              <w:top w:val="single" w:sz="4" w:space="0" w:color="auto"/>
            </w:tcBorders>
          </w:tcPr>
          <w:p w14:paraId="137571E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-0.847***</w:t>
            </w:r>
          </w:p>
          <w:p w14:paraId="1BA019F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(0.073)</w:t>
            </w:r>
          </w:p>
        </w:tc>
        <w:tc>
          <w:tcPr>
            <w:tcW w:w="1964" w:type="dxa"/>
            <w:tcBorders>
              <w:top w:val="single" w:sz="4" w:space="0" w:color="auto"/>
            </w:tcBorders>
          </w:tcPr>
          <w:p w14:paraId="680FF6A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-1.810***</w:t>
            </w:r>
          </w:p>
          <w:p w14:paraId="47768F8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(0.450)</w:t>
            </w:r>
          </w:p>
        </w:tc>
      </w:tr>
      <w:tr w:rsidR="00D11BEF" w:rsidRPr="00D11BEF" w14:paraId="1C4EE1FB" w14:textId="77777777" w:rsidTr="006122F0">
        <w:trPr>
          <w:trHeight w:val="442"/>
        </w:trPr>
        <w:tc>
          <w:tcPr>
            <w:tcW w:w="2596" w:type="dxa"/>
          </w:tcPr>
          <w:p w14:paraId="1224BEC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Ontvangst EU-gelden (log)</w:t>
            </w:r>
          </w:p>
        </w:tc>
        <w:tc>
          <w:tcPr>
            <w:tcW w:w="1764" w:type="dxa"/>
          </w:tcPr>
          <w:p w14:paraId="26B6AF55" w14:textId="77777777" w:rsidR="00D11BEF" w:rsidRPr="00D11BEF" w:rsidRDefault="00D11BEF" w:rsidP="00D11BEF">
            <w:pPr>
              <w:spacing w:line="276" w:lineRule="auto"/>
              <w:jc w:val="left"/>
              <w:rPr>
                <w:rFonts w:eastAsia="Times New Roman" w:cs="Times New Roman"/>
                <w:sz w:val="20"/>
                <w:szCs w:val="20"/>
                <w:lang w:eastAsia="en-GB"/>
              </w:rPr>
            </w:pPr>
          </w:p>
          <w:p w14:paraId="497112B7"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11E7D13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0.275***</w:t>
            </w:r>
          </w:p>
          <w:p w14:paraId="055229E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(0.058)</w:t>
            </w:r>
          </w:p>
        </w:tc>
        <w:tc>
          <w:tcPr>
            <w:tcW w:w="1832" w:type="dxa"/>
          </w:tcPr>
          <w:p w14:paraId="3C1E9DF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7D9E1FA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3630781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7C7B2BDE"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6E6A950C" w14:textId="77777777" w:rsidTr="006122F0">
        <w:trPr>
          <w:trHeight w:val="455"/>
        </w:trPr>
        <w:tc>
          <w:tcPr>
            <w:tcW w:w="2596" w:type="dxa"/>
          </w:tcPr>
          <w:p w14:paraId="1940174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Inwoneraantal (log)</w:t>
            </w:r>
          </w:p>
        </w:tc>
        <w:tc>
          <w:tcPr>
            <w:tcW w:w="1764" w:type="dxa"/>
          </w:tcPr>
          <w:p w14:paraId="4AC8CD83"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1480FD93"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338CA1D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352A23E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1.034***</w:t>
            </w:r>
          </w:p>
          <w:p w14:paraId="2CB02A7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(0.099)</w:t>
            </w:r>
          </w:p>
        </w:tc>
        <w:tc>
          <w:tcPr>
            <w:tcW w:w="1786" w:type="dxa"/>
          </w:tcPr>
          <w:p w14:paraId="7D5AC18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1DBEE96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400DD9D5"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4D8F129F" w14:textId="77777777" w:rsidTr="006122F0">
        <w:trPr>
          <w:trHeight w:val="455"/>
        </w:trPr>
        <w:tc>
          <w:tcPr>
            <w:tcW w:w="2596" w:type="dxa"/>
          </w:tcPr>
          <w:p w14:paraId="09E4D0F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Solvabiliteitsratio</w:t>
            </w:r>
          </w:p>
        </w:tc>
        <w:tc>
          <w:tcPr>
            <w:tcW w:w="1764" w:type="dxa"/>
          </w:tcPr>
          <w:p w14:paraId="2A307077"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1F57409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71551BD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91A228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-1.442***</w:t>
            </w:r>
          </w:p>
          <w:p w14:paraId="2AAAA49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(0.379)</w:t>
            </w:r>
          </w:p>
        </w:tc>
        <w:tc>
          <w:tcPr>
            <w:tcW w:w="1786" w:type="dxa"/>
          </w:tcPr>
          <w:p w14:paraId="6F7882F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7D44A586"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5CFB12A5" w14:textId="77777777" w:rsidTr="006122F0">
        <w:trPr>
          <w:trHeight w:val="442"/>
        </w:trPr>
        <w:tc>
          <w:tcPr>
            <w:tcW w:w="2596" w:type="dxa"/>
          </w:tcPr>
          <w:p w14:paraId="04CA2AD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Grensgemeenten</w:t>
            </w:r>
          </w:p>
        </w:tc>
        <w:tc>
          <w:tcPr>
            <w:tcW w:w="1764" w:type="dxa"/>
          </w:tcPr>
          <w:p w14:paraId="5ADB369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6CA956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44D15F2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F3BA4B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1E2A187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0.804***</w:t>
            </w:r>
          </w:p>
          <w:p w14:paraId="4FF9FC0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(0.164)</w:t>
            </w:r>
          </w:p>
        </w:tc>
        <w:tc>
          <w:tcPr>
            <w:tcW w:w="1964" w:type="dxa"/>
          </w:tcPr>
          <w:p w14:paraId="44466E1C"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79DC69AE" w14:textId="77777777" w:rsidTr="006122F0">
        <w:trPr>
          <w:trHeight w:val="677"/>
        </w:trPr>
        <w:tc>
          <w:tcPr>
            <w:tcW w:w="2596" w:type="dxa"/>
          </w:tcPr>
          <w:p w14:paraId="2707220E" w14:textId="1113CD80" w:rsidR="00D11BEF" w:rsidRPr="00D11BEF" w:rsidRDefault="00560486" w:rsidP="00D11BEF">
            <w:pPr>
              <w:spacing w:line="276" w:lineRule="auto"/>
              <w:jc w:val="left"/>
              <w:rPr>
                <w:rFonts w:eastAsia="Times New Roman" w:cs="Times New Roman"/>
                <w:color w:val="000000"/>
                <w:sz w:val="20"/>
                <w:szCs w:val="20"/>
                <w:lang w:eastAsia="en-GB"/>
              </w:rPr>
            </w:pPr>
            <w:r>
              <w:rPr>
                <w:rFonts w:eastAsia="Times New Roman" w:cs="Times New Roman"/>
                <w:color w:val="000000"/>
                <w:sz w:val="20"/>
                <w:szCs w:val="20"/>
                <w:lang w:eastAsia="en-GB"/>
              </w:rPr>
              <w:t>Opstelling</w:t>
            </w:r>
            <w:r w:rsidR="00D11BEF" w:rsidRPr="00D11BEF">
              <w:rPr>
                <w:rFonts w:eastAsia="Times New Roman" w:cs="Times New Roman"/>
                <w:color w:val="000000"/>
                <w:sz w:val="20"/>
                <w:szCs w:val="20"/>
                <w:lang w:eastAsia="en-GB"/>
              </w:rPr>
              <w:t xml:space="preserve"> gemeentebestuur</w:t>
            </w:r>
          </w:p>
        </w:tc>
        <w:tc>
          <w:tcPr>
            <w:tcW w:w="1764" w:type="dxa"/>
          </w:tcPr>
          <w:p w14:paraId="57B22BF5"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94D2AA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506AEC10"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30EF0B0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D864CD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043E399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0.459*</w:t>
            </w:r>
          </w:p>
          <w:p w14:paraId="6233D76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(0.183)</w:t>
            </w:r>
          </w:p>
        </w:tc>
      </w:tr>
      <w:tr w:rsidR="00D11BEF" w:rsidRPr="00D11BEF" w14:paraId="72A05F7E" w14:textId="77777777" w:rsidTr="006122F0">
        <w:trPr>
          <w:trHeight w:val="442"/>
        </w:trPr>
        <w:tc>
          <w:tcPr>
            <w:tcW w:w="2596" w:type="dxa"/>
          </w:tcPr>
          <w:p w14:paraId="17CF266F" w14:textId="77777777" w:rsidR="00D11BEF" w:rsidRPr="00D11BEF" w:rsidRDefault="00D11BEF" w:rsidP="00D11BEF">
            <w:pPr>
              <w:spacing w:line="276" w:lineRule="auto"/>
              <w:jc w:val="left"/>
              <w:rPr>
                <w:rFonts w:eastAsia="Times New Roman" w:cs="Times New Roman"/>
                <w:i/>
                <w:iCs/>
                <w:color w:val="000000"/>
                <w:sz w:val="20"/>
                <w:szCs w:val="20"/>
                <w:lang w:eastAsia="en-GB"/>
              </w:rPr>
            </w:pPr>
            <w:r w:rsidRPr="00D11BEF">
              <w:rPr>
                <w:rFonts w:eastAsia="Times New Roman" w:cs="Times New Roman"/>
                <w:i/>
                <w:iCs/>
                <w:color w:val="000000"/>
                <w:sz w:val="20"/>
                <w:szCs w:val="20"/>
                <w:lang w:eastAsia="en-GB"/>
              </w:rPr>
              <w:t>Controle</w:t>
            </w:r>
          </w:p>
        </w:tc>
        <w:tc>
          <w:tcPr>
            <w:tcW w:w="1764" w:type="dxa"/>
          </w:tcPr>
          <w:p w14:paraId="01022B4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4B43B436"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7F655EE5"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EF6765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026F14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7101F1A6"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16506B0D" w14:textId="77777777" w:rsidTr="006122F0">
        <w:trPr>
          <w:trHeight w:val="455"/>
        </w:trPr>
        <w:tc>
          <w:tcPr>
            <w:tcW w:w="2596" w:type="dxa"/>
          </w:tcPr>
          <w:p w14:paraId="0D7C6C7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2022</w:t>
            </w:r>
          </w:p>
        </w:tc>
        <w:tc>
          <w:tcPr>
            <w:tcW w:w="1764" w:type="dxa"/>
          </w:tcPr>
          <w:p w14:paraId="795A0FA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F16A41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72A242C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5E985A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7AB8D66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2005B729"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4C9A0349" w14:textId="77777777" w:rsidTr="006122F0">
        <w:trPr>
          <w:trHeight w:val="442"/>
        </w:trPr>
        <w:tc>
          <w:tcPr>
            <w:tcW w:w="2596" w:type="dxa"/>
          </w:tcPr>
          <w:p w14:paraId="26278C5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2018</w:t>
            </w:r>
          </w:p>
        </w:tc>
        <w:tc>
          <w:tcPr>
            <w:tcW w:w="1764" w:type="dxa"/>
          </w:tcPr>
          <w:p w14:paraId="563EDAE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4461148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5B5D70D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ABF7E6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F608D56"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061AC8E7"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3ECD81BF" w14:textId="77777777" w:rsidTr="006122F0">
        <w:trPr>
          <w:trHeight w:val="455"/>
        </w:trPr>
        <w:tc>
          <w:tcPr>
            <w:tcW w:w="2596" w:type="dxa"/>
          </w:tcPr>
          <w:p w14:paraId="4B7CD84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2014</w:t>
            </w:r>
          </w:p>
        </w:tc>
        <w:tc>
          <w:tcPr>
            <w:tcW w:w="1764" w:type="dxa"/>
          </w:tcPr>
          <w:p w14:paraId="0F8287BF"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1D9E5D57"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F6F99D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576E832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45AA877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3A1CF78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04515243"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17703B23" w14:textId="77777777" w:rsidTr="006122F0">
        <w:trPr>
          <w:trHeight w:val="442"/>
        </w:trPr>
        <w:tc>
          <w:tcPr>
            <w:tcW w:w="2596" w:type="dxa"/>
          </w:tcPr>
          <w:p w14:paraId="6CF7591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Geen aandacht</w:t>
            </w:r>
          </w:p>
        </w:tc>
        <w:tc>
          <w:tcPr>
            <w:tcW w:w="1764" w:type="dxa"/>
          </w:tcPr>
          <w:p w14:paraId="6820FBD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469CA4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7981226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A13021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76434F37"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0F42F9A7"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48D91621" w14:textId="77777777" w:rsidTr="006122F0">
        <w:trPr>
          <w:trHeight w:val="455"/>
        </w:trPr>
        <w:tc>
          <w:tcPr>
            <w:tcW w:w="2596" w:type="dxa"/>
            <w:tcBorders>
              <w:bottom w:val="single" w:sz="4" w:space="0" w:color="auto"/>
            </w:tcBorders>
          </w:tcPr>
          <w:p w14:paraId="47995B6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Wel aandacht </w:t>
            </w:r>
          </w:p>
        </w:tc>
        <w:tc>
          <w:tcPr>
            <w:tcW w:w="1764" w:type="dxa"/>
            <w:tcBorders>
              <w:bottom w:val="single" w:sz="4" w:space="0" w:color="auto"/>
            </w:tcBorders>
          </w:tcPr>
          <w:p w14:paraId="6155106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bottom w:val="single" w:sz="4" w:space="0" w:color="auto"/>
            </w:tcBorders>
          </w:tcPr>
          <w:p w14:paraId="17642FC5"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Borders>
              <w:bottom w:val="single" w:sz="4" w:space="0" w:color="auto"/>
            </w:tcBorders>
          </w:tcPr>
          <w:p w14:paraId="798949F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bottom w:val="single" w:sz="4" w:space="0" w:color="auto"/>
            </w:tcBorders>
          </w:tcPr>
          <w:p w14:paraId="22E6974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bottom w:val="single" w:sz="4" w:space="0" w:color="auto"/>
            </w:tcBorders>
          </w:tcPr>
          <w:p w14:paraId="0346CBB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Borders>
              <w:bottom w:val="single" w:sz="4" w:space="0" w:color="auto"/>
            </w:tcBorders>
          </w:tcPr>
          <w:p w14:paraId="4E0249E1"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16E783C3" w14:textId="77777777" w:rsidTr="006122F0">
        <w:trPr>
          <w:trHeight w:val="405"/>
        </w:trPr>
        <w:tc>
          <w:tcPr>
            <w:tcW w:w="2596" w:type="dxa"/>
            <w:tcBorders>
              <w:top w:val="single" w:sz="4" w:space="0" w:color="auto"/>
              <w:bottom w:val="single" w:sz="4" w:space="0" w:color="auto"/>
            </w:tcBorders>
          </w:tcPr>
          <w:p w14:paraId="4B32D537" w14:textId="480E75CD"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Cox &amp; Snell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p w14:paraId="782A8807" w14:textId="68BE5C91"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Nagelkerke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tc>
        <w:tc>
          <w:tcPr>
            <w:tcW w:w="1764" w:type="dxa"/>
            <w:tcBorders>
              <w:top w:val="single" w:sz="4" w:space="0" w:color="auto"/>
              <w:bottom w:val="single" w:sz="4" w:space="0" w:color="auto"/>
            </w:tcBorders>
          </w:tcPr>
          <w:p w14:paraId="12B167B6"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Borders>
              <w:top w:val="single" w:sz="4" w:space="0" w:color="auto"/>
              <w:bottom w:val="single" w:sz="4" w:space="0" w:color="auto"/>
            </w:tcBorders>
          </w:tcPr>
          <w:p w14:paraId="3AE46B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0.022</w:t>
            </w:r>
          </w:p>
          <w:p w14:paraId="680220BB"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0.031</w:t>
            </w:r>
          </w:p>
        </w:tc>
        <w:tc>
          <w:tcPr>
            <w:tcW w:w="1832" w:type="dxa"/>
            <w:tcBorders>
              <w:top w:val="single" w:sz="4" w:space="0" w:color="auto"/>
              <w:bottom w:val="single" w:sz="4" w:space="0" w:color="auto"/>
            </w:tcBorders>
          </w:tcPr>
          <w:p w14:paraId="34AEA1F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0.119</w:t>
            </w:r>
          </w:p>
          <w:p w14:paraId="2A8765A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0.165</w:t>
            </w:r>
          </w:p>
        </w:tc>
        <w:tc>
          <w:tcPr>
            <w:tcW w:w="1786" w:type="dxa"/>
            <w:tcBorders>
              <w:top w:val="single" w:sz="4" w:space="0" w:color="auto"/>
              <w:bottom w:val="single" w:sz="4" w:space="0" w:color="auto"/>
            </w:tcBorders>
          </w:tcPr>
          <w:p w14:paraId="2752AB7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0.014</w:t>
            </w:r>
          </w:p>
          <w:p w14:paraId="298946EE"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0.019</w:t>
            </w:r>
          </w:p>
        </w:tc>
        <w:tc>
          <w:tcPr>
            <w:tcW w:w="1786" w:type="dxa"/>
            <w:tcBorders>
              <w:top w:val="single" w:sz="4" w:space="0" w:color="auto"/>
              <w:bottom w:val="single" w:sz="4" w:space="0" w:color="auto"/>
            </w:tcBorders>
          </w:tcPr>
          <w:p w14:paraId="1272E99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0.022</w:t>
            </w:r>
          </w:p>
          <w:p w14:paraId="5D78D4A5"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0.030</w:t>
            </w:r>
          </w:p>
        </w:tc>
        <w:tc>
          <w:tcPr>
            <w:tcW w:w="1964" w:type="dxa"/>
            <w:tcBorders>
              <w:top w:val="single" w:sz="4" w:space="0" w:color="auto"/>
              <w:bottom w:val="single" w:sz="4" w:space="0" w:color="auto"/>
            </w:tcBorders>
          </w:tcPr>
          <w:p w14:paraId="7F82A90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0.006</w:t>
            </w:r>
          </w:p>
          <w:p w14:paraId="529AC795"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0.008</w:t>
            </w:r>
          </w:p>
        </w:tc>
      </w:tr>
      <w:tr w:rsidR="00D11BEF" w:rsidRPr="00D11BEF" w14:paraId="0B8809C9" w14:textId="77777777" w:rsidTr="006122F0">
        <w:trPr>
          <w:trHeight w:val="405"/>
        </w:trPr>
        <w:tc>
          <w:tcPr>
            <w:tcW w:w="2596" w:type="dxa"/>
            <w:tcBorders>
              <w:top w:val="single" w:sz="4" w:space="0" w:color="auto"/>
              <w:bottom w:val="single" w:sz="4" w:space="0" w:color="auto"/>
            </w:tcBorders>
          </w:tcPr>
          <w:p w14:paraId="4AB6812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 LL</w:t>
            </w:r>
          </w:p>
          <w:p w14:paraId="56852FD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Chi-square</w:t>
            </w:r>
          </w:p>
        </w:tc>
        <w:tc>
          <w:tcPr>
            <w:tcW w:w="1764" w:type="dxa"/>
            <w:tcBorders>
              <w:top w:val="single" w:sz="4" w:space="0" w:color="auto"/>
              <w:bottom w:val="single" w:sz="4" w:space="0" w:color="auto"/>
            </w:tcBorders>
          </w:tcPr>
          <w:p w14:paraId="4E8975A4"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0A72FE4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top w:val="single" w:sz="4" w:space="0" w:color="auto"/>
              <w:bottom w:val="single" w:sz="4" w:space="0" w:color="auto"/>
            </w:tcBorders>
          </w:tcPr>
          <w:p w14:paraId="7892B51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1344.5</w:t>
            </w:r>
          </w:p>
          <w:p w14:paraId="2F3B6EB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24.3*** [df1]</w:t>
            </w:r>
          </w:p>
        </w:tc>
        <w:tc>
          <w:tcPr>
            <w:tcW w:w="1832" w:type="dxa"/>
            <w:tcBorders>
              <w:top w:val="single" w:sz="4" w:space="0" w:color="auto"/>
              <w:bottom w:val="single" w:sz="4" w:space="0" w:color="auto"/>
            </w:tcBorders>
          </w:tcPr>
          <w:p w14:paraId="1612E6C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1232.6</w:t>
            </w:r>
          </w:p>
          <w:p w14:paraId="6E2B3B2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136.2*** [df1]</w:t>
            </w:r>
          </w:p>
        </w:tc>
        <w:tc>
          <w:tcPr>
            <w:tcW w:w="1786" w:type="dxa"/>
            <w:tcBorders>
              <w:top w:val="single" w:sz="4" w:space="0" w:color="auto"/>
              <w:bottom w:val="single" w:sz="4" w:space="0" w:color="auto"/>
            </w:tcBorders>
          </w:tcPr>
          <w:p w14:paraId="0B89141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1353.7</w:t>
            </w:r>
          </w:p>
          <w:p w14:paraId="24D5B1B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15.1*** [df1]</w:t>
            </w:r>
          </w:p>
        </w:tc>
        <w:tc>
          <w:tcPr>
            <w:tcW w:w="1786" w:type="dxa"/>
            <w:tcBorders>
              <w:top w:val="single" w:sz="4" w:space="0" w:color="auto"/>
              <w:bottom w:val="single" w:sz="4" w:space="0" w:color="auto"/>
            </w:tcBorders>
          </w:tcPr>
          <w:p w14:paraId="350FAC1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1345.1.0</w:t>
            </w:r>
          </w:p>
          <w:p w14:paraId="354AF7A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23.7 [df1]***</w:t>
            </w:r>
          </w:p>
        </w:tc>
        <w:tc>
          <w:tcPr>
            <w:tcW w:w="1964" w:type="dxa"/>
            <w:tcBorders>
              <w:top w:val="single" w:sz="4" w:space="0" w:color="auto"/>
              <w:bottom w:val="single" w:sz="4" w:space="0" w:color="auto"/>
            </w:tcBorders>
          </w:tcPr>
          <w:p w14:paraId="180BAC1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1362.4</w:t>
            </w:r>
          </w:p>
          <w:p w14:paraId="12D4DF5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6.5 [df1]*</w:t>
            </w:r>
          </w:p>
        </w:tc>
      </w:tr>
    </w:tbl>
    <w:p w14:paraId="637E8EFA" w14:textId="77777777" w:rsidR="00763930" w:rsidRDefault="00D11BEF" w:rsidP="00D11BEF">
      <w:pPr>
        <w:rPr>
          <w:rFonts w:cs="Times New Roman"/>
          <w:sz w:val="20"/>
          <w:szCs w:val="20"/>
        </w:rPr>
      </w:pPr>
      <w:r w:rsidRPr="00D11BEF">
        <w:rPr>
          <w:rFonts w:cs="Times New Roman"/>
          <w:sz w:val="20"/>
          <w:szCs w:val="20"/>
        </w:rPr>
        <w:t>* p &lt; .05, ** p &lt; .01, *** p &lt; .001</w:t>
      </w:r>
    </w:p>
    <w:p w14:paraId="2249BBFA" w14:textId="425C11C5" w:rsidR="00D11BEF" w:rsidRPr="00D11BEF" w:rsidRDefault="00C377AA" w:rsidP="00D11BEF">
      <w:pPr>
        <w:rPr>
          <w:rFonts w:cs="Times New Roman"/>
          <w:sz w:val="20"/>
          <w:szCs w:val="20"/>
        </w:rPr>
      </w:pPr>
      <w:r w:rsidRPr="00C377AA">
        <w:rPr>
          <w:rFonts w:cs="Times New Roman"/>
          <w:b/>
          <w:bCs/>
          <w:sz w:val="20"/>
          <w:szCs w:val="20"/>
        </w:rPr>
        <w:t xml:space="preserve">Tabel </w:t>
      </w:r>
      <w:r w:rsidR="004C0D07">
        <w:rPr>
          <w:rFonts w:cs="Times New Roman"/>
          <w:b/>
          <w:bCs/>
          <w:sz w:val="20"/>
          <w:szCs w:val="20"/>
        </w:rPr>
        <w:t>VIII</w:t>
      </w:r>
      <w:r w:rsidRPr="00C377AA">
        <w:rPr>
          <w:rFonts w:cs="Times New Roman"/>
          <w:b/>
          <w:bCs/>
          <w:sz w:val="20"/>
          <w:szCs w:val="20"/>
        </w:rPr>
        <w:t>: logistische regressie met wel/geen aandacht voor iedere variabele afzonderlijk met controlevariabelen</w:t>
      </w:r>
    </w:p>
    <w:tbl>
      <w:tblPr>
        <w:tblStyle w:val="Tabelraster"/>
        <w:tblW w:w="135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1764"/>
        <w:gridCol w:w="1786"/>
        <w:gridCol w:w="1832"/>
        <w:gridCol w:w="1786"/>
        <w:gridCol w:w="1786"/>
        <w:gridCol w:w="1964"/>
      </w:tblGrid>
      <w:tr w:rsidR="00D11BEF" w:rsidRPr="00D11BEF" w14:paraId="79BCC90F" w14:textId="77777777" w:rsidTr="006122F0">
        <w:trPr>
          <w:trHeight w:val="677"/>
        </w:trPr>
        <w:tc>
          <w:tcPr>
            <w:tcW w:w="2596" w:type="dxa"/>
            <w:tcBorders>
              <w:top w:val="single" w:sz="4" w:space="0" w:color="auto"/>
              <w:bottom w:val="single" w:sz="4" w:space="0" w:color="auto"/>
            </w:tcBorders>
          </w:tcPr>
          <w:p w14:paraId="01BD3B51" w14:textId="77777777" w:rsidR="00D11BEF" w:rsidRPr="00D11BEF" w:rsidRDefault="00D11BEF" w:rsidP="00D11BEF">
            <w:pPr>
              <w:spacing w:line="276" w:lineRule="auto"/>
              <w:jc w:val="left"/>
              <w:rPr>
                <w:rFonts w:eastAsia="Times New Roman" w:cs="Times New Roman"/>
                <w:sz w:val="20"/>
                <w:szCs w:val="20"/>
                <w:lang w:eastAsia="en-GB"/>
              </w:rPr>
            </w:pPr>
            <w:bookmarkStart w:id="7" w:name="_Hlk124794080"/>
            <w:bookmarkStart w:id="8" w:name="_Hlk124862554"/>
          </w:p>
        </w:tc>
        <w:tc>
          <w:tcPr>
            <w:tcW w:w="1764" w:type="dxa"/>
            <w:tcBorders>
              <w:top w:val="single" w:sz="4" w:space="0" w:color="auto"/>
              <w:bottom w:val="single" w:sz="4" w:space="0" w:color="auto"/>
            </w:tcBorders>
          </w:tcPr>
          <w:p w14:paraId="53994F91"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0</w:t>
            </w:r>
          </w:p>
          <w:p w14:paraId="3B8E4FE9"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5D9C6D24"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1</w:t>
            </w:r>
          </w:p>
          <w:p w14:paraId="5513F39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32" w:type="dxa"/>
            <w:tcBorders>
              <w:top w:val="single" w:sz="4" w:space="0" w:color="auto"/>
              <w:bottom w:val="single" w:sz="4" w:space="0" w:color="auto"/>
            </w:tcBorders>
          </w:tcPr>
          <w:p w14:paraId="7973D452"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2</w:t>
            </w:r>
          </w:p>
          <w:p w14:paraId="6BA5350A"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3BF0A629"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3</w:t>
            </w:r>
          </w:p>
          <w:p w14:paraId="1A235188"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786" w:type="dxa"/>
            <w:tcBorders>
              <w:top w:val="single" w:sz="4" w:space="0" w:color="auto"/>
              <w:bottom w:val="single" w:sz="4" w:space="0" w:color="auto"/>
            </w:tcBorders>
          </w:tcPr>
          <w:p w14:paraId="57FB91B1"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4</w:t>
            </w:r>
          </w:p>
          <w:p w14:paraId="6911117C"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964" w:type="dxa"/>
            <w:tcBorders>
              <w:top w:val="single" w:sz="4" w:space="0" w:color="auto"/>
              <w:bottom w:val="single" w:sz="4" w:space="0" w:color="auto"/>
            </w:tcBorders>
          </w:tcPr>
          <w:p w14:paraId="4ED8A840"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5</w:t>
            </w:r>
          </w:p>
          <w:p w14:paraId="68BB6FCC"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r>
      <w:tr w:rsidR="00D11BEF" w:rsidRPr="00D11BEF" w14:paraId="4ACC8E7F" w14:textId="77777777" w:rsidTr="006122F0">
        <w:trPr>
          <w:trHeight w:val="677"/>
        </w:trPr>
        <w:tc>
          <w:tcPr>
            <w:tcW w:w="2596" w:type="dxa"/>
            <w:tcBorders>
              <w:top w:val="single" w:sz="4" w:space="0" w:color="auto"/>
            </w:tcBorders>
          </w:tcPr>
          <w:p w14:paraId="5A7A507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Intercept</w:t>
            </w:r>
          </w:p>
        </w:tc>
        <w:tc>
          <w:tcPr>
            <w:tcW w:w="1764" w:type="dxa"/>
            <w:tcBorders>
              <w:top w:val="single" w:sz="4" w:space="0" w:color="auto"/>
            </w:tcBorders>
          </w:tcPr>
          <w:p w14:paraId="216EB7F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-0.696***</w:t>
            </w:r>
          </w:p>
          <w:p w14:paraId="2F94F99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(0.065)</w:t>
            </w:r>
          </w:p>
        </w:tc>
        <w:tc>
          <w:tcPr>
            <w:tcW w:w="1786" w:type="dxa"/>
            <w:tcBorders>
              <w:top w:val="single" w:sz="4" w:space="0" w:color="auto"/>
            </w:tcBorders>
          </w:tcPr>
          <w:p w14:paraId="0137F4C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0.037</w:t>
            </w:r>
          </w:p>
          <w:p w14:paraId="5AB6C88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(0.241)</w:t>
            </w:r>
          </w:p>
        </w:tc>
        <w:tc>
          <w:tcPr>
            <w:tcW w:w="1832" w:type="dxa"/>
            <w:tcBorders>
              <w:top w:val="single" w:sz="4" w:space="0" w:color="auto"/>
            </w:tcBorders>
          </w:tcPr>
          <w:p w14:paraId="31384A3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-4.299***</w:t>
            </w:r>
          </w:p>
          <w:p w14:paraId="5783535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(0.498)</w:t>
            </w:r>
          </w:p>
        </w:tc>
        <w:tc>
          <w:tcPr>
            <w:tcW w:w="1786" w:type="dxa"/>
            <w:tcBorders>
              <w:top w:val="single" w:sz="4" w:space="0" w:color="auto"/>
            </w:tcBorders>
          </w:tcPr>
          <w:p w14:paraId="64209E5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-0.505*</w:t>
            </w:r>
          </w:p>
          <w:p w14:paraId="5266A3B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(0.195)</w:t>
            </w:r>
          </w:p>
        </w:tc>
        <w:tc>
          <w:tcPr>
            <w:tcW w:w="1786" w:type="dxa"/>
            <w:tcBorders>
              <w:top w:val="single" w:sz="4" w:space="0" w:color="auto"/>
            </w:tcBorders>
          </w:tcPr>
          <w:p w14:paraId="46A30A2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-1.091***</w:t>
            </w:r>
          </w:p>
          <w:p w14:paraId="77C96B3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(0.138)</w:t>
            </w:r>
          </w:p>
        </w:tc>
        <w:tc>
          <w:tcPr>
            <w:tcW w:w="1964" w:type="dxa"/>
            <w:tcBorders>
              <w:top w:val="single" w:sz="4" w:space="0" w:color="auto"/>
            </w:tcBorders>
          </w:tcPr>
          <w:p w14:paraId="0523BA5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-2.052***</w:t>
            </w:r>
          </w:p>
          <w:p w14:paraId="46AF368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(0.471)</w:t>
            </w:r>
          </w:p>
        </w:tc>
      </w:tr>
      <w:tr w:rsidR="00D11BEF" w:rsidRPr="00D11BEF" w14:paraId="7A103C88" w14:textId="77777777" w:rsidTr="006122F0">
        <w:trPr>
          <w:trHeight w:val="442"/>
        </w:trPr>
        <w:tc>
          <w:tcPr>
            <w:tcW w:w="2596" w:type="dxa"/>
          </w:tcPr>
          <w:p w14:paraId="24837EB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Ontvangst EU-gelden (log)</w:t>
            </w:r>
          </w:p>
        </w:tc>
        <w:tc>
          <w:tcPr>
            <w:tcW w:w="1764" w:type="dxa"/>
          </w:tcPr>
          <w:p w14:paraId="63A137DA" w14:textId="77777777" w:rsidR="00D11BEF" w:rsidRPr="00D11BEF" w:rsidRDefault="00D11BEF" w:rsidP="00D11BEF">
            <w:pPr>
              <w:spacing w:line="276" w:lineRule="auto"/>
              <w:jc w:val="left"/>
              <w:rPr>
                <w:rFonts w:eastAsia="Times New Roman" w:cs="Times New Roman"/>
                <w:sz w:val="20"/>
                <w:szCs w:val="20"/>
                <w:lang w:eastAsia="en-GB"/>
              </w:rPr>
            </w:pPr>
          </w:p>
          <w:p w14:paraId="3AE88C53"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065C15B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0.321***</w:t>
            </w:r>
          </w:p>
          <w:p w14:paraId="15BA8F0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(0.065)</w:t>
            </w:r>
          </w:p>
        </w:tc>
        <w:tc>
          <w:tcPr>
            <w:tcW w:w="1832" w:type="dxa"/>
          </w:tcPr>
          <w:p w14:paraId="310D250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0526D8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541F5F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5E86F274"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613E2CBD" w14:textId="77777777" w:rsidTr="006122F0">
        <w:trPr>
          <w:trHeight w:val="455"/>
        </w:trPr>
        <w:tc>
          <w:tcPr>
            <w:tcW w:w="2596" w:type="dxa"/>
          </w:tcPr>
          <w:p w14:paraId="5BEF18E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Inwoneraantal (log)</w:t>
            </w:r>
          </w:p>
        </w:tc>
        <w:tc>
          <w:tcPr>
            <w:tcW w:w="1764" w:type="dxa"/>
          </w:tcPr>
          <w:p w14:paraId="7E9C2F1C"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48C83E68"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450EF1B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695C2D2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0.934***</w:t>
            </w:r>
          </w:p>
          <w:p w14:paraId="103D476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(0.101)</w:t>
            </w:r>
          </w:p>
        </w:tc>
        <w:tc>
          <w:tcPr>
            <w:tcW w:w="1786" w:type="dxa"/>
          </w:tcPr>
          <w:p w14:paraId="19E8F52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19120F5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64E28611"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70187967" w14:textId="77777777" w:rsidTr="006122F0">
        <w:trPr>
          <w:trHeight w:val="455"/>
        </w:trPr>
        <w:tc>
          <w:tcPr>
            <w:tcW w:w="2596" w:type="dxa"/>
          </w:tcPr>
          <w:p w14:paraId="2947447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Solvabiliteitsratio</w:t>
            </w:r>
          </w:p>
        </w:tc>
        <w:tc>
          <w:tcPr>
            <w:tcW w:w="1764" w:type="dxa"/>
          </w:tcPr>
          <w:p w14:paraId="2E19B7EF"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Pr>
          <w:p w14:paraId="2BB2229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6BE5E1B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D11ABD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-1.283**</w:t>
            </w:r>
          </w:p>
          <w:p w14:paraId="59F9EF9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(0.392)</w:t>
            </w:r>
          </w:p>
        </w:tc>
        <w:tc>
          <w:tcPr>
            <w:tcW w:w="1786" w:type="dxa"/>
          </w:tcPr>
          <w:p w14:paraId="6469F66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501FD418"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1BDB8B00" w14:textId="77777777" w:rsidTr="006122F0">
        <w:trPr>
          <w:trHeight w:val="442"/>
        </w:trPr>
        <w:tc>
          <w:tcPr>
            <w:tcW w:w="2596" w:type="dxa"/>
          </w:tcPr>
          <w:p w14:paraId="75F658B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Grensgemeenten</w:t>
            </w:r>
          </w:p>
        </w:tc>
        <w:tc>
          <w:tcPr>
            <w:tcW w:w="1764" w:type="dxa"/>
          </w:tcPr>
          <w:p w14:paraId="06B5EE00"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C782C2D"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79437A55"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CB913B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336A25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0.702***</w:t>
            </w:r>
          </w:p>
          <w:p w14:paraId="71FF6A7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(0.170)</w:t>
            </w:r>
          </w:p>
        </w:tc>
        <w:tc>
          <w:tcPr>
            <w:tcW w:w="1964" w:type="dxa"/>
          </w:tcPr>
          <w:p w14:paraId="6EA3C578"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39D73195" w14:textId="77777777" w:rsidTr="006122F0">
        <w:trPr>
          <w:trHeight w:val="677"/>
        </w:trPr>
        <w:tc>
          <w:tcPr>
            <w:tcW w:w="2596" w:type="dxa"/>
          </w:tcPr>
          <w:p w14:paraId="507042F6" w14:textId="5166027C" w:rsidR="00D11BEF" w:rsidRPr="00D11BEF" w:rsidRDefault="00476F21" w:rsidP="00D11BEF">
            <w:pPr>
              <w:spacing w:line="276" w:lineRule="auto"/>
              <w:jc w:val="left"/>
              <w:rPr>
                <w:rFonts w:eastAsia="Times New Roman" w:cs="Times New Roman"/>
                <w:color w:val="000000"/>
                <w:sz w:val="20"/>
                <w:szCs w:val="20"/>
                <w:lang w:eastAsia="en-GB"/>
              </w:rPr>
            </w:pPr>
            <w:r>
              <w:rPr>
                <w:rFonts w:eastAsia="Times New Roman" w:cs="Times New Roman"/>
                <w:color w:val="000000"/>
                <w:sz w:val="20"/>
                <w:szCs w:val="20"/>
                <w:lang w:eastAsia="en-GB"/>
              </w:rPr>
              <w:t>Opstelling</w:t>
            </w:r>
            <w:r w:rsidR="00D11BEF" w:rsidRPr="00D11BEF">
              <w:rPr>
                <w:rFonts w:eastAsia="Times New Roman" w:cs="Times New Roman"/>
                <w:color w:val="000000"/>
                <w:sz w:val="20"/>
                <w:szCs w:val="20"/>
                <w:lang w:eastAsia="en-GB"/>
              </w:rPr>
              <w:t xml:space="preserve"> gemeentebestuur</w:t>
            </w:r>
          </w:p>
        </w:tc>
        <w:tc>
          <w:tcPr>
            <w:tcW w:w="1764" w:type="dxa"/>
          </w:tcPr>
          <w:p w14:paraId="7DC5A78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2B9409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37F074A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1EB88F5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9603142"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6A4E885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0.452*</w:t>
            </w:r>
          </w:p>
          <w:p w14:paraId="61D169D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(0.189)</w:t>
            </w:r>
          </w:p>
        </w:tc>
      </w:tr>
      <w:tr w:rsidR="00D11BEF" w:rsidRPr="00D11BEF" w14:paraId="4A18246E" w14:textId="77777777" w:rsidTr="006122F0">
        <w:trPr>
          <w:trHeight w:val="442"/>
        </w:trPr>
        <w:tc>
          <w:tcPr>
            <w:tcW w:w="2596" w:type="dxa"/>
          </w:tcPr>
          <w:p w14:paraId="0F95E2FF" w14:textId="77777777" w:rsidR="00D11BEF" w:rsidRPr="00D11BEF" w:rsidRDefault="00D11BEF" w:rsidP="00D11BEF">
            <w:pPr>
              <w:spacing w:line="276" w:lineRule="auto"/>
              <w:jc w:val="left"/>
              <w:rPr>
                <w:rFonts w:eastAsia="Times New Roman" w:cs="Times New Roman"/>
                <w:i/>
                <w:iCs/>
                <w:color w:val="000000"/>
                <w:sz w:val="20"/>
                <w:szCs w:val="20"/>
                <w:lang w:eastAsia="en-GB"/>
              </w:rPr>
            </w:pPr>
            <w:r w:rsidRPr="00D11BEF">
              <w:rPr>
                <w:rFonts w:eastAsia="Times New Roman" w:cs="Times New Roman"/>
                <w:i/>
                <w:iCs/>
                <w:color w:val="000000"/>
                <w:sz w:val="20"/>
                <w:szCs w:val="20"/>
                <w:lang w:eastAsia="en-GB"/>
              </w:rPr>
              <w:t>Controle</w:t>
            </w:r>
          </w:p>
        </w:tc>
        <w:tc>
          <w:tcPr>
            <w:tcW w:w="1764" w:type="dxa"/>
          </w:tcPr>
          <w:p w14:paraId="0431F727"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BE35495"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2" w:type="dxa"/>
          </w:tcPr>
          <w:p w14:paraId="2B30A18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03B2C51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7C3FCA8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964" w:type="dxa"/>
          </w:tcPr>
          <w:p w14:paraId="3649D90A"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00331DD2" w14:textId="77777777" w:rsidTr="006122F0">
        <w:trPr>
          <w:trHeight w:val="455"/>
        </w:trPr>
        <w:tc>
          <w:tcPr>
            <w:tcW w:w="2596" w:type="dxa"/>
          </w:tcPr>
          <w:p w14:paraId="1B3A7AF6" w14:textId="77777777" w:rsidR="00D11BEF" w:rsidRPr="00D11BEF" w:rsidRDefault="00D11BEF" w:rsidP="00D11BEF">
            <w:pPr>
              <w:spacing w:line="276" w:lineRule="auto"/>
              <w:jc w:val="left"/>
              <w:rPr>
                <w:rFonts w:eastAsia="Times New Roman" w:cs="Times New Roman"/>
                <w:color w:val="000000"/>
                <w:sz w:val="20"/>
                <w:szCs w:val="20"/>
                <w:lang w:eastAsia="en-GB"/>
              </w:rPr>
            </w:pPr>
            <w:bookmarkStart w:id="9" w:name="_Hlk124777748"/>
            <w:r w:rsidRPr="00D11BEF">
              <w:rPr>
                <w:rFonts w:eastAsia="Times New Roman" w:cs="Times New Roman"/>
                <w:color w:val="000000"/>
                <w:sz w:val="20"/>
                <w:szCs w:val="20"/>
                <w:lang w:eastAsia="en-GB"/>
              </w:rPr>
              <w:t>2022</w:t>
            </w:r>
          </w:p>
        </w:tc>
        <w:tc>
          <w:tcPr>
            <w:tcW w:w="1764" w:type="dxa"/>
          </w:tcPr>
          <w:p w14:paraId="2D8BF18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CBDB0C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32" w:type="dxa"/>
          </w:tcPr>
          <w:p w14:paraId="4434330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786" w:type="dxa"/>
          </w:tcPr>
          <w:p w14:paraId="2196D1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786" w:type="dxa"/>
          </w:tcPr>
          <w:p w14:paraId="31F52D3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964" w:type="dxa"/>
          </w:tcPr>
          <w:p w14:paraId="25D53A8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6613810E" w14:textId="77777777" w:rsidTr="006122F0">
        <w:trPr>
          <w:trHeight w:val="442"/>
        </w:trPr>
        <w:tc>
          <w:tcPr>
            <w:tcW w:w="2596" w:type="dxa"/>
          </w:tcPr>
          <w:p w14:paraId="440BAD6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2018</w:t>
            </w:r>
          </w:p>
        </w:tc>
        <w:tc>
          <w:tcPr>
            <w:tcW w:w="1764" w:type="dxa"/>
          </w:tcPr>
          <w:p w14:paraId="0F08E18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62C1B3D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-0.260</w:t>
            </w:r>
          </w:p>
          <w:p w14:paraId="3C1E16B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(0.172)</w:t>
            </w:r>
          </w:p>
        </w:tc>
        <w:tc>
          <w:tcPr>
            <w:tcW w:w="1832" w:type="dxa"/>
          </w:tcPr>
          <w:p w14:paraId="695AB78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-0.155</w:t>
            </w:r>
          </w:p>
          <w:p w14:paraId="5840C88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(0.176)</w:t>
            </w:r>
          </w:p>
        </w:tc>
        <w:tc>
          <w:tcPr>
            <w:tcW w:w="1786" w:type="dxa"/>
          </w:tcPr>
          <w:p w14:paraId="485AE71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-0.219</w:t>
            </w:r>
          </w:p>
          <w:p w14:paraId="6260790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(0.169)</w:t>
            </w:r>
          </w:p>
        </w:tc>
        <w:tc>
          <w:tcPr>
            <w:tcW w:w="1786" w:type="dxa"/>
          </w:tcPr>
          <w:p w14:paraId="2A10F92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-0.195</w:t>
            </w:r>
          </w:p>
          <w:p w14:paraId="6833630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(0.169)</w:t>
            </w:r>
          </w:p>
        </w:tc>
        <w:tc>
          <w:tcPr>
            <w:tcW w:w="1964" w:type="dxa"/>
          </w:tcPr>
          <w:p w14:paraId="166AC1D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-0.223</w:t>
            </w:r>
          </w:p>
          <w:p w14:paraId="1899F9D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(0.169)</w:t>
            </w:r>
          </w:p>
        </w:tc>
      </w:tr>
      <w:tr w:rsidR="00D11BEF" w:rsidRPr="00D11BEF" w14:paraId="698C4C8A" w14:textId="77777777" w:rsidTr="006122F0">
        <w:trPr>
          <w:trHeight w:val="455"/>
        </w:trPr>
        <w:tc>
          <w:tcPr>
            <w:tcW w:w="2596" w:type="dxa"/>
          </w:tcPr>
          <w:p w14:paraId="154AD3E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2014</w:t>
            </w:r>
          </w:p>
        </w:tc>
        <w:tc>
          <w:tcPr>
            <w:tcW w:w="1764" w:type="dxa"/>
          </w:tcPr>
          <w:p w14:paraId="72AFE1EA"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607AB32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5E380E2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-0.230</w:t>
            </w:r>
          </w:p>
          <w:p w14:paraId="2782C07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(0.187)</w:t>
            </w:r>
          </w:p>
        </w:tc>
        <w:tc>
          <w:tcPr>
            <w:tcW w:w="1832" w:type="dxa"/>
          </w:tcPr>
          <w:p w14:paraId="5E1F2D3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0.170</w:t>
            </w:r>
          </w:p>
          <w:p w14:paraId="6D174EF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(0.182)</w:t>
            </w:r>
          </w:p>
        </w:tc>
        <w:tc>
          <w:tcPr>
            <w:tcW w:w="1786" w:type="dxa"/>
          </w:tcPr>
          <w:p w14:paraId="323DDA8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0.081</w:t>
            </w:r>
          </w:p>
          <w:p w14:paraId="09F499A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(0.175)</w:t>
            </w:r>
          </w:p>
        </w:tc>
        <w:tc>
          <w:tcPr>
            <w:tcW w:w="1786" w:type="dxa"/>
          </w:tcPr>
          <w:p w14:paraId="07B748C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0.117</w:t>
            </w:r>
          </w:p>
          <w:p w14:paraId="1D6FBB1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(0.175)</w:t>
            </w:r>
          </w:p>
        </w:tc>
        <w:tc>
          <w:tcPr>
            <w:tcW w:w="1964" w:type="dxa"/>
          </w:tcPr>
          <w:p w14:paraId="6269D93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0.101</w:t>
            </w:r>
          </w:p>
          <w:p w14:paraId="11BF0E1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(0.174)</w:t>
            </w:r>
          </w:p>
        </w:tc>
      </w:tr>
      <w:tr w:rsidR="00D11BEF" w:rsidRPr="00D11BEF" w14:paraId="72B14A5F" w14:textId="77777777" w:rsidTr="006122F0">
        <w:trPr>
          <w:trHeight w:val="442"/>
        </w:trPr>
        <w:tc>
          <w:tcPr>
            <w:tcW w:w="2596" w:type="dxa"/>
          </w:tcPr>
          <w:p w14:paraId="46612F3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Geen aandacht</w:t>
            </w:r>
          </w:p>
        </w:tc>
        <w:tc>
          <w:tcPr>
            <w:tcW w:w="1764" w:type="dxa"/>
          </w:tcPr>
          <w:p w14:paraId="195D05B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Pr>
          <w:p w14:paraId="20B1ABF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32" w:type="dxa"/>
          </w:tcPr>
          <w:p w14:paraId="5B1F75E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786" w:type="dxa"/>
          </w:tcPr>
          <w:p w14:paraId="60FA0D5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786" w:type="dxa"/>
          </w:tcPr>
          <w:p w14:paraId="73DE527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964" w:type="dxa"/>
          </w:tcPr>
          <w:p w14:paraId="330F72B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15F40BB7" w14:textId="77777777" w:rsidTr="006122F0">
        <w:trPr>
          <w:trHeight w:val="455"/>
        </w:trPr>
        <w:tc>
          <w:tcPr>
            <w:tcW w:w="2596" w:type="dxa"/>
            <w:tcBorders>
              <w:bottom w:val="single" w:sz="4" w:space="0" w:color="auto"/>
            </w:tcBorders>
          </w:tcPr>
          <w:p w14:paraId="167F019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Wel aandacht </w:t>
            </w:r>
          </w:p>
        </w:tc>
        <w:tc>
          <w:tcPr>
            <w:tcW w:w="1764" w:type="dxa"/>
            <w:tcBorders>
              <w:bottom w:val="single" w:sz="4" w:space="0" w:color="auto"/>
            </w:tcBorders>
          </w:tcPr>
          <w:p w14:paraId="216BF69D"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bottom w:val="single" w:sz="4" w:space="0" w:color="auto"/>
            </w:tcBorders>
          </w:tcPr>
          <w:p w14:paraId="45E09DD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1.212***</w:t>
            </w:r>
          </w:p>
          <w:p w14:paraId="5513C21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(0.177)</w:t>
            </w:r>
          </w:p>
        </w:tc>
        <w:tc>
          <w:tcPr>
            <w:tcW w:w="1832" w:type="dxa"/>
            <w:tcBorders>
              <w:bottom w:val="single" w:sz="4" w:space="0" w:color="auto"/>
            </w:tcBorders>
          </w:tcPr>
          <w:p w14:paraId="720960F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0.977***</w:t>
            </w:r>
          </w:p>
          <w:p w14:paraId="6CD9CC8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(0.184)</w:t>
            </w:r>
          </w:p>
        </w:tc>
        <w:tc>
          <w:tcPr>
            <w:tcW w:w="1786" w:type="dxa"/>
            <w:tcBorders>
              <w:bottom w:val="single" w:sz="4" w:space="0" w:color="auto"/>
            </w:tcBorders>
          </w:tcPr>
          <w:p w14:paraId="7A8941E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1.256***</w:t>
            </w:r>
          </w:p>
          <w:p w14:paraId="7EB2C89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(0.174)</w:t>
            </w:r>
          </w:p>
        </w:tc>
        <w:tc>
          <w:tcPr>
            <w:tcW w:w="1786" w:type="dxa"/>
            <w:tcBorders>
              <w:bottom w:val="single" w:sz="4" w:space="0" w:color="auto"/>
            </w:tcBorders>
          </w:tcPr>
          <w:p w14:paraId="2BC5F1D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1.246***</w:t>
            </w:r>
          </w:p>
          <w:p w14:paraId="63DBACB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(0.175)</w:t>
            </w:r>
          </w:p>
        </w:tc>
        <w:tc>
          <w:tcPr>
            <w:tcW w:w="1964" w:type="dxa"/>
            <w:tcBorders>
              <w:bottom w:val="single" w:sz="4" w:space="0" w:color="auto"/>
            </w:tcBorders>
          </w:tcPr>
          <w:p w14:paraId="7D7E63C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1.293***</w:t>
            </w:r>
          </w:p>
          <w:p w14:paraId="74C71EC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(0.174)</w:t>
            </w:r>
          </w:p>
        </w:tc>
      </w:tr>
      <w:bookmarkEnd w:id="9"/>
      <w:tr w:rsidR="00D11BEF" w:rsidRPr="00D11BEF" w14:paraId="37B19780" w14:textId="77777777" w:rsidTr="006122F0">
        <w:trPr>
          <w:trHeight w:val="405"/>
        </w:trPr>
        <w:tc>
          <w:tcPr>
            <w:tcW w:w="2596" w:type="dxa"/>
            <w:tcBorders>
              <w:top w:val="single" w:sz="4" w:space="0" w:color="auto"/>
              <w:bottom w:val="single" w:sz="4" w:space="0" w:color="auto"/>
            </w:tcBorders>
          </w:tcPr>
          <w:p w14:paraId="4E721C1C" w14:textId="64FA1355"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Cox &amp; Snell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p w14:paraId="0AAD3398" w14:textId="2A142B71"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Nagelkerke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tc>
        <w:tc>
          <w:tcPr>
            <w:tcW w:w="1764" w:type="dxa"/>
            <w:tcBorders>
              <w:top w:val="single" w:sz="4" w:space="0" w:color="auto"/>
              <w:bottom w:val="single" w:sz="4" w:space="0" w:color="auto"/>
            </w:tcBorders>
          </w:tcPr>
          <w:p w14:paraId="31A10465" w14:textId="77777777" w:rsidR="00D11BEF" w:rsidRPr="00D11BEF" w:rsidRDefault="00D11BEF" w:rsidP="00D11BEF">
            <w:pPr>
              <w:spacing w:line="276" w:lineRule="auto"/>
              <w:jc w:val="left"/>
              <w:rPr>
                <w:rFonts w:eastAsia="Times New Roman" w:cs="Times New Roman"/>
                <w:sz w:val="20"/>
                <w:szCs w:val="20"/>
                <w:lang w:eastAsia="en-GB"/>
              </w:rPr>
            </w:pPr>
          </w:p>
        </w:tc>
        <w:tc>
          <w:tcPr>
            <w:tcW w:w="1786" w:type="dxa"/>
            <w:tcBorders>
              <w:top w:val="single" w:sz="4" w:space="0" w:color="auto"/>
              <w:bottom w:val="single" w:sz="4" w:space="0" w:color="auto"/>
            </w:tcBorders>
          </w:tcPr>
          <w:p w14:paraId="093256A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0.080</w:t>
            </w:r>
          </w:p>
          <w:p w14:paraId="6B342FB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0.111</w:t>
            </w:r>
          </w:p>
        </w:tc>
        <w:tc>
          <w:tcPr>
            <w:tcW w:w="1832" w:type="dxa"/>
            <w:tcBorders>
              <w:top w:val="single" w:sz="4" w:space="0" w:color="auto"/>
              <w:bottom w:val="single" w:sz="4" w:space="0" w:color="auto"/>
            </w:tcBorders>
          </w:tcPr>
          <w:p w14:paraId="4C169B6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0.143</w:t>
            </w:r>
          </w:p>
          <w:p w14:paraId="1A53984E"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0.198</w:t>
            </w:r>
          </w:p>
        </w:tc>
        <w:tc>
          <w:tcPr>
            <w:tcW w:w="1786" w:type="dxa"/>
            <w:tcBorders>
              <w:top w:val="single" w:sz="4" w:space="0" w:color="auto"/>
              <w:bottom w:val="single" w:sz="4" w:space="0" w:color="auto"/>
            </w:tcBorders>
          </w:tcPr>
          <w:p w14:paraId="1406A76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0.066</w:t>
            </w:r>
          </w:p>
          <w:p w14:paraId="5E51D830"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0.092</w:t>
            </w:r>
          </w:p>
        </w:tc>
        <w:tc>
          <w:tcPr>
            <w:tcW w:w="1786" w:type="dxa"/>
            <w:tcBorders>
              <w:top w:val="single" w:sz="4" w:space="0" w:color="auto"/>
              <w:bottom w:val="single" w:sz="4" w:space="0" w:color="auto"/>
            </w:tcBorders>
          </w:tcPr>
          <w:p w14:paraId="04DF903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0.071</w:t>
            </w:r>
          </w:p>
          <w:p w14:paraId="0FAD5618"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0.099</w:t>
            </w:r>
          </w:p>
        </w:tc>
        <w:tc>
          <w:tcPr>
            <w:tcW w:w="1964" w:type="dxa"/>
            <w:tcBorders>
              <w:top w:val="single" w:sz="4" w:space="0" w:color="auto"/>
              <w:bottom w:val="single" w:sz="4" w:space="0" w:color="auto"/>
            </w:tcBorders>
          </w:tcPr>
          <w:p w14:paraId="07CC99B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0.062</w:t>
            </w:r>
          </w:p>
          <w:p w14:paraId="4F31771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0.086</w:t>
            </w:r>
          </w:p>
        </w:tc>
      </w:tr>
      <w:tr w:rsidR="00D11BEF" w:rsidRPr="00D11BEF" w14:paraId="63C4214F" w14:textId="77777777" w:rsidTr="006122F0">
        <w:trPr>
          <w:trHeight w:val="405"/>
        </w:trPr>
        <w:tc>
          <w:tcPr>
            <w:tcW w:w="2596" w:type="dxa"/>
            <w:tcBorders>
              <w:top w:val="single" w:sz="4" w:space="0" w:color="auto"/>
              <w:bottom w:val="single" w:sz="4" w:space="0" w:color="auto"/>
            </w:tcBorders>
          </w:tcPr>
          <w:p w14:paraId="330DD88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 LL</w:t>
            </w:r>
          </w:p>
          <w:p w14:paraId="353964E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Chi-square</w:t>
            </w:r>
          </w:p>
        </w:tc>
        <w:tc>
          <w:tcPr>
            <w:tcW w:w="1764" w:type="dxa"/>
            <w:tcBorders>
              <w:top w:val="single" w:sz="4" w:space="0" w:color="auto"/>
              <w:bottom w:val="single" w:sz="4" w:space="0" w:color="auto"/>
            </w:tcBorders>
          </w:tcPr>
          <w:p w14:paraId="75E0B6ED"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48D6871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786" w:type="dxa"/>
            <w:tcBorders>
              <w:top w:val="single" w:sz="4" w:space="0" w:color="auto"/>
              <w:bottom w:val="single" w:sz="4" w:space="0" w:color="auto"/>
            </w:tcBorders>
          </w:tcPr>
          <w:p w14:paraId="6909C49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1279.4</w:t>
            </w:r>
          </w:p>
          <w:p w14:paraId="36C7AE0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89.6*** [df4]</w:t>
            </w:r>
          </w:p>
        </w:tc>
        <w:tc>
          <w:tcPr>
            <w:tcW w:w="1832" w:type="dxa"/>
            <w:tcBorders>
              <w:top w:val="single" w:sz="4" w:space="0" w:color="auto"/>
              <w:bottom w:val="single" w:sz="4" w:space="0" w:color="auto"/>
            </w:tcBorders>
          </w:tcPr>
          <w:p w14:paraId="256BD58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1203.3</w:t>
            </w:r>
          </w:p>
          <w:p w14:paraId="34EA679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165.6*** [df4]</w:t>
            </w:r>
          </w:p>
        </w:tc>
        <w:tc>
          <w:tcPr>
            <w:tcW w:w="1786" w:type="dxa"/>
            <w:tcBorders>
              <w:top w:val="single" w:sz="4" w:space="0" w:color="auto"/>
              <w:bottom w:val="single" w:sz="4" w:space="0" w:color="auto"/>
            </w:tcBorders>
          </w:tcPr>
          <w:p w14:paraId="1F95E34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1294.8</w:t>
            </w:r>
          </w:p>
          <w:p w14:paraId="543BF9B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74.0*** [df4]</w:t>
            </w:r>
          </w:p>
        </w:tc>
        <w:tc>
          <w:tcPr>
            <w:tcW w:w="1786" w:type="dxa"/>
            <w:tcBorders>
              <w:top w:val="single" w:sz="4" w:space="0" w:color="auto"/>
              <w:bottom w:val="single" w:sz="4" w:space="0" w:color="auto"/>
            </w:tcBorders>
          </w:tcPr>
          <w:p w14:paraId="1BE70D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1289.0</w:t>
            </w:r>
          </w:p>
          <w:p w14:paraId="0A02F63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79.8 [df4]***</w:t>
            </w:r>
          </w:p>
        </w:tc>
        <w:tc>
          <w:tcPr>
            <w:tcW w:w="1964" w:type="dxa"/>
            <w:tcBorders>
              <w:top w:val="single" w:sz="4" w:space="0" w:color="auto"/>
              <w:bottom w:val="single" w:sz="4" w:space="0" w:color="auto"/>
            </w:tcBorders>
          </w:tcPr>
          <w:p w14:paraId="2EAD5BB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1300.0</w:t>
            </w:r>
          </w:p>
          <w:p w14:paraId="4BA3BE3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68.8 [df4]***</w:t>
            </w:r>
          </w:p>
        </w:tc>
      </w:tr>
    </w:tbl>
    <w:p w14:paraId="7F33E1F6" w14:textId="62F9A9D6" w:rsidR="003A7BC2" w:rsidRDefault="00D11BEF" w:rsidP="00C377AA">
      <w:pPr>
        <w:rPr>
          <w:rFonts w:cs="Times New Roman"/>
          <w:sz w:val="20"/>
          <w:szCs w:val="20"/>
        </w:rPr>
      </w:pPr>
      <w:r w:rsidRPr="00D11BEF">
        <w:rPr>
          <w:rFonts w:cs="Times New Roman"/>
          <w:sz w:val="20"/>
          <w:szCs w:val="20"/>
        </w:rPr>
        <w:t>* p &lt; .05, ** p &lt; .01, *** p &lt; .001</w:t>
      </w:r>
      <w:bookmarkEnd w:id="6"/>
      <w:bookmarkEnd w:id="7"/>
    </w:p>
    <w:p w14:paraId="53021059" w14:textId="28D18DD5" w:rsidR="003A7BC2" w:rsidRPr="00D11BEF" w:rsidRDefault="003A7BC2" w:rsidP="003A7BC2">
      <w:pPr>
        <w:jc w:val="left"/>
        <w:rPr>
          <w:rFonts w:cs="Times New Roman"/>
          <w:b/>
          <w:bCs/>
          <w:sz w:val="20"/>
          <w:szCs w:val="20"/>
        </w:rPr>
      </w:pPr>
      <w:r w:rsidRPr="003A7BC2">
        <w:rPr>
          <w:rFonts w:cs="Times New Roman"/>
          <w:b/>
          <w:bCs/>
          <w:sz w:val="20"/>
          <w:szCs w:val="20"/>
        </w:rPr>
        <w:t xml:space="preserve">Tabel </w:t>
      </w:r>
      <w:r w:rsidR="00097BFB">
        <w:rPr>
          <w:rFonts w:cs="Times New Roman"/>
          <w:b/>
          <w:bCs/>
          <w:sz w:val="20"/>
          <w:szCs w:val="20"/>
        </w:rPr>
        <w:t>IX</w:t>
      </w:r>
      <w:r w:rsidRPr="003A7BC2">
        <w:rPr>
          <w:rFonts w:cs="Times New Roman"/>
          <w:b/>
          <w:bCs/>
          <w:sz w:val="20"/>
          <w:szCs w:val="20"/>
        </w:rPr>
        <w:t xml:space="preserve">: </w:t>
      </w:r>
      <w:r w:rsidR="00F845BA">
        <w:rPr>
          <w:rFonts w:cs="Times New Roman"/>
          <w:b/>
          <w:bCs/>
          <w:sz w:val="20"/>
          <w:szCs w:val="20"/>
        </w:rPr>
        <w:t xml:space="preserve">opbouwende </w:t>
      </w:r>
      <w:r w:rsidR="005F51ED">
        <w:rPr>
          <w:rFonts w:cs="Times New Roman"/>
          <w:b/>
          <w:bCs/>
          <w:sz w:val="20"/>
          <w:szCs w:val="20"/>
        </w:rPr>
        <w:t xml:space="preserve">binaire </w:t>
      </w:r>
      <w:r w:rsidRPr="003A7BC2">
        <w:rPr>
          <w:rFonts w:cs="Times New Roman"/>
          <w:b/>
          <w:bCs/>
          <w:sz w:val="20"/>
          <w:szCs w:val="20"/>
        </w:rPr>
        <w:t>logistische regressie met wel/geen aandacht</w:t>
      </w:r>
    </w:p>
    <w:tbl>
      <w:tblPr>
        <w:tblStyle w:val="Tabelraster"/>
        <w:tblW w:w="13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7"/>
        <w:gridCol w:w="1820"/>
        <w:gridCol w:w="1835"/>
        <w:gridCol w:w="1835"/>
        <w:gridCol w:w="1887"/>
        <w:gridCol w:w="1887"/>
        <w:gridCol w:w="1887"/>
      </w:tblGrid>
      <w:tr w:rsidR="00D11BEF" w:rsidRPr="00D11BEF" w14:paraId="697EB7D6" w14:textId="77777777" w:rsidTr="006122F0">
        <w:trPr>
          <w:trHeight w:val="679"/>
        </w:trPr>
        <w:tc>
          <w:tcPr>
            <w:tcW w:w="2677" w:type="dxa"/>
            <w:tcBorders>
              <w:top w:val="single" w:sz="4" w:space="0" w:color="auto"/>
              <w:bottom w:val="single" w:sz="4" w:space="0" w:color="auto"/>
            </w:tcBorders>
          </w:tcPr>
          <w:p w14:paraId="49D11574" w14:textId="77777777" w:rsidR="00D11BEF" w:rsidRPr="00D11BEF" w:rsidRDefault="00D11BEF" w:rsidP="00D11BEF">
            <w:pPr>
              <w:spacing w:line="276" w:lineRule="auto"/>
              <w:jc w:val="left"/>
              <w:rPr>
                <w:rFonts w:eastAsia="Times New Roman" w:cs="Times New Roman"/>
                <w:sz w:val="20"/>
                <w:szCs w:val="20"/>
                <w:lang w:eastAsia="en-GB"/>
              </w:rPr>
            </w:pPr>
            <w:bookmarkStart w:id="10" w:name="_Hlk124863746"/>
            <w:bookmarkEnd w:id="8"/>
          </w:p>
        </w:tc>
        <w:tc>
          <w:tcPr>
            <w:tcW w:w="1820" w:type="dxa"/>
            <w:tcBorders>
              <w:top w:val="single" w:sz="4" w:space="0" w:color="auto"/>
              <w:bottom w:val="single" w:sz="4" w:space="0" w:color="auto"/>
            </w:tcBorders>
          </w:tcPr>
          <w:p w14:paraId="7530E37F"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0</w:t>
            </w:r>
          </w:p>
          <w:p w14:paraId="6F946F9A"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35" w:type="dxa"/>
            <w:tcBorders>
              <w:top w:val="single" w:sz="4" w:space="0" w:color="auto"/>
              <w:bottom w:val="single" w:sz="4" w:space="0" w:color="auto"/>
            </w:tcBorders>
          </w:tcPr>
          <w:p w14:paraId="2C8A5983"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1</w:t>
            </w:r>
          </w:p>
          <w:p w14:paraId="5298C617"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35" w:type="dxa"/>
            <w:tcBorders>
              <w:top w:val="single" w:sz="4" w:space="0" w:color="auto"/>
              <w:bottom w:val="single" w:sz="4" w:space="0" w:color="auto"/>
            </w:tcBorders>
          </w:tcPr>
          <w:p w14:paraId="49F42F7B"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2</w:t>
            </w:r>
          </w:p>
          <w:p w14:paraId="37CE5455"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87" w:type="dxa"/>
            <w:tcBorders>
              <w:top w:val="single" w:sz="4" w:space="0" w:color="auto"/>
              <w:bottom w:val="single" w:sz="4" w:space="0" w:color="auto"/>
            </w:tcBorders>
          </w:tcPr>
          <w:p w14:paraId="018601C5"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3</w:t>
            </w:r>
          </w:p>
          <w:p w14:paraId="0CFEA196"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87" w:type="dxa"/>
            <w:tcBorders>
              <w:top w:val="single" w:sz="4" w:space="0" w:color="auto"/>
              <w:bottom w:val="single" w:sz="4" w:space="0" w:color="auto"/>
            </w:tcBorders>
          </w:tcPr>
          <w:p w14:paraId="1F89A1C1"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4</w:t>
            </w:r>
          </w:p>
          <w:p w14:paraId="7E0F392C"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1887" w:type="dxa"/>
            <w:tcBorders>
              <w:top w:val="single" w:sz="4" w:space="0" w:color="auto"/>
              <w:bottom w:val="single" w:sz="4" w:space="0" w:color="auto"/>
            </w:tcBorders>
          </w:tcPr>
          <w:p w14:paraId="29113D31"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5</w:t>
            </w:r>
          </w:p>
          <w:p w14:paraId="156547C3"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r>
      <w:tr w:rsidR="00D11BEF" w:rsidRPr="00D11BEF" w14:paraId="70C578B5" w14:textId="77777777" w:rsidTr="006122F0">
        <w:trPr>
          <w:trHeight w:val="679"/>
        </w:trPr>
        <w:tc>
          <w:tcPr>
            <w:tcW w:w="2677" w:type="dxa"/>
            <w:tcBorders>
              <w:top w:val="single" w:sz="4" w:space="0" w:color="auto"/>
            </w:tcBorders>
          </w:tcPr>
          <w:p w14:paraId="3D5F8F31" w14:textId="77777777" w:rsidR="00D11BEF" w:rsidRPr="00D9395F" w:rsidRDefault="00D11BEF" w:rsidP="00D11BEF">
            <w:pPr>
              <w:spacing w:line="276" w:lineRule="auto"/>
              <w:jc w:val="left"/>
              <w:rPr>
                <w:rFonts w:eastAsia="Times New Roman" w:cs="Times New Roman"/>
                <w:color w:val="000000"/>
                <w:sz w:val="20"/>
                <w:szCs w:val="20"/>
                <w:lang w:val="en-US" w:eastAsia="en-GB"/>
              </w:rPr>
            </w:pPr>
            <w:r w:rsidRPr="00D9395F">
              <w:rPr>
                <w:rFonts w:eastAsia="Times New Roman" w:cs="Times New Roman"/>
                <w:color w:val="000000"/>
                <w:sz w:val="20"/>
                <w:szCs w:val="20"/>
                <w:lang w:val="en-US" w:eastAsia="en-GB"/>
              </w:rPr>
              <w:t>Intercept</w:t>
            </w:r>
          </w:p>
        </w:tc>
        <w:tc>
          <w:tcPr>
            <w:tcW w:w="1820" w:type="dxa"/>
            <w:tcBorders>
              <w:top w:val="single" w:sz="4" w:space="0" w:color="auto"/>
            </w:tcBorders>
          </w:tcPr>
          <w:p w14:paraId="16052DB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-0.696***</w:t>
            </w:r>
          </w:p>
          <w:p w14:paraId="5FB7499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(0.065)</w:t>
            </w:r>
          </w:p>
        </w:tc>
        <w:tc>
          <w:tcPr>
            <w:tcW w:w="1835" w:type="dxa"/>
            <w:tcBorders>
              <w:top w:val="single" w:sz="4" w:space="0" w:color="auto"/>
            </w:tcBorders>
          </w:tcPr>
          <w:p w14:paraId="158F726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0.037</w:t>
            </w:r>
          </w:p>
          <w:p w14:paraId="3B24FB5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(0.241)</w:t>
            </w:r>
          </w:p>
        </w:tc>
        <w:tc>
          <w:tcPr>
            <w:tcW w:w="1835" w:type="dxa"/>
            <w:tcBorders>
              <w:top w:val="single" w:sz="4" w:space="0" w:color="auto"/>
            </w:tcBorders>
          </w:tcPr>
          <w:p w14:paraId="14CB003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-0.831</w:t>
            </w:r>
          </w:p>
          <w:p w14:paraId="4AD4F08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(0.532)</w:t>
            </w:r>
          </w:p>
        </w:tc>
        <w:tc>
          <w:tcPr>
            <w:tcW w:w="1887" w:type="dxa"/>
            <w:tcBorders>
              <w:top w:val="single" w:sz="4" w:space="0" w:color="auto"/>
            </w:tcBorders>
          </w:tcPr>
          <w:p w14:paraId="661BAEF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-0.321</w:t>
            </w:r>
          </w:p>
          <w:p w14:paraId="4F13868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(0.559)</w:t>
            </w:r>
          </w:p>
        </w:tc>
        <w:tc>
          <w:tcPr>
            <w:tcW w:w="1887" w:type="dxa"/>
            <w:tcBorders>
              <w:top w:val="single" w:sz="4" w:space="0" w:color="auto"/>
            </w:tcBorders>
          </w:tcPr>
          <w:p w14:paraId="3B1DCD1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-0.485</w:t>
            </w:r>
          </w:p>
          <w:p w14:paraId="01523E4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(0.568)</w:t>
            </w:r>
          </w:p>
        </w:tc>
        <w:tc>
          <w:tcPr>
            <w:tcW w:w="1887" w:type="dxa"/>
            <w:tcBorders>
              <w:top w:val="single" w:sz="4" w:space="0" w:color="auto"/>
            </w:tcBorders>
          </w:tcPr>
          <w:p w14:paraId="4B2C0FD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-3.876***</w:t>
            </w:r>
          </w:p>
          <w:p w14:paraId="7468BA7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(0.722)</w:t>
            </w:r>
          </w:p>
        </w:tc>
      </w:tr>
      <w:tr w:rsidR="00D11BEF" w:rsidRPr="00D11BEF" w14:paraId="397D1106" w14:textId="77777777" w:rsidTr="006122F0">
        <w:trPr>
          <w:trHeight w:val="443"/>
        </w:trPr>
        <w:tc>
          <w:tcPr>
            <w:tcW w:w="2677" w:type="dxa"/>
          </w:tcPr>
          <w:p w14:paraId="62B4BB1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Ontvangst EU-gelden (log)</w:t>
            </w:r>
          </w:p>
        </w:tc>
        <w:tc>
          <w:tcPr>
            <w:tcW w:w="1820" w:type="dxa"/>
          </w:tcPr>
          <w:p w14:paraId="4A7ABE52" w14:textId="77777777" w:rsidR="00D11BEF" w:rsidRPr="00D11BEF" w:rsidRDefault="00D11BEF" w:rsidP="00D11BEF">
            <w:pPr>
              <w:spacing w:line="276" w:lineRule="auto"/>
              <w:jc w:val="left"/>
              <w:rPr>
                <w:rFonts w:eastAsia="Times New Roman" w:cs="Times New Roman"/>
                <w:sz w:val="20"/>
                <w:szCs w:val="20"/>
                <w:lang w:eastAsia="en-GB"/>
              </w:rPr>
            </w:pPr>
          </w:p>
          <w:p w14:paraId="61E41C84" w14:textId="77777777" w:rsidR="00D11BEF" w:rsidRPr="00D11BEF" w:rsidRDefault="00D11BEF" w:rsidP="00D11BEF">
            <w:pPr>
              <w:spacing w:line="276" w:lineRule="auto"/>
              <w:jc w:val="left"/>
              <w:rPr>
                <w:rFonts w:eastAsia="Times New Roman" w:cs="Times New Roman"/>
                <w:sz w:val="20"/>
                <w:szCs w:val="20"/>
                <w:lang w:eastAsia="en-GB"/>
              </w:rPr>
            </w:pPr>
          </w:p>
        </w:tc>
        <w:tc>
          <w:tcPr>
            <w:tcW w:w="1835" w:type="dxa"/>
          </w:tcPr>
          <w:p w14:paraId="0726CDC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0.321***</w:t>
            </w:r>
          </w:p>
          <w:p w14:paraId="76B1B66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(0.065)</w:t>
            </w:r>
          </w:p>
        </w:tc>
        <w:tc>
          <w:tcPr>
            <w:tcW w:w="1835" w:type="dxa"/>
          </w:tcPr>
          <w:p w14:paraId="1AB0004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0.309***</w:t>
            </w:r>
          </w:p>
          <w:p w14:paraId="6D06D8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(0.066)</w:t>
            </w:r>
          </w:p>
        </w:tc>
        <w:tc>
          <w:tcPr>
            <w:tcW w:w="1887" w:type="dxa"/>
          </w:tcPr>
          <w:p w14:paraId="3AB1DE4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0.308***</w:t>
            </w:r>
          </w:p>
          <w:p w14:paraId="54A9F7D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(0.066)</w:t>
            </w:r>
          </w:p>
        </w:tc>
        <w:tc>
          <w:tcPr>
            <w:tcW w:w="1887" w:type="dxa"/>
          </w:tcPr>
          <w:p w14:paraId="1795614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0.299***</w:t>
            </w:r>
          </w:p>
          <w:p w14:paraId="58C18B6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(0.066)</w:t>
            </w:r>
          </w:p>
        </w:tc>
        <w:tc>
          <w:tcPr>
            <w:tcW w:w="1887" w:type="dxa"/>
          </w:tcPr>
          <w:p w14:paraId="140EBC0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0.112</w:t>
            </w:r>
          </w:p>
          <w:p w14:paraId="144F18F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(0.071)</w:t>
            </w:r>
          </w:p>
        </w:tc>
      </w:tr>
      <w:tr w:rsidR="00D11BEF" w:rsidRPr="00D11BEF" w14:paraId="4B164661" w14:textId="77777777" w:rsidTr="006122F0">
        <w:trPr>
          <w:trHeight w:val="456"/>
        </w:trPr>
        <w:tc>
          <w:tcPr>
            <w:tcW w:w="2677" w:type="dxa"/>
          </w:tcPr>
          <w:p w14:paraId="0E02D87E" w14:textId="5DEA1F5B" w:rsidR="00D11BEF" w:rsidRPr="00D11BEF" w:rsidRDefault="00476F21" w:rsidP="00D11BEF">
            <w:pPr>
              <w:spacing w:line="276" w:lineRule="auto"/>
              <w:jc w:val="left"/>
              <w:rPr>
                <w:rFonts w:eastAsia="Times New Roman" w:cs="Times New Roman"/>
                <w:color w:val="000000"/>
                <w:sz w:val="20"/>
                <w:szCs w:val="20"/>
                <w:lang w:eastAsia="en-GB"/>
              </w:rPr>
            </w:pPr>
            <w:r>
              <w:rPr>
                <w:rFonts w:eastAsia="Times New Roman" w:cs="Times New Roman"/>
                <w:color w:val="000000"/>
                <w:sz w:val="20"/>
                <w:szCs w:val="20"/>
                <w:lang w:eastAsia="en-GB"/>
              </w:rPr>
              <w:t>Opstelling</w:t>
            </w:r>
            <w:r w:rsidR="00D11BEF" w:rsidRPr="00D11BEF">
              <w:rPr>
                <w:rFonts w:eastAsia="Times New Roman" w:cs="Times New Roman"/>
                <w:color w:val="000000"/>
                <w:sz w:val="20"/>
                <w:szCs w:val="20"/>
                <w:lang w:eastAsia="en-GB"/>
              </w:rPr>
              <w:t xml:space="preserve"> gemeentebestuur </w:t>
            </w:r>
          </w:p>
        </w:tc>
        <w:tc>
          <w:tcPr>
            <w:tcW w:w="1820" w:type="dxa"/>
          </w:tcPr>
          <w:p w14:paraId="1E380DED" w14:textId="77777777" w:rsidR="00D11BEF" w:rsidRPr="00D11BEF" w:rsidRDefault="00D11BEF" w:rsidP="00D11BEF">
            <w:pPr>
              <w:spacing w:line="276" w:lineRule="auto"/>
              <w:jc w:val="left"/>
              <w:rPr>
                <w:rFonts w:eastAsia="Times New Roman" w:cs="Times New Roman"/>
                <w:sz w:val="20"/>
                <w:szCs w:val="20"/>
                <w:lang w:eastAsia="en-GB"/>
              </w:rPr>
            </w:pPr>
          </w:p>
        </w:tc>
        <w:tc>
          <w:tcPr>
            <w:tcW w:w="1835" w:type="dxa"/>
          </w:tcPr>
          <w:p w14:paraId="677B00C1"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74D8ED2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410E4FA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0.350</w:t>
            </w:r>
          </w:p>
          <w:p w14:paraId="5D13725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(0.191)</w:t>
            </w:r>
          </w:p>
        </w:tc>
        <w:tc>
          <w:tcPr>
            <w:tcW w:w="1887" w:type="dxa"/>
          </w:tcPr>
          <w:p w14:paraId="4E16734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0.327</w:t>
            </w:r>
          </w:p>
          <w:p w14:paraId="4E517EC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(0.193)</w:t>
            </w:r>
          </w:p>
        </w:tc>
        <w:tc>
          <w:tcPr>
            <w:tcW w:w="1887" w:type="dxa"/>
          </w:tcPr>
          <w:p w14:paraId="2779682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0.337</w:t>
            </w:r>
          </w:p>
          <w:p w14:paraId="779E053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(0.195)</w:t>
            </w:r>
          </w:p>
        </w:tc>
        <w:tc>
          <w:tcPr>
            <w:tcW w:w="1887" w:type="dxa"/>
          </w:tcPr>
          <w:p w14:paraId="043B401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0.066</w:t>
            </w:r>
          </w:p>
          <w:p w14:paraId="70175B4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(0.207)</w:t>
            </w:r>
          </w:p>
        </w:tc>
      </w:tr>
      <w:tr w:rsidR="00D11BEF" w:rsidRPr="00D11BEF" w14:paraId="02DAF04A" w14:textId="77777777" w:rsidTr="006122F0">
        <w:trPr>
          <w:trHeight w:val="456"/>
        </w:trPr>
        <w:tc>
          <w:tcPr>
            <w:tcW w:w="2677" w:type="dxa"/>
          </w:tcPr>
          <w:p w14:paraId="3096D41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Solvabiliteitsratio</w:t>
            </w:r>
          </w:p>
        </w:tc>
        <w:tc>
          <w:tcPr>
            <w:tcW w:w="1820" w:type="dxa"/>
          </w:tcPr>
          <w:p w14:paraId="2552B8C4" w14:textId="77777777" w:rsidR="00D11BEF" w:rsidRPr="00D11BEF" w:rsidRDefault="00D11BEF" w:rsidP="00D11BEF">
            <w:pPr>
              <w:spacing w:line="276" w:lineRule="auto"/>
              <w:jc w:val="left"/>
              <w:rPr>
                <w:rFonts w:eastAsia="Times New Roman" w:cs="Times New Roman"/>
                <w:sz w:val="20"/>
                <w:szCs w:val="20"/>
                <w:lang w:eastAsia="en-GB"/>
              </w:rPr>
            </w:pPr>
          </w:p>
        </w:tc>
        <w:tc>
          <w:tcPr>
            <w:tcW w:w="1835" w:type="dxa"/>
          </w:tcPr>
          <w:p w14:paraId="7187053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63DF791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0F35B2C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-1.234**</w:t>
            </w:r>
          </w:p>
          <w:p w14:paraId="1A18A8C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(0.395)</w:t>
            </w:r>
          </w:p>
        </w:tc>
        <w:tc>
          <w:tcPr>
            <w:tcW w:w="1887" w:type="dxa"/>
          </w:tcPr>
          <w:p w14:paraId="3F0FB96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-1.228**</w:t>
            </w:r>
          </w:p>
          <w:p w14:paraId="594784F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(0.399)</w:t>
            </w:r>
          </w:p>
        </w:tc>
        <w:tc>
          <w:tcPr>
            <w:tcW w:w="1887" w:type="dxa"/>
          </w:tcPr>
          <w:p w14:paraId="27C509E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-0.684</w:t>
            </w:r>
          </w:p>
          <w:p w14:paraId="4D1A3E7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(0.424)</w:t>
            </w:r>
          </w:p>
        </w:tc>
      </w:tr>
      <w:tr w:rsidR="00D11BEF" w:rsidRPr="00D11BEF" w14:paraId="45EBCCC8" w14:textId="77777777" w:rsidTr="006122F0">
        <w:trPr>
          <w:trHeight w:val="443"/>
        </w:trPr>
        <w:tc>
          <w:tcPr>
            <w:tcW w:w="2677" w:type="dxa"/>
          </w:tcPr>
          <w:p w14:paraId="2440FBE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Grensgemeenten</w:t>
            </w:r>
          </w:p>
        </w:tc>
        <w:tc>
          <w:tcPr>
            <w:tcW w:w="1820" w:type="dxa"/>
          </w:tcPr>
          <w:p w14:paraId="6C0DCA6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6819D1D0"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41930C07"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41413ED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7F15615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0.669***</w:t>
            </w:r>
          </w:p>
          <w:p w14:paraId="724494F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(0.173)</w:t>
            </w:r>
          </w:p>
        </w:tc>
        <w:tc>
          <w:tcPr>
            <w:tcW w:w="1887" w:type="dxa"/>
          </w:tcPr>
          <w:p w14:paraId="4C135E2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0.915***</w:t>
            </w:r>
          </w:p>
          <w:p w14:paraId="1E0F242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(0.182)</w:t>
            </w:r>
          </w:p>
        </w:tc>
      </w:tr>
      <w:tr w:rsidR="00D11BEF" w:rsidRPr="00D11BEF" w14:paraId="1196E5A3" w14:textId="77777777" w:rsidTr="006122F0">
        <w:trPr>
          <w:trHeight w:val="679"/>
        </w:trPr>
        <w:tc>
          <w:tcPr>
            <w:tcW w:w="2677" w:type="dxa"/>
          </w:tcPr>
          <w:p w14:paraId="021BE6D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Inwoneraantal (log)</w:t>
            </w:r>
          </w:p>
        </w:tc>
        <w:tc>
          <w:tcPr>
            <w:tcW w:w="1820" w:type="dxa"/>
          </w:tcPr>
          <w:p w14:paraId="03741D0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188960B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69513E64"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6CD36A10"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0598E758"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55EFD47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0.922***</w:t>
            </w:r>
          </w:p>
          <w:p w14:paraId="6CB5B2B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(0.111)</w:t>
            </w:r>
          </w:p>
        </w:tc>
      </w:tr>
      <w:tr w:rsidR="00D11BEF" w:rsidRPr="00D11BEF" w14:paraId="480714E6" w14:textId="77777777" w:rsidTr="006122F0">
        <w:trPr>
          <w:trHeight w:val="443"/>
        </w:trPr>
        <w:tc>
          <w:tcPr>
            <w:tcW w:w="2677" w:type="dxa"/>
          </w:tcPr>
          <w:p w14:paraId="64F4641F" w14:textId="77777777" w:rsidR="00D11BEF" w:rsidRPr="00D11BEF" w:rsidRDefault="00D11BEF" w:rsidP="00D11BEF">
            <w:pPr>
              <w:spacing w:line="276" w:lineRule="auto"/>
              <w:jc w:val="left"/>
              <w:rPr>
                <w:rFonts w:eastAsia="Times New Roman" w:cs="Times New Roman"/>
                <w:i/>
                <w:iCs/>
                <w:color w:val="000000"/>
                <w:sz w:val="20"/>
                <w:szCs w:val="20"/>
                <w:lang w:eastAsia="en-GB"/>
              </w:rPr>
            </w:pPr>
            <w:r w:rsidRPr="00D11BEF">
              <w:rPr>
                <w:rFonts w:eastAsia="Times New Roman" w:cs="Times New Roman"/>
                <w:i/>
                <w:iCs/>
                <w:color w:val="000000"/>
                <w:sz w:val="20"/>
                <w:szCs w:val="20"/>
                <w:lang w:eastAsia="en-GB"/>
              </w:rPr>
              <w:t>Controle</w:t>
            </w:r>
          </w:p>
        </w:tc>
        <w:tc>
          <w:tcPr>
            <w:tcW w:w="1820" w:type="dxa"/>
          </w:tcPr>
          <w:p w14:paraId="0EB1E52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59B11EF3"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7AFD2DE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5DD82BF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491BDCED"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87" w:type="dxa"/>
          </w:tcPr>
          <w:p w14:paraId="4CF75866"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0D55EA8D" w14:textId="77777777" w:rsidTr="006122F0">
        <w:trPr>
          <w:trHeight w:val="456"/>
        </w:trPr>
        <w:tc>
          <w:tcPr>
            <w:tcW w:w="2677" w:type="dxa"/>
          </w:tcPr>
          <w:p w14:paraId="52B99F3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2022</w:t>
            </w:r>
          </w:p>
        </w:tc>
        <w:tc>
          <w:tcPr>
            <w:tcW w:w="1820" w:type="dxa"/>
          </w:tcPr>
          <w:p w14:paraId="361DA46C"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2A3999D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35" w:type="dxa"/>
          </w:tcPr>
          <w:p w14:paraId="7ED0192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10611E7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78DBAC6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1E71C31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1D298A18" w14:textId="77777777" w:rsidTr="006122F0">
        <w:trPr>
          <w:trHeight w:val="443"/>
        </w:trPr>
        <w:tc>
          <w:tcPr>
            <w:tcW w:w="2677" w:type="dxa"/>
          </w:tcPr>
          <w:p w14:paraId="3413E89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2018</w:t>
            </w:r>
          </w:p>
        </w:tc>
        <w:tc>
          <w:tcPr>
            <w:tcW w:w="1820" w:type="dxa"/>
          </w:tcPr>
          <w:p w14:paraId="7ACF63C9"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0134224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-0.260</w:t>
            </w:r>
          </w:p>
          <w:p w14:paraId="4814258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(0.172)</w:t>
            </w:r>
          </w:p>
        </w:tc>
        <w:tc>
          <w:tcPr>
            <w:tcW w:w="1835" w:type="dxa"/>
          </w:tcPr>
          <w:p w14:paraId="47F1AD0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-0.278</w:t>
            </w:r>
          </w:p>
          <w:p w14:paraId="1D87AED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(0.173)</w:t>
            </w:r>
          </w:p>
        </w:tc>
        <w:tc>
          <w:tcPr>
            <w:tcW w:w="1887" w:type="dxa"/>
          </w:tcPr>
          <w:p w14:paraId="794AA0D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-0.297</w:t>
            </w:r>
          </w:p>
          <w:p w14:paraId="3F09C0F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(0.173)</w:t>
            </w:r>
          </w:p>
        </w:tc>
        <w:tc>
          <w:tcPr>
            <w:tcW w:w="1887" w:type="dxa"/>
          </w:tcPr>
          <w:p w14:paraId="743D4BB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-0.294</w:t>
            </w:r>
          </w:p>
          <w:p w14:paraId="6E8E0F2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(0.175)</w:t>
            </w:r>
          </w:p>
        </w:tc>
        <w:tc>
          <w:tcPr>
            <w:tcW w:w="1887" w:type="dxa"/>
          </w:tcPr>
          <w:p w14:paraId="5AE8588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-0.201</w:t>
            </w:r>
          </w:p>
          <w:p w14:paraId="1E9A368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(0.181)</w:t>
            </w:r>
          </w:p>
        </w:tc>
      </w:tr>
      <w:tr w:rsidR="00D11BEF" w:rsidRPr="00D11BEF" w14:paraId="572E9B6D" w14:textId="77777777" w:rsidTr="006122F0">
        <w:trPr>
          <w:trHeight w:val="456"/>
        </w:trPr>
        <w:tc>
          <w:tcPr>
            <w:tcW w:w="2677" w:type="dxa"/>
          </w:tcPr>
          <w:p w14:paraId="5DA37A0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2014</w:t>
            </w:r>
          </w:p>
        </w:tc>
        <w:tc>
          <w:tcPr>
            <w:tcW w:w="1820" w:type="dxa"/>
          </w:tcPr>
          <w:p w14:paraId="638D7167"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444456DB"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0CC4F29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-0.230</w:t>
            </w:r>
          </w:p>
          <w:p w14:paraId="7A9C4FD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(0.187)</w:t>
            </w:r>
          </w:p>
        </w:tc>
        <w:tc>
          <w:tcPr>
            <w:tcW w:w="1835" w:type="dxa"/>
          </w:tcPr>
          <w:p w14:paraId="59AEFC8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-0.242</w:t>
            </w:r>
          </w:p>
          <w:p w14:paraId="291A038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(0.188)</w:t>
            </w:r>
          </w:p>
        </w:tc>
        <w:tc>
          <w:tcPr>
            <w:tcW w:w="1887" w:type="dxa"/>
          </w:tcPr>
          <w:p w14:paraId="66065F5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-0.289</w:t>
            </w:r>
          </w:p>
          <w:p w14:paraId="1D8515E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(0.190)</w:t>
            </w:r>
          </w:p>
        </w:tc>
        <w:tc>
          <w:tcPr>
            <w:tcW w:w="1887" w:type="dxa"/>
          </w:tcPr>
          <w:p w14:paraId="15A7063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-0.291</w:t>
            </w:r>
          </w:p>
          <w:p w14:paraId="43A5E25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(0.191)</w:t>
            </w:r>
          </w:p>
        </w:tc>
        <w:tc>
          <w:tcPr>
            <w:tcW w:w="1887" w:type="dxa"/>
          </w:tcPr>
          <w:p w14:paraId="4DE806B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-0.019</w:t>
            </w:r>
          </w:p>
          <w:p w14:paraId="595619F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(0.202)</w:t>
            </w:r>
          </w:p>
        </w:tc>
      </w:tr>
      <w:tr w:rsidR="00D11BEF" w:rsidRPr="00D11BEF" w14:paraId="726787CD" w14:textId="77777777" w:rsidTr="006122F0">
        <w:trPr>
          <w:trHeight w:val="443"/>
        </w:trPr>
        <w:tc>
          <w:tcPr>
            <w:tcW w:w="2677" w:type="dxa"/>
          </w:tcPr>
          <w:p w14:paraId="320D931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Geen aandacht</w:t>
            </w:r>
          </w:p>
        </w:tc>
        <w:tc>
          <w:tcPr>
            <w:tcW w:w="1820" w:type="dxa"/>
          </w:tcPr>
          <w:p w14:paraId="4DD1BCA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Pr>
          <w:p w14:paraId="023FAC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35" w:type="dxa"/>
          </w:tcPr>
          <w:p w14:paraId="5FCEABC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169FC9F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0B147BE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1887" w:type="dxa"/>
          </w:tcPr>
          <w:p w14:paraId="2BE1041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6770E74E" w14:textId="77777777" w:rsidTr="006122F0">
        <w:trPr>
          <w:trHeight w:val="456"/>
        </w:trPr>
        <w:tc>
          <w:tcPr>
            <w:tcW w:w="2677" w:type="dxa"/>
            <w:tcBorders>
              <w:bottom w:val="single" w:sz="4" w:space="0" w:color="auto"/>
            </w:tcBorders>
          </w:tcPr>
          <w:p w14:paraId="08D1B75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Wel aandacht </w:t>
            </w:r>
          </w:p>
        </w:tc>
        <w:tc>
          <w:tcPr>
            <w:tcW w:w="1820" w:type="dxa"/>
            <w:tcBorders>
              <w:bottom w:val="single" w:sz="4" w:space="0" w:color="auto"/>
            </w:tcBorders>
          </w:tcPr>
          <w:p w14:paraId="70724B0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Borders>
              <w:bottom w:val="single" w:sz="4" w:space="0" w:color="auto"/>
            </w:tcBorders>
          </w:tcPr>
          <w:p w14:paraId="6BB4687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1.212***</w:t>
            </w:r>
          </w:p>
          <w:p w14:paraId="0319587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(0.177)</w:t>
            </w:r>
          </w:p>
        </w:tc>
        <w:tc>
          <w:tcPr>
            <w:tcW w:w="1835" w:type="dxa"/>
            <w:tcBorders>
              <w:bottom w:val="single" w:sz="4" w:space="0" w:color="auto"/>
            </w:tcBorders>
          </w:tcPr>
          <w:p w14:paraId="7E633A4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1.206***</w:t>
            </w:r>
          </w:p>
          <w:p w14:paraId="3FBF6AF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(0.178)</w:t>
            </w:r>
          </w:p>
        </w:tc>
        <w:tc>
          <w:tcPr>
            <w:tcW w:w="1887" w:type="dxa"/>
            <w:tcBorders>
              <w:bottom w:val="single" w:sz="4" w:space="0" w:color="auto"/>
            </w:tcBorders>
          </w:tcPr>
          <w:p w14:paraId="2D7881D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1.158***</w:t>
            </w:r>
          </w:p>
          <w:p w14:paraId="031A00B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(0.179)</w:t>
            </w:r>
          </w:p>
        </w:tc>
        <w:tc>
          <w:tcPr>
            <w:tcW w:w="1887" w:type="dxa"/>
            <w:tcBorders>
              <w:bottom w:val="single" w:sz="4" w:space="0" w:color="auto"/>
            </w:tcBorders>
          </w:tcPr>
          <w:p w14:paraId="1799CCF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1.103***</w:t>
            </w:r>
          </w:p>
          <w:p w14:paraId="0257DAF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(0.181)</w:t>
            </w:r>
          </w:p>
        </w:tc>
        <w:tc>
          <w:tcPr>
            <w:tcW w:w="1887" w:type="dxa"/>
            <w:tcBorders>
              <w:bottom w:val="single" w:sz="4" w:space="0" w:color="auto"/>
            </w:tcBorders>
          </w:tcPr>
          <w:p w14:paraId="7F784D6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0.842***</w:t>
            </w:r>
          </w:p>
          <w:p w14:paraId="453D9B0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(0.189)</w:t>
            </w:r>
          </w:p>
        </w:tc>
      </w:tr>
      <w:tr w:rsidR="00D11BEF" w:rsidRPr="00D11BEF" w14:paraId="508EBA2D" w14:textId="77777777" w:rsidTr="006122F0">
        <w:trPr>
          <w:trHeight w:val="407"/>
        </w:trPr>
        <w:tc>
          <w:tcPr>
            <w:tcW w:w="2677" w:type="dxa"/>
            <w:tcBorders>
              <w:top w:val="single" w:sz="4" w:space="0" w:color="auto"/>
              <w:bottom w:val="single" w:sz="4" w:space="0" w:color="auto"/>
            </w:tcBorders>
          </w:tcPr>
          <w:p w14:paraId="71668907" w14:textId="530AC645"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Cox &amp; </w:t>
            </w:r>
            <w:r w:rsidRPr="00D9395F">
              <w:rPr>
                <w:rFonts w:eastAsia="Times New Roman" w:cs="Times New Roman"/>
                <w:color w:val="000000"/>
                <w:sz w:val="20"/>
                <w:szCs w:val="20"/>
                <w:lang w:val="en-US" w:eastAsia="en-GB"/>
              </w:rPr>
              <w:t xml:space="preserve">Snell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p w14:paraId="05A3CEC1" w14:textId="734B143A"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Nagelkerke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tc>
        <w:tc>
          <w:tcPr>
            <w:tcW w:w="1820" w:type="dxa"/>
            <w:tcBorders>
              <w:top w:val="single" w:sz="4" w:space="0" w:color="auto"/>
              <w:bottom w:val="single" w:sz="4" w:space="0" w:color="auto"/>
            </w:tcBorders>
          </w:tcPr>
          <w:p w14:paraId="783F634E" w14:textId="77777777" w:rsidR="00D11BEF" w:rsidRPr="00D11BEF" w:rsidRDefault="00D11BEF" w:rsidP="00D11BEF">
            <w:pPr>
              <w:spacing w:line="276" w:lineRule="auto"/>
              <w:jc w:val="left"/>
              <w:rPr>
                <w:rFonts w:eastAsia="Times New Roman" w:cs="Times New Roman"/>
                <w:sz w:val="20"/>
                <w:szCs w:val="20"/>
                <w:lang w:eastAsia="en-GB"/>
              </w:rPr>
            </w:pPr>
          </w:p>
        </w:tc>
        <w:tc>
          <w:tcPr>
            <w:tcW w:w="1835" w:type="dxa"/>
            <w:tcBorders>
              <w:top w:val="single" w:sz="4" w:space="0" w:color="auto"/>
              <w:bottom w:val="single" w:sz="4" w:space="0" w:color="auto"/>
            </w:tcBorders>
          </w:tcPr>
          <w:p w14:paraId="32D1931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0.080</w:t>
            </w:r>
          </w:p>
          <w:p w14:paraId="2D046E43"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0.111</w:t>
            </w:r>
          </w:p>
        </w:tc>
        <w:tc>
          <w:tcPr>
            <w:tcW w:w="1835" w:type="dxa"/>
            <w:tcBorders>
              <w:top w:val="single" w:sz="4" w:space="0" w:color="auto"/>
              <w:bottom w:val="single" w:sz="4" w:space="0" w:color="auto"/>
            </w:tcBorders>
          </w:tcPr>
          <w:p w14:paraId="1E06CDD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0.083</w:t>
            </w:r>
          </w:p>
          <w:p w14:paraId="06129DBA"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0.115</w:t>
            </w:r>
          </w:p>
        </w:tc>
        <w:tc>
          <w:tcPr>
            <w:tcW w:w="1887" w:type="dxa"/>
            <w:tcBorders>
              <w:top w:val="single" w:sz="4" w:space="0" w:color="auto"/>
              <w:bottom w:val="single" w:sz="4" w:space="0" w:color="auto"/>
            </w:tcBorders>
          </w:tcPr>
          <w:p w14:paraId="1339910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0.091</w:t>
            </w:r>
          </w:p>
          <w:p w14:paraId="227DBD0B"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0.127</w:t>
            </w:r>
          </w:p>
        </w:tc>
        <w:tc>
          <w:tcPr>
            <w:tcW w:w="1887" w:type="dxa"/>
            <w:tcBorders>
              <w:top w:val="single" w:sz="4" w:space="0" w:color="auto"/>
              <w:bottom w:val="single" w:sz="4" w:space="0" w:color="auto"/>
            </w:tcBorders>
          </w:tcPr>
          <w:p w14:paraId="4CCA205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0.104</w:t>
            </w:r>
          </w:p>
          <w:p w14:paraId="01489A08"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0.144</w:t>
            </w:r>
          </w:p>
        </w:tc>
        <w:tc>
          <w:tcPr>
            <w:tcW w:w="1887" w:type="dxa"/>
            <w:tcBorders>
              <w:top w:val="single" w:sz="4" w:space="0" w:color="auto"/>
              <w:bottom w:val="single" w:sz="4" w:space="0" w:color="auto"/>
            </w:tcBorders>
          </w:tcPr>
          <w:p w14:paraId="5949DD4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0.168</w:t>
            </w:r>
          </w:p>
          <w:p w14:paraId="01B9D0D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sz w:val="20"/>
                <w:szCs w:val="20"/>
                <w:lang w:eastAsia="en-GB"/>
              </w:rPr>
              <w:t>0.234</w:t>
            </w:r>
          </w:p>
        </w:tc>
      </w:tr>
      <w:tr w:rsidR="00D11BEF" w:rsidRPr="00D11BEF" w14:paraId="447F3626" w14:textId="77777777" w:rsidTr="006122F0">
        <w:trPr>
          <w:trHeight w:val="407"/>
        </w:trPr>
        <w:tc>
          <w:tcPr>
            <w:tcW w:w="2677" w:type="dxa"/>
            <w:tcBorders>
              <w:top w:val="single" w:sz="4" w:space="0" w:color="auto"/>
              <w:bottom w:val="single" w:sz="4" w:space="0" w:color="auto"/>
            </w:tcBorders>
          </w:tcPr>
          <w:p w14:paraId="0E892EE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 LL</w:t>
            </w:r>
          </w:p>
          <w:p w14:paraId="3FD973F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Chi-square</w:t>
            </w:r>
          </w:p>
        </w:tc>
        <w:tc>
          <w:tcPr>
            <w:tcW w:w="1820" w:type="dxa"/>
            <w:tcBorders>
              <w:top w:val="single" w:sz="4" w:space="0" w:color="auto"/>
              <w:bottom w:val="single" w:sz="4" w:space="0" w:color="auto"/>
            </w:tcBorders>
          </w:tcPr>
          <w:p w14:paraId="1442A3F9" w14:textId="77777777" w:rsidR="00D11BEF" w:rsidRPr="00D11BEF" w:rsidRDefault="00D11BEF" w:rsidP="00D11BEF">
            <w:pPr>
              <w:spacing w:line="276" w:lineRule="auto"/>
              <w:jc w:val="left"/>
              <w:rPr>
                <w:rFonts w:eastAsia="Times New Roman" w:cs="Times New Roman"/>
                <w:color w:val="000000"/>
                <w:sz w:val="20"/>
                <w:szCs w:val="20"/>
                <w:lang w:eastAsia="en-GB"/>
              </w:rPr>
            </w:pPr>
          </w:p>
          <w:p w14:paraId="5B9947B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1835" w:type="dxa"/>
            <w:tcBorders>
              <w:top w:val="single" w:sz="4" w:space="0" w:color="auto"/>
              <w:bottom w:val="single" w:sz="4" w:space="0" w:color="auto"/>
            </w:tcBorders>
          </w:tcPr>
          <w:p w14:paraId="22623E6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1279.4</w:t>
            </w:r>
          </w:p>
          <w:p w14:paraId="2E0000D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89.6*** [df4]</w:t>
            </w:r>
          </w:p>
        </w:tc>
        <w:tc>
          <w:tcPr>
            <w:tcW w:w="1835" w:type="dxa"/>
            <w:tcBorders>
              <w:top w:val="single" w:sz="4" w:space="0" w:color="auto"/>
              <w:bottom w:val="single" w:sz="4" w:space="0" w:color="auto"/>
            </w:tcBorders>
          </w:tcPr>
          <w:p w14:paraId="512CACF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1275.8</w:t>
            </w:r>
          </w:p>
          <w:p w14:paraId="39F370E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93.0 [df5]***</w:t>
            </w:r>
          </w:p>
        </w:tc>
        <w:tc>
          <w:tcPr>
            <w:tcW w:w="1887" w:type="dxa"/>
            <w:tcBorders>
              <w:top w:val="single" w:sz="4" w:space="0" w:color="auto"/>
              <w:bottom w:val="single" w:sz="4" w:space="0" w:color="auto"/>
            </w:tcBorders>
          </w:tcPr>
          <w:p w14:paraId="4B3FB94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1265.8</w:t>
            </w:r>
          </w:p>
          <w:p w14:paraId="66B353F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103.0 [df6]***</w:t>
            </w:r>
          </w:p>
        </w:tc>
        <w:tc>
          <w:tcPr>
            <w:tcW w:w="1887" w:type="dxa"/>
            <w:tcBorders>
              <w:top w:val="single" w:sz="4" w:space="0" w:color="auto"/>
              <w:bottom w:val="single" w:sz="4" w:space="0" w:color="auto"/>
            </w:tcBorders>
          </w:tcPr>
          <w:p w14:paraId="08AA45D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1251.0</w:t>
            </w:r>
          </w:p>
          <w:p w14:paraId="0746FC2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117.9[ df7]***</w:t>
            </w:r>
          </w:p>
        </w:tc>
        <w:tc>
          <w:tcPr>
            <w:tcW w:w="1887" w:type="dxa"/>
            <w:tcBorders>
              <w:top w:val="single" w:sz="4" w:space="0" w:color="auto"/>
              <w:bottom w:val="single" w:sz="4" w:space="0" w:color="auto"/>
            </w:tcBorders>
          </w:tcPr>
          <w:p w14:paraId="494498A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1170.6</w:t>
            </w:r>
          </w:p>
          <w:p w14:paraId="67A1C7E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198.2 [df8]***</w:t>
            </w:r>
          </w:p>
        </w:tc>
      </w:tr>
    </w:tbl>
    <w:p w14:paraId="5F4D16FC" w14:textId="77777777" w:rsidR="00D11BEF" w:rsidRPr="00D11BEF" w:rsidRDefault="00D11BEF" w:rsidP="00D11BEF">
      <w:pPr>
        <w:rPr>
          <w:rFonts w:cs="Times New Roman"/>
          <w:sz w:val="20"/>
          <w:szCs w:val="20"/>
        </w:rPr>
      </w:pPr>
      <w:r w:rsidRPr="00D11BEF">
        <w:rPr>
          <w:rFonts w:cs="Times New Roman"/>
          <w:sz w:val="20"/>
          <w:szCs w:val="20"/>
        </w:rPr>
        <w:t>* p &lt; .05, ** p &lt; .01, *** p &lt; .001</w:t>
      </w:r>
    </w:p>
    <w:bookmarkEnd w:id="10"/>
    <w:p w14:paraId="29C711A7" w14:textId="0FE5999F" w:rsidR="00D11BEF" w:rsidRPr="00D11BEF" w:rsidRDefault="00D11BEF" w:rsidP="00D11BEF">
      <w:pPr>
        <w:rPr>
          <w:rFonts w:cs="Times New Roman"/>
          <w:sz w:val="20"/>
          <w:szCs w:val="20"/>
        </w:rPr>
      </w:pPr>
      <w:r w:rsidRPr="00D11BEF">
        <w:rPr>
          <w:rFonts w:cs="Times New Roman"/>
          <w:sz w:val="20"/>
          <w:szCs w:val="20"/>
        </w:rPr>
        <w:t xml:space="preserve">N.b.: inwoneraantal nu als laatste toegevoegd aangezien bij deze variabele de </w:t>
      </w:r>
      <w:r w:rsidR="00D9395F">
        <w:rPr>
          <w:rFonts w:cs="Times New Roman"/>
          <w:sz w:val="20"/>
          <w:szCs w:val="20"/>
        </w:rPr>
        <w:t xml:space="preserve">pseudo </w:t>
      </w:r>
      <w:r w:rsidRPr="00D11BEF">
        <w:rPr>
          <w:rFonts w:cs="Times New Roman"/>
          <w:sz w:val="20"/>
          <w:szCs w:val="20"/>
        </w:rPr>
        <w:t>R</w:t>
      </w:r>
      <w:r w:rsidRPr="00D11BEF">
        <w:rPr>
          <w:rFonts w:cs="Times New Roman"/>
          <w:sz w:val="20"/>
          <w:szCs w:val="20"/>
          <w:vertAlign w:val="superscript"/>
        </w:rPr>
        <w:t xml:space="preserve">2 </w:t>
      </w:r>
      <w:r w:rsidRPr="00D11BEF">
        <w:rPr>
          <w:rFonts w:cs="Times New Roman"/>
          <w:sz w:val="20"/>
          <w:szCs w:val="20"/>
        </w:rPr>
        <w:t xml:space="preserve">ineens veel hoger ligt en de -2 LL beduidend lager is wanneer deze variabele afzonderlijk wordt getoetst (zie Tabel </w:t>
      </w:r>
      <w:r w:rsidR="0047047D">
        <w:rPr>
          <w:rFonts w:cs="Times New Roman"/>
          <w:sz w:val="20"/>
          <w:szCs w:val="20"/>
        </w:rPr>
        <w:t>VI</w:t>
      </w:r>
      <w:r w:rsidR="00097BFB">
        <w:rPr>
          <w:rFonts w:cs="Times New Roman"/>
          <w:sz w:val="20"/>
          <w:szCs w:val="20"/>
        </w:rPr>
        <w:t>I</w:t>
      </w:r>
      <w:r w:rsidRPr="00D11BEF">
        <w:rPr>
          <w:rFonts w:cs="Times New Roman"/>
          <w:sz w:val="20"/>
          <w:szCs w:val="20"/>
        </w:rPr>
        <w:t xml:space="preserve"> en Tabel </w:t>
      </w:r>
      <w:r w:rsidR="0047047D">
        <w:rPr>
          <w:rFonts w:cs="Times New Roman"/>
          <w:sz w:val="20"/>
          <w:szCs w:val="20"/>
        </w:rPr>
        <w:t>VII</w:t>
      </w:r>
      <w:r w:rsidR="00097BFB">
        <w:rPr>
          <w:rFonts w:cs="Times New Roman"/>
          <w:sz w:val="20"/>
          <w:szCs w:val="20"/>
        </w:rPr>
        <w:t>I</w:t>
      </w:r>
      <w:r w:rsidRPr="00D11BEF">
        <w:rPr>
          <w:rFonts w:cs="Times New Roman"/>
          <w:sz w:val="20"/>
          <w:szCs w:val="20"/>
        </w:rPr>
        <w:t>).</w:t>
      </w:r>
      <w:r w:rsidRPr="00D11BEF">
        <w:rPr>
          <w:rFonts w:cs="Times New Roman"/>
          <w:sz w:val="20"/>
          <w:szCs w:val="20"/>
        </w:rPr>
        <w:br w:type="page"/>
      </w:r>
    </w:p>
    <w:p w14:paraId="54FCF155" w14:textId="67A594C3" w:rsidR="00D11BEF" w:rsidRPr="00D11BEF" w:rsidRDefault="004910A7" w:rsidP="004910A7">
      <w:pPr>
        <w:jc w:val="left"/>
        <w:rPr>
          <w:rFonts w:cs="Times New Roman"/>
          <w:b/>
          <w:bCs/>
          <w:sz w:val="20"/>
          <w:szCs w:val="20"/>
        </w:rPr>
      </w:pPr>
      <w:bookmarkStart w:id="11" w:name="_Hlk125722539"/>
      <w:r w:rsidRPr="004910A7">
        <w:rPr>
          <w:rFonts w:cs="Times New Roman"/>
          <w:b/>
          <w:bCs/>
          <w:sz w:val="20"/>
          <w:szCs w:val="20"/>
        </w:rPr>
        <w:t xml:space="preserve">Tabel </w:t>
      </w:r>
      <w:r w:rsidR="009C2528">
        <w:rPr>
          <w:rFonts w:cs="Times New Roman"/>
          <w:b/>
          <w:bCs/>
          <w:sz w:val="20"/>
          <w:szCs w:val="20"/>
        </w:rPr>
        <w:t>X</w:t>
      </w:r>
      <w:r w:rsidRPr="004910A7">
        <w:rPr>
          <w:rFonts w:cs="Times New Roman"/>
          <w:b/>
          <w:bCs/>
          <w:sz w:val="20"/>
          <w:szCs w:val="20"/>
        </w:rPr>
        <w:t xml:space="preserve">: multinomiale logistische regressie met geen politiek-bestuurlijke Europeanisering (0) als referentiecategorie </w:t>
      </w:r>
    </w:p>
    <w:tbl>
      <w:tblPr>
        <w:tblStyle w:val="Tabelraster"/>
        <w:tblW w:w="138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3"/>
        <w:gridCol w:w="2495"/>
        <w:gridCol w:w="2527"/>
        <w:gridCol w:w="2592"/>
        <w:gridCol w:w="2527"/>
      </w:tblGrid>
      <w:tr w:rsidR="00D11BEF" w:rsidRPr="00D11BEF" w14:paraId="4C0580D9" w14:textId="77777777" w:rsidTr="006122F0">
        <w:trPr>
          <w:trHeight w:val="677"/>
        </w:trPr>
        <w:tc>
          <w:tcPr>
            <w:tcW w:w="3673" w:type="dxa"/>
            <w:tcBorders>
              <w:top w:val="single" w:sz="4" w:space="0" w:color="auto"/>
              <w:bottom w:val="single" w:sz="4" w:space="0" w:color="auto"/>
            </w:tcBorders>
          </w:tcPr>
          <w:p w14:paraId="06C33687" w14:textId="77777777" w:rsidR="00D11BEF" w:rsidRPr="00D11BEF" w:rsidRDefault="00D11BEF" w:rsidP="00D11BEF">
            <w:pPr>
              <w:spacing w:line="276" w:lineRule="auto"/>
              <w:jc w:val="left"/>
              <w:rPr>
                <w:rFonts w:eastAsia="Times New Roman" w:cs="Times New Roman"/>
                <w:sz w:val="20"/>
                <w:szCs w:val="20"/>
                <w:lang w:eastAsia="en-GB"/>
              </w:rPr>
            </w:pPr>
          </w:p>
        </w:tc>
        <w:tc>
          <w:tcPr>
            <w:tcW w:w="2495" w:type="dxa"/>
            <w:tcBorders>
              <w:top w:val="single" w:sz="4" w:space="0" w:color="auto"/>
              <w:bottom w:val="single" w:sz="4" w:space="0" w:color="auto"/>
            </w:tcBorders>
          </w:tcPr>
          <w:p w14:paraId="0A0F9B0F"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Geen (0)</w:t>
            </w:r>
            <w:r w:rsidRPr="00D11BEF">
              <w:rPr>
                <w:rFonts w:eastAsia="Times New Roman" w:cs="Times New Roman"/>
                <w:b/>
                <w:bCs/>
                <w:sz w:val="20"/>
                <w:szCs w:val="20"/>
                <w:lang w:val="en-US" w:eastAsia="en-GB"/>
              </w:rPr>
              <w:t xml:space="preserve"> vs minimal </w:t>
            </w:r>
            <w:r w:rsidRPr="00D11BEF">
              <w:rPr>
                <w:rFonts w:eastAsia="Times New Roman" w:cs="Times New Roman"/>
                <w:b/>
                <w:bCs/>
                <w:sz w:val="20"/>
                <w:szCs w:val="20"/>
                <w:lang w:eastAsia="en-GB"/>
              </w:rPr>
              <w:t>(1)</w:t>
            </w:r>
          </w:p>
          <w:p w14:paraId="13BC42E7"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2527" w:type="dxa"/>
            <w:tcBorders>
              <w:top w:val="single" w:sz="4" w:space="0" w:color="auto"/>
              <w:bottom w:val="single" w:sz="4" w:space="0" w:color="auto"/>
            </w:tcBorders>
          </w:tcPr>
          <w:p w14:paraId="385F5117"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 xml:space="preserve">Geen (0) </w:t>
            </w:r>
            <w:r w:rsidRPr="00D11BEF">
              <w:rPr>
                <w:rFonts w:eastAsia="Times New Roman" w:cs="Times New Roman"/>
                <w:b/>
                <w:bCs/>
                <w:sz w:val="20"/>
                <w:szCs w:val="20"/>
                <w:lang w:val="en-US" w:eastAsia="en-GB"/>
              </w:rPr>
              <w:t>vs</w:t>
            </w:r>
            <w:r w:rsidRPr="00D11BEF">
              <w:rPr>
                <w:rFonts w:eastAsia="Times New Roman" w:cs="Times New Roman"/>
                <w:b/>
                <w:bCs/>
                <w:sz w:val="20"/>
                <w:szCs w:val="20"/>
                <w:lang w:eastAsia="en-GB"/>
              </w:rPr>
              <w:t xml:space="preserve"> financial (2)</w:t>
            </w:r>
          </w:p>
          <w:p w14:paraId="3BB6A989"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2592" w:type="dxa"/>
            <w:tcBorders>
              <w:top w:val="single" w:sz="4" w:space="0" w:color="auto"/>
              <w:bottom w:val="single" w:sz="4" w:space="0" w:color="auto"/>
            </w:tcBorders>
          </w:tcPr>
          <w:p w14:paraId="6992BFDD"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 xml:space="preserve">Geen (0) </w:t>
            </w:r>
            <w:r w:rsidRPr="00D11BEF">
              <w:rPr>
                <w:rFonts w:eastAsia="Times New Roman" w:cs="Times New Roman"/>
                <w:b/>
                <w:bCs/>
                <w:sz w:val="20"/>
                <w:szCs w:val="20"/>
                <w:lang w:val="en-US" w:eastAsia="en-GB"/>
              </w:rPr>
              <w:t>vs networking</w:t>
            </w:r>
            <w:r w:rsidRPr="00D11BEF">
              <w:rPr>
                <w:rFonts w:eastAsia="Times New Roman" w:cs="Times New Roman"/>
                <w:b/>
                <w:bCs/>
                <w:sz w:val="20"/>
                <w:szCs w:val="20"/>
                <w:lang w:eastAsia="en-GB"/>
              </w:rPr>
              <w:t xml:space="preserve"> (3)</w:t>
            </w:r>
          </w:p>
          <w:p w14:paraId="3DD76BFC"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c>
          <w:tcPr>
            <w:tcW w:w="2527" w:type="dxa"/>
            <w:tcBorders>
              <w:top w:val="single" w:sz="4" w:space="0" w:color="auto"/>
              <w:bottom w:val="single" w:sz="4" w:space="0" w:color="auto"/>
            </w:tcBorders>
          </w:tcPr>
          <w:p w14:paraId="0C566F34"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Geen (0</w:t>
            </w:r>
            <w:r w:rsidRPr="00D11BEF">
              <w:rPr>
                <w:rFonts w:eastAsia="Times New Roman" w:cs="Times New Roman"/>
                <w:b/>
                <w:bCs/>
                <w:sz w:val="20"/>
                <w:szCs w:val="20"/>
                <w:lang w:val="en-US" w:eastAsia="en-GB"/>
              </w:rPr>
              <w:t>) vs lobbying</w:t>
            </w:r>
            <w:r w:rsidRPr="00D11BEF">
              <w:rPr>
                <w:rFonts w:eastAsia="Times New Roman" w:cs="Times New Roman"/>
                <w:b/>
                <w:bCs/>
                <w:sz w:val="20"/>
                <w:szCs w:val="20"/>
                <w:lang w:eastAsia="en-GB"/>
              </w:rPr>
              <w:t xml:space="preserve"> (4)</w:t>
            </w:r>
          </w:p>
          <w:p w14:paraId="6AF4CA65"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r>
      <w:tr w:rsidR="00D11BEF" w:rsidRPr="00D11BEF" w14:paraId="3D1FF210" w14:textId="77777777" w:rsidTr="006122F0">
        <w:trPr>
          <w:trHeight w:val="677"/>
        </w:trPr>
        <w:tc>
          <w:tcPr>
            <w:tcW w:w="3673" w:type="dxa"/>
            <w:tcBorders>
              <w:top w:val="single" w:sz="4" w:space="0" w:color="auto"/>
            </w:tcBorders>
          </w:tcPr>
          <w:p w14:paraId="0A2CDDED" w14:textId="77777777" w:rsidR="00D11BEF" w:rsidRPr="00D11BEF" w:rsidRDefault="00D11BEF" w:rsidP="00D11BEF">
            <w:pPr>
              <w:spacing w:line="276" w:lineRule="auto"/>
              <w:jc w:val="left"/>
              <w:rPr>
                <w:rFonts w:eastAsia="Times New Roman" w:cs="Times New Roman"/>
                <w:color w:val="000000"/>
                <w:sz w:val="20"/>
                <w:szCs w:val="20"/>
                <w:lang w:val="en-US" w:eastAsia="en-GB"/>
              </w:rPr>
            </w:pPr>
            <w:r w:rsidRPr="00D11BEF">
              <w:rPr>
                <w:rFonts w:eastAsia="Times New Roman" w:cs="Times New Roman"/>
                <w:color w:val="000000"/>
                <w:sz w:val="20"/>
                <w:szCs w:val="20"/>
                <w:lang w:val="en-US" w:eastAsia="en-GB"/>
              </w:rPr>
              <w:t>Intercept</w:t>
            </w:r>
          </w:p>
        </w:tc>
        <w:tc>
          <w:tcPr>
            <w:tcW w:w="2495" w:type="dxa"/>
            <w:tcBorders>
              <w:top w:val="single" w:sz="4" w:space="0" w:color="auto"/>
            </w:tcBorders>
          </w:tcPr>
          <w:p w14:paraId="764A7F7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-2.261</w:t>
            </w:r>
          </w:p>
          <w:p w14:paraId="23083B0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(1.210)</w:t>
            </w:r>
          </w:p>
        </w:tc>
        <w:tc>
          <w:tcPr>
            <w:tcW w:w="2527" w:type="dxa"/>
            <w:tcBorders>
              <w:top w:val="single" w:sz="4" w:space="0" w:color="auto"/>
            </w:tcBorders>
          </w:tcPr>
          <w:p w14:paraId="0DCCD30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-5.642***</w:t>
            </w:r>
          </w:p>
          <w:p w14:paraId="05C7C34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(1.051)</w:t>
            </w:r>
          </w:p>
        </w:tc>
        <w:tc>
          <w:tcPr>
            <w:tcW w:w="2592" w:type="dxa"/>
            <w:tcBorders>
              <w:top w:val="single" w:sz="4" w:space="0" w:color="auto"/>
            </w:tcBorders>
          </w:tcPr>
          <w:p w14:paraId="5B9C371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-7.431***</w:t>
            </w:r>
          </w:p>
          <w:p w14:paraId="12F955B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(1.217)</w:t>
            </w:r>
          </w:p>
        </w:tc>
        <w:tc>
          <w:tcPr>
            <w:tcW w:w="2527" w:type="dxa"/>
            <w:tcBorders>
              <w:top w:val="single" w:sz="4" w:space="0" w:color="auto"/>
            </w:tcBorders>
          </w:tcPr>
          <w:p w14:paraId="02599BA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-5.311***</w:t>
            </w:r>
          </w:p>
          <w:p w14:paraId="42B5378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(1.443)</w:t>
            </w:r>
          </w:p>
        </w:tc>
      </w:tr>
      <w:tr w:rsidR="00D11BEF" w:rsidRPr="00D11BEF" w14:paraId="6A86F640" w14:textId="77777777" w:rsidTr="006122F0">
        <w:trPr>
          <w:trHeight w:val="442"/>
        </w:trPr>
        <w:tc>
          <w:tcPr>
            <w:tcW w:w="3673" w:type="dxa"/>
          </w:tcPr>
          <w:p w14:paraId="0D962D4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Ontvangst EU-gelden (log)</w:t>
            </w:r>
          </w:p>
        </w:tc>
        <w:tc>
          <w:tcPr>
            <w:tcW w:w="2495" w:type="dxa"/>
          </w:tcPr>
          <w:p w14:paraId="5552B72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0.176</w:t>
            </w:r>
          </w:p>
          <w:p w14:paraId="614866BF"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color w:val="000000"/>
                <w:sz w:val="20"/>
                <w:szCs w:val="20"/>
                <w:lang w:eastAsia="en-GB"/>
              </w:rPr>
              <w:t>(0.121)</w:t>
            </w:r>
          </w:p>
        </w:tc>
        <w:tc>
          <w:tcPr>
            <w:tcW w:w="2527" w:type="dxa"/>
          </w:tcPr>
          <w:p w14:paraId="319A8D9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0.003</w:t>
            </w:r>
          </w:p>
          <w:p w14:paraId="1136E2C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(0.102)</w:t>
            </w:r>
          </w:p>
        </w:tc>
        <w:tc>
          <w:tcPr>
            <w:tcW w:w="2592" w:type="dxa"/>
          </w:tcPr>
          <w:p w14:paraId="01A5B42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0.021</w:t>
            </w:r>
          </w:p>
          <w:p w14:paraId="4CFBD0F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(0.112)</w:t>
            </w:r>
          </w:p>
        </w:tc>
        <w:tc>
          <w:tcPr>
            <w:tcW w:w="2527" w:type="dxa"/>
          </w:tcPr>
          <w:p w14:paraId="738C8D6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0.442**</w:t>
            </w:r>
          </w:p>
          <w:p w14:paraId="721A003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(0.157)</w:t>
            </w:r>
          </w:p>
        </w:tc>
      </w:tr>
      <w:tr w:rsidR="00D11BEF" w:rsidRPr="00D11BEF" w14:paraId="7988FAB6" w14:textId="77777777" w:rsidTr="006122F0">
        <w:trPr>
          <w:trHeight w:val="455"/>
        </w:trPr>
        <w:tc>
          <w:tcPr>
            <w:tcW w:w="3673" w:type="dxa"/>
          </w:tcPr>
          <w:p w14:paraId="56A1DEF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Inwoneraantal (log)</w:t>
            </w:r>
          </w:p>
        </w:tc>
        <w:tc>
          <w:tcPr>
            <w:tcW w:w="2495" w:type="dxa"/>
          </w:tcPr>
          <w:p w14:paraId="1AF3DB9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0.294</w:t>
            </w:r>
          </w:p>
          <w:p w14:paraId="183CD1C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color w:val="000000"/>
                <w:sz w:val="20"/>
                <w:szCs w:val="20"/>
                <w:lang w:eastAsia="en-GB"/>
              </w:rPr>
              <w:t>(0.193)</w:t>
            </w:r>
          </w:p>
        </w:tc>
        <w:tc>
          <w:tcPr>
            <w:tcW w:w="2527" w:type="dxa"/>
          </w:tcPr>
          <w:p w14:paraId="7047AA0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0.921***</w:t>
            </w:r>
          </w:p>
          <w:p w14:paraId="0852FBB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(0.152)</w:t>
            </w:r>
          </w:p>
        </w:tc>
        <w:tc>
          <w:tcPr>
            <w:tcW w:w="2592" w:type="dxa"/>
          </w:tcPr>
          <w:p w14:paraId="728EF98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1.196***</w:t>
            </w:r>
          </w:p>
          <w:p w14:paraId="7207F21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(0.173)</w:t>
            </w:r>
          </w:p>
        </w:tc>
        <w:tc>
          <w:tcPr>
            <w:tcW w:w="2527" w:type="dxa"/>
          </w:tcPr>
          <w:p w14:paraId="35DFE10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1.435***</w:t>
            </w:r>
          </w:p>
          <w:p w14:paraId="68C8C70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(0.211)</w:t>
            </w:r>
          </w:p>
        </w:tc>
      </w:tr>
      <w:tr w:rsidR="00D11BEF" w:rsidRPr="00D11BEF" w14:paraId="68DFAF55" w14:textId="77777777" w:rsidTr="006122F0">
        <w:trPr>
          <w:trHeight w:val="455"/>
        </w:trPr>
        <w:tc>
          <w:tcPr>
            <w:tcW w:w="3673" w:type="dxa"/>
          </w:tcPr>
          <w:p w14:paraId="170712C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Solvabiliteitsratio</w:t>
            </w:r>
          </w:p>
        </w:tc>
        <w:tc>
          <w:tcPr>
            <w:tcW w:w="2495" w:type="dxa"/>
          </w:tcPr>
          <w:p w14:paraId="05681D1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-0.017</w:t>
            </w:r>
          </w:p>
          <w:p w14:paraId="06317339"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color w:val="000000"/>
                <w:sz w:val="20"/>
                <w:szCs w:val="20"/>
                <w:lang w:eastAsia="en-GB"/>
              </w:rPr>
              <w:t>(0.731)</w:t>
            </w:r>
          </w:p>
        </w:tc>
        <w:tc>
          <w:tcPr>
            <w:tcW w:w="2527" w:type="dxa"/>
          </w:tcPr>
          <w:p w14:paraId="321E001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-0.669</w:t>
            </w:r>
          </w:p>
          <w:p w14:paraId="43F6368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(0.612)</w:t>
            </w:r>
          </w:p>
        </w:tc>
        <w:tc>
          <w:tcPr>
            <w:tcW w:w="2592" w:type="dxa"/>
          </w:tcPr>
          <w:p w14:paraId="5797313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-0.752</w:t>
            </w:r>
          </w:p>
          <w:p w14:paraId="5E47BFB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(0.705)</w:t>
            </w:r>
          </w:p>
        </w:tc>
        <w:tc>
          <w:tcPr>
            <w:tcW w:w="2527" w:type="dxa"/>
          </w:tcPr>
          <w:p w14:paraId="01933DF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-2.064*</w:t>
            </w:r>
          </w:p>
          <w:p w14:paraId="08BD7FE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(0.945)</w:t>
            </w:r>
          </w:p>
        </w:tc>
      </w:tr>
      <w:tr w:rsidR="00D11BEF" w:rsidRPr="00D11BEF" w14:paraId="3F57C998" w14:textId="77777777" w:rsidTr="006122F0">
        <w:trPr>
          <w:trHeight w:val="442"/>
        </w:trPr>
        <w:tc>
          <w:tcPr>
            <w:tcW w:w="3673" w:type="dxa"/>
          </w:tcPr>
          <w:p w14:paraId="685637F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Grensgemeenten</w:t>
            </w:r>
          </w:p>
        </w:tc>
        <w:tc>
          <w:tcPr>
            <w:tcW w:w="2495" w:type="dxa"/>
          </w:tcPr>
          <w:p w14:paraId="4EAEE0D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-0.283</w:t>
            </w:r>
          </w:p>
          <w:p w14:paraId="25F4829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(0.420)</w:t>
            </w:r>
          </w:p>
        </w:tc>
        <w:tc>
          <w:tcPr>
            <w:tcW w:w="2527" w:type="dxa"/>
          </w:tcPr>
          <w:p w14:paraId="304245E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0.450</w:t>
            </w:r>
          </w:p>
          <w:p w14:paraId="797F819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(0.279)</w:t>
            </w:r>
          </w:p>
        </w:tc>
        <w:tc>
          <w:tcPr>
            <w:tcW w:w="2592" w:type="dxa"/>
          </w:tcPr>
          <w:p w14:paraId="2B9C125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2.097***</w:t>
            </w:r>
          </w:p>
          <w:p w14:paraId="1D78775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(0.250)</w:t>
            </w:r>
          </w:p>
        </w:tc>
        <w:tc>
          <w:tcPr>
            <w:tcW w:w="2527" w:type="dxa"/>
          </w:tcPr>
          <w:p w14:paraId="3186EF0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0.377</w:t>
            </w:r>
          </w:p>
          <w:p w14:paraId="208C3EF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(0.431)</w:t>
            </w:r>
          </w:p>
        </w:tc>
      </w:tr>
      <w:tr w:rsidR="00D11BEF" w:rsidRPr="00D11BEF" w14:paraId="14869C40" w14:textId="77777777" w:rsidTr="006122F0">
        <w:trPr>
          <w:trHeight w:val="677"/>
        </w:trPr>
        <w:tc>
          <w:tcPr>
            <w:tcW w:w="3673" w:type="dxa"/>
          </w:tcPr>
          <w:p w14:paraId="25DD937A" w14:textId="1B2CCE11" w:rsidR="00D11BEF" w:rsidRPr="00D11BEF" w:rsidRDefault="00476F21" w:rsidP="00D11BEF">
            <w:pPr>
              <w:spacing w:line="276" w:lineRule="auto"/>
              <w:jc w:val="left"/>
              <w:rPr>
                <w:rFonts w:eastAsia="Times New Roman" w:cs="Times New Roman"/>
                <w:color w:val="000000"/>
                <w:sz w:val="20"/>
                <w:szCs w:val="20"/>
                <w:lang w:eastAsia="en-GB"/>
              </w:rPr>
            </w:pPr>
            <w:r>
              <w:rPr>
                <w:rFonts w:eastAsia="Times New Roman" w:cs="Times New Roman"/>
                <w:color w:val="000000"/>
                <w:sz w:val="20"/>
                <w:szCs w:val="20"/>
                <w:lang w:eastAsia="en-GB"/>
              </w:rPr>
              <w:t>Opstelling</w:t>
            </w:r>
            <w:r w:rsidR="00D11BEF" w:rsidRPr="00D11BEF">
              <w:rPr>
                <w:rFonts w:eastAsia="Times New Roman" w:cs="Times New Roman"/>
                <w:color w:val="000000"/>
                <w:sz w:val="20"/>
                <w:szCs w:val="20"/>
                <w:lang w:eastAsia="en-GB"/>
              </w:rPr>
              <w:t xml:space="preserve"> gemeentebestuur</w:t>
            </w:r>
          </w:p>
        </w:tc>
        <w:tc>
          <w:tcPr>
            <w:tcW w:w="2495" w:type="dxa"/>
          </w:tcPr>
          <w:p w14:paraId="406F7F3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-0.105</w:t>
            </w:r>
          </w:p>
          <w:p w14:paraId="106F6CC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(0.349)</w:t>
            </w:r>
          </w:p>
        </w:tc>
        <w:tc>
          <w:tcPr>
            <w:tcW w:w="2527" w:type="dxa"/>
          </w:tcPr>
          <w:p w14:paraId="1DAC7F9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0.228</w:t>
            </w:r>
          </w:p>
          <w:p w14:paraId="7DA8466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(0.304)</w:t>
            </w:r>
          </w:p>
        </w:tc>
        <w:tc>
          <w:tcPr>
            <w:tcW w:w="2592" w:type="dxa"/>
          </w:tcPr>
          <w:p w14:paraId="3BA2E41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0.240</w:t>
            </w:r>
          </w:p>
          <w:p w14:paraId="7315498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(0.354)</w:t>
            </w:r>
          </w:p>
        </w:tc>
        <w:tc>
          <w:tcPr>
            <w:tcW w:w="2527" w:type="dxa"/>
          </w:tcPr>
          <w:p w14:paraId="12B3A87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-0.403</w:t>
            </w:r>
          </w:p>
          <w:p w14:paraId="115211E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(0.451)</w:t>
            </w:r>
          </w:p>
        </w:tc>
      </w:tr>
      <w:tr w:rsidR="00D11BEF" w:rsidRPr="00D11BEF" w14:paraId="7C42FD5C" w14:textId="77777777" w:rsidTr="006122F0">
        <w:trPr>
          <w:trHeight w:val="442"/>
        </w:trPr>
        <w:tc>
          <w:tcPr>
            <w:tcW w:w="3673" w:type="dxa"/>
          </w:tcPr>
          <w:p w14:paraId="0B24ECFD" w14:textId="77777777" w:rsidR="00D11BEF" w:rsidRPr="00D11BEF" w:rsidRDefault="00D11BEF" w:rsidP="00D11BEF">
            <w:pPr>
              <w:spacing w:line="276" w:lineRule="auto"/>
              <w:jc w:val="left"/>
              <w:rPr>
                <w:rFonts w:eastAsia="Times New Roman" w:cs="Times New Roman"/>
                <w:i/>
                <w:iCs/>
                <w:color w:val="000000"/>
                <w:sz w:val="20"/>
                <w:szCs w:val="20"/>
                <w:lang w:eastAsia="en-GB"/>
              </w:rPr>
            </w:pPr>
            <w:r w:rsidRPr="00D11BEF">
              <w:rPr>
                <w:rFonts w:eastAsia="Times New Roman" w:cs="Times New Roman"/>
                <w:i/>
                <w:iCs/>
                <w:color w:val="000000"/>
                <w:sz w:val="20"/>
                <w:szCs w:val="20"/>
                <w:lang w:eastAsia="en-GB"/>
              </w:rPr>
              <w:t>Controle</w:t>
            </w:r>
          </w:p>
        </w:tc>
        <w:tc>
          <w:tcPr>
            <w:tcW w:w="2495" w:type="dxa"/>
          </w:tcPr>
          <w:p w14:paraId="22A4600E"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2527" w:type="dxa"/>
          </w:tcPr>
          <w:p w14:paraId="1705D121"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2592" w:type="dxa"/>
          </w:tcPr>
          <w:p w14:paraId="5534A2DF"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2527" w:type="dxa"/>
          </w:tcPr>
          <w:p w14:paraId="5F593494"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1227B65C" w14:textId="77777777" w:rsidTr="006122F0">
        <w:trPr>
          <w:trHeight w:val="455"/>
        </w:trPr>
        <w:tc>
          <w:tcPr>
            <w:tcW w:w="3673" w:type="dxa"/>
          </w:tcPr>
          <w:p w14:paraId="30FEAC5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2022</w:t>
            </w:r>
          </w:p>
        </w:tc>
        <w:tc>
          <w:tcPr>
            <w:tcW w:w="2495" w:type="dxa"/>
          </w:tcPr>
          <w:p w14:paraId="352600B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27" w:type="dxa"/>
          </w:tcPr>
          <w:p w14:paraId="0DF70D8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92" w:type="dxa"/>
          </w:tcPr>
          <w:p w14:paraId="59CFD19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27" w:type="dxa"/>
          </w:tcPr>
          <w:p w14:paraId="14A8288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7F82CA2B" w14:textId="77777777" w:rsidTr="006122F0">
        <w:trPr>
          <w:trHeight w:val="442"/>
        </w:trPr>
        <w:tc>
          <w:tcPr>
            <w:tcW w:w="3673" w:type="dxa"/>
          </w:tcPr>
          <w:p w14:paraId="188BAFC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2018</w:t>
            </w:r>
          </w:p>
        </w:tc>
        <w:tc>
          <w:tcPr>
            <w:tcW w:w="2495" w:type="dxa"/>
          </w:tcPr>
          <w:p w14:paraId="41E4372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-0.429</w:t>
            </w:r>
          </w:p>
          <w:p w14:paraId="6B2460F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(0.312)</w:t>
            </w:r>
          </w:p>
        </w:tc>
        <w:tc>
          <w:tcPr>
            <w:tcW w:w="2527" w:type="dxa"/>
          </w:tcPr>
          <w:p w14:paraId="6DA85AA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-0.475</w:t>
            </w:r>
          </w:p>
          <w:p w14:paraId="6EAB067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(0.271)</w:t>
            </w:r>
          </w:p>
        </w:tc>
        <w:tc>
          <w:tcPr>
            <w:tcW w:w="2592" w:type="dxa"/>
          </w:tcPr>
          <w:p w14:paraId="32250EC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0.345</w:t>
            </w:r>
          </w:p>
          <w:p w14:paraId="52B4BD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(0.275)</w:t>
            </w:r>
          </w:p>
        </w:tc>
        <w:tc>
          <w:tcPr>
            <w:tcW w:w="2527" w:type="dxa"/>
          </w:tcPr>
          <w:p w14:paraId="7ADBEBC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-0.407</w:t>
            </w:r>
          </w:p>
          <w:p w14:paraId="61F1422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(0.386)</w:t>
            </w:r>
          </w:p>
        </w:tc>
      </w:tr>
      <w:tr w:rsidR="00D11BEF" w:rsidRPr="00D11BEF" w14:paraId="0B1DA915" w14:textId="77777777" w:rsidTr="006122F0">
        <w:trPr>
          <w:trHeight w:val="455"/>
        </w:trPr>
        <w:tc>
          <w:tcPr>
            <w:tcW w:w="3673" w:type="dxa"/>
          </w:tcPr>
          <w:p w14:paraId="5792E02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2014</w:t>
            </w:r>
          </w:p>
        </w:tc>
        <w:tc>
          <w:tcPr>
            <w:tcW w:w="2495" w:type="dxa"/>
          </w:tcPr>
          <w:p w14:paraId="38AF61F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-0.662</w:t>
            </w:r>
          </w:p>
          <w:p w14:paraId="3B4EE48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(0.351)</w:t>
            </w:r>
          </w:p>
        </w:tc>
        <w:tc>
          <w:tcPr>
            <w:tcW w:w="2527" w:type="dxa"/>
          </w:tcPr>
          <w:p w14:paraId="5CA0E82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0.355</w:t>
            </w:r>
          </w:p>
          <w:p w14:paraId="23F7F2D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(0.295)</w:t>
            </w:r>
          </w:p>
        </w:tc>
        <w:tc>
          <w:tcPr>
            <w:tcW w:w="2592" w:type="dxa"/>
          </w:tcPr>
          <w:p w14:paraId="7A2C22E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0.155</w:t>
            </w:r>
          </w:p>
          <w:p w14:paraId="0A44015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(0.341)</w:t>
            </w:r>
          </w:p>
        </w:tc>
        <w:tc>
          <w:tcPr>
            <w:tcW w:w="2527" w:type="dxa"/>
          </w:tcPr>
          <w:p w14:paraId="6DF41F2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-0.140</w:t>
            </w:r>
          </w:p>
          <w:p w14:paraId="495CE08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(0.424)</w:t>
            </w:r>
          </w:p>
        </w:tc>
      </w:tr>
      <w:tr w:rsidR="00D11BEF" w:rsidRPr="00D11BEF" w14:paraId="15B46E32" w14:textId="77777777" w:rsidTr="006122F0">
        <w:trPr>
          <w:trHeight w:val="442"/>
        </w:trPr>
        <w:tc>
          <w:tcPr>
            <w:tcW w:w="3673" w:type="dxa"/>
          </w:tcPr>
          <w:p w14:paraId="0BEC338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Geen aandacht</w:t>
            </w:r>
          </w:p>
        </w:tc>
        <w:tc>
          <w:tcPr>
            <w:tcW w:w="2495" w:type="dxa"/>
          </w:tcPr>
          <w:p w14:paraId="7F8215B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27" w:type="dxa"/>
          </w:tcPr>
          <w:p w14:paraId="3C87EC7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92" w:type="dxa"/>
          </w:tcPr>
          <w:p w14:paraId="45885D8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c>
          <w:tcPr>
            <w:tcW w:w="2527" w:type="dxa"/>
          </w:tcPr>
          <w:p w14:paraId="1B7940B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Ref</w:t>
            </w:r>
          </w:p>
        </w:tc>
      </w:tr>
      <w:tr w:rsidR="00D11BEF" w:rsidRPr="00D11BEF" w14:paraId="2F48447E" w14:textId="77777777" w:rsidTr="006122F0">
        <w:trPr>
          <w:trHeight w:val="455"/>
        </w:trPr>
        <w:tc>
          <w:tcPr>
            <w:tcW w:w="3673" w:type="dxa"/>
            <w:tcBorders>
              <w:bottom w:val="single" w:sz="4" w:space="0" w:color="auto"/>
            </w:tcBorders>
          </w:tcPr>
          <w:p w14:paraId="45F4331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Wel aandacht </w:t>
            </w:r>
          </w:p>
        </w:tc>
        <w:tc>
          <w:tcPr>
            <w:tcW w:w="2495" w:type="dxa"/>
            <w:tcBorders>
              <w:bottom w:val="single" w:sz="4" w:space="0" w:color="auto"/>
            </w:tcBorders>
          </w:tcPr>
          <w:p w14:paraId="44595C77"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0.291</w:t>
            </w:r>
          </w:p>
          <w:p w14:paraId="333D09E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(0.347)</w:t>
            </w:r>
          </w:p>
        </w:tc>
        <w:tc>
          <w:tcPr>
            <w:tcW w:w="2527" w:type="dxa"/>
            <w:tcBorders>
              <w:bottom w:val="single" w:sz="4" w:space="0" w:color="auto"/>
            </w:tcBorders>
          </w:tcPr>
          <w:p w14:paraId="47B210D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1.065***</w:t>
            </w:r>
          </w:p>
          <w:p w14:paraId="153C5F0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(0.274)</w:t>
            </w:r>
          </w:p>
        </w:tc>
        <w:tc>
          <w:tcPr>
            <w:tcW w:w="2592" w:type="dxa"/>
            <w:tcBorders>
              <w:bottom w:val="single" w:sz="4" w:space="0" w:color="auto"/>
            </w:tcBorders>
          </w:tcPr>
          <w:p w14:paraId="4817148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0.995***</w:t>
            </w:r>
          </w:p>
          <w:p w14:paraId="387AFEE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(0.278)</w:t>
            </w:r>
          </w:p>
        </w:tc>
        <w:tc>
          <w:tcPr>
            <w:tcW w:w="2527" w:type="dxa"/>
            <w:tcBorders>
              <w:bottom w:val="single" w:sz="4" w:space="0" w:color="auto"/>
            </w:tcBorders>
          </w:tcPr>
          <w:p w14:paraId="6191631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0.805*</w:t>
            </w:r>
          </w:p>
          <w:p w14:paraId="219369A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(0.397)</w:t>
            </w:r>
          </w:p>
        </w:tc>
      </w:tr>
      <w:tr w:rsidR="00D11BEF" w:rsidRPr="00D11BEF" w14:paraId="3BE8F143" w14:textId="77777777" w:rsidTr="006122F0">
        <w:trPr>
          <w:trHeight w:val="405"/>
        </w:trPr>
        <w:tc>
          <w:tcPr>
            <w:tcW w:w="3673" w:type="dxa"/>
            <w:tcBorders>
              <w:top w:val="single" w:sz="4" w:space="0" w:color="auto"/>
              <w:bottom w:val="single" w:sz="4" w:space="0" w:color="auto"/>
            </w:tcBorders>
          </w:tcPr>
          <w:p w14:paraId="02786B0C" w14:textId="1533A892"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Cox &amp; </w:t>
            </w:r>
            <w:r w:rsidRPr="00D11BEF">
              <w:rPr>
                <w:rFonts w:eastAsia="Times New Roman" w:cs="Times New Roman"/>
                <w:color w:val="000000"/>
                <w:sz w:val="20"/>
                <w:szCs w:val="20"/>
                <w:lang w:val="en-US" w:eastAsia="en-GB"/>
              </w:rPr>
              <w:t xml:space="preserve">Snell </w:t>
            </w:r>
            <w:r w:rsidR="00D9395F">
              <w:rPr>
                <w:rFonts w:eastAsia="Times New Roman" w:cs="Times New Roman"/>
                <w:color w:val="000000"/>
                <w:sz w:val="20"/>
                <w:szCs w:val="20"/>
                <w:lang w:val="en-US" w:eastAsia="en-GB"/>
              </w:rPr>
              <w:t xml:space="preserve">pseudo </w:t>
            </w:r>
            <w:r w:rsidRPr="00D11BEF">
              <w:rPr>
                <w:rFonts w:eastAsia="Times New Roman" w:cs="Times New Roman"/>
                <w:color w:val="000000"/>
                <w:sz w:val="20"/>
                <w:szCs w:val="20"/>
                <w:lang w:eastAsia="en-GB"/>
              </w:rPr>
              <w:t>R²</w:t>
            </w:r>
          </w:p>
          <w:p w14:paraId="60AF5398" w14:textId="741948C9"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Nagelkerke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tc>
        <w:tc>
          <w:tcPr>
            <w:tcW w:w="2495" w:type="dxa"/>
            <w:tcBorders>
              <w:top w:val="single" w:sz="4" w:space="0" w:color="auto"/>
              <w:bottom w:val="single" w:sz="4" w:space="0" w:color="auto"/>
            </w:tcBorders>
          </w:tcPr>
          <w:p w14:paraId="4126DCD1"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0.252</w:t>
            </w:r>
          </w:p>
          <w:p w14:paraId="0AF20C4E"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0.285</w:t>
            </w:r>
          </w:p>
        </w:tc>
        <w:tc>
          <w:tcPr>
            <w:tcW w:w="2527" w:type="dxa"/>
            <w:tcBorders>
              <w:top w:val="single" w:sz="4" w:space="0" w:color="auto"/>
              <w:bottom w:val="single" w:sz="4" w:space="0" w:color="auto"/>
            </w:tcBorders>
          </w:tcPr>
          <w:p w14:paraId="02CEBFAA" w14:textId="77777777" w:rsidR="00D11BEF" w:rsidRPr="00D11BEF" w:rsidRDefault="00D11BEF" w:rsidP="00D11BEF">
            <w:pPr>
              <w:spacing w:line="276" w:lineRule="auto"/>
              <w:jc w:val="left"/>
              <w:rPr>
                <w:rFonts w:eastAsia="Times New Roman" w:cs="Times New Roman"/>
                <w:sz w:val="20"/>
                <w:szCs w:val="20"/>
                <w:lang w:eastAsia="en-GB"/>
              </w:rPr>
            </w:pPr>
          </w:p>
        </w:tc>
        <w:tc>
          <w:tcPr>
            <w:tcW w:w="2592" w:type="dxa"/>
            <w:tcBorders>
              <w:top w:val="single" w:sz="4" w:space="0" w:color="auto"/>
              <w:bottom w:val="single" w:sz="4" w:space="0" w:color="auto"/>
            </w:tcBorders>
          </w:tcPr>
          <w:p w14:paraId="509BA07E" w14:textId="77777777" w:rsidR="00D11BEF" w:rsidRPr="00D11BEF" w:rsidRDefault="00D11BEF" w:rsidP="00D11BEF">
            <w:pPr>
              <w:spacing w:line="276" w:lineRule="auto"/>
              <w:jc w:val="left"/>
              <w:rPr>
                <w:rFonts w:eastAsia="Times New Roman" w:cs="Times New Roman"/>
                <w:sz w:val="20"/>
                <w:szCs w:val="20"/>
                <w:lang w:eastAsia="en-GB"/>
              </w:rPr>
            </w:pPr>
          </w:p>
        </w:tc>
        <w:tc>
          <w:tcPr>
            <w:tcW w:w="2527" w:type="dxa"/>
            <w:tcBorders>
              <w:top w:val="single" w:sz="4" w:space="0" w:color="auto"/>
              <w:bottom w:val="single" w:sz="4" w:space="0" w:color="auto"/>
            </w:tcBorders>
          </w:tcPr>
          <w:p w14:paraId="7D68E367" w14:textId="77777777" w:rsidR="00D11BEF" w:rsidRPr="00D11BEF" w:rsidRDefault="00D11BEF" w:rsidP="00D11BEF">
            <w:pPr>
              <w:spacing w:line="276" w:lineRule="auto"/>
              <w:jc w:val="left"/>
              <w:rPr>
                <w:rFonts w:eastAsia="Times New Roman" w:cs="Times New Roman"/>
                <w:sz w:val="20"/>
                <w:szCs w:val="20"/>
                <w:lang w:eastAsia="en-GB"/>
              </w:rPr>
            </w:pPr>
          </w:p>
        </w:tc>
      </w:tr>
      <w:tr w:rsidR="00D11BEF" w:rsidRPr="00D11BEF" w14:paraId="493E8487" w14:textId="77777777" w:rsidTr="006122F0">
        <w:trPr>
          <w:trHeight w:val="405"/>
        </w:trPr>
        <w:tc>
          <w:tcPr>
            <w:tcW w:w="3673" w:type="dxa"/>
            <w:tcBorders>
              <w:top w:val="single" w:sz="4" w:space="0" w:color="auto"/>
              <w:bottom w:val="single" w:sz="4" w:space="0" w:color="auto"/>
            </w:tcBorders>
          </w:tcPr>
          <w:p w14:paraId="727C612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 LL</w:t>
            </w:r>
          </w:p>
          <w:p w14:paraId="28A79F0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Chi-square</w:t>
            </w:r>
          </w:p>
        </w:tc>
        <w:tc>
          <w:tcPr>
            <w:tcW w:w="2495" w:type="dxa"/>
            <w:tcBorders>
              <w:top w:val="single" w:sz="4" w:space="0" w:color="auto"/>
              <w:bottom w:val="single" w:sz="4" w:space="0" w:color="auto"/>
            </w:tcBorders>
          </w:tcPr>
          <w:p w14:paraId="418DDB6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2011.5</w:t>
            </w:r>
          </w:p>
          <w:p w14:paraId="7A26561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312.6*** [df32]</w:t>
            </w:r>
          </w:p>
        </w:tc>
        <w:tc>
          <w:tcPr>
            <w:tcW w:w="2527" w:type="dxa"/>
            <w:tcBorders>
              <w:top w:val="single" w:sz="4" w:space="0" w:color="auto"/>
              <w:bottom w:val="single" w:sz="4" w:space="0" w:color="auto"/>
            </w:tcBorders>
          </w:tcPr>
          <w:p w14:paraId="2BC22E4A"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2592" w:type="dxa"/>
            <w:tcBorders>
              <w:top w:val="single" w:sz="4" w:space="0" w:color="auto"/>
              <w:bottom w:val="single" w:sz="4" w:space="0" w:color="auto"/>
            </w:tcBorders>
          </w:tcPr>
          <w:p w14:paraId="537696B0" w14:textId="77777777" w:rsidR="00D11BEF" w:rsidRPr="00D11BEF" w:rsidRDefault="00D11BEF" w:rsidP="00D11BEF">
            <w:pPr>
              <w:spacing w:line="276" w:lineRule="auto"/>
              <w:jc w:val="left"/>
              <w:rPr>
                <w:rFonts w:eastAsia="Times New Roman" w:cs="Times New Roman"/>
                <w:color w:val="000000"/>
                <w:sz w:val="20"/>
                <w:szCs w:val="20"/>
                <w:lang w:eastAsia="en-GB"/>
              </w:rPr>
            </w:pPr>
          </w:p>
        </w:tc>
        <w:tc>
          <w:tcPr>
            <w:tcW w:w="2527" w:type="dxa"/>
            <w:tcBorders>
              <w:top w:val="single" w:sz="4" w:space="0" w:color="auto"/>
              <w:bottom w:val="single" w:sz="4" w:space="0" w:color="auto"/>
            </w:tcBorders>
          </w:tcPr>
          <w:p w14:paraId="077FB48F"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bl>
    <w:p w14:paraId="218887E6" w14:textId="29EC4437" w:rsidR="00D11BEF" w:rsidRPr="00D11BEF" w:rsidRDefault="00D11BEF" w:rsidP="004910A7">
      <w:pPr>
        <w:rPr>
          <w:rFonts w:cs="Times New Roman"/>
          <w:sz w:val="20"/>
          <w:szCs w:val="20"/>
        </w:rPr>
        <w:sectPr w:rsidR="00D11BEF" w:rsidRPr="00D11BEF" w:rsidSect="00DD479B">
          <w:pgSz w:w="16838" w:h="11906" w:orient="landscape"/>
          <w:pgMar w:top="1417" w:right="1417" w:bottom="1417" w:left="1417" w:header="708" w:footer="708" w:gutter="0"/>
          <w:cols w:space="708"/>
          <w:docGrid w:linePitch="360"/>
        </w:sectPr>
      </w:pPr>
      <w:r w:rsidRPr="00D11BEF">
        <w:rPr>
          <w:rFonts w:cs="Times New Roman"/>
          <w:sz w:val="20"/>
          <w:szCs w:val="20"/>
        </w:rPr>
        <w:t>* p &lt; .05, ** p &lt; .01, *** p &lt; .001</w:t>
      </w:r>
    </w:p>
    <w:bookmarkEnd w:id="11"/>
    <w:p w14:paraId="0DD2428C" w14:textId="41081C26" w:rsidR="00D11BEF" w:rsidRPr="00D11BEF" w:rsidRDefault="003A7BC2" w:rsidP="003A7BC2">
      <w:pPr>
        <w:spacing w:line="276" w:lineRule="auto"/>
        <w:jc w:val="left"/>
        <w:rPr>
          <w:rFonts w:cs="Times New Roman"/>
          <w:b/>
          <w:bCs/>
          <w:sz w:val="20"/>
          <w:szCs w:val="20"/>
        </w:rPr>
      </w:pPr>
      <w:r>
        <w:rPr>
          <w:rFonts w:cs="Times New Roman"/>
          <w:b/>
          <w:bCs/>
          <w:sz w:val="20"/>
          <w:szCs w:val="20"/>
        </w:rPr>
        <w:t xml:space="preserve">Tabel </w:t>
      </w:r>
      <w:r w:rsidR="009C2528">
        <w:rPr>
          <w:rFonts w:cs="Times New Roman"/>
          <w:b/>
          <w:bCs/>
          <w:sz w:val="20"/>
          <w:szCs w:val="20"/>
        </w:rPr>
        <w:t>X</w:t>
      </w:r>
      <w:r w:rsidR="00097BFB">
        <w:rPr>
          <w:rFonts w:cs="Times New Roman"/>
          <w:b/>
          <w:bCs/>
          <w:sz w:val="20"/>
          <w:szCs w:val="20"/>
        </w:rPr>
        <w:t>I</w:t>
      </w:r>
      <w:r>
        <w:rPr>
          <w:rFonts w:cs="Times New Roman"/>
          <w:b/>
          <w:bCs/>
          <w:sz w:val="20"/>
          <w:szCs w:val="20"/>
        </w:rPr>
        <w:t xml:space="preserve">: </w:t>
      </w:r>
      <w:r w:rsidR="0053267F">
        <w:rPr>
          <w:rFonts w:cs="Times New Roman"/>
          <w:b/>
          <w:bCs/>
          <w:sz w:val="20"/>
          <w:szCs w:val="20"/>
        </w:rPr>
        <w:t>o</w:t>
      </w:r>
      <w:r w:rsidR="00A736B8">
        <w:rPr>
          <w:rFonts w:cs="Times New Roman"/>
          <w:b/>
          <w:bCs/>
          <w:sz w:val="20"/>
          <w:szCs w:val="20"/>
        </w:rPr>
        <w:t>rdinale logistische regressieanalyse</w:t>
      </w:r>
      <w:r>
        <w:rPr>
          <w:rFonts w:cs="Times New Roman"/>
          <w:b/>
          <w:bCs/>
          <w:sz w:val="20"/>
          <w:szCs w:val="20"/>
        </w:rPr>
        <w:t xml:space="preserve"> voor de mate van Europeanisering</w:t>
      </w:r>
    </w:p>
    <w:tbl>
      <w:tblPr>
        <w:tblStyle w:val="Tabelraster"/>
        <w:tblW w:w="4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725"/>
      </w:tblGrid>
      <w:tr w:rsidR="00D11BEF" w:rsidRPr="00D11BEF" w14:paraId="549C21DA" w14:textId="77777777" w:rsidTr="006122F0">
        <w:trPr>
          <w:trHeight w:val="677"/>
        </w:trPr>
        <w:tc>
          <w:tcPr>
            <w:tcW w:w="2835" w:type="dxa"/>
            <w:tcBorders>
              <w:top w:val="single" w:sz="4" w:space="0" w:color="auto"/>
              <w:bottom w:val="single" w:sz="4" w:space="0" w:color="auto"/>
            </w:tcBorders>
          </w:tcPr>
          <w:p w14:paraId="564FACFB" w14:textId="77777777" w:rsidR="00D11BEF" w:rsidRPr="00D11BEF" w:rsidRDefault="00D11BEF" w:rsidP="00D11BEF">
            <w:pPr>
              <w:spacing w:line="276" w:lineRule="auto"/>
              <w:jc w:val="left"/>
              <w:rPr>
                <w:rFonts w:eastAsia="Times New Roman" w:cs="Times New Roman"/>
                <w:sz w:val="20"/>
                <w:szCs w:val="20"/>
                <w:lang w:eastAsia="en-GB"/>
              </w:rPr>
            </w:pPr>
          </w:p>
        </w:tc>
        <w:tc>
          <w:tcPr>
            <w:tcW w:w="1725" w:type="dxa"/>
            <w:tcBorders>
              <w:top w:val="single" w:sz="4" w:space="0" w:color="auto"/>
              <w:bottom w:val="single" w:sz="4" w:space="0" w:color="auto"/>
            </w:tcBorders>
          </w:tcPr>
          <w:p w14:paraId="49ABF4E5" w14:textId="77777777" w:rsidR="00D11BEF" w:rsidRPr="00D11BEF" w:rsidRDefault="00D11BEF" w:rsidP="00D11BEF">
            <w:pPr>
              <w:spacing w:line="276" w:lineRule="auto"/>
              <w:jc w:val="left"/>
              <w:rPr>
                <w:rFonts w:eastAsia="Times New Roman" w:cs="Times New Roman"/>
                <w:b/>
                <w:bCs/>
                <w:sz w:val="20"/>
                <w:szCs w:val="20"/>
                <w:lang w:eastAsia="en-GB"/>
              </w:rPr>
            </w:pPr>
            <w:r w:rsidRPr="00D11BEF">
              <w:rPr>
                <w:rFonts w:eastAsia="Times New Roman" w:cs="Times New Roman"/>
                <w:b/>
                <w:bCs/>
                <w:sz w:val="20"/>
                <w:szCs w:val="20"/>
                <w:lang w:eastAsia="en-GB"/>
              </w:rPr>
              <w:t>Model 5</w:t>
            </w:r>
          </w:p>
          <w:p w14:paraId="64DEDB9E"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i/>
                <w:iCs/>
                <w:sz w:val="20"/>
                <w:szCs w:val="20"/>
                <w:lang w:eastAsia="en-GB"/>
              </w:rPr>
              <w:t xml:space="preserve">b </w:t>
            </w:r>
            <w:r w:rsidRPr="00D11BEF">
              <w:rPr>
                <w:rFonts w:eastAsia="Times New Roman" w:cs="Times New Roman"/>
                <w:sz w:val="20"/>
                <w:szCs w:val="20"/>
                <w:lang w:eastAsia="en-GB"/>
              </w:rPr>
              <w:t>(SE)</w:t>
            </w:r>
          </w:p>
        </w:tc>
      </w:tr>
      <w:tr w:rsidR="00D11BEF" w:rsidRPr="00D11BEF" w14:paraId="223767B2" w14:textId="77777777" w:rsidTr="006122F0">
        <w:trPr>
          <w:trHeight w:val="442"/>
        </w:trPr>
        <w:tc>
          <w:tcPr>
            <w:tcW w:w="2835" w:type="dxa"/>
          </w:tcPr>
          <w:p w14:paraId="04CB7FC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Ontvangst EU-gelden (log)</w:t>
            </w:r>
          </w:p>
        </w:tc>
        <w:tc>
          <w:tcPr>
            <w:tcW w:w="1725" w:type="dxa"/>
            <w:tcBorders>
              <w:top w:val="single" w:sz="4" w:space="0" w:color="auto"/>
              <w:left w:val="nil"/>
              <w:bottom w:val="nil"/>
              <w:right w:val="nil"/>
            </w:tcBorders>
            <w:shd w:val="clear" w:color="auto" w:fill="FFFFFF"/>
          </w:tcPr>
          <w:p w14:paraId="0DF228D3" w14:textId="77777777" w:rsidR="00D11BEF" w:rsidRPr="00D11BEF" w:rsidRDefault="00D11BEF" w:rsidP="00D11BEF">
            <w:pPr>
              <w:rPr>
                <w:rFonts w:cs="Times New Roman"/>
                <w:sz w:val="20"/>
                <w:szCs w:val="20"/>
              </w:rPr>
            </w:pPr>
            <w:r w:rsidRPr="00D11BEF">
              <w:rPr>
                <w:rFonts w:cs="Times New Roman"/>
                <w:sz w:val="20"/>
                <w:szCs w:val="20"/>
              </w:rPr>
              <w:t>-0.023</w:t>
            </w:r>
          </w:p>
          <w:p w14:paraId="1E14E23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(0.064)</w:t>
            </w:r>
          </w:p>
        </w:tc>
      </w:tr>
      <w:tr w:rsidR="00D11BEF" w:rsidRPr="00D11BEF" w14:paraId="356C5B87" w14:textId="77777777" w:rsidTr="006122F0">
        <w:trPr>
          <w:trHeight w:val="455"/>
        </w:trPr>
        <w:tc>
          <w:tcPr>
            <w:tcW w:w="2835" w:type="dxa"/>
          </w:tcPr>
          <w:p w14:paraId="4291D9F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Inwoneraantal (log)</w:t>
            </w:r>
          </w:p>
        </w:tc>
        <w:tc>
          <w:tcPr>
            <w:tcW w:w="1725" w:type="dxa"/>
            <w:tcBorders>
              <w:top w:val="nil"/>
              <w:left w:val="nil"/>
              <w:bottom w:val="nil"/>
              <w:right w:val="nil"/>
            </w:tcBorders>
            <w:shd w:val="clear" w:color="auto" w:fill="FFFFFF"/>
          </w:tcPr>
          <w:p w14:paraId="70641C24" w14:textId="77777777" w:rsidR="00D11BEF" w:rsidRPr="00D11BEF" w:rsidRDefault="00D11BEF" w:rsidP="00D11BEF">
            <w:pPr>
              <w:rPr>
                <w:rFonts w:cs="Times New Roman"/>
                <w:sz w:val="20"/>
                <w:szCs w:val="20"/>
              </w:rPr>
            </w:pPr>
            <w:r w:rsidRPr="00D11BEF">
              <w:rPr>
                <w:rFonts w:cs="Times New Roman"/>
                <w:sz w:val="20"/>
                <w:szCs w:val="20"/>
              </w:rPr>
              <w:t>-0.633***</w:t>
            </w:r>
          </w:p>
          <w:p w14:paraId="4B98867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(0.096)</w:t>
            </w:r>
          </w:p>
        </w:tc>
      </w:tr>
      <w:tr w:rsidR="00D11BEF" w:rsidRPr="00D11BEF" w14:paraId="38568981" w14:textId="77777777" w:rsidTr="006122F0">
        <w:trPr>
          <w:trHeight w:val="455"/>
        </w:trPr>
        <w:tc>
          <w:tcPr>
            <w:tcW w:w="2835" w:type="dxa"/>
          </w:tcPr>
          <w:p w14:paraId="1900160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Solvabiliteitsratio</w:t>
            </w:r>
          </w:p>
        </w:tc>
        <w:tc>
          <w:tcPr>
            <w:tcW w:w="1725" w:type="dxa"/>
            <w:tcBorders>
              <w:top w:val="nil"/>
              <w:left w:val="nil"/>
              <w:bottom w:val="nil"/>
              <w:right w:val="nil"/>
            </w:tcBorders>
            <w:shd w:val="clear" w:color="auto" w:fill="FFFFFF"/>
          </w:tcPr>
          <w:p w14:paraId="33599EB3" w14:textId="77777777" w:rsidR="00D11BEF" w:rsidRPr="00D11BEF" w:rsidRDefault="00D11BEF" w:rsidP="00D11BEF">
            <w:pPr>
              <w:rPr>
                <w:rFonts w:cs="Times New Roman"/>
                <w:sz w:val="20"/>
                <w:szCs w:val="20"/>
              </w:rPr>
            </w:pPr>
            <w:r w:rsidRPr="00D11BEF">
              <w:rPr>
                <w:rFonts w:cs="Times New Roman"/>
                <w:sz w:val="20"/>
                <w:szCs w:val="20"/>
              </w:rPr>
              <w:t>0.686</w:t>
            </w:r>
          </w:p>
          <w:p w14:paraId="102A0D8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(0.396)</w:t>
            </w:r>
          </w:p>
        </w:tc>
      </w:tr>
      <w:tr w:rsidR="00D11BEF" w:rsidRPr="00D11BEF" w14:paraId="56B4C60A" w14:textId="77777777" w:rsidTr="006122F0">
        <w:trPr>
          <w:trHeight w:val="442"/>
        </w:trPr>
        <w:tc>
          <w:tcPr>
            <w:tcW w:w="2835" w:type="dxa"/>
          </w:tcPr>
          <w:p w14:paraId="6AE5E4F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Grensgemeenten</w:t>
            </w:r>
          </w:p>
        </w:tc>
        <w:tc>
          <w:tcPr>
            <w:tcW w:w="1725" w:type="dxa"/>
            <w:tcBorders>
              <w:top w:val="nil"/>
              <w:left w:val="nil"/>
              <w:bottom w:val="nil"/>
              <w:right w:val="nil"/>
            </w:tcBorders>
            <w:shd w:val="clear" w:color="auto" w:fill="FFFFFF"/>
          </w:tcPr>
          <w:p w14:paraId="108CCB8B" w14:textId="77777777" w:rsidR="00D11BEF" w:rsidRPr="00D11BEF" w:rsidRDefault="00D11BEF" w:rsidP="00D11BEF">
            <w:pPr>
              <w:rPr>
                <w:rFonts w:cs="Times New Roman"/>
                <w:sz w:val="20"/>
                <w:szCs w:val="20"/>
              </w:rPr>
            </w:pPr>
            <w:r w:rsidRPr="00D11BEF">
              <w:rPr>
                <w:rFonts w:cs="Times New Roman"/>
                <w:sz w:val="20"/>
                <w:szCs w:val="20"/>
              </w:rPr>
              <w:t>-0.801***</w:t>
            </w:r>
          </w:p>
          <w:p w14:paraId="04694CD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(0.166)</w:t>
            </w:r>
          </w:p>
        </w:tc>
      </w:tr>
      <w:tr w:rsidR="00D11BEF" w:rsidRPr="00D11BEF" w14:paraId="485DA7F8" w14:textId="77777777" w:rsidTr="006122F0">
        <w:trPr>
          <w:trHeight w:val="677"/>
        </w:trPr>
        <w:tc>
          <w:tcPr>
            <w:tcW w:w="2835" w:type="dxa"/>
          </w:tcPr>
          <w:p w14:paraId="701E5ED9" w14:textId="3769906A" w:rsidR="00D11BEF" w:rsidRPr="00D11BEF" w:rsidRDefault="00476F21" w:rsidP="00D11BEF">
            <w:pPr>
              <w:spacing w:line="276" w:lineRule="auto"/>
              <w:jc w:val="left"/>
              <w:rPr>
                <w:rFonts w:eastAsia="Times New Roman" w:cs="Times New Roman"/>
                <w:color w:val="000000"/>
                <w:sz w:val="20"/>
                <w:szCs w:val="20"/>
                <w:lang w:eastAsia="en-GB"/>
              </w:rPr>
            </w:pPr>
            <w:r>
              <w:rPr>
                <w:rFonts w:eastAsia="Times New Roman" w:cs="Times New Roman"/>
                <w:color w:val="000000"/>
                <w:sz w:val="20"/>
                <w:szCs w:val="20"/>
                <w:lang w:eastAsia="en-GB"/>
              </w:rPr>
              <w:t>Opstelling</w:t>
            </w:r>
            <w:r w:rsidR="00D11BEF" w:rsidRPr="00D11BEF">
              <w:rPr>
                <w:rFonts w:eastAsia="Times New Roman" w:cs="Times New Roman"/>
                <w:color w:val="000000"/>
                <w:sz w:val="20"/>
                <w:szCs w:val="20"/>
                <w:lang w:eastAsia="en-GB"/>
              </w:rPr>
              <w:t xml:space="preserve"> gemeentebestuur</w:t>
            </w:r>
          </w:p>
        </w:tc>
        <w:tc>
          <w:tcPr>
            <w:tcW w:w="1725" w:type="dxa"/>
            <w:tcBorders>
              <w:top w:val="nil"/>
              <w:left w:val="nil"/>
              <w:bottom w:val="nil"/>
              <w:right w:val="nil"/>
            </w:tcBorders>
            <w:shd w:val="clear" w:color="auto" w:fill="FFFFFF"/>
          </w:tcPr>
          <w:p w14:paraId="58299647" w14:textId="77777777" w:rsidR="00D11BEF" w:rsidRPr="00D11BEF" w:rsidRDefault="00D11BEF" w:rsidP="00D11BEF">
            <w:pPr>
              <w:rPr>
                <w:rFonts w:cs="Times New Roman"/>
                <w:sz w:val="20"/>
                <w:szCs w:val="20"/>
              </w:rPr>
            </w:pPr>
            <w:r w:rsidRPr="00D11BEF">
              <w:rPr>
                <w:rFonts w:cs="Times New Roman"/>
                <w:sz w:val="20"/>
                <w:szCs w:val="20"/>
              </w:rPr>
              <w:t>0.000</w:t>
            </w:r>
          </w:p>
          <w:p w14:paraId="4E770DE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(0.193)</w:t>
            </w:r>
          </w:p>
        </w:tc>
      </w:tr>
      <w:tr w:rsidR="00D11BEF" w:rsidRPr="00D11BEF" w14:paraId="554331FD" w14:textId="77777777" w:rsidTr="006122F0">
        <w:trPr>
          <w:trHeight w:val="442"/>
        </w:trPr>
        <w:tc>
          <w:tcPr>
            <w:tcW w:w="2835" w:type="dxa"/>
          </w:tcPr>
          <w:p w14:paraId="4C01A664" w14:textId="77777777" w:rsidR="00D11BEF" w:rsidRPr="00D11BEF" w:rsidRDefault="00D11BEF" w:rsidP="00D11BEF">
            <w:pPr>
              <w:spacing w:line="276" w:lineRule="auto"/>
              <w:jc w:val="left"/>
              <w:rPr>
                <w:rFonts w:eastAsia="Times New Roman" w:cs="Times New Roman"/>
                <w:i/>
                <w:iCs/>
                <w:color w:val="000000"/>
                <w:sz w:val="20"/>
                <w:szCs w:val="20"/>
                <w:lang w:eastAsia="en-GB"/>
              </w:rPr>
            </w:pPr>
            <w:r w:rsidRPr="00D11BEF">
              <w:rPr>
                <w:rFonts w:eastAsia="Times New Roman" w:cs="Times New Roman"/>
                <w:i/>
                <w:iCs/>
                <w:color w:val="000000"/>
                <w:sz w:val="20"/>
                <w:szCs w:val="20"/>
                <w:lang w:eastAsia="en-GB"/>
              </w:rPr>
              <w:t>Controle</w:t>
            </w:r>
          </w:p>
        </w:tc>
        <w:tc>
          <w:tcPr>
            <w:tcW w:w="1725" w:type="dxa"/>
            <w:tcBorders>
              <w:top w:val="nil"/>
              <w:left w:val="nil"/>
              <w:bottom w:val="nil"/>
              <w:right w:val="nil"/>
            </w:tcBorders>
            <w:shd w:val="clear" w:color="auto" w:fill="FFFFFF"/>
          </w:tcPr>
          <w:p w14:paraId="7659273C" w14:textId="77777777" w:rsidR="00D11BEF" w:rsidRPr="00D11BEF" w:rsidRDefault="00D11BEF" w:rsidP="00D11BEF">
            <w:pPr>
              <w:spacing w:line="276" w:lineRule="auto"/>
              <w:jc w:val="left"/>
              <w:rPr>
                <w:rFonts w:eastAsia="Times New Roman" w:cs="Times New Roman"/>
                <w:color w:val="000000"/>
                <w:sz w:val="20"/>
                <w:szCs w:val="20"/>
                <w:lang w:eastAsia="en-GB"/>
              </w:rPr>
            </w:pPr>
          </w:p>
        </w:tc>
      </w:tr>
      <w:tr w:rsidR="00D11BEF" w:rsidRPr="00D11BEF" w14:paraId="3D910AD3" w14:textId="77777777" w:rsidTr="006122F0">
        <w:trPr>
          <w:trHeight w:val="455"/>
        </w:trPr>
        <w:tc>
          <w:tcPr>
            <w:tcW w:w="2835" w:type="dxa"/>
          </w:tcPr>
          <w:p w14:paraId="0DE1A73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2022</w:t>
            </w:r>
          </w:p>
        </w:tc>
        <w:tc>
          <w:tcPr>
            <w:tcW w:w="1725" w:type="dxa"/>
            <w:tcBorders>
              <w:top w:val="nil"/>
              <w:left w:val="nil"/>
              <w:bottom w:val="nil"/>
              <w:right w:val="nil"/>
            </w:tcBorders>
            <w:shd w:val="clear" w:color="auto" w:fill="FFFFFF"/>
          </w:tcPr>
          <w:p w14:paraId="24D940A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Ref</w:t>
            </w:r>
          </w:p>
        </w:tc>
      </w:tr>
      <w:tr w:rsidR="00D11BEF" w:rsidRPr="00D11BEF" w14:paraId="3C8767B8" w14:textId="77777777" w:rsidTr="006122F0">
        <w:trPr>
          <w:trHeight w:val="442"/>
        </w:trPr>
        <w:tc>
          <w:tcPr>
            <w:tcW w:w="2835" w:type="dxa"/>
          </w:tcPr>
          <w:p w14:paraId="00590C2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2018</w:t>
            </w:r>
          </w:p>
        </w:tc>
        <w:tc>
          <w:tcPr>
            <w:tcW w:w="1725" w:type="dxa"/>
            <w:tcBorders>
              <w:top w:val="nil"/>
              <w:left w:val="nil"/>
              <w:bottom w:val="nil"/>
              <w:right w:val="nil"/>
            </w:tcBorders>
            <w:shd w:val="clear" w:color="auto" w:fill="FFFFFF"/>
          </w:tcPr>
          <w:p w14:paraId="73351E25" w14:textId="77777777" w:rsidR="00D11BEF" w:rsidRPr="00D11BEF" w:rsidRDefault="00D11BEF" w:rsidP="00D11BEF">
            <w:pPr>
              <w:rPr>
                <w:rFonts w:cs="Times New Roman"/>
                <w:sz w:val="20"/>
                <w:szCs w:val="20"/>
              </w:rPr>
            </w:pPr>
            <w:r w:rsidRPr="00D11BEF">
              <w:rPr>
                <w:rFonts w:cs="Times New Roman"/>
                <w:sz w:val="20"/>
                <w:szCs w:val="20"/>
              </w:rPr>
              <w:t>0.142</w:t>
            </w:r>
          </w:p>
          <w:p w14:paraId="57D25EB0"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(0.168)</w:t>
            </w:r>
          </w:p>
        </w:tc>
      </w:tr>
      <w:tr w:rsidR="00D11BEF" w:rsidRPr="00D11BEF" w14:paraId="455BBE47" w14:textId="77777777" w:rsidTr="006122F0">
        <w:trPr>
          <w:trHeight w:val="455"/>
        </w:trPr>
        <w:tc>
          <w:tcPr>
            <w:tcW w:w="2835" w:type="dxa"/>
          </w:tcPr>
          <w:p w14:paraId="31A2D942"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2014</w:t>
            </w:r>
          </w:p>
        </w:tc>
        <w:tc>
          <w:tcPr>
            <w:tcW w:w="1725" w:type="dxa"/>
            <w:tcBorders>
              <w:top w:val="nil"/>
              <w:left w:val="nil"/>
              <w:bottom w:val="nil"/>
              <w:right w:val="nil"/>
            </w:tcBorders>
            <w:shd w:val="clear" w:color="auto" w:fill="FFFFFF"/>
          </w:tcPr>
          <w:p w14:paraId="4F75838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-0.077</w:t>
            </w:r>
          </w:p>
          <w:p w14:paraId="6A43C7FA"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(0.191)</w:t>
            </w:r>
          </w:p>
        </w:tc>
      </w:tr>
      <w:tr w:rsidR="00D11BEF" w:rsidRPr="00D11BEF" w14:paraId="6E970BA7" w14:textId="77777777" w:rsidTr="006122F0">
        <w:trPr>
          <w:trHeight w:val="442"/>
        </w:trPr>
        <w:tc>
          <w:tcPr>
            <w:tcW w:w="2835" w:type="dxa"/>
          </w:tcPr>
          <w:p w14:paraId="6B9F7851"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Geen aandacht</w:t>
            </w:r>
          </w:p>
        </w:tc>
        <w:tc>
          <w:tcPr>
            <w:tcW w:w="1725" w:type="dxa"/>
            <w:tcBorders>
              <w:top w:val="nil"/>
              <w:left w:val="nil"/>
              <w:bottom w:val="nil"/>
              <w:right w:val="nil"/>
            </w:tcBorders>
            <w:shd w:val="clear" w:color="auto" w:fill="FFFFFF"/>
          </w:tcPr>
          <w:p w14:paraId="5FD7A30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Ref</w:t>
            </w:r>
          </w:p>
        </w:tc>
      </w:tr>
      <w:tr w:rsidR="00D11BEF" w:rsidRPr="00D11BEF" w14:paraId="0E74D6E6" w14:textId="77777777" w:rsidTr="006122F0">
        <w:trPr>
          <w:trHeight w:val="455"/>
        </w:trPr>
        <w:tc>
          <w:tcPr>
            <w:tcW w:w="2835" w:type="dxa"/>
            <w:tcBorders>
              <w:bottom w:val="single" w:sz="4" w:space="0" w:color="auto"/>
            </w:tcBorders>
          </w:tcPr>
          <w:p w14:paraId="33A6EF0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Wel aandacht </w:t>
            </w:r>
          </w:p>
        </w:tc>
        <w:tc>
          <w:tcPr>
            <w:tcW w:w="1725" w:type="dxa"/>
            <w:tcBorders>
              <w:top w:val="nil"/>
              <w:left w:val="nil"/>
              <w:bottom w:val="nil"/>
              <w:right w:val="nil"/>
            </w:tcBorders>
            <w:shd w:val="clear" w:color="auto" w:fill="FFFFFF"/>
          </w:tcPr>
          <w:p w14:paraId="262C5548" w14:textId="77777777" w:rsidR="00D11BEF" w:rsidRPr="00D11BEF" w:rsidRDefault="00D11BEF" w:rsidP="00D11BEF">
            <w:pPr>
              <w:rPr>
                <w:rFonts w:cs="Times New Roman"/>
                <w:sz w:val="20"/>
                <w:szCs w:val="20"/>
              </w:rPr>
            </w:pPr>
            <w:r w:rsidRPr="00D11BEF">
              <w:rPr>
                <w:rFonts w:cs="Times New Roman"/>
                <w:sz w:val="20"/>
                <w:szCs w:val="20"/>
              </w:rPr>
              <w:t>-0.586***</w:t>
            </w:r>
          </w:p>
          <w:p w14:paraId="0DD0630E"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(0.176)</w:t>
            </w:r>
          </w:p>
        </w:tc>
      </w:tr>
      <w:tr w:rsidR="00D11BEF" w:rsidRPr="00D11BEF" w14:paraId="506FF476" w14:textId="77777777" w:rsidTr="006122F0">
        <w:trPr>
          <w:trHeight w:val="220"/>
        </w:trPr>
        <w:tc>
          <w:tcPr>
            <w:tcW w:w="2835" w:type="dxa"/>
            <w:tcBorders>
              <w:top w:val="single" w:sz="4" w:space="0" w:color="auto"/>
            </w:tcBorders>
          </w:tcPr>
          <w:p w14:paraId="3364DB9F"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Mate van Europeanisering = 1</w:t>
            </w:r>
          </w:p>
        </w:tc>
        <w:tc>
          <w:tcPr>
            <w:tcW w:w="1725" w:type="dxa"/>
            <w:tcBorders>
              <w:top w:val="single" w:sz="8" w:space="0" w:color="000000"/>
              <w:left w:val="nil"/>
              <w:bottom w:val="nil"/>
              <w:right w:val="nil"/>
            </w:tcBorders>
            <w:shd w:val="clear" w:color="auto" w:fill="FFFFFF"/>
          </w:tcPr>
          <w:p w14:paraId="3F4A20BA" w14:textId="77777777" w:rsidR="00D11BEF" w:rsidRPr="00D11BEF" w:rsidRDefault="00D11BEF" w:rsidP="00D11BEF">
            <w:pPr>
              <w:rPr>
                <w:rFonts w:cs="Times New Roman"/>
                <w:sz w:val="20"/>
                <w:szCs w:val="20"/>
              </w:rPr>
            </w:pPr>
            <w:r w:rsidRPr="00D11BEF">
              <w:rPr>
                <w:rFonts w:cs="Times New Roman"/>
                <w:sz w:val="20"/>
                <w:szCs w:val="20"/>
              </w:rPr>
              <w:t>-3.805***</w:t>
            </w:r>
          </w:p>
          <w:p w14:paraId="19D661BB"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(0.664)</w:t>
            </w:r>
          </w:p>
        </w:tc>
      </w:tr>
      <w:tr w:rsidR="00D11BEF" w:rsidRPr="00D11BEF" w14:paraId="052DB9B4" w14:textId="77777777" w:rsidTr="006122F0">
        <w:trPr>
          <w:trHeight w:val="223"/>
        </w:trPr>
        <w:tc>
          <w:tcPr>
            <w:tcW w:w="2835" w:type="dxa"/>
          </w:tcPr>
          <w:p w14:paraId="72022F2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Mate van Europeanisering = 2</w:t>
            </w:r>
          </w:p>
        </w:tc>
        <w:tc>
          <w:tcPr>
            <w:tcW w:w="1725" w:type="dxa"/>
            <w:tcBorders>
              <w:top w:val="nil"/>
              <w:left w:val="nil"/>
              <w:bottom w:val="nil"/>
              <w:right w:val="nil"/>
            </w:tcBorders>
            <w:shd w:val="clear" w:color="auto" w:fill="FFFFFF"/>
          </w:tcPr>
          <w:p w14:paraId="58D8C928" w14:textId="77777777" w:rsidR="00D11BEF" w:rsidRPr="00D11BEF" w:rsidRDefault="00D11BEF" w:rsidP="00D11BEF">
            <w:pPr>
              <w:rPr>
                <w:rFonts w:cs="Times New Roman"/>
                <w:sz w:val="20"/>
                <w:szCs w:val="20"/>
              </w:rPr>
            </w:pPr>
            <w:r w:rsidRPr="00D11BEF">
              <w:rPr>
                <w:rFonts w:cs="Times New Roman"/>
                <w:sz w:val="20"/>
                <w:szCs w:val="20"/>
              </w:rPr>
              <w:t>-3.201***</w:t>
            </w:r>
          </w:p>
          <w:p w14:paraId="0FA9EE75"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(0.660)</w:t>
            </w:r>
          </w:p>
        </w:tc>
      </w:tr>
      <w:tr w:rsidR="00D11BEF" w:rsidRPr="00D11BEF" w14:paraId="2CD540A0" w14:textId="77777777" w:rsidTr="006122F0">
        <w:trPr>
          <w:trHeight w:val="223"/>
        </w:trPr>
        <w:tc>
          <w:tcPr>
            <w:tcW w:w="2835" w:type="dxa"/>
          </w:tcPr>
          <w:p w14:paraId="4639CE89"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Mate van Europeanisering = 3</w:t>
            </w:r>
          </w:p>
        </w:tc>
        <w:tc>
          <w:tcPr>
            <w:tcW w:w="1725" w:type="dxa"/>
            <w:tcBorders>
              <w:top w:val="nil"/>
              <w:left w:val="nil"/>
              <w:bottom w:val="nil"/>
              <w:right w:val="nil"/>
            </w:tcBorders>
            <w:shd w:val="clear" w:color="auto" w:fill="FFFFFF"/>
          </w:tcPr>
          <w:p w14:paraId="32B534B0" w14:textId="77777777" w:rsidR="00D11BEF" w:rsidRPr="00D11BEF" w:rsidRDefault="00D11BEF" w:rsidP="00D11BEF">
            <w:pPr>
              <w:rPr>
                <w:rFonts w:cs="Times New Roman"/>
                <w:sz w:val="20"/>
                <w:szCs w:val="20"/>
              </w:rPr>
            </w:pPr>
            <w:r w:rsidRPr="00D11BEF">
              <w:rPr>
                <w:rFonts w:cs="Times New Roman"/>
                <w:sz w:val="20"/>
                <w:szCs w:val="20"/>
              </w:rPr>
              <w:t>-3.006***</w:t>
            </w:r>
          </w:p>
          <w:p w14:paraId="6CB3126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(0.659)</w:t>
            </w:r>
          </w:p>
        </w:tc>
      </w:tr>
      <w:tr w:rsidR="00D11BEF" w:rsidRPr="00D11BEF" w14:paraId="572F90DC" w14:textId="77777777" w:rsidTr="006122F0">
        <w:trPr>
          <w:trHeight w:val="223"/>
        </w:trPr>
        <w:tc>
          <w:tcPr>
            <w:tcW w:w="2835" w:type="dxa"/>
            <w:tcBorders>
              <w:bottom w:val="single" w:sz="4" w:space="0" w:color="auto"/>
            </w:tcBorders>
          </w:tcPr>
          <w:p w14:paraId="0C1CF9E4"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Mate van Europeanisering = 4</w:t>
            </w:r>
          </w:p>
        </w:tc>
        <w:tc>
          <w:tcPr>
            <w:tcW w:w="1725" w:type="dxa"/>
            <w:tcBorders>
              <w:top w:val="nil"/>
              <w:left w:val="nil"/>
              <w:bottom w:val="nil"/>
              <w:right w:val="nil"/>
            </w:tcBorders>
            <w:shd w:val="clear" w:color="auto" w:fill="FFFFFF"/>
          </w:tcPr>
          <w:p w14:paraId="4EAB6968" w14:textId="77777777" w:rsidR="00D11BEF" w:rsidRPr="00D11BEF" w:rsidRDefault="00D11BEF" w:rsidP="00D11BEF">
            <w:pPr>
              <w:rPr>
                <w:rFonts w:cs="Times New Roman"/>
                <w:sz w:val="20"/>
                <w:szCs w:val="20"/>
              </w:rPr>
            </w:pPr>
            <w:r w:rsidRPr="00D11BEF">
              <w:rPr>
                <w:rFonts w:cs="Times New Roman"/>
                <w:sz w:val="20"/>
                <w:szCs w:val="20"/>
              </w:rPr>
              <w:t>-2.950***</w:t>
            </w:r>
          </w:p>
          <w:p w14:paraId="20F7A2DC"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cs="Times New Roman"/>
                <w:sz w:val="20"/>
                <w:szCs w:val="20"/>
              </w:rPr>
              <w:t>(0.659)</w:t>
            </w:r>
          </w:p>
        </w:tc>
      </w:tr>
      <w:tr w:rsidR="00D11BEF" w:rsidRPr="00D11BEF" w14:paraId="50C3591E" w14:textId="77777777" w:rsidTr="006122F0">
        <w:trPr>
          <w:trHeight w:val="405"/>
        </w:trPr>
        <w:tc>
          <w:tcPr>
            <w:tcW w:w="2835" w:type="dxa"/>
            <w:tcBorders>
              <w:top w:val="single" w:sz="4" w:space="0" w:color="auto"/>
              <w:bottom w:val="single" w:sz="4" w:space="0" w:color="auto"/>
            </w:tcBorders>
          </w:tcPr>
          <w:p w14:paraId="56D537F0" w14:textId="31828913"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Cox &amp; Snell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p w14:paraId="4CCFE13B" w14:textId="36454FBA"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 xml:space="preserve">Nagelkerke </w:t>
            </w:r>
            <w:r w:rsidR="00D9395F">
              <w:rPr>
                <w:rFonts w:eastAsia="Times New Roman" w:cs="Times New Roman"/>
                <w:color w:val="000000"/>
                <w:sz w:val="20"/>
                <w:szCs w:val="20"/>
                <w:lang w:eastAsia="en-GB"/>
              </w:rPr>
              <w:t xml:space="preserve">pseudo </w:t>
            </w:r>
            <w:r w:rsidRPr="00D11BEF">
              <w:rPr>
                <w:rFonts w:eastAsia="Times New Roman" w:cs="Times New Roman"/>
                <w:color w:val="000000"/>
                <w:sz w:val="20"/>
                <w:szCs w:val="20"/>
                <w:lang w:eastAsia="en-GB"/>
              </w:rPr>
              <w:t>R²</w:t>
            </w:r>
          </w:p>
        </w:tc>
        <w:tc>
          <w:tcPr>
            <w:tcW w:w="1725" w:type="dxa"/>
            <w:tcBorders>
              <w:top w:val="single" w:sz="4" w:space="0" w:color="auto"/>
              <w:bottom w:val="single" w:sz="4" w:space="0" w:color="auto"/>
            </w:tcBorders>
          </w:tcPr>
          <w:p w14:paraId="5E00759D"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0.118</w:t>
            </w:r>
          </w:p>
          <w:p w14:paraId="52ACF86D" w14:textId="77777777" w:rsidR="00D11BEF" w:rsidRPr="00D11BEF" w:rsidRDefault="00D11BEF" w:rsidP="00D11BEF">
            <w:pPr>
              <w:spacing w:line="276" w:lineRule="auto"/>
              <w:jc w:val="left"/>
              <w:rPr>
                <w:rFonts w:eastAsia="Times New Roman" w:cs="Times New Roman"/>
                <w:sz w:val="20"/>
                <w:szCs w:val="20"/>
                <w:lang w:eastAsia="en-GB"/>
              </w:rPr>
            </w:pPr>
            <w:r w:rsidRPr="00D11BEF">
              <w:rPr>
                <w:rFonts w:eastAsia="Times New Roman" w:cs="Times New Roman"/>
                <w:sz w:val="20"/>
                <w:szCs w:val="20"/>
                <w:lang w:eastAsia="en-GB"/>
              </w:rPr>
              <w:t>0.137</w:t>
            </w:r>
          </w:p>
        </w:tc>
      </w:tr>
      <w:tr w:rsidR="00D11BEF" w:rsidRPr="00D11BEF" w14:paraId="35476F81" w14:textId="77777777" w:rsidTr="006122F0">
        <w:trPr>
          <w:trHeight w:val="405"/>
        </w:trPr>
        <w:tc>
          <w:tcPr>
            <w:tcW w:w="2835" w:type="dxa"/>
            <w:tcBorders>
              <w:top w:val="single" w:sz="4" w:space="0" w:color="auto"/>
              <w:bottom w:val="single" w:sz="4" w:space="0" w:color="auto"/>
            </w:tcBorders>
          </w:tcPr>
          <w:p w14:paraId="713EC6D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-2 LL</w:t>
            </w:r>
          </w:p>
          <w:p w14:paraId="105EF203"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Chi-square</w:t>
            </w:r>
          </w:p>
        </w:tc>
        <w:tc>
          <w:tcPr>
            <w:tcW w:w="1725" w:type="dxa"/>
            <w:tcBorders>
              <w:top w:val="single" w:sz="4" w:space="0" w:color="auto"/>
              <w:bottom w:val="single" w:sz="4" w:space="0" w:color="auto"/>
            </w:tcBorders>
          </w:tcPr>
          <w:p w14:paraId="257710B8"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1975.4</w:t>
            </w:r>
          </w:p>
          <w:p w14:paraId="63C91C16" w14:textId="77777777" w:rsidR="00D11BEF" w:rsidRPr="00D11BEF" w:rsidRDefault="00D11BEF" w:rsidP="00D11BEF">
            <w:pPr>
              <w:spacing w:line="276" w:lineRule="auto"/>
              <w:jc w:val="left"/>
              <w:rPr>
                <w:rFonts w:eastAsia="Times New Roman" w:cs="Times New Roman"/>
                <w:color w:val="000000"/>
                <w:sz w:val="20"/>
                <w:szCs w:val="20"/>
                <w:lang w:eastAsia="en-GB"/>
              </w:rPr>
            </w:pPr>
            <w:r w:rsidRPr="00D11BEF">
              <w:rPr>
                <w:rFonts w:eastAsia="Times New Roman" w:cs="Times New Roman"/>
                <w:color w:val="000000"/>
                <w:sz w:val="20"/>
                <w:szCs w:val="20"/>
                <w:lang w:eastAsia="en-GB"/>
              </w:rPr>
              <w:t>134.7 [df8]***</w:t>
            </w:r>
          </w:p>
        </w:tc>
      </w:tr>
    </w:tbl>
    <w:p w14:paraId="32FD95A5" w14:textId="0C9F6002" w:rsidR="00A75C03" w:rsidRDefault="00D11BEF" w:rsidP="00D11BEF">
      <w:pPr>
        <w:rPr>
          <w:rFonts w:cs="Times New Roman"/>
          <w:sz w:val="20"/>
          <w:szCs w:val="20"/>
        </w:rPr>
      </w:pPr>
      <w:r w:rsidRPr="00D11BEF">
        <w:rPr>
          <w:rFonts w:cs="Times New Roman"/>
          <w:sz w:val="20"/>
          <w:szCs w:val="20"/>
        </w:rPr>
        <w:t>* p &lt; .05, ** p &lt; .01, *** p &lt; .001</w:t>
      </w:r>
    </w:p>
    <w:p w14:paraId="5932D869" w14:textId="0EA50A04" w:rsidR="00433B19" w:rsidRDefault="00433B19" w:rsidP="00433B19">
      <w:pPr>
        <w:rPr>
          <w:rFonts w:cs="Times New Roman"/>
          <w:sz w:val="20"/>
          <w:szCs w:val="20"/>
        </w:rPr>
      </w:pPr>
    </w:p>
    <w:p w14:paraId="6C7DF512" w14:textId="372FA787" w:rsidR="00433B19" w:rsidRPr="00433B19" w:rsidRDefault="00433B19" w:rsidP="00433B19">
      <w:pPr>
        <w:tabs>
          <w:tab w:val="left" w:pos="7704"/>
        </w:tabs>
        <w:rPr>
          <w:rFonts w:cs="Times New Roman"/>
          <w:sz w:val="20"/>
          <w:szCs w:val="20"/>
        </w:rPr>
      </w:pPr>
      <w:r>
        <w:rPr>
          <w:rFonts w:cs="Times New Roman"/>
          <w:sz w:val="20"/>
          <w:szCs w:val="20"/>
        </w:rPr>
        <w:tab/>
      </w:r>
    </w:p>
    <w:sectPr w:rsidR="00433B19" w:rsidRPr="00433B19" w:rsidSect="00A9027A">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D2EBE0" w14:textId="77777777" w:rsidR="00B432A6" w:rsidRDefault="00B432A6" w:rsidP="00F32882">
      <w:pPr>
        <w:spacing w:after="0" w:line="240" w:lineRule="auto"/>
      </w:pPr>
      <w:r>
        <w:separator/>
      </w:r>
    </w:p>
  </w:endnote>
  <w:endnote w:type="continuationSeparator" w:id="0">
    <w:p w14:paraId="64E16FA3" w14:textId="77777777" w:rsidR="00B432A6" w:rsidRDefault="00B432A6" w:rsidP="00F32882">
      <w:pPr>
        <w:spacing w:after="0" w:line="240" w:lineRule="auto"/>
      </w:pPr>
      <w:r>
        <w:continuationSeparator/>
      </w:r>
    </w:p>
  </w:endnote>
  <w:endnote w:type="continuationNotice" w:id="1">
    <w:p w14:paraId="79528C00" w14:textId="77777777" w:rsidR="00B432A6" w:rsidRDefault="00B432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312905"/>
      <w:docPartObj>
        <w:docPartGallery w:val="Page Numbers (Bottom of Page)"/>
        <w:docPartUnique/>
      </w:docPartObj>
    </w:sdtPr>
    <w:sdtEndPr/>
    <w:sdtContent>
      <w:p w14:paraId="37D2BBF9" w14:textId="5BD49AD4" w:rsidR="00CF230D" w:rsidRDefault="00CF230D">
        <w:pPr>
          <w:pStyle w:val="Voettekst"/>
          <w:jc w:val="right"/>
        </w:pPr>
        <w:r>
          <w:fldChar w:fldCharType="begin"/>
        </w:r>
        <w:r>
          <w:instrText>PAGE   \* MERGEFORMAT</w:instrText>
        </w:r>
        <w:r>
          <w:fldChar w:fldCharType="separate"/>
        </w:r>
        <w:r>
          <w:t>2</w:t>
        </w:r>
        <w:r>
          <w:fldChar w:fldCharType="end"/>
        </w:r>
      </w:p>
    </w:sdtContent>
  </w:sdt>
  <w:p w14:paraId="3E0F4853" w14:textId="77777777" w:rsidR="00B46DAD" w:rsidRDefault="00B46DA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418214"/>
      <w:docPartObj>
        <w:docPartGallery w:val="Page Numbers (Bottom of Page)"/>
        <w:docPartUnique/>
      </w:docPartObj>
    </w:sdtPr>
    <w:sdtEndPr/>
    <w:sdtContent>
      <w:p w14:paraId="0CDC7F60" w14:textId="77777777" w:rsidR="006267E9" w:rsidRDefault="006267E9">
        <w:pPr>
          <w:pStyle w:val="Voettekst"/>
          <w:jc w:val="right"/>
        </w:pPr>
        <w:r>
          <w:fldChar w:fldCharType="begin"/>
        </w:r>
        <w:r>
          <w:instrText>PAGE   \* MERGEFORMAT</w:instrText>
        </w:r>
        <w:r>
          <w:fldChar w:fldCharType="separate"/>
        </w:r>
        <w:r>
          <w:t>2</w:t>
        </w:r>
        <w:r>
          <w:fldChar w:fldCharType="end"/>
        </w:r>
      </w:p>
    </w:sdtContent>
  </w:sdt>
  <w:p w14:paraId="020F4365" w14:textId="0C8B5A9F" w:rsidR="006267E9" w:rsidRDefault="00D25210" w:rsidP="00D25210">
    <w:pPr>
      <w:pStyle w:val="Voettekst"/>
      <w:tabs>
        <w:tab w:val="clear" w:pos="4536"/>
        <w:tab w:val="clear" w:pos="9072"/>
        <w:tab w:val="left" w:pos="535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B343B" w14:textId="4155D490" w:rsidR="00303AAD" w:rsidRDefault="00303AAD" w:rsidP="00421522">
    <w:pPr>
      <w:pStyle w:val="Voettekst"/>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1561696"/>
      <w:docPartObj>
        <w:docPartGallery w:val="Page Numbers (Bottom of Page)"/>
        <w:docPartUnique/>
      </w:docPartObj>
    </w:sdtPr>
    <w:sdtEndPr/>
    <w:sdtContent>
      <w:p w14:paraId="1DC03F0E" w14:textId="0FFD05A1" w:rsidR="00F806D7" w:rsidRDefault="00F806D7">
        <w:pPr>
          <w:pStyle w:val="Voettekst"/>
          <w:jc w:val="right"/>
        </w:pPr>
        <w:r>
          <w:fldChar w:fldCharType="begin"/>
        </w:r>
        <w:r>
          <w:instrText>PAGE   \* MERGEFORMAT</w:instrText>
        </w:r>
        <w:r>
          <w:fldChar w:fldCharType="separate"/>
        </w:r>
        <w:r>
          <w:t>2</w:t>
        </w:r>
        <w:r>
          <w:fldChar w:fldCharType="end"/>
        </w:r>
      </w:p>
    </w:sdtContent>
  </w:sdt>
  <w:p w14:paraId="2F67F6B7" w14:textId="77777777" w:rsidR="00D11BEF" w:rsidRDefault="00D11BEF" w:rsidP="00366FD2">
    <w:pPr>
      <w:pStyle w:val="Voettek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61837" w14:textId="77777777" w:rsidR="00B432A6" w:rsidRDefault="00B432A6" w:rsidP="00F32882">
      <w:pPr>
        <w:spacing w:after="0" w:line="240" w:lineRule="auto"/>
      </w:pPr>
      <w:r>
        <w:separator/>
      </w:r>
    </w:p>
  </w:footnote>
  <w:footnote w:type="continuationSeparator" w:id="0">
    <w:p w14:paraId="666139A7" w14:textId="77777777" w:rsidR="00B432A6" w:rsidRDefault="00B432A6" w:rsidP="00F32882">
      <w:pPr>
        <w:spacing w:after="0" w:line="240" w:lineRule="auto"/>
      </w:pPr>
      <w:r>
        <w:continuationSeparator/>
      </w:r>
    </w:p>
  </w:footnote>
  <w:footnote w:type="continuationNotice" w:id="1">
    <w:p w14:paraId="4B5BE20E" w14:textId="77777777" w:rsidR="00B432A6" w:rsidRDefault="00B432A6">
      <w:pPr>
        <w:spacing w:after="0" w:line="240" w:lineRule="auto"/>
      </w:pPr>
    </w:p>
  </w:footnote>
  <w:footnote w:id="2">
    <w:p w14:paraId="1C4C94FF" w14:textId="2999559D" w:rsidR="0015642A" w:rsidRDefault="0015642A">
      <w:pPr>
        <w:pStyle w:val="Voetnoottekst"/>
      </w:pPr>
      <w:r>
        <w:rPr>
          <w:rStyle w:val="Voetnootmarkering"/>
        </w:rPr>
        <w:footnoteRef/>
      </w:r>
      <w:r>
        <w:t xml:space="preserve"> </w:t>
      </w:r>
      <w:r w:rsidRPr="0015642A">
        <w:t>Binnen dit conceptueel model is ervan uitgegaan dat de verschillende categorieën van Europeanisering elkaar niet onderling beïnvloeden.</w:t>
      </w:r>
    </w:p>
  </w:footnote>
  <w:footnote w:id="3">
    <w:p w14:paraId="3205C38E" w14:textId="25C6A5B3" w:rsidR="00385302" w:rsidRDefault="00385302">
      <w:pPr>
        <w:pStyle w:val="Voetnoottekst"/>
      </w:pPr>
      <w:r>
        <w:rPr>
          <w:rStyle w:val="Voetnootmarkering"/>
        </w:rPr>
        <w:footnoteRef/>
      </w:r>
      <w:r>
        <w:t xml:space="preserve"> Sommige gemeenten hanteren in plaats van de term coalitieakkoord de term </w:t>
      </w:r>
      <w:r w:rsidR="007940BF">
        <w:t xml:space="preserve">‘raadakkoord’ of ‘collegeprogramma’. Dit zijn vergelijkbare documenten met een coalitieakkoord: het raadsakkoord is veelal algemener </w:t>
      </w:r>
      <w:r w:rsidR="00D20017">
        <w:t xml:space="preserve">van aard </w:t>
      </w:r>
      <w:r w:rsidR="007940BF">
        <w:t>dan het coalitieakkoord, daar waar het collegeprogramma meestal een nadere uitwerking van het coalitieakkoord betreft. Bij afwezigheid van een coalitieakkoord in</w:t>
      </w:r>
      <w:r w:rsidR="00422607">
        <w:t xml:space="preserve"> een gemeente is een van deze documenten als </w:t>
      </w:r>
      <w:r w:rsidR="00836CDC">
        <w:t xml:space="preserve">substituut gecodeerd. </w:t>
      </w:r>
    </w:p>
  </w:footnote>
  <w:footnote w:id="4">
    <w:p w14:paraId="31B0F328" w14:textId="08A50585" w:rsidR="00A21DF6" w:rsidRDefault="00A21DF6">
      <w:pPr>
        <w:pStyle w:val="Voetnoottekst"/>
      </w:pPr>
      <w:r>
        <w:rPr>
          <w:rStyle w:val="Voetnootmarkering"/>
        </w:rPr>
        <w:footnoteRef/>
      </w:r>
      <w:r>
        <w:t xml:space="preserve"> Voor de raadsperiode 2022-2026 is</w:t>
      </w:r>
      <w:r w:rsidR="00EA2EAB">
        <w:t xml:space="preserve"> in eerste instantie </w:t>
      </w:r>
      <w:r>
        <w:t>gebruik gemaakt van de coalitieakkoorden tool van de</w:t>
      </w:r>
      <w:r w:rsidR="00753E17">
        <w:t xml:space="preserve"> VNG</w:t>
      </w:r>
      <w:r>
        <w:t xml:space="preserve">, zie: </w:t>
      </w:r>
      <w:hyperlink r:id="rId1" w:history="1">
        <w:r w:rsidR="00853431" w:rsidRPr="006A0104">
          <w:rPr>
            <w:rStyle w:val="Hyperlink"/>
          </w:rPr>
          <w:t>https://vng.nl/nieuws/gemeentelijke-coalitieakkoorden-in-kaart</w:t>
        </w:r>
      </w:hyperlink>
      <w:r w:rsidR="00853431">
        <w:t xml:space="preserve">. </w:t>
      </w:r>
      <w:r w:rsidR="00EA2EAB">
        <w:t xml:space="preserve">Naderhand zijn </w:t>
      </w:r>
      <w:r w:rsidR="002B4707">
        <w:t xml:space="preserve">alle coalitieakkoorden </w:t>
      </w:r>
      <w:r w:rsidR="009839F7">
        <w:t xml:space="preserve">handmatig </w:t>
      </w:r>
      <w:r w:rsidR="002B4707">
        <w:t xml:space="preserve">nagelopen op false positives. </w:t>
      </w:r>
      <w:r w:rsidR="00EA2EAB">
        <w:t xml:space="preserve"> </w:t>
      </w:r>
    </w:p>
  </w:footnote>
  <w:footnote w:id="5">
    <w:p w14:paraId="0D29FC43" w14:textId="0921CB27" w:rsidR="00082CCA" w:rsidRDefault="00082CCA" w:rsidP="00E34450">
      <w:pPr>
        <w:pStyle w:val="Voetnoottekst"/>
        <w:jc w:val="left"/>
      </w:pPr>
      <w:r>
        <w:rPr>
          <w:rStyle w:val="Voetnootmarkering"/>
        </w:rPr>
        <w:footnoteRef/>
      </w:r>
      <w:r>
        <w:t xml:space="preserve"> </w:t>
      </w:r>
      <w:r w:rsidR="00E34450">
        <w:t xml:space="preserve">Formule solvabiliteitsratio: 100% </w:t>
      </w:r>
      <w:r w:rsidR="00714641">
        <w:t>*</w:t>
      </w:r>
      <w:r w:rsidR="00E34450">
        <w:t>((Algemene reserve + Bestemmingsreserves + Resultaat van de rekening)/Balanstotaal)</w:t>
      </w:r>
      <w:r w:rsidR="00A67D05">
        <w:t xml:space="preserve">. </w:t>
      </w:r>
      <w:r w:rsidR="00E34450">
        <w:cr/>
      </w:r>
    </w:p>
  </w:footnote>
  <w:footnote w:id="6">
    <w:p w14:paraId="03BE5766" w14:textId="77777777" w:rsidR="002D3BC5" w:rsidRDefault="002D3BC5" w:rsidP="002D3BC5">
      <w:pPr>
        <w:pStyle w:val="Voetnoottekst"/>
      </w:pPr>
      <w:r>
        <w:rPr>
          <w:rStyle w:val="Voetnootmarkering"/>
        </w:rPr>
        <w:footnoteRef/>
      </w:r>
      <w:r>
        <w:t xml:space="preserve"> </w:t>
      </w:r>
      <w:r w:rsidRPr="003D1202">
        <w:t>Wijziging van de referentiecategorieën leverde geen significante verschillen op.</w:t>
      </w:r>
    </w:p>
  </w:footnote>
  <w:footnote w:id="7">
    <w:p w14:paraId="4A74C72D" w14:textId="5467CF52" w:rsidR="006267E9" w:rsidRDefault="006267E9" w:rsidP="006267E9">
      <w:pPr>
        <w:pStyle w:val="Voetnoottekst"/>
      </w:pPr>
      <w:r>
        <w:rPr>
          <w:rStyle w:val="Voetnootmarkering"/>
        </w:rPr>
        <w:footnoteRef/>
      </w:r>
      <w:r>
        <w:t xml:space="preserve"> </w:t>
      </w:r>
      <w:r w:rsidRPr="006C0DA6">
        <w:t>Wijziging van de referentiecategorieën leverde geen significante verschillen op</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13990"/>
    <w:multiLevelType w:val="hybridMultilevel"/>
    <w:tmpl w:val="36469B8C"/>
    <w:lvl w:ilvl="0" w:tplc="C50CD3BA">
      <w:numFmt w:val="bullet"/>
      <w:lvlText w:val=""/>
      <w:lvlJc w:val="left"/>
      <w:pPr>
        <w:ind w:left="720" w:hanging="360"/>
      </w:pPr>
      <w:rPr>
        <w:rFonts w:ascii="Symbol" w:eastAsia="Calibri"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1B2EFB"/>
    <w:multiLevelType w:val="multilevel"/>
    <w:tmpl w:val="10723DE0"/>
    <w:lvl w:ilvl="0">
      <w:start w:val="1"/>
      <w:numFmt w:val="decimal"/>
      <w:lvlText w:val="%1."/>
      <w:lvlJc w:val="left"/>
      <w:pPr>
        <w:ind w:left="720" w:hanging="360"/>
      </w:pPr>
      <w:rPr>
        <w:rFonts w:hint="default"/>
      </w:rPr>
    </w:lvl>
    <w:lvl w:ilvl="1">
      <w:start w:val="3"/>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3073824"/>
    <w:multiLevelType w:val="hybridMultilevel"/>
    <w:tmpl w:val="18B07EB8"/>
    <w:lvl w:ilvl="0" w:tplc="02BE93B6">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F703F23"/>
    <w:multiLevelType w:val="hybridMultilevel"/>
    <w:tmpl w:val="7C541040"/>
    <w:lvl w:ilvl="0" w:tplc="F176D5CC">
      <w:numFmt w:val="bullet"/>
      <w:lvlText w:val=""/>
      <w:lvlJc w:val="left"/>
      <w:pPr>
        <w:ind w:left="720" w:hanging="360"/>
      </w:pPr>
      <w:rPr>
        <w:rFonts w:ascii="Symbol" w:eastAsia="Calibri"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EEA5420"/>
    <w:multiLevelType w:val="hybridMultilevel"/>
    <w:tmpl w:val="0F0E05B2"/>
    <w:lvl w:ilvl="0" w:tplc="84D07FD2">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F6960E6"/>
    <w:multiLevelType w:val="hybridMultilevel"/>
    <w:tmpl w:val="4A80A034"/>
    <w:lvl w:ilvl="0" w:tplc="B712C4AA">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1F14084"/>
    <w:multiLevelType w:val="hybridMultilevel"/>
    <w:tmpl w:val="3CB0B9F0"/>
    <w:lvl w:ilvl="0" w:tplc="8B385D72">
      <w:numFmt w:val="bullet"/>
      <w:lvlText w:val=""/>
      <w:lvlJc w:val="left"/>
      <w:pPr>
        <w:ind w:left="720" w:hanging="360"/>
      </w:pPr>
      <w:rPr>
        <w:rFonts w:ascii="Symbol" w:eastAsia="Calibri"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D2E4A7D"/>
    <w:multiLevelType w:val="hybridMultilevel"/>
    <w:tmpl w:val="AF1A1872"/>
    <w:lvl w:ilvl="0" w:tplc="3ABCAC68">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6D5C2747"/>
    <w:multiLevelType w:val="hybridMultilevel"/>
    <w:tmpl w:val="7ADA958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971056094">
    <w:abstractNumId w:val="1"/>
  </w:num>
  <w:num w:numId="2" w16cid:durableId="1246106052">
    <w:abstractNumId w:val="8"/>
  </w:num>
  <w:num w:numId="3" w16cid:durableId="2083794983">
    <w:abstractNumId w:val="2"/>
  </w:num>
  <w:num w:numId="4" w16cid:durableId="78214766">
    <w:abstractNumId w:val="7"/>
  </w:num>
  <w:num w:numId="5" w16cid:durableId="258488441">
    <w:abstractNumId w:val="5"/>
  </w:num>
  <w:num w:numId="6" w16cid:durableId="2100329481">
    <w:abstractNumId w:val="4"/>
  </w:num>
  <w:num w:numId="7" w16cid:durableId="2058430712">
    <w:abstractNumId w:val="0"/>
  </w:num>
  <w:num w:numId="8" w16cid:durableId="1682733902">
    <w:abstractNumId w:val="3"/>
  </w:num>
  <w:num w:numId="9" w16cid:durableId="10705425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B2C"/>
    <w:rsid w:val="00000055"/>
    <w:rsid w:val="000003AE"/>
    <w:rsid w:val="0000289F"/>
    <w:rsid w:val="000030B1"/>
    <w:rsid w:val="000031A8"/>
    <w:rsid w:val="0000324E"/>
    <w:rsid w:val="00003348"/>
    <w:rsid w:val="00003521"/>
    <w:rsid w:val="0000436D"/>
    <w:rsid w:val="000043AD"/>
    <w:rsid w:val="000044A9"/>
    <w:rsid w:val="000044F9"/>
    <w:rsid w:val="000045D7"/>
    <w:rsid w:val="000049BB"/>
    <w:rsid w:val="00004B37"/>
    <w:rsid w:val="00005093"/>
    <w:rsid w:val="0000525B"/>
    <w:rsid w:val="000056A9"/>
    <w:rsid w:val="00005945"/>
    <w:rsid w:val="0000594D"/>
    <w:rsid w:val="0000595E"/>
    <w:rsid w:val="00005D06"/>
    <w:rsid w:val="00006142"/>
    <w:rsid w:val="000061D5"/>
    <w:rsid w:val="00006345"/>
    <w:rsid w:val="000064A7"/>
    <w:rsid w:val="00006D48"/>
    <w:rsid w:val="00006D4F"/>
    <w:rsid w:val="00006EFD"/>
    <w:rsid w:val="00006F46"/>
    <w:rsid w:val="00006FB7"/>
    <w:rsid w:val="0000707A"/>
    <w:rsid w:val="00007081"/>
    <w:rsid w:val="000070EA"/>
    <w:rsid w:val="00007461"/>
    <w:rsid w:val="00007753"/>
    <w:rsid w:val="00007C6E"/>
    <w:rsid w:val="0001011E"/>
    <w:rsid w:val="0001063B"/>
    <w:rsid w:val="00010B14"/>
    <w:rsid w:val="00010DBC"/>
    <w:rsid w:val="0001116A"/>
    <w:rsid w:val="00011190"/>
    <w:rsid w:val="000113DA"/>
    <w:rsid w:val="00012BAB"/>
    <w:rsid w:val="00012DC1"/>
    <w:rsid w:val="0001302B"/>
    <w:rsid w:val="000130DF"/>
    <w:rsid w:val="00013873"/>
    <w:rsid w:val="0001399A"/>
    <w:rsid w:val="00013A68"/>
    <w:rsid w:val="00013F07"/>
    <w:rsid w:val="00013FB3"/>
    <w:rsid w:val="00014A20"/>
    <w:rsid w:val="00014BAD"/>
    <w:rsid w:val="0001521A"/>
    <w:rsid w:val="00015661"/>
    <w:rsid w:val="00015893"/>
    <w:rsid w:val="00015AA6"/>
    <w:rsid w:val="00015E13"/>
    <w:rsid w:val="0001635A"/>
    <w:rsid w:val="000169C3"/>
    <w:rsid w:val="00016A85"/>
    <w:rsid w:val="00016E83"/>
    <w:rsid w:val="00017756"/>
    <w:rsid w:val="00017848"/>
    <w:rsid w:val="00017B1E"/>
    <w:rsid w:val="0002067D"/>
    <w:rsid w:val="0002176E"/>
    <w:rsid w:val="00021806"/>
    <w:rsid w:val="000218BD"/>
    <w:rsid w:val="000221D9"/>
    <w:rsid w:val="0002259F"/>
    <w:rsid w:val="000225E1"/>
    <w:rsid w:val="0002285A"/>
    <w:rsid w:val="00022D3A"/>
    <w:rsid w:val="00023277"/>
    <w:rsid w:val="00023364"/>
    <w:rsid w:val="0002356C"/>
    <w:rsid w:val="00023BCF"/>
    <w:rsid w:val="000246EC"/>
    <w:rsid w:val="000251DC"/>
    <w:rsid w:val="00025A6E"/>
    <w:rsid w:val="00025EFB"/>
    <w:rsid w:val="00027003"/>
    <w:rsid w:val="00027A15"/>
    <w:rsid w:val="00027BF9"/>
    <w:rsid w:val="00027E8E"/>
    <w:rsid w:val="00030176"/>
    <w:rsid w:val="000304BE"/>
    <w:rsid w:val="00030691"/>
    <w:rsid w:val="00030F4C"/>
    <w:rsid w:val="00031347"/>
    <w:rsid w:val="000313B7"/>
    <w:rsid w:val="000318B9"/>
    <w:rsid w:val="00031971"/>
    <w:rsid w:val="00031D80"/>
    <w:rsid w:val="00031E23"/>
    <w:rsid w:val="000321F7"/>
    <w:rsid w:val="00032F8E"/>
    <w:rsid w:val="00033DEA"/>
    <w:rsid w:val="00033F64"/>
    <w:rsid w:val="00033F72"/>
    <w:rsid w:val="00034464"/>
    <w:rsid w:val="00034B88"/>
    <w:rsid w:val="00034C29"/>
    <w:rsid w:val="000350AE"/>
    <w:rsid w:val="00035709"/>
    <w:rsid w:val="00035ED0"/>
    <w:rsid w:val="00035FFF"/>
    <w:rsid w:val="000360EB"/>
    <w:rsid w:val="000363B8"/>
    <w:rsid w:val="000365CF"/>
    <w:rsid w:val="000366D3"/>
    <w:rsid w:val="000366EF"/>
    <w:rsid w:val="000368E2"/>
    <w:rsid w:val="00040FE9"/>
    <w:rsid w:val="000410E4"/>
    <w:rsid w:val="00041441"/>
    <w:rsid w:val="00041DE6"/>
    <w:rsid w:val="0004233E"/>
    <w:rsid w:val="000429C9"/>
    <w:rsid w:val="00042A0F"/>
    <w:rsid w:val="00042C4D"/>
    <w:rsid w:val="000434A2"/>
    <w:rsid w:val="0004378F"/>
    <w:rsid w:val="0004381E"/>
    <w:rsid w:val="00043955"/>
    <w:rsid w:val="00043A7E"/>
    <w:rsid w:val="0004406E"/>
    <w:rsid w:val="00044220"/>
    <w:rsid w:val="00044550"/>
    <w:rsid w:val="00044CF2"/>
    <w:rsid w:val="00045259"/>
    <w:rsid w:val="00045859"/>
    <w:rsid w:val="00045FC4"/>
    <w:rsid w:val="00046BBF"/>
    <w:rsid w:val="00046D15"/>
    <w:rsid w:val="00047A8B"/>
    <w:rsid w:val="00047C04"/>
    <w:rsid w:val="00047E73"/>
    <w:rsid w:val="00047EA5"/>
    <w:rsid w:val="00047EE9"/>
    <w:rsid w:val="0005034E"/>
    <w:rsid w:val="00050758"/>
    <w:rsid w:val="000507D0"/>
    <w:rsid w:val="00050927"/>
    <w:rsid w:val="00050A4B"/>
    <w:rsid w:val="00050DCC"/>
    <w:rsid w:val="00050FAC"/>
    <w:rsid w:val="00051121"/>
    <w:rsid w:val="00051930"/>
    <w:rsid w:val="00051BAF"/>
    <w:rsid w:val="00051C7C"/>
    <w:rsid w:val="00051DAF"/>
    <w:rsid w:val="00051E54"/>
    <w:rsid w:val="000528B4"/>
    <w:rsid w:val="00052A7D"/>
    <w:rsid w:val="0005362E"/>
    <w:rsid w:val="000539BF"/>
    <w:rsid w:val="00053D09"/>
    <w:rsid w:val="00054E93"/>
    <w:rsid w:val="00055137"/>
    <w:rsid w:val="00055815"/>
    <w:rsid w:val="00056270"/>
    <w:rsid w:val="000566B5"/>
    <w:rsid w:val="00056B3F"/>
    <w:rsid w:val="00056C40"/>
    <w:rsid w:val="00056D23"/>
    <w:rsid w:val="00056F52"/>
    <w:rsid w:val="00057C17"/>
    <w:rsid w:val="000600C2"/>
    <w:rsid w:val="00060FD7"/>
    <w:rsid w:val="00061235"/>
    <w:rsid w:val="00061C36"/>
    <w:rsid w:val="000620FC"/>
    <w:rsid w:val="000629B8"/>
    <w:rsid w:val="00063B5D"/>
    <w:rsid w:val="000645D7"/>
    <w:rsid w:val="00064BFF"/>
    <w:rsid w:val="000651CC"/>
    <w:rsid w:val="000657F4"/>
    <w:rsid w:val="00066271"/>
    <w:rsid w:val="00066369"/>
    <w:rsid w:val="00066445"/>
    <w:rsid w:val="0006647A"/>
    <w:rsid w:val="000665F7"/>
    <w:rsid w:val="000668CA"/>
    <w:rsid w:val="00066CE4"/>
    <w:rsid w:val="00066F29"/>
    <w:rsid w:val="00067120"/>
    <w:rsid w:val="0006762A"/>
    <w:rsid w:val="00067904"/>
    <w:rsid w:val="00067950"/>
    <w:rsid w:val="000701D7"/>
    <w:rsid w:val="000702B6"/>
    <w:rsid w:val="000702E9"/>
    <w:rsid w:val="000704EB"/>
    <w:rsid w:val="00070E72"/>
    <w:rsid w:val="00071072"/>
    <w:rsid w:val="00071624"/>
    <w:rsid w:val="0007200C"/>
    <w:rsid w:val="0007276D"/>
    <w:rsid w:val="00072FB6"/>
    <w:rsid w:val="000735AE"/>
    <w:rsid w:val="00073CE5"/>
    <w:rsid w:val="00073EC1"/>
    <w:rsid w:val="00074354"/>
    <w:rsid w:val="00074C8D"/>
    <w:rsid w:val="000755B7"/>
    <w:rsid w:val="0007615A"/>
    <w:rsid w:val="00076896"/>
    <w:rsid w:val="00076924"/>
    <w:rsid w:val="00076B1E"/>
    <w:rsid w:val="00077530"/>
    <w:rsid w:val="00077556"/>
    <w:rsid w:val="000778CE"/>
    <w:rsid w:val="00077901"/>
    <w:rsid w:val="0007798C"/>
    <w:rsid w:val="00077C38"/>
    <w:rsid w:val="0008016E"/>
    <w:rsid w:val="00080287"/>
    <w:rsid w:val="00080806"/>
    <w:rsid w:val="0008122D"/>
    <w:rsid w:val="000817F7"/>
    <w:rsid w:val="00081A62"/>
    <w:rsid w:val="00081D78"/>
    <w:rsid w:val="00081F96"/>
    <w:rsid w:val="00082B3C"/>
    <w:rsid w:val="00082CCA"/>
    <w:rsid w:val="000831B9"/>
    <w:rsid w:val="00083570"/>
    <w:rsid w:val="00083ACB"/>
    <w:rsid w:val="000844A1"/>
    <w:rsid w:val="00084DCA"/>
    <w:rsid w:val="00085761"/>
    <w:rsid w:val="000857E1"/>
    <w:rsid w:val="00085BB7"/>
    <w:rsid w:val="00085CD0"/>
    <w:rsid w:val="00086178"/>
    <w:rsid w:val="00086280"/>
    <w:rsid w:val="000862BB"/>
    <w:rsid w:val="000862CC"/>
    <w:rsid w:val="00086AD2"/>
    <w:rsid w:val="00086B86"/>
    <w:rsid w:val="000871B9"/>
    <w:rsid w:val="000872EE"/>
    <w:rsid w:val="0008749C"/>
    <w:rsid w:val="00087C50"/>
    <w:rsid w:val="000902E9"/>
    <w:rsid w:val="00090682"/>
    <w:rsid w:val="00090DBF"/>
    <w:rsid w:val="00091512"/>
    <w:rsid w:val="000916C6"/>
    <w:rsid w:val="0009180F"/>
    <w:rsid w:val="00091A0C"/>
    <w:rsid w:val="00091D78"/>
    <w:rsid w:val="000927C2"/>
    <w:rsid w:val="000929F7"/>
    <w:rsid w:val="00092A8C"/>
    <w:rsid w:val="00092E18"/>
    <w:rsid w:val="0009316A"/>
    <w:rsid w:val="00093B41"/>
    <w:rsid w:val="000941BB"/>
    <w:rsid w:val="000941F9"/>
    <w:rsid w:val="00094D54"/>
    <w:rsid w:val="0009571F"/>
    <w:rsid w:val="000957B7"/>
    <w:rsid w:val="00095F59"/>
    <w:rsid w:val="0009621C"/>
    <w:rsid w:val="00096370"/>
    <w:rsid w:val="0009663F"/>
    <w:rsid w:val="000970FD"/>
    <w:rsid w:val="00097214"/>
    <w:rsid w:val="00097792"/>
    <w:rsid w:val="000979BC"/>
    <w:rsid w:val="00097BBF"/>
    <w:rsid w:val="00097BFB"/>
    <w:rsid w:val="00097CA5"/>
    <w:rsid w:val="00097F1C"/>
    <w:rsid w:val="000A0060"/>
    <w:rsid w:val="000A02BF"/>
    <w:rsid w:val="000A17BA"/>
    <w:rsid w:val="000A2B69"/>
    <w:rsid w:val="000A2EAE"/>
    <w:rsid w:val="000A2FF6"/>
    <w:rsid w:val="000A36DF"/>
    <w:rsid w:val="000A3C4A"/>
    <w:rsid w:val="000A4130"/>
    <w:rsid w:val="000A4531"/>
    <w:rsid w:val="000A4B15"/>
    <w:rsid w:val="000A4C1E"/>
    <w:rsid w:val="000A53D7"/>
    <w:rsid w:val="000A5491"/>
    <w:rsid w:val="000A5EBE"/>
    <w:rsid w:val="000A6465"/>
    <w:rsid w:val="000A6680"/>
    <w:rsid w:val="000A669F"/>
    <w:rsid w:val="000A7E0D"/>
    <w:rsid w:val="000B0C0B"/>
    <w:rsid w:val="000B0E5F"/>
    <w:rsid w:val="000B0F78"/>
    <w:rsid w:val="000B101B"/>
    <w:rsid w:val="000B1072"/>
    <w:rsid w:val="000B11C1"/>
    <w:rsid w:val="000B13B1"/>
    <w:rsid w:val="000B1C9F"/>
    <w:rsid w:val="000B21D8"/>
    <w:rsid w:val="000B23B5"/>
    <w:rsid w:val="000B295D"/>
    <w:rsid w:val="000B385C"/>
    <w:rsid w:val="000B4112"/>
    <w:rsid w:val="000B4197"/>
    <w:rsid w:val="000B4400"/>
    <w:rsid w:val="000B4917"/>
    <w:rsid w:val="000B4BDE"/>
    <w:rsid w:val="000B4BE2"/>
    <w:rsid w:val="000B5814"/>
    <w:rsid w:val="000B5A41"/>
    <w:rsid w:val="000B5C78"/>
    <w:rsid w:val="000B5E85"/>
    <w:rsid w:val="000B684C"/>
    <w:rsid w:val="000B68D8"/>
    <w:rsid w:val="000B7749"/>
    <w:rsid w:val="000B7A20"/>
    <w:rsid w:val="000B7BAB"/>
    <w:rsid w:val="000B7D1B"/>
    <w:rsid w:val="000C0C9E"/>
    <w:rsid w:val="000C1348"/>
    <w:rsid w:val="000C1751"/>
    <w:rsid w:val="000C1BAC"/>
    <w:rsid w:val="000C2192"/>
    <w:rsid w:val="000C25DF"/>
    <w:rsid w:val="000C2E6F"/>
    <w:rsid w:val="000C3D5D"/>
    <w:rsid w:val="000C43C6"/>
    <w:rsid w:val="000C49C9"/>
    <w:rsid w:val="000C49E0"/>
    <w:rsid w:val="000C53B1"/>
    <w:rsid w:val="000C5454"/>
    <w:rsid w:val="000C5709"/>
    <w:rsid w:val="000C5B37"/>
    <w:rsid w:val="000C6080"/>
    <w:rsid w:val="000C61A2"/>
    <w:rsid w:val="000C633A"/>
    <w:rsid w:val="000C656E"/>
    <w:rsid w:val="000C72CA"/>
    <w:rsid w:val="000C7777"/>
    <w:rsid w:val="000D0533"/>
    <w:rsid w:val="000D0F87"/>
    <w:rsid w:val="000D103B"/>
    <w:rsid w:val="000D11C4"/>
    <w:rsid w:val="000D13B7"/>
    <w:rsid w:val="000D158A"/>
    <w:rsid w:val="000D15ED"/>
    <w:rsid w:val="000D1BA3"/>
    <w:rsid w:val="000D2478"/>
    <w:rsid w:val="000D2BB2"/>
    <w:rsid w:val="000D30F5"/>
    <w:rsid w:val="000D319D"/>
    <w:rsid w:val="000D35A1"/>
    <w:rsid w:val="000D38C4"/>
    <w:rsid w:val="000D38D1"/>
    <w:rsid w:val="000D45E5"/>
    <w:rsid w:val="000D4BF6"/>
    <w:rsid w:val="000D5294"/>
    <w:rsid w:val="000D6569"/>
    <w:rsid w:val="000D658C"/>
    <w:rsid w:val="000D65D2"/>
    <w:rsid w:val="000D65DA"/>
    <w:rsid w:val="000D6A66"/>
    <w:rsid w:val="000D756C"/>
    <w:rsid w:val="000E0405"/>
    <w:rsid w:val="000E102B"/>
    <w:rsid w:val="000E17CC"/>
    <w:rsid w:val="000E189C"/>
    <w:rsid w:val="000E1A08"/>
    <w:rsid w:val="000E2278"/>
    <w:rsid w:val="000E2416"/>
    <w:rsid w:val="000E2C68"/>
    <w:rsid w:val="000E378E"/>
    <w:rsid w:val="000E38B7"/>
    <w:rsid w:val="000E44B2"/>
    <w:rsid w:val="000E47F4"/>
    <w:rsid w:val="000E4882"/>
    <w:rsid w:val="000E48B1"/>
    <w:rsid w:val="000E4CA1"/>
    <w:rsid w:val="000E4F3D"/>
    <w:rsid w:val="000E5808"/>
    <w:rsid w:val="000E6759"/>
    <w:rsid w:val="000E695E"/>
    <w:rsid w:val="000E6D09"/>
    <w:rsid w:val="000E6E5E"/>
    <w:rsid w:val="000E7164"/>
    <w:rsid w:val="000E7354"/>
    <w:rsid w:val="000E77B3"/>
    <w:rsid w:val="000E78DE"/>
    <w:rsid w:val="000E7E63"/>
    <w:rsid w:val="000F0B51"/>
    <w:rsid w:val="000F1036"/>
    <w:rsid w:val="000F11C2"/>
    <w:rsid w:val="000F16C6"/>
    <w:rsid w:val="000F1C32"/>
    <w:rsid w:val="000F2114"/>
    <w:rsid w:val="000F23DD"/>
    <w:rsid w:val="000F23E2"/>
    <w:rsid w:val="000F25B6"/>
    <w:rsid w:val="000F2D34"/>
    <w:rsid w:val="000F3113"/>
    <w:rsid w:val="000F3174"/>
    <w:rsid w:val="000F3F5B"/>
    <w:rsid w:val="000F42DA"/>
    <w:rsid w:val="000F47BE"/>
    <w:rsid w:val="000F4F90"/>
    <w:rsid w:val="000F6B63"/>
    <w:rsid w:val="000F6FFC"/>
    <w:rsid w:val="000F775B"/>
    <w:rsid w:val="000F77D3"/>
    <w:rsid w:val="0010051C"/>
    <w:rsid w:val="00100562"/>
    <w:rsid w:val="001005C8"/>
    <w:rsid w:val="00100B87"/>
    <w:rsid w:val="001011D9"/>
    <w:rsid w:val="0010123D"/>
    <w:rsid w:val="0010163D"/>
    <w:rsid w:val="00101D5E"/>
    <w:rsid w:val="00101E97"/>
    <w:rsid w:val="001029F9"/>
    <w:rsid w:val="00102ACD"/>
    <w:rsid w:val="00102DAE"/>
    <w:rsid w:val="00103E84"/>
    <w:rsid w:val="00104738"/>
    <w:rsid w:val="00104EFB"/>
    <w:rsid w:val="0010589D"/>
    <w:rsid w:val="001058BD"/>
    <w:rsid w:val="00105907"/>
    <w:rsid w:val="00105A01"/>
    <w:rsid w:val="00105F16"/>
    <w:rsid w:val="00106721"/>
    <w:rsid w:val="001068B9"/>
    <w:rsid w:val="00107B9E"/>
    <w:rsid w:val="0011026F"/>
    <w:rsid w:val="0011075F"/>
    <w:rsid w:val="00111015"/>
    <w:rsid w:val="00111231"/>
    <w:rsid w:val="00111349"/>
    <w:rsid w:val="00111BD0"/>
    <w:rsid w:val="00112327"/>
    <w:rsid w:val="00113449"/>
    <w:rsid w:val="0011349C"/>
    <w:rsid w:val="0011398F"/>
    <w:rsid w:val="00113BFE"/>
    <w:rsid w:val="0011413E"/>
    <w:rsid w:val="0011465B"/>
    <w:rsid w:val="00114DE0"/>
    <w:rsid w:val="00115976"/>
    <w:rsid w:val="00116017"/>
    <w:rsid w:val="001166F8"/>
    <w:rsid w:val="00116AB5"/>
    <w:rsid w:val="00116B7B"/>
    <w:rsid w:val="00116B93"/>
    <w:rsid w:val="00116F86"/>
    <w:rsid w:val="0011739E"/>
    <w:rsid w:val="001174D2"/>
    <w:rsid w:val="001175F3"/>
    <w:rsid w:val="00117EF8"/>
    <w:rsid w:val="00120458"/>
    <w:rsid w:val="00121180"/>
    <w:rsid w:val="0012118C"/>
    <w:rsid w:val="001211A2"/>
    <w:rsid w:val="00121D6B"/>
    <w:rsid w:val="00121E49"/>
    <w:rsid w:val="0012264F"/>
    <w:rsid w:val="001226AA"/>
    <w:rsid w:val="001228B0"/>
    <w:rsid w:val="00122CF5"/>
    <w:rsid w:val="001230FF"/>
    <w:rsid w:val="0012348F"/>
    <w:rsid w:val="00124112"/>
    <w:rsid w:val="00124A9A"/>
    <w:rsid w:val="00125E9C"/>
    <w:rsid w:val="001260A3"/>
    <w:rsid w:val="00126805"/>
    <w:rsid w:val="0012693C"/>
    <w:rsid w:val="001300D6"/>
    <w:rsid w:val="00130B11"/>
    <w:rsid w:val="001315D1"/>
    <w:rsid w:val="00131605"/>
    <w:rsid w:val="00131663"/>
    <w:rsid w:val="001319C0"/>
    <w:rsid w:val="001321CA"/>
    <w:rsid w:val="001328CC"/>
    <w:rsid w:val="00133199"/>
    <w:rsid w:val="001333C8"/>
    <w:rsid w:val="001345F6"/>
    <w:rsid w:val="00134DA2"/>
    <w:rsid w:val="0013528E"/>
    <w:rsid w:val="00135B78"/>
    <w:rsid w:val="00135FFB"/>
    <w:rsid w:val="00136186"/>
    <w:rsid w:val="001366D4"/>
    <w:rsid w:val="00136701"/>
    <w:rsid w:val="001368FE"/>
    <w:rsid w:val="00136BD2"/>
    <w:rsid w:val="00136EA9"/>
    <w:rsid w:val="00137644"/>
    <w:rsid w:val="00137E48"/>
    <w:rsid w:val="00140A4F"/>
    <w:rsid w:val="00140C21"/>
    <w:rsid w:val="00141569"/>
    <w:rsid w:val="00141C95"/>
    <w:rsid w:val="00141DF9"/>
    <w:rsid w:val="0014223D"/>
    <w:rsid w:val="00142B27"/>
    <w:rsid w:val="00142CAF"/>
    <w:rsid w:val="001433F3"/>
    <w:rsid w:val="00143639"/>
    <w:rsid w:val="001438EC"/>
    <w:rsid w:val="00143AD2"/>
    <w:rsid w:val="00143DC3"/>
    <w:rsid w:val="00144230"/>
    <w:rsid w:val="0014450F"/>
    <w:rsid w:val="00144B91"/>
    <w:rsid w:val="00144DF4"/>
    <w:rsid w:val="00144E3C"/>
    <w:rsid w:val="00144FC4"/>
    <w:rsid w:val="001450FF"/>
    <w:rsid w:val="001457F0"/>
    <w:rsid w:val="00145CAB"/>
    <w:rsid w:val="001460C5"/>
    <w:rsid w:val="00146254"/>
    <w:rsid w:val="00146C26"/>
    <w:rsid w:val="0014713E"/>
    <w:rsid w:val="001474E6"/>
    <w:rsid w:val="0014766A"/>
    <w:rsid w:val="0014773D"/>
    <w:rsid w:val="00147A68"/>
    <w:rsid w:val="00147AB0"/>
    <w:rsid w:val="00147B3D"/>
    <w:rsid w:val="00147B64"/>
    <w:rsid w:val="00147F2F"/>
    <w:rsid w:val="00150E75"/>
    <w:rsid w:val="00151312"/>
    <w:rsid w:val="00151DA5"/>
    <w:rsid w:val="00152B98"/>
    <w:rsid w:val="00152E04"/>
    <w:rsid w:val="00152E3A"/>
    <w:rsid w:val="00153132"/>
    <w:rsid w:val="001531B8"/>
    <w:rsid w:val="0015367A"/>
    <w:rsid w:val="001539DE"/>
    <w:rsid w:val="00154362"/>
    <w:rsid w:val="00154855"/>
    <w:rsid w:val="00154D35"/>
    <w:rsid w:val="001551C8"/>
    <w:rsid w:val="00155C88"/>
    <w:rsid w:val="00155D66"/>
    <w:rsid w:val="0015642A"/>
    <w:rsid w:val="00156487"/>
    <w:rsid w:val="00156EEB"/>
    <w:rsid w:val="00157317"/>
    <w:rsid w:val="00160D92"/>
    <w:rsid w:val="0016184D"/>
    <w:rsid w:val="00161C08"/>
    <w:rsid w:val="0016281F"/>
    <w:rsid w:val="00162929"/>
    <w:rsid w:val="00162D7F"/>
    <w:rsid w:val="0016380E"/>
    <w:rsid w:val="00163913"/>
    <w:rsid w:val="00163989"/>
    <w:rsid w:val="00163F4C"/>
    <w:rsid w:val="00164354"/>
    <w:rsid w:val="00164361"/>
    <w:rsid w:val="00164A7D"/>
    <w:rsid w:val="00164B01"/>
    <w:rsid w:val="00164E59"/>
    <w:rsid w:val="0016676D"/>
    <w:rsid w:val="00166794"/>
    <w:rsid w:val="0016698E"/>
    <w:rsid w:val="00166D15"/>
    <w:rsid w:val="00167482"/>
    <w:rsid w:val="00167E13"/>
    <w:rsid w:val="00170810"/>
    <w:rsid w:val="001708D2"/>
    <w:rsid w:val="00170A68"/>
    <w:rsid w:val="00170A9B"/>
    <w:rsid w:val="0017102E"/>
    <w:rsid w:val="001718F8"/>
    <w:rsid w:val="00172354"/>
    <w:rsid w:val="0017236F"/>
    <w:rsid w:val="0017278B"/>
    <w:rsid w:val="00172B0F"/>
    <w:rsid w:val="00172BAA"/>
    <w:rsid w:val="00172E26"/>
    <w:rsid w:val="00172F6D"/>
    <w:rsid w:val="001732A1"/>
    <w:rsid w:val="0017370D"/>
    <w:rsid w:val="00173867"/>
    <w:rsid w:val="00173A8A"/>
    <w:rsid w:val="00173B50"/>
    <w:rsid w:val="00173CB1"/>
    <w:rsid w:val="00173E72"/>
    <w:rsid w:val="00174083"/>
    <w:rsid w:val="0017416D"/>
    <w:rsid w:val="00174327"/>
    <w:rsid w:val="001745BC"/>
    <w:rsid w:val="0017473D"/>
    <w:rsid w:val="00174A07"/>
    <w:rsid w:val="00174AC8"/>
    <w:rsid w:val="00174C35"/>
    <w:rsid w:val="00174E32"/>
    <w:rsid w:val="00175043"/>
    <w:rsid w:val="00175444"/>
    <w:rsid w:val="00175D05"/>
    <w:rsid w:val="00176180"/>
    <w:rsid w:val="0017629C"/>
    <w:rsid w:val="001762E4"/>
    <w:rsid w:val="0017690E"/>
    <w:rsid w:val="00177297"/>
    <w:rsid w:val="001801D6"/>
    <w:rsid w:val="001806B1"/>
    <w:rsid w:val="0018075E"/>
    <w:rsid w:val="001814A7"/>
    <w:rsid w:val="001815E9"/>
    <w:rsid w:val="00181F86"/>
    <w:rsid w:val="00182436"/>
    <w:rsid w:val="00182EE9"/>
    <w:rsid w:val="00182F82"/>
    <w:rsid w:val="00183637"/>
    <w:rsid w:val="00183783"/>
    <w:rsid w:val="00183B2F"/>
    <w:rsid w:val="00183F66"/>
    <w:rsid w:val="0018413B"/>
    <w:rsid w:val="00184255"/>
    <w:rsid w:val="00184608"/>
    <w:rsid w:val="00184CAD"/>
    <w:rsid w:val="001851BD"/>
    <w:rsid w:val="001851BE"/>
    <w:rsid w:val="00185B80"/>
    <w:rsid w:val="00185BC5"/>
    <w:rsid w:val="00185C79"/>
    <w:rsid w:val="00185F03"/>
    <w:rsid w:val="001861C7"/>
    <w:rsid w:val="001865A7"/>
    <w:rsid w:val="001869F6"/>
    <w:rsid w:val="001871B3"/>
    <w:rsid w:val="001873CE"/>
    <w:rsid w:val="00187E55"/>
    <w:rsid w:val="0019163A"/>
    <w:rsid w:val="00191ADD"/>
    <w:rsid w:val="001922F4"/>
    <w:rsid w:val="00192454"/>
    <w:rsid w:val="00192904"/>
    <w:rsid w:val="00193B83"/>
    <w:rsid w:val="00194A48"/>
    <w:rsid w:val="00194DB2"/>
    <w:rsid w:val="001952A7"/>
    <w:rsid w:val="0019535E"/>
    <w:rsid w:val="0019564E"/>
    <w:rsid w:val="00195CA3"/>
    <w:rsid w:val="0019601D"/>
    <w:rsid w:val="00196538"/>
    <w:rsid w:val="0019659B"/>
    <w:rsid w:val="00196A17"/>
    <w:rsid w:val="00196AA3"/>
    <w:rsid w:val="00197701"/>
    <w:rsid w:val="00197C19"/>
    <w:rsid w:val="001A0472"/>
    <w:rsid w:val="001A0660"/>
    <w:rsid w:val="001A06D5"/>
    <w:rsid w:val="001A1743"/>
    <w:rsid w:val="001A1773"/>
    <w:rsid w:val="001A276A"/>
    <w:rsid w:val="001A2E12"/>
    <w:rsid w:val="001A3CCA"/>
    <w:rsid w:val="001A3DB7"/>
    <w:rsid w:val="001A3E59"/>
    <w:rsid w:val="001A431A"/>
    <w:rsid w:val="001A440D"/>
    <w:rsid w:val="001A4F46"/>
    <w:rsid w:val="001A58A7"/>
    <w:rsid w:val="001A5914"/>
    <w:rsid w:val="001A5D1B"/>
    <w:rsid w:val="001A5DF9"/>
    <w:rsid w:val="001A65E0"/>
    <w:rsid w:val="001A6B03"/>
    <w:rsid w:val="001A6ECB"/>
    <w:rsid w:val="001A74BE"/>
    <w:rsid w:val="001B03EA"/>
    <w:rsid w:val="001B0744"/>
    <w:rsid w:val="001B0A03"/>
    <w:rsid w:val="001B0A15"/>
    <w:rsid w:val="001B0BA0"/>
    <w:rsid w:val="001B0F73"/>
    <w:rsid w:val="001B13F9"/>
    <w:rsid w:val="001B1877"/>
    <w:rsid w:val="001B1909"/>
    <w:rsid w:val="001B2461"/>
    <w:rsid w:val="001B251B"/>
    <w:rsid w:val="001B4414"/>
    <w:rsid w:val="001B4DD9"/>
    <w:rsid w:val="001B5655"/>
    <w:rsid w:val="001B5BC1"/>
    <w:rsid w:val="001B5F0A"/>
    <w:rsid w:val="001B64FA"/>
    <w:rsid w:val="001B77F4"/>
    <w:rsid w:val="001B7F66"/>
    <w:rsid w:val="001C0704"/>
    <w:rsid w:val="001C09B3"/>
    <w:rsid w:val="001C0C93"/>
    <w:rsid w:val="001C1039"/>
    <w:rsid w:val="001C158E"/>
    <w:rsid w:val="001C15D7"/>
    <w:rsid w:val="001C194F"/>
    <w:rsid w:val="001C1B27"/>
    <w:rsid w:val="001C1C96"/>
    <w:rsid w:val="001C21E5"/>
    <w:rsid w:val="001C23AB"/>
    <w:rsid w:val="001C2534"/>
    <w:rsid w:val="001C2AFA"/>
    <w:rsid w:val="001C3828"/>
    <w:rsid w:val="001C385C"/>
    <w:rsid w:val="001C3973"/>
    <w:rsid w:val="001C3A78"/>
    <w:rsid w:val="001C4578"/>
    <w:rsid w:val="001C48D9"/>
    <w:rsid w:val="001C55A0"/>
    <w:rsid w:val="001C5A73"/>
    <w:rsid w:val="001C605B"/>
    <w:rsid w:val="001C6166"/>
    <w:rsid w:val="001C634C"/>
    <w:rsid w:val="001C6438"/>
    <w:rsid w:val="001C6631"/>
    <w:rsid w:val="001C6C9B"/>
    <w:rsid w:val="001C6EEF"/>
    <w:rsid w:val="001C7194"/>
    <w:rsid w:val="001C7830"/>
    <w:rsid w:val="001D01D1"/>
    <w:rsid w:val="001D0957"/>
    <w:rsid w:val="001D1412"/>
    <w:rsid w:val="001D1488"/>
    <w:rsid w:val="001D1DFF"/>
    <w:rsid w:val="001D2432"/>
    <w:rsid w:val="001D2928"/>
    <w:rsid w:val="001D2D25"/>
    <w:rsid w:val="001D3312"/>
    <w:rsid w:val="001D384D"/>
    <w:rsid w:val="001D39FC"/>
    <w:rsid w:val="001D405C"/>
    <w:rsid w:val="001D4682"/>
    <w:rsid w:val="001D5999"/>
    <w:rsid w:val="001D5B7D"/>
    <w:rsid w:val="001D636B"/>
    <w:rsid w:val="001D6817"/>
    <w:rsid w:val="001D73C6"/>
    <w:rsid w:val="001D7780"/>
    <w:rsid w:val="001E03E4"/>
    <w:rsid w:val="001E0689"/>
    <w:rsid w:val="001E0858"/>
    <w:rsid w:val="001E14D5"/>
    <w:rsid w:val="001E18A5"/>
    <w:rsid w:val="001E1AE6"/>
    <w:rsid w:val="001E1B5A"/>
    <w:rsid w:val="001E1C86"/>
    <w:rsid w:val="001E22BC"/>
    <w:rsid w:val="001E2BB9"/>
    <w:rsid w:val="001E35AF"/>
    <w:rsid w:val="001E3813"/>
    <w:rsid w:val="001E3EBF"/>
    <w:rsid w:val="001E4271"/>
    <w:rsid w:val="001E4353"/>
    <w:rsid w:val="001E451F"/>
    <w:rsid w:val="001E48C5"/>
    <w:rsid w:val="001E4962"/>
    <w:rsid w:val="001E4A06"/>
    <w:rsid w:val="001E4D07"/>
    <w:rsid w:val="001E54C4"/>
    <w:rsid w:val="001E586D"/>
    <w:rsid w:val="001E5DC2"/>
    <w:rsid w:val="001E5E9B"/>
    <w:rsid w:val="001E621C"/>
    <w:rsid w:val="001E661C"/>
    <w:rsid w:val="001E7014"/>
    <w:rsid w:val="001E7749"/>
    <w:rsid w:val="001E7EB9"/>
    <w:rsid w:val="001F0024"/>
    <w:rsid w:val="001F00C1"/>
    <w:rsid w:val="001F03C6"/>
    <w:rsid w:val="001F058A"/>
    <w:rsid w:val="001F0CAF"/>
    <w:rsid w:val="001F1140"/>
    <w:rsid w:val="001F146E"/>
    <w:rsid w:val="001F161D"/>
    <w:rsid w:val="001F1819"/>
    <w:rsid w:val="001F1A6E"/>
    <w:rsid w:val="001F1CA5"/>
    <w:rsid w:val="001F25CA"/>
    <w:rsid w:val="001F27A0"/>
    <w:rsid w:val="001F2DEA"/>
    <w:rsid w:val="001F402D"/>
    <w:rsid w:val="001F44D4"/>
    <w:rsid w:val="001F4772"/>
    <w:rsid w:val="001F4A30"/>
    <w:rsid w:val="001F4D03"/>
    <w:rsid w:val="001F4E88"/>
    <w:rsid w:val="001F599E"/>
    <w:rsid w:val="001F66B6"/>
    <w:rsid w:val="001F679F"/>
    <w:rsid w:val="001F70E3"/>
    <w:rsid w:val="001F719A"/>
    <w:rsid w:val="00200968"/>
    <w:rsid w:val="00200CA8"/>
    <w:rsid w:val="00201320"/>
    <w:rsid w:val="00201DB2"/>
    <w:rsid w:val="002021D4"/>
    <w:rsid w:val="00202419"/>
    <w:rsid w:val="00203BFB"/>
    <w:rsid w:val="00203E2C"/>
    <w:rsid w:val="002047A9"/>
    <w:rsid w:val="00204B1E"/>
    <w:rsid w:val="00204BF8"/>
    <w:rsid w:val="002051BE"/>
    <w:rsid w:val="00205355"/>
    <w:rsid w:val="00205AD2"/>
    <w:rsid w:val="00205B4A"/>
    <w:rsid w:val="00205CDC"/>
    <w:rsid w:val="00205CE8"/>
    <w:rsid w:val="00205D72"/>
    <w:rsid w:val="0020637E"/>
    <w:rsid w:val="00206452"/>
    <w:rsid w:val="0020669A"/>
    <w:rsid w:val="002069D9"/>
    <w:rsid w:val="00206B74"/>
    <w:rsid w:val="002075AD"/>
    <w:rsid w:val="00207DE9"/>
    <w:rsid w:val="00210224"/>
    <w:rsid w:val="00210FAC"/>
    <w:rsid w:val="00211224"/>
    <w:rsid w:val="00211354"/>
    <w:rsid w:val="00211357"/>
    <w:rsid w:val="0021151D"/>
    <w:rsid w:val="00211667"/>
    <w:rsid w:val="00211689"/>
    <w:rsid w:val="0021211B"/>
    <w:rsid w:val="002121F6"/>
    <w:rsid w:val="002124A2"/>
    <w:rsid w:val="00212EBB"/>
    <w:rsid w:val="002135BF"/>
    <w:rsid w:val="00213741"/>
    <w:rsid w:val="00213EB8"/>
    <w:rsid w:val="0021489A"/>
    <w:rsid w:val="00214BD4"/>
    <w:rsid w:val="00215259"/>
    <w:rsid w:val="0021533E"/>
    <w:rsid w:val="00215DD2"/>
    <w:rsid w:val="00215EEF"/>
    <w:rsid w:val="002160E6"/>
    <w:rsid w:val="002163FF"/>
    <w:rsid w:val="0021646B"/>
    <w:rsid w:val="002165DE"/>
    <w:rsid w:val="0021676A"/>
    <w:rsid w:val="00216C8D"/>
    <w:rsid w:val="00216DB0"/>
    <w:rsid w:val="00216EB2"/>
    <w:rsid w:val="0021751B"/>
    <w:rsid w:val="00220074"/>
    <w:rsid w:val="0022032C"/>
    <w:rsid w:val="002205E8"/>
    <w:rsid w:val="00220E23"/>
    <w:rsid w:val="00221019"/>
    <w:rsid w:val="00221318"/>
    <w:rsid w:val="0022307B"/>
    <w:rsid w:val="00224188"/>
    <w:rsid w:val="0022424C"/>
    <w:rsid w:val="002248BC"/>
    <w:rsid w:val="00224B9E"/>
    <w:rsid w:val="002258D0"/>
    <w:rsid w:val="00225DD8"/>
    <w:rsid w:val="0022649F"/>
    <w:rsid w:val="00226A0C"/>
    <w:rsid w:val="002275DF"/>
    <w:rsid w:val="00227FAB"/>
    <w:rsid w:val="0023073D"/>
    <w:rsid w:val="00230B6C"/>
    <w:rsid w:val="0023104B"/>
    <w:rsid w:val="0023257D"/>
    <w:rsid w:val="00232CAA"/>
    <w:rsid w:val="0023345C"/>
    <w:rsid w:val="002338B7"/>
    <w:rsid w:val="00233D69"/>
    <w:rsid w:val="00233F5A"/>
    <w:rsid w:val="00234377"/>
    <w:rsid w:val="0023448D"/>
    <w:rsid w:val="00234560"/>
    <w:rsid w:val="00234AA3"/>
    <w:rsid w:val="00234B81"/>
    <w:rsid w:val="00235050"/>
    <w:rsid w:val="0023511B"/>
    <w:rsid w:val="0023519F"/>
    <w:rsid w:val="002354B5"/>
    <w:rsid w:val="00236AE1"/>
    <w:rsid w:val="00236F7E"/>
    <w:rsid w:val="0023779A"/>
    <w:rsid w:val="00237BD5"/>
    <w:rsid w:val="00237C76"/>
    <w:rsid w:val="00240286"/>
    <w:rsid w:val="00240A05"/>
    <w:rsid w:val="00241CE9"/>
    <w:rsid w:val="00241F99"/>
    <w:rsid w:val="00242E34"/>
    <w:rsid w:val="00243663"/>
    <w:rsid w:val="00244214"/>
    <w:rsid w:val="00244339"/>
    <w:rsid w:val="00244628"/>
    <w:rsid w:val="00245514"/>
    <w:rsid w:val="0024589D"/>
    <w:rsid w:val="00245938"/>
    <w:rsid w:val="00245ED6"/>
    <w:rsid w:val="002472C5"/>
    <w:rsid w:val="0024776A"/>
    <w:rsid w:val="00247792"/>
    <w:rsid w:val="002500D9"/>
    <w:rsid w:val="00250228"/>
    <w:rsid w:val="0025123A"/>
    <w:rsid w:val="00251703"/>
    <w:rsid w:val="00251A99"/>
    <w:rsid w:val="00251ADE"/>
    <w:rsid w:val="00251B4A"/>
    <w:rsid w:val="00252171"/>
    <w:rsid w:val="002524EF"/>
    <w:rsid w:val="002525FF"/>
    <w:rsid w:val="00252C55"/>
    <w:rsid w:val="00252C9B"/>
    <w:rsid w:val="00252F7C"/>
    <w:rsid w:val="00253AAC"/>
    <w:rsid w:val="00253BF8"/>
    <w:rsid w:val="00254CFB"/>
    <w:rsid w:val="00254DFF"/>
    <w:rsid w:val="00255164"/>
    <w:rsid w:val="00255327"/>
    <w:rsid w:val="00255352"/>
    <w:rsid w:val="00255AE3"/>
    <w:rsid w:val="00255E38"/>
    <w:rsid w:val="002562A9"/>
    <w:rsid w:val="00256744"/>
    <w:rsid w:val="00256D24"/>
    <w:rsid w:val="00256F1B"/>
    <w:rsid w:val="002573AD"/>
    <w:rsid w:val="002578EE"/>
    <w:rsid w:val="00257EB7"/>
    <w:rsid w:val="00260257"/>
    <w:rsid w:val="00260E43"/>
    <w:rsid w:val="00261BA1"/>
    <w:rsid w:val="002621E1"/>
    <w:rsid w:val="0026226C"/>
    <w:rsid w:val="00263167"/>
    <w:rsid w:val="00263AF2"/>
    <w:rsid w:val="00263DC7"/>
    <w:rsid w:val="00265305"/>
    <w:rsid w:val="0026589B"/>
    <w:rsid w:val="00265F3F"/>
    <w:rsid w:val="00265F55"/>
    <w:rsid w:val="00265FBC"/>
    <w:rsid w:val="00265FC0"/>
    <w:rsid w:val="00266780"/>
    <w:rsid w:val="00266864"/>
    <w:rsid w:val="00266A81"/>
    <w:rsid w:val="00266F68"/>
    <w:rsid w:val="00266FD3"/>
    <w:rsid w:val="00267068"/>
    <w:rsid w:val="0026717A"/>
    <w:rsid w:val="00267828"/>
    <w:rsid w:val="00267E4C"/>
    <w:rsid w:val="00267EF6"/>
    <w:rsid w:val="0027049B"/>
    <w:rsid w:val="00270E82"/>
    <w:rsid w:val="002713D7"/>
    <w:rsid w:val="00271BA9"/>
    <w:rsid w:val="00272074"/>
    <w:rsid w:val="00272E42"/>
    <w:rsid w:val="00273A3B"/>
    <w:rsid w:val="002741FC"/>
    <w:rsid w:val="00274896"/>
    <w:rsid w:val="002748A2"/>
    <w:rsid w:val="00274EF0"/>
    <w:rsid w:val="00275103"/>
    <w:rsid w:val="002752EB"/>
    <w:rsid w:val="00275537"/>
    <w:rsid w:val="00275B8F"/>
    <w:rsid w:val="00275F66"/>
    <w:rsid w:val="00276619"/>
    <w:rsid w:val="0027677E"/>
    <w:rsid w:val="00276AB1"/>
    <w:rsid w:val="00276C54"/>
    <w:rsid w:val="002777CC"/>
    <w:rsid w:val="00277B90"/>
    <w:rsid w:val="00280381"/>
    <w:rsid w:val="0028053D"/>
    <w:rsid w:val="002806F6"/>
    <w:rsid w:val="00280A3A"/>
    <w:rsid w:val="00280BDC"/>
    <w:rsid w:val="0028165F"/>
    <w:rsid w:val="00281C6E"/>
    <w:rsid w:val="00281C70"/>
    <w:rsid w:val="0028254A"/>
    <w:rsid w:val="00282A0A"/>
    <w:rsid w:val="00282D6B"/>
    <w:rsid w:val="00283C36"/>
    <w:rsid w:val="00283F12"/>
    <w:rsid w:val="00284526"/>
    <w:rsid w:val="00284528"/>
    <w:rsid w:val="00284577"/>
    <w:rsid w:val="00284E99"/>
    <w:rsid w:val="00285DB6"/>
    <w:rsid w:val="00287187"/>
    <w:rsid w:val="002874FD"/>
    <w:rsid w:val="0028750C"/>
    <w:rsid w:val="002878A2"/>
    <w:rsid w:val="00287F63"/>
    <w:rsid w:val="002923AA"/>
    <w:rsid w:val="00292437"/>
    <w:rsid w:val="002926CE"/>
    <w:rsid w:val="00292E3A"/>
    <w:rsid w:val="00292ECA"/>
    <w:rsid w:val="0029300A"/>
    <w:rsid w:val="00293BE1"/>
    <w:rsid w:val="0029406F"/>
    <w:rsid w:val="00294292"/>
    <w:rsid w:val="002942EF"/>
    <w:rsid w:val="00294307"/>
    <w:rsid w:val="00294581"/>
    <w:rsid w:val="002949A4"/>
    <w:rsid w:val="00295145"/>
    <w:rsid w:val="002954B1"/>
    <w:rsid w:val="002959E2"/>
    <w:rsid w:val="00296BB3"/>
    <w:rsid w:val="0029702B"/>
    <w:rsid w:val="002975B8"/>
    <w:rsid w:val="002A0851"/>
    <w:rsid w:val="002A0CB1"/>
    <w:rsid w:val="002A118F"/>
    <w:rsid w:val="002A176B"/>
    <w:rsid w:val="002A1D9C"/>
    <w:rsid w:val="002A21A6"/>
    <w:rsid w:val="002A2219"/>
    <w:rsid w:val="002A234C"/>
    <w:rsid w:val="002A2724"/>
    <w:rsid w:val="002A31D5"/>
    <w:rsid w:val="002A34AB"/>
    <w:rsid w:val="002A39C2"/>
    <w:rsid w:val="002A3DB7"/>
    <w:rsid w:val="002A3DB8"/>
    <w:rsid w:val="002A3F59"/>
    <w:rsid w:val="002A400B"/>
    <w:rsid w:val="002A40DE"/>
    <w:rsid w:val="002A49E0"/>
    <w:rsid w:val="002A5B3B"/>
    <w:rsid w:val="002A5B7A"/>
    <w:rsid w:val="002A5DEB"/>
    <w:rsid w:val="002A62F1"/>
    <w:rsid w:val="002A668E"/>
    <w:rsid w:val="002A6A60"/>
    <w:rsid w:val="002A6CB1"/>
    <w:rsid w:val="002B06D6"/>
    <w:rsid w:val="002B176E"/>
    <w:rsid w:val="002B1B8F"/>
    <w:rsid w:val="002B21C3"/>
    <w:rsid w:val="002B21D7"/>
    <w:rsid w:val="002B258F"/>
    <w:rsid w:val="002B2DC2"/>
    <w:rsid w:val="002B38CE"/>
    <w:rsid w:val="002B3C52"/>
    <w:rsid w:val="002B4707"/>
    <w:rsid w:val="002B48BA"/>
    <w:rsid w:val="002B4D14"/>
    <w:rsid w:val="002B5C27"/>
    <w:rsid w:val="002B604C"/>
    <w:rsid w:val="002B6160"/>
    <w:rsid w:val="002B684A"/>
    <w:rsid w:val="002B6934"/>
    <w:rsid w:val="002B6C72"/>
    <w:rsid w:val="002B6E43"/>
    <w:rsid w:val="002B6F4F"/>
    <w:rsid w:val="002B7297"/>
    <w:rsid w:val="002B7496"/>
    <w:rsid w:val="002B7768"/>
    <w:rsid w:val="002B78B0"/>
    <w:rsid w:val="002B7C7C"/>
    <w:rsid w:val="002C0941"/>
    <w:rsid w:val="002C0BD8"/>
    <w:rsid w:val="002C0DCF"/>
    <w:rsid w:val="002C0E58"/>
    <w:rsid w:val="002C1262"/>
    <w:rsid w:val="002C187F"/>
    <w:rsid w:val="002C1D0B"/>
    <w:rsid w:val="002C38C8"/>
    <w:rsid w:val="002C38DD"/>
    <w:rsid w:val="002C3A2C"/>
    <w:rsid w:val="002C4503"/>
    <w:rsid w:val="002C4902"/>
    <w:rsid w:val="002C50F1"/>
    <w:rsid w:val="002C51C0"/>
    <w:rsid w:val="002C51E4"/>
    <w:rsid w:val="002C52B3"/>
    <w:rsid w:val="002C5977"/>
    <w:rsid w:val="002C67AA"/>
    <w:rsid w:val="002C6B68"/>
    <w:rsid w:val="002C6F78"/>
    <w:rsid w:val="002C73F5"/>
    <w:rsid w:val="002C7C53"/>
    <w:rsid w:val="002C7E5A"/>
    <w:rsid w:val="002C7FEE"/>
    <w:rsid w:val="002D012E"/>
    <w:rsid w:val="002D02B8"/>
    <w:rsid w:val="002D0404"/>
    <w:rsid w:val="002D0DFE"/>
    <w:rsid w:val="002D0E69"/>
    <w:rsid w:val="002D1E0F"/>
    <w:rsid w:val="002D1FF0"/>
    <w:rsid w:val="002D256C"/>
    <w:rsid w:val="002D3356"/>
    <w:rsid w:val="002D3A45"/>
    <w:rsid w:val="002D3BC5"/>
    <w:rsid w:val="002D3C7D"/>
    <w:rsid w:val="002D416C"/>
    <w:rsid w:val="002D423B"/>
    <w:rsid w:val="002D4B7C"/>
    <w:rsid w:val="002D4C91"/>
    <w:rsid w:val="002D4D8C"/>
    <w:rsid w:val="002D5132"/>
    <w:rsid w:val="002D557D"/>
    <w:rsid w:val="002D5EDE"/>
    <w:rsid w:val="002D615C"/>
    <w:rsid w:val="002D6578"/>
    <w:rsid w:val="002D6F0D"/>
    <w:rsid w:val="002D7A26"/>
    <w:rsid w:val="002D7A6C"/>
    <w:rsid w:val="002E05DC"/>
    <w:rsid w:val="002E07A4"/>
    <w:rsid w:val="002E08E6"/>
    <w:rsid w:val="002E0FF8"/>
    <w:rsid w:val="002E1821"/>
    <w:rsid w:val="002E1947"/>
    <w:rsid w:val="002E1A8C"/>
    <w:rsid w:val="002E22A8"/>
    <w:rsid w:val="002E27A1"/>
    <w:rsid w:val="002E2A78"/>
    <w:rsid w:val="002E2AF9"/>
    <w:rsid w:val="002E3117"/>
    <w:rsid w:val="002E32AD"/>
    <w:rsid w:val="002E360F"/>
    <w:rsid w:val="002E3B99"/>
    <w:rsid w:val="002E3F35"/>
    <w:rsid w:val="002E4666"/>
    <w:rsid w:val="002E4C70"/>
    <w:rsid w:val="002E623E"/>
    <w:rsid w:val="002E6822"/>
    <w:rsid w:val="002E71CF"/>
    <w:rsid w:val="002E7457"/>
    <w:rsid w:val="002E7502"/>
    <w:rsid w:val="002E753D"/>
    <w:rsid w:val="002E766F"/>
    <w:rsid w:val="002F06FB"/>
    <w:rsid w:val="002F0B56"/>
    <w:rsid w:val="002F0E9C"/>
    <w:rsid w:val="002F110B"/>
    <w:rsid w:val="002F119B"/>
    <w:rsid w:val="002F139C"/>
    <w:rsid w:val="002F20F8"/>
    <w:rsid w:val="002F25AE"/>
    <w:rsid w:val="002F3052"/>
    <w:rsid w:val="002F341A"/>
    <w:rsid w:val="002F3496"/>
    <w:rsid w:val="002F34B8"/>
    <w:rsid w:val="002F3E65"/>
    <w:rsid w:val="002F47D0"/>
    <w:rsid w:val="002F4AA8"/>
    <w:rsid w:val="002F4F4A"/>
    <w:rsid w:val="002F53FA"/>
    <w:rsid w:val="002F5B4B"/>
    <w:rsid w:val="002F5C1B"/>
    <w:rsid w:val="002F5EB2"/>
    <w:rsid w:val="002F6B48"/>
    <w:rsid w:val="002F6CFE"/>
    <w:rsid w:val="002F73A3"/>
    <w:rsid w:val="002F7427"/>
    <w:rsid w:val="002F7C27"/>
    <w:rsid w:val="002F7DDF"/>
    <w:rsid w:val="00300277"/>
    <w:rsid w:val="003002FC"/>
    <w:rsid w:val="00302485"/>
    <w:rsid w:val="00303631"/>
    <w:rsid w:val="00303777"/>
    <w:rsid w:val="00303AAD"/>
    <w:rsid w:val="00303B72"/>
    <w:rsid w:val="00304238"/>
    <w:rsid w:val="00305274"/>
    <w:rsid w:val="0030546A"/>
    <w:rsid w:val="0030566B"/>
    <w:rsid w:val="0030594E"/>
    <w:rsid w:val="00305957"/>
    <w:rsid w:val="003072FE"/>
    <w:rsid w:val="003074B3"/>
    <w:rsid w:val="0030797A"/>
    <w:rsid w:val="00307B88"/>
    <w:rsid w:val="00307D1A"/>
    <w:rsid w:val="00307DE4"/>
    <w:rsid w:val="00310311"/>
    <w:rsid w:val="003109BC"/>
    <w:rsid w:val="00310A43"/>
    <w:rsid w:val="00310BA1"/>
    <w:rsid w:val="00310CAB"/>
    <w:rsid w:val="00310FA3"/>
    <w:rsid w:val="003117D1"/>
    <w:rsid w:val="0031199E"/>
    <w:rsid w:val="0031220D"/>
    <w:rsid w:val="003125A3"/>
    <w:rsid w:val="003127C9"/>
    <w:rsid w:val="003128AE"/>
    <w:rsid w:val="00312DF1"/>
    <w:rsid w:val="00312FDF"/>
    <w:rsid w:val="0031321D"/>
    <w:rsid w:val="00313B43"/>
    <w:rsid w:val="00313B89"/>
    <w:rsid w:val="00313D19"/>
    <w:rsid w:val="00313D7C"/>
    <w:rsid w:val="00314182"/>
    <w:rsid w:val="00314318"/>
    <w:rsid w:val="003145C3"/>
    <w:rsid w:val="00314CA2"/>
    <w:rsid w:val="00314FF7"/>
    <w:rsid w:val="003150A7"/>
    <w:rsid w:val="00315511"/>
    <w:rsid w:val="003155D5"/>
    <w:rsid w:val="003156EB"/>
    <w:rsid w:val="00316018"/>
    <w:rsid w:val="00316342"/>
    <w:rsid w:val="003163B0"/>
    <w:rsid w:val="00316765"/>
    <w:rsid w:val="003167B7"/>
    <w:rsid w:val="00317760"/>
    <w:rsid w:val="003177D6"/>
    <w:rsid w:val="00317BFA"/>
    <w:rsid w:val="00317C5D"/>
    <w:rsid w:val="00317EA9"/>
    <w:rsid w:val="00320078"/>
    <w:rsid w:val="00320A36"/>
    <w:rsid w:val="00321441"/>
    <w:rsid w:val="00321A29"/>
    <w:rsid w:val="00321F22"/>
    <w:rsid w:val="003223D5"/>
    <w:rsid w:val="003230D6"/>
    <w:rsid w:val="00323606"/>
    <w:rsid w:val="00323D65"/>
    <w:rsid w:val="00323D67"/>
    <w:rsid w:val="0032408F"/>
    <w:rsid w:val="003241FF"/>
    <w:rsid w:val="003245BF"/>
    <w:rsid w:val="00324883"/>
    <w:rsid w:val="00324A03"/>
    <w:rsid w:val="00324D53"/>
    <w:rsid w:val="00325EF6"/>
    <w:rsid w:val="003267ED"/>
    <w:rsid w:val="003268EF"/>
    <w:rsid w:val="003269E9"/>
    <w:rsid w:val="00326B00"/>
    <w:rsid w:val="00327051"/>
    <w:rsid w:val="00327147"/>
    <w:rsid w:val="00327F0F"/>
    <w:rsid w:val="003305CE"/>
    <w:rsid w:val="003308E0"/>
    <w:rsid w:val="00330B2B"/>
    <w:rsid w:val="00330CE1"/>
    <w:rsid w:val="00331057"/>
    <w:rsid w:val="003310A1"/>
    <w:rsid w:val="00332042"/>
    <w:rsid w:val="003328E3"/>
    <w:rsid w:val="00332B0E"/>
    <w:rsid w:val="00332C93"/>
    <w:rsid w:val="00332F59"/>
    <w:rsid w:val="00333851"/>
    <w:rsid w:val="00333AC0"/>
    <w:rsid w:val="00333C88"/>
    <w:rsid w:val="0033452A"/>
    <w:rsid w:val="00334944"/>
    <w:rsid w:val="00334E57"/>
    <w:rsid w:val="00335091"/>
    <w:rsid w:val="00335498"/>
    <w:rsid w:val="00335576"/>
    <w:rsid w:val="00335A13"/>
    <w:rsid w:val="00336028"/>
    <w:rsid w:val="003362D0"/>
    <w:rsid w:val="00336A0E"/>
    <w:rsid w:val="00336D5A"/>
    <w:rsid w:val="00337DC0"/>
    <w:rsid w:val="00337F8F"/>
    <w:rsid w:val="0034020B"/>
    <w:rsid w:val="003405DA"/>
    <w:rsid w:val="00340CB0"/>
    <w:rsid w:val="00340F9E"/>
    <w:rsid w:val="003413C4"/>
    <w:rsid w:val="003418E4"/>
    <w:rsid w:val="003418FC"/>
    <w:rsid w:val="003429CF"/>
    <w:rsid w:val="00342D4C"/>
    <w:rsid w:val="003431A9"/>
    <w:rsid w:val="0034566C"/>
    <w:rsid w:val="003457C5"/>
    <w:rsid w:val="003460EB"/>
    <w:rsid w:val="00346BD1"/>
    <w:rsid w:val="00346CC9"/>
    <w:rsid w:val="00347134"/>
    <w:rsid w:val="0034748F"/>
    <w:rsid w:val="0034753E"/>
    <w:rsid w:val="0035070B"/>
    <w:rsid w:val="003507B3"/>
    <w:rsid w:val="003511B1"/>
    <w:rsid w:val="003512E2"/>
    <w:rsid w:val="00351483"/>
    <w:rsid w:val="00351902"/>
    <w:rsid w:val="00351950"/>
    <w:rsid w:val="00351AE4"/>
    <w:rsid w:val="00352504"/>
    <w:rsid w:val="00352716"/>
    <w:rsid w:val="00353204"/>
    <w:rsid w:val="00353EF6"/>
    <w:rsid w:val="00354A11"/>
    <w:rsid w:val="00354AF6"/>
    <w:rsid w:val="00354BA6"/>
    <w:rsid w:val="00355530"/>
    <w:rsid w:val="003555A4"/>
    <w:rsid w:val="0035563F"/>
    <w:rsid w:val="003558B7"/>
    <w:rsid w:val="0035597F"/>
    <w:rsid w:val="00356273"/>
    <w:rsid w:val="0035666E"/>
    <w:rsid w:val="0035722F"/>
    <w:rsid w:val="0035741E"/>
    <w:rsid w:val="00360183"/>
    <w:rsid w:val="00360D64"/>
    <w:rsid w:val="003611AD"/>
    <w:rsid w:val="003611B0"/>
    <w:rsid w:val="00361238"/>
    <w:rsid w:val="00362106"/>
    <w:rsid w:val="0036232E"/>
    <w:rsid w:val="00362C4D"/>
    <w:rsid w:val="00362CB3"/>
    <w:rsid w:val="00363187"/>
    <w:rsid w:val="00363AFA"/>
    <w:rsid w:val="003648DC"/>
    <w:rsid w:val="00364971"/>
    <w:rsid w:val="00365587"/>
    <w:rsid w:val="00365C07"/>
    <w:rsid w:val="0036624A"/>
    <w:rsid w:val="003666CB"/>
    <w:rsid w:val="00366E2B"/>
    <w:rsid w:val="00366FD2"/>
    <w:rsid w:val="00366FDA"/>
    <w:rsid w:val="0036737C"/>
    <w:rsid w:val="00367DC2"/>
    <w:rsid w:val="00370A4B"/>
    <w:rsid w:val="00370D16"/>
    <w:rsid w:val="00371961"/>
    <w:rsid w:val="00371BBC"/>
    <w:rsid w:val="00371FA0"/>
    <w:rsid w:val="00372303"/>
    <w:rsid w:val="003727F4"/>
    <w:rsid w:val="003729FE"/>
    <w:rsid w:val="003732A1"/>
    <w:rsid w:val="00373357"/>
    <w:rsid w:val="003733AC"/>
    <w:rsid w:val="0037381F"/>
    <w:rsid w:val="00373C45"/>
    <w:rsid w:val="0037432E"/>
    <w:rsid w:val="0037464D"/>
    <w:rsid w:val="00375222"/>
    <w:rsid w:val="003757CB"/>
    <w:rsid w:val="00375990"/>
    <w:rsid w:val="00375D70"/>
    <w:rsid w:val="00376124"/>
    <w:rsid w:val="00376A43"/>
    <w:rsid w:val="00376E1E"/>
    <w:rsid w:val="003778E9"/>
    <w:rsid w:val="0038044C"/>
    <w:rsid w:val="00380A07"/>
    <w:rsid w:val="00380B9A"/>
    <w:rsid w:val="00381392"/>
    <w:rsid w:val="00381487"/>
    <w:rsid w:val="0038183C"/>
    <w:rsid w:val="00382213"/>
    <w:rsid w:val="003824D2"/>
    <w:rsid w:val="00382517"/>
    <w:rsid w:val="003826B0"/>
    <w:rsid w:val="003832EA"/>
    <w:rsid w:val="0038395C"/>
    <w:rsid w:val="003842B2"/>
    <w:rsid w:val="003850AF"/>
    <w:rsid w:val="003851A3"/>
    <w:rsid w:val="00385237"/>
    <w:rsid w:val="00385302"/>
    <w:rsid w:val="003853F2"/>
    <w:rsid w:val="00386505"/>
    <w:rsid w:val="0038709E"/>
    <w:rsid w:val="00387726"/>
    <w:rsid w:val="00387734"/>
    <w:rsid w:val="003879F1"/>
    <w:rsid w:val="00390DB4"/>
    <w:rsid w:val="003913A7"/>
    <w:rsid w:val="00391447"/>
    <w:rsid w:val="00391770"/>
    <w:rsid w:val="00391895"/>
    <w:rsid w:val="00391BB1"/>
    <w:rsid w:val="00391C27"/>
    <w:rsid w:val="003924A8"/>
    <w:rsid w:val="003925C7"/>
    <w:rsid w:val="0039265E"/>
    <w:rsid w:val="0039294A"/>
    <w:rsid w:val="00393054"/>
    <w:rsid w:val="003933CB"/>
    <w:rsid w:val="003937F1"/>
    <w:rsid w:val="00394110"/>
    <w:rsid w:val="00394C9F"/>
    <w:rsid w:val="0039519F"/>
    <w:rsid w:val="003952A0"/>
    <w:rsid w:val="00395368"/>
    <w:rsid w:val="0039623C"/>
    <w:rsid w:val="0039677F"/>
    <w:rsid w:val="00396EDA"/>
    <w:rsid w:val="00397C08"/>
    <w:rsid w:val="003A00FD"/>
    <w:rsid w:val="003A0336"/>
    <w:rsid w:val="003A0BD7"/>
    <w:rsid w:val="003A1CBD"/>
    <w:rsid w:val="003A26A0"/>
    <w:rsid w:val="003A2B7B"/>
    <w:rsid w:val="003A2FCF"/>
    <w:rsid w:val="003A39F0"/>
    <w:rsid w:val="003A3A80"/>
    <w:rsid w:val="003A3BC5"/>
    <w:rsid w:val="003A4037"/>
    <w:rsid w:val="003A4905"/>
    <w:rsid w:val="003A4CFA"/>
    <w:rsid w:val="003A53FA"/>
    <w:rsid w:val="003A57CE"/>
    <w:rsid w:val="003A5ADB"/>
    <w:rsid w:val="003A6790"/>
    <w:rsid w:val="003A67AB"/>
    <w:rsid w:val="003A6C9C"/>
    <w:rsid w:val="003A7204"/>
    <w:rsid w:val="003A7587"/>
    <w:rsid w:val="003A7BC2"/>
    <w:rsid w:val="003B0BA7"/>
    <w:rsid w:val="003B0EC5"/>
    <w:rsid w:val="003B1400"/>
    <w:rsid w:val="003B1962"/>
    <w:rsid w:val="003B1AE5"/>
    <w:rsid w:val="003B2D34"/>
    <w:rsid w:val="003B301C"/>
    <w:rsid w:val="003B3455"/>
    <w:rsid w:val="003B3473"/>
    <w:rsid w:val="003B37DA"/>
    <w:rsid w:val="003B39DD"/>
    <w:rsid w:val="003B3A2A"/>
    <w:rsid w:val="003B3FE8"/>
    <w:rsid w:val="003B511C"/>
    <w:rsid w:val="003B5245"/>
    <w:rsid w:val="003B5337"/>
    <w:rsid w:val="003B537D"/>
    <w:rsid w:val="003B64FD"/>
    <w:rsid w:val="003B685F"/>
    <w:rsid w:val="003B6C4E"/>
    <w:rsid w:val="003B7063"/>
    <w:rsid w:val="003B72CA"/>
    <w:rsid w:val="003B72EA"/>
    <w:rsid w:val="003B79E3"/>
    <w:rsid w:val="003B7E9D"/>
    <w:rsid w:val="003C04EF"/>
    <w:rsid w:val="003C0B3C"/>
    <w:rsid w:val="003C0BD2"/>
    <w:rsid w:val="003C16AE"/>
    <w:rsid w:val="003C1A95"/>
    <w:rsid w:val="003C1CC4"/>
    <w:rsid w:val="003C1E29"/>
    <w:rsid w:val="003C2524"/>
    <w:rsid w:val="003C2576"/>
    <w:rsid w:val="003C25EE"/>
    <w:rsid w:val="003C2BE3"/>
    <w:rsid w:val="003C315B"/>
    <w:rsid w:val="003C3453"/>
    <w:rsid w:val="003C3906"/>
    <w:rsid w:val="003C51F6"/>
    <w:rsid w:val="003C538C"/>
    <w:rsid w:val="003C539C"/>
    <w:rsid w:val="003C5AD7"/>
    <w:rsid w:val="003C5C10"/>
    <w:rsid w:val="003C5CAE"/>
    <w:rsid w:val="003C5EE6"/>
    <w:rsid w:val="003C6339"/>
    <w:rsid w:val="003C6AD5"/>
    <w:rsid w:val="003C6D04"/>
    <w:rsid w:val="003C6EDD"/>
    <w:rsid w:val="003C73A6"/>
    <w:rsid w:val="003C76B3"/>
    <w:rsid w:val="003C7ED5"/>
    <w:rsid w:val="003D00B3"/>
    <w:rsid w:val="003D027C"/>
    <w:rsid w:val="003D03BB"/>
    <w:rsid w:val="003D05EB"/>
    <w:rsid w:val="003D0878"/>
    <w:rsid w:val="003D1202"/>
    <w:rsid w:val="003D1731"/>
    <w:rsid w:val="003D1888"/>
    <w:rsid w:val="003D18CE"/>
    <w:rsid w:val="003D23E3"/>
    <w:rsid w:val="003D23FB"/>
    <w:rsid w:val="003D3A95"/>
    <w:rsid w:val="003D3B6A"/>
    <w:rsid w:val="003D403E"/>
    <w:rsid w:val="003D4FBD"/>
    <w:rsid w:val="003D50A3"/>
    <w:rsid w:val="003D60DC"/>
    <w:rsid w:val="003D60E3"/>
    <w:rsid w:val="003D65C6"/>
    <w:rsid w:val="003D7938"/>
    <w:rsid w:val="003E00E1"/>
    <w:rsid w:val="003E0344"/>
    <w:rsid w:val="003E0CB1"/>
    <w:rsid w:val="003E166D"/>
    <w:rsid w:val="003E19AD"/>
    <w:rsid w:val="003E23E1"/>
    <w:rsid w:val="003E2A3A"/>
    <w:rsid w:val="003E3092"/>
    <w:rsid w:val="003E3864"/>
    <w:rsid w:val="003E3ACE"/>
    <w:rsid w:val="003E3D11"/>
    <w:rsid w:val="003E4202"/>
    <w:rsid w:val="003E4676"/>
    <w:rsid w:val="003E4C80"/>
    <w:rsid w:val="003E569B"/>
    <w:rsid w:val="003E5831"/>
    <w:rsid w:val="003E5892"/>
    <w:rsid w:val="003E5DAC"/>
    <w:rsid w:val="003E60B6"/>
    <w:rsid w:val="003E68B2"/>
    <w:rsid w:val="003E6F7D"/>
    <w:rsid w:val="003E718A"/>
    <w:rsid w:val="003E73CD"/>
    <w:rsid w:val="003E77A1"/>
    <w:rsid w:val="003E78EC"/>
    <w:rsid w:val="003F019B"/>
    <w:rsid w:val="003F1240"/>
    <w:rsid w:val="003F1882"/>
    <w:rsid w:val="003F1FE0"/>
    <w:rsid w:val="003F243C"/>
    <w:rsid w:val="003F24DA"/>
    <w:rsid w:val="003F2C9A"/>
    <w:rsid w:val="003F2EAD"/>
    <w:rsid w:val="003F310F"/>
    <w:rsid w:val="003F3A81"/>
    <w:rsid w:val="003F3B96"/>
    <w:rsid w:val="003F3E20"/>
    <w:rsid w:val="003F57B8"/>
    <w:rsid w:val="003F594C"/>
    <w:rsid w:val="003F5991"/>
    <w:rsid w:val="003F5E07"/>
    <w:rsid w:val="003F5ECC"/>
    <w:rsid w:val="003F5F4C"/>
    <w:rsid w:val="003F65B2"/>
    <w:rsid w:val="003F663C"/>
    <w:rsid w:val="003F7626"/>
    <w:rsid w:val="003F7D30"/>
    <w:rsid w:val="003F7F19"/>
    <w:rsid w:val="003F7F4D"/>
    <w:rsid w:val="0040112E"/>
    <w:rsid w:val="00401323"/>
    <w:rsid w:val="00401867"/>
    <w:rsid w:val="00401E0A"/>
    <w:rsid w:val="004022C5"/>
    <w:rsid w:val="00402463"/>
    <w:rsid w:val="00402F40"/>
    <w:rsid w:val="00403280"/>
    <w:rsid w:val="00403B3F"/>
    <w:rsid w:val="0040422E"/>
    <w:rsid w:val="00404C1D"/>
    <w:rsid w:val="004058EB"/>
    <w:rsid w:val="00405D71"/>
    <w:rsid w:val="004069DC"/>
    <w:rsid w:val="004070C0"/>
    <w:rsid w:val="00407DAB"/>
    <w:rsid w:val="00411686"/>
    <w:rsid w:val="00412003"/>
    <w:rsid w:val="0041240C"/>
    <w:rsid w:val="0041249C"/>
    <w:rsid w:val="00412546"/>
    <w:rsid w:val="00413D8E"/>
    <w:rsid w:val="00414242"/>
    <w:rsid w:val="00414D6D"/>
    <w:rsid w:val="004151B0"/>
    <w:rsid w:val="00415502"/>
    <w:rsid w:val="00415520"/>
    <w:rsid w:val="00415AE3"/>
    <w:rsid w:val="00415C91"/>
    <w:rsid w:val="00416B3C"/>
    <w:rsid w:val="00416DD5"/>
    <w:rsid w:val="00417031"/>
    <w:rsid w:val="00417C12"/>
    <w:rsid w:val="004201B9"/>
    <w:rsid w:val="004208E7"/>
    <w:rsid w:val="00420AA7"/>
    <w:rsid w:val="00421522"/>
    <w:rsid w:val="0042199F"/>
    <w:rsid w:val="00421FCF"/>
    <w:rsid w:val="00422607"/>
    <w:rsid w:val="004235EC"/>
    <w:rsid w:val="00423CE9"/>
    <w:rsid w:val="004240ED"/>
    <w:rsid w:val="00424482"/>
    <w:rsid w:val="00424514"/>
    <w:rsid w:val="004246E0"/>
    <w:rsid w:val="004259B3"/>
    <w:rsid w:val="0042608F"/>
    <w:rsid w:val="00426331"/>
    <w:rsid w:val="00426CB1"/>
    <w:rsid w:val="00427913"/>
    <w:rsid w:val="00427D90"/>
    <w:rsid w:val="00427ECC"/>
    <w:rsid w:val="004301FA"/>
    <w:rsid w:val="004303C1"/>
    <w:rsid w:val="00430883"/>
    <w:rsid w:val="0043099A"/>
    <w:rsid w:val="00430B82"/>
    <w:rsid w:val="00430D39"/>
    <w:rsid w:val="0043152C"/>
    <w:rsid w:val="0043161E"/>
    <w:rsid w:val="004318AC"/>
    <w:rsid w:val="00431A90"/>
    <w:rsid w:val="0043225B"/>
    <w:rsid w:val="00432779"/>
    <w:rsid w:val="0043341D"/>
    <w:rsid w:val="0043347F"/>
    <w:rsid w:val="00433B19"/>
    <w:rsid w:val="00434332"/>
    <w:rsid w:val="00435DAD"/>
    <w:rsid w:val="00436DF7"/>
    <w:rsid w:val="00437844"/>
    <w:rsid w:val="00437A5A"/>
    <w:rsid w:val="00437E2C"/>
    <w:rsid w:val="00440181"/>
    <w:rsid w:val="00440489"/>
    <w:rsid w:val="00440A63"/>
    <w:rsid w:val="0044113D"/>
    <w:rsid w:val="004415ED"/>
    <w:rsid w:val="004417A1"/>
    <w:rsid w:val="00441E79"/>
    <w:rsid w:val="004420E4"/>
    <w:rsid w:val="004432D7"/>
    <w:rsid w:val="00443504"/>
    <w:rsid w:val="0044360D"/>
    <w:rsid w:val="00443E8E"/>
    <w:rsid w:val="0044470E"/>
    <w:rsid w:val="004456A5"/>
    <w:rsid w:val="004456DF"/>
    <w:rsid w:val="00446553"/>
    <w:rsid w:val="00446805"/>
    <w:rsid w:val="004476B6"/>
    <w:rsid w:val="004478CD"/>
    <w:rsid w:val="00447969"/>
    <w:rsid w:val="00447C63"/>
    <w:rsid w:val="00447D58"/>
    <w:rsid w:val="00447E27"/>
    <w:rsid w:val="00447F71"/>
    <w:rsid w:val="00450049"/>
    <w:rsid w:val="00450793"/>
    <w:rsid w:val="0045088E"/>
    <w:rsid w:val="00452F9B"/>
    <w:rsid w:val="00452FC0"/>
    <w:rsid w:val="00453254"/>
    <w:rsid w:val="004538E8"/>
    <w:rsid w:val="0045465F"/>
    <w:rsid w:val="0045686B"/>
    <w:rsid w:val="00457631"/>
    <w:rsid w:val="004603E5"/>
    <w:rsid w:val="00460507"/>
    <w:rsid w:val="00461D82"/>
    <w:rsid w:val="00462682"/>
    <w:rsid w:val="0046324B"/>
    <w:rsid w:val="00463631"/>
    <w:rsid w:val="004637E2"/>
    <w:rsid w:val="00463EAB"/>
    <w:rsid w:val="00464152"/>
    <w:rsid w:val="004648B8"/>
    <w:rsid w:val="00464AC2"/>
    <w:rsid w:val="00464F72"/>
    <w:rsid w:val="004652CD"/>
    <w:rsid w:val="004655D5"/>
    <w:rsid w:val="00465942"/>
    <w:rsid w:val="00465B51"/>
    <w:rsid w:val="00466B66"/>
    <w:rsid w:val="004677DD"/>
    <w:rsid w:val="00467937"/>
    <w:rsid w:val="00467E81"/>
    <w:rsid w:val="00467EF6"/>
    <w:rsid w:val="0047047D"/>
    <w:rsid w:val="0047054F"/>
    <w:rsid w:val="00470941"/>
    <w:rsid w:val="004713DB"/>
    <w:rsid w:val="00471834"/>
    <w:rsid w:val="00471A5C"/>
    <w:rsid w:val="00471F9A"/>
    <w:rsid w:val="00472AF4"/>
    <w:rsid w:val="00472EB6"/>
    <w:rsid w:val="00473339"/>
    <w:rsid w:val="00473675"/>
    <w:rsid w:val="004737B0"/>
    <w:rsid w:val="0047393D"/>
    <w:rsid w:val="00473A60"/>
    <w:rsid w:val="00473D25"/>
    <w:rsid w:val="00474AA7"/>
    <w:rsid w:val="004754C9"/>
    <w:rsid w:val="00475783"/>
    <w:rsid w:val="00475F0E"/>
    <w:rsid w:val="00476A4F"/>
    <w:rsid w:val="00476F21"/>
    <w:rsid w:val="0047726F"/>
    <w:rsid w:val="0047734D"/>
    <w:rsid w:val="0047758C"/>
    <w:rsid w:val="0047782C"/>
    <w:rsid w:val="004778C4"/>
    <w:rsid w:val="00477B75"/>
    <w:rsid w:val="00477DF5"/>
    <w:rsid w:val="00477F1E"/>
    <w:rsid w:val="00480168"/>
    <w:rsid w:val="004805D8"/>
    <w:rsid w:val="00480B15"/>
    <w:rsid w:val="004810D0"/>
    <w:rsid w:val="0048169A"/>
    <w:rsid w:val="004816FE"/>
    <w:rsid w:val="00481779"/>
    <w:rsid w:val="0048213F"/>
    <w:rsid w:val="00482167"/>
    <w:rsid w:val="00482C41"/>
    <w:rsid w:val="00483744"/>
    <w:rsid w:val="00483762"/>
    <w:rsid w:val="00484155"/>
    <w:rsid w:val="00484494"/>
    <w:rsid w:val="00484A55"/>
    <w:rsid w:val="00484ED9"/>
    <w:rsid w:val="004856E3"/>
    <w:rsid w:val="00485A03"/>
    <w:rsid w:val="00485AC5"/>
    <w:rsid w:val="00486614"/>
    <w:rsid w:val="00486FF1"/>
    <w:rsid w:val="00487007"/>
    <w:rsid w:val="0048728C"/>
    <w:rsid w:val="004873F4"/>
    <w:rsid w:val="00487523"/>
    <w:rsid w:val="004877DC"/>
    <w:rsid w:val="0048792B"/>
    <w:rsid w:val="00487BDC"/>
    <w:rsid w:val="004910A7"/>
    <w:rsid w:val="00491A07"/>
    <w:rsid w:val="00491AAB"/>
    <w:rsid w:val="004922A9"/>
    <w:rsid w:val="004924E5"/>
    <w:rsid w:val="00492DB9"/>
    <w:rsid w:val="00493010"/>
    <w:rsid w:val="00493012"/>
    <w:rsid w:val="004932F9"/>
    <w:rsid w:val="00493302"/>
    <w:rsid w:val="00494759"/>
    <w:rsid w:val="00495236"/>
    <w:rsid w:val="00495E64"/>
    <w:rsid w:val="004963BD"/>
    <w:rsid w:val="00496850"/>
    <w:rsid w:val="00496AAB"/>
    <w:rsid w:val="00496EB7"/>
    <w:rsid w:val="004970A9"/>
    <w:rsid w:val="004973E7"/>
    <w:rsid w:val="00497456"/>
    <w:rsid w:val="004977A9"/>
    <w:rsid w:val="0049783A"/>
    <w:rsid w:val="00497D17"/>
    <w:rsid w:val="004A0968"/>
    <w:rsid w:val="004A0B7D"/>
    <w:rsid w:val="004A0B9F"/>
    <w:rsid w:val="004A0F18"/>
    <w:rsid w:val="004A0FF3"/>
    <w:rsid w:val="004A13C4"/>
    <w:rsid w:val="004A17B3"/>
    <w:rsid w:val="004A17FC"/>
    <w:rsid w:val="004A1FC9"/>
    <w:rsid w:val="004A2006"/>
    <w:rsid w:val="004A20D6"/>
    <w:rsid w:val="004A21D9"/>
    <w:rsid w:val="004A2DE7"/>
    <w:rsid w:val="004A2E67"/>
    <w:rsid w:val="004A37D6"/>
    <w:rsid w:val="004A58E6"/>
    <w:rsid w:val="004A5E2C"/>
    <w:rsid w:val="004A6208"/>
    <w:rsid w:val="004A62A7"/>
    <w:rsid w:val="004A63C2"/>
    <w:rsid w:val="004A6898"/>
    <w:rsid w:val="004A69B6"/>
    <w:rsid w:val="004A7DEB"/>
    <w:rsid w:val="004B044F"/>
    <w:rsid w:val="004B158B"/>
    <w:rsid w:val="004B1EB7"/>
    <w:rsid w:val="004B237F"/>
    <w:rsid w:val="004B2853"/>
    <w:rsid w:val="004B2AD9"/>
    <w:rsid w:val="004B2B72"/>
    <w:rsid w:val="004B376A"/>
    <w:rsid w:val="004B3EC4"/>
    <w:rsid w:val="004B4065"/>
    <w:rsid w:val="004B412F"/>
    <w:rsid w:val="004B4760"/>
    <w:rsid w:val="004B4B21"/>
    <w:rsid w:val="004B5475"/>
    <w:rsid w:val="004B5D77"/>
    <w:rsid w:val="004B62CD"/>
    <w:rsid w:val="004B6BB2"/>
    <w:rsid w:val="004B6D6C"/>
    <w:rsid w:val="004B76F3"/>
    <w:rsid w:val="004B77B5"/>
    <w:rsid w:val="004B78B3"/>
    <w:rsid w:val="004B7A21"/>
    <w:rsid w:val="004B7B9D"/>
    <w:rsid w:val="004B7FCA"/>
    <w:rsid w:val="004C06A4"/>
    <w:rsid w:val="004C0D07"/>
    <w:rsid w:val="004C0D0F"/>
    <w:rsid w:val="004C16CA"/>
    <w:rsid w:val="004C16CF"/>
    <w:rsid w:val="004C1C5E"/>
    <w:rsid w:val="004C1E66"/>
    <w:rsid w:val="004C223E"/>
    <w:rsid w:val="004C3279"/>
    <w:rsid w:val="004C3F20"/>
    <w:rsid w:val="004C4BF7"/>
    <w:rsid w:val="004C4D25"/>
    <w:rsid w:val="004C52B4"/>
    <w:rsid w:val="004C540B"/>
    <w:rsid w:val="004C5E63"/>
    <w:rsid w:val="004C62AF"/>
    <w:rsid w:val="004C6F01"/>
    <w:rsid w:val="004C70A9"/>
    <w:rsid w:val="004C737B"/>
    <w:rsid w:val="004C75FC"/>
    <w:rsid w:val="004C776D"/>
    <w:rsid w:val="004C7796"/>
    <w:rsid w:val="004D073A"/>
    <w:rsid w:val="004D07EA"/>
    <w:rsid w:val="004D08C2"/>
    <w:rsid w:val="004D098D"/>
    <w:rsid w:val="004D0CC6"/>
    <w:rsid w:val="004D0EF1"/>
    <w:rsid w:val="004D1393"/>
    <w:rsid w:val="004D19CC"/>
    <w:rsid w:val="004D2462"/>
    <w:rsid w:val="004D2776"/>
    <w:rsid w:val="004D2C0F"/>
    <w:rsid w:val="004D2E4E"/>
    <w:rsid w:val="004D3103"/>
    <w:rsid w:val="004D3259"/>
    <w:rsid w:val="004D326A"/>
    <w:rsid w:val="004D3434"/>
    <w:rsid w:val="004D355F"/>
    <w:rsid w:val="004D3BC4"/>
    <w:rsid w:val="004D48C6"/>
    <w:rsid w:val="004D4A73"/>
    <w:rsid w:val="004D50BD"/>
    <w:rsid w:val="004D5525"/>
    <w:rsid w:val="004D5B3D"/>
    <w:rsid w:val="004E05B7"/>
    <w:rsid w:val="004E061D"/>
    <w:rsid w:val="004E09CA"/>
    <w:rsid w:val="004E0D19"/>
    <w:rsid w:val="004E0D85"/>
    <w:rsid w:val="004E0DAC"/>
    <w:rsid w:val="004E1379"/>
    <w:rsid w:val="004E1867"/>
    <w:rsid w:val="004E19D9"/>
    <w:rsid w:val="004E1B26"/>
    <w:rsid w:val="004E3DCE"/>
    <w:rsid w:val="004E533D"/>
    <w:rsid w:val="004E5443"/>
    <w:rsid w:val="004E565C"/>
    <w:rsid w:val="004E59EE"/>
    <w:rsid w:val="004E5ACD"/>
    <w:rsid w:val="004E655D"/>
    <w:rsid w:val="004E69BD"/>
    <w:rsid w:val="004E7167"/>
    <w:rsid w:val="004E76AD"/>
    <w:rsid w:val="004E7C82"/>
    <w:rsid w:val="004E7ECB"/>
    <w:rsid w:val="004E7FBD"/>
    <w:rsid w:val="004F0096"/>
    <w:rsid w:val="004F0859"/>
    <w:rsid w:val="004F1723"/>
    <w:rsid w:val="004F2618"/>
    <w:rsid w:val="004F2727"/>
    <w:rsid w:val="004F3388"/>
    <w:rsid w:val="004F35FF"/>
    <w:rsid w:val="004F36BE"/>
    <w:rsid w:val="004F371D"/>
    <w:rsid w:val="004F380A"/>
    <w:rsid w:val="004F3F2C"/>
    <w:rsid w:val="004F4804"/>
    <w:rsid w:val="004F545C"/>
    <w:rsid w:val="004F5488"/>
    <w:rsid w:val="004F5988"/>
    <w:rsid w:val="004F66D0"/>
    <w:rsid w:val="004F7953"/>
    <w:rsid w:val="004F7F03"/>
    <w:rsid w:val="004F7F4F"/>
    <w:rsid w:val="0050031F"/>
    <w:rsid w:val="0050067F"/>
    <w:rsid w:val="00500714"/>
    <w:rsid w:val="00500A0E"/>
    <w:rsid w:val="00500B96"/>
    <w:rsid w:val="00500DC9"/>
    <w:rsid w:val="005010B7"/>
    <w:rsid w:val="005019E9"/>
    <w:rsid w:val="005028A8"/>
    <w:rsid w:val="00502980"/>
    <w:rsid w:val="00502FB0"/>
    <w:rsid w:val="00503788"/>
    <w:rsid w:val="005039D8"/>
    <w:rsid w:val="00503CAD"/>
    <w:rsid w:val="00503D0A"/>
    <w:rsid w:val="00504290"/>
    <w:rsid w:val="005044EE"/>
    <w:rsid w:val="005047A7"/>
    <w:rsid w:val="00504912"/>
    <w:rsid w:val="00504DE6"/>
    <w:rsid w:val="0050502A"/>
    <w:rsid w:val="0050576D"/>
    <w:rsid w:val="00505A80"/>
    <w:rsid w:val="00505AAB"/>
    <w:rsid w:val="00505BF3"/>
    <w:rsid w:val="00505F9F"/>
    <w:rsid w:val="00506561"/>
    <w:rsid w:val="00506757"/>
    <w:rsid w:val="00506A2C"/>
    <w:rsid w:val="00506BBC"/>
    <w:rsid w:val="005078B3"/>
    <w:rsid w:val="00507B6F"/>
    <w:rsid w:val="00510207"/>
    <w:rsid w:val="00510235"/>
    <w:rsid w:val="0051040A"/>
    <w:rsid w:val="005104DA"/>
    <w:rsid w:val="00511506"/>
    <w:rsid w:val="00511872"/>
    <w:rsid w:val="00512A43"/>
    <w:rsid w:val="00513041"/>
    <w:rsid w:val="0051315F"/>
    <w:rsid w:val="0051352E"/>
    <w:rsid w:val="00513A9D"/>
    <w:rsid w:val="00514777"/>
    <w:rsid w:val="00514D73"/>
    <w:rsid w:val="00514F91"/>
    <w:rsid w:val="005157D0"/>
    <w:rsid w:val="00515B2D"/>
    <w:rsid w:val="00515ECA"/>
    <w:rsid w:val="0051604F"/>
    <w:rsid w:val="00516187"/>
    <w:rsid w:val="005166CD"/>
    <w:rsid w:val="0051704B"/>
    <w:rsid w:val="005170A0"/>
    <w:rsid w:val="00517289"/>
    <w:rsid w:val="005172A6"/>
    <w:rsid w:val="005172BA"/>
    <w:rsid w:val="00517FEF"/>
    <w:rsid w:val="005201C8"/>
    <w:rsid w:val="00520693"/>
    <w:rsid w:val="00520B0A"/>
    <w:rsid w:val="00521EB2"/>
    <w:rsid w:val="005222A2"/>
    <w:rsid w:val="005222B5"/>
    <w:rsid w:val="00524B7B"/>
    <w:rsid w:val="00524B85"/>
    <w:rsid w:val="00524C2E"/>
    <w:rsid w:val="00524C74"/>
    <w:rsid w:val="00524C99"/>
    <w:rsid w:val="00524D9D"/>
    <w:rsid w:val="00524DC6"/>
    <w:rsid w:val="00524F3E"/>
    <w:rsid w:val="00524FE4"/>
    <w:rsid w:val="00524FEC"/>
    <w:rsid w:val="0052575A"/>
    <w:rsid w:val="00525B47"/>
    <w:rsid w:val="00525B7A"/>
    <w:rsid w:val="0052631F"/>
    <w:rsid w:val="00526B51"/>
    <w:rsid w:val="005274CD"/>
    <w:rsid w:val="00527731"/>
    <w:rsid w:val="0052791D"/>
    <w:rsid w:val="00530AF7"/>
    <w:rsid w:val="00530DDA"/>
    <w:rsid w:val="00530DF8"/>
    <w:rsid w:val="00530F89"/>
    <w:rsid w:val="005310A5"/>
    <w:rsid w:val="005312DB"/>
    <w:rsid w:val="00531621"/>
    <w:rsid w:val="00531A36"/>
    <w:rsid w:val="00532001"/>
    <w:rsid w:val="0053234C"/>
    <w:rsid w:val="0053267F"/>
    <w:rsid w:val="005326B5"/>
    <w:rsid w:val="00532890"/>
    <w:rsid w:val="0053333F"/>
    <w:rsid w:val="00533952"/>
    <w:rsid w:val="00533C60"/>
    <w:rsid w:val="00534D23"/>
    <w:rsid w:val="005352ED"/>
    <w:rsid w:val="0053594F"/>
    <w:rsid w:val="00535B52"/>
    <w:rsid w:val="00535ED6"/>
    <w:rsid w:val="00536287"/>
    <w:rsid w:val="00536324"/>
    <w:rsid w:val="00536E4E"/>
    <w:rsid w:val="00536FB1"/>
    <w:rsid w:val="005371FB"/>
    <w:rsid w:val="005377F3"/>
    <w:rsid w:val="00537C81"/>
    <w:rsid w:val="0054057E"/>
    <w:rsid w:val="00540692"/>
    <w:rsid w:val="005408CB"/>
    <w:rsid w:val="005409EA"/>
    <w:rsid w:val="00541537"/>
    <w:rsid w:val="005415AB"/>
    <w:rsid w:val="00541681"/>
    <w:rsid w:val="00541971"/>
    <w:rsid w:val="00541A25"/>
    <w:rsid w:val="00541E50"/>
    <w:rsid w:val="00541F23"/>
    <w:rsid w:val="00542051"/>
    <w:rsid w:val="00542349"/>
    <w:rsid w:val="005425D4"/>
    <w:rsid w:val="00542983"/>
    <w:rsid w:val="00542E8E"/>
    <w:rsid w:val="00542F94"/>
    <w:rsid w:val="00543370"/>
    <w:rsid w:val="00543BD6"/>
    <w:rsid w:val="00543C8A"/>
    <w:rsid w:val="00545F77"/>
    <w:rsid w:val="00546F94"/>
    <w:rsid w:val="00546FDA"/>
    <w:rsid w:val="00547624"/>
    <w:rsid w:val="005477F9"/>
    <w:rsid w:val="00547ACF"/>
    <w:rsid w:val="00550113"/>
    <w:rsid w:val="0055011A"/>
    <w:rsid w:val="00550182"/>
    <w:rsid w:val="005503CB"/>
    <w:rsid w:val="0055097C"/>
    <w:rsid w:val="00550FEA"/>
    <w:rsid w:val="00551857"/>
    <w:rsid w:val="00551E49"/>
    <w:rsid w:val="0055201D"/>
    <w:rsid w:val="00552215"/>
    <w:rsid w:val="0055225D"/>
    <w:rsid w:val="005525C2"/>
    <w:rsid w:val="00552D3B"/>
    <w:rsid w:val="00553BF5"/>
    <w:rsid w:val="00553E60"/>
    <w:rsid w:val="005547A4"/>
    <w:rsid w:val="00555660"/>
    <w:rsid w:val="00555A38"/>
    <w:rsid w:val="00555B22"/>
    <w:rsid w:val="00556083"/>
    <w:rsid w:val="00556581"/>
    <w:rsid w:val="00556BC1"/>
    <w:rsid w:val="00556CE2"/>
    <w:rsid w:val="00557179"/>
    <w:rsid w:val="00557188"/>
    <w:rsid w:val="005572A7"/>
    <w:rsid w:val="005573AB"/>
    <w:rsid w:val="005576E3"/>
    <w:rsid w:val="005578AA"/>
    <w:rsid w:val="00557A58"/>
    <w:rsid w:val="00557CA9"/>
    <w:rsid w:val="00560486"/>
    <w:rsid w:val="00560737"/>
    <w:rsid w:val="00560F82"/>
    <w:rsid w:val="00561184"/>
    <w:rsid w:val="00561B23"/>
    <w:rsid w:val="00561B88"/>
    <w:rsid w:val="00561CAA"/>
    <w:rsid w:val="0056208C"/>
    <w:rsid w:val="005620B9"/>
    <w:rsid w:val="0056270B"/>
    <w:rsid w:val="0056289C"/>
    <w:rsid w:val="00562C17"/>
    <w:rsid w:val="00563831"/>
    <w:rsid w:val="00563CA6"/>
    <w:rsid w:val="005643F0"/>
    <w:rsid w:val="005648AE"/>
    <w:rsid w:val="00564C1B"/>
    <w:rsid w:val="00564C4E"/>
    <w:rsid w:val="005656F0"/>
    <w:rsid w:val="005662F3"/>
    <w:rsid w:val="0056651D"/>
    <w:rsid w:val="005665D6"/>
    <w:rsid w:val="00566BF7"/>
    <w:rsid w:val="00567332"/>
    <w:rsid w:val="00570150"/>
    <w:rsid w:val="0057017A"/>
    <w:rsid w:val="0057024A"/>
    <w:rsid w:val="005702C5"/>
    <w:rsid w:val="00570488"/>
    <w:rsid w:val="00570515"/>
    <w:rsid w:val="005709F0"/>
    <w:rsid w:val="00570FCD"/>
    <w:rsid w:val="00571B1D"/>
    <w:rsid w:val="00571C67"/>
    <w:rsid w:val="00572205"/>
    <w:rsid w:val="00572B22"/>
    <w:rsid w:val="00573489"/>
    <w:rsid w:val="00573AC0"/>
    <w:rsid w:val="00573C8B"/>
    <w:rsid w:val="00573F48"/>
    <w:rsid w:val="0057459E"/>
    <w:rsid w:val="005766CE"/>
    <w:rsid w:val="005773FA"/>
    <w:rsid w:val="00577900"/>
    <w:rsid w:val="00577ED4"/>
    <w:rsid w:val="00580C14"/>
    <w:rsid w:val="0058183A"/>
    <w:rsid w:val="00581896"/>
    <w:rsid w:val="00582265"/>
    <w:rsid w:val="00583179"/>
    <w:rsid w:val="00584242"/>
    <w:rsid w:val="00584A68"/>
    <w:rsid w:val="00584C35"/>
    <w:rsid w:val="00584DE6"/>
    <w:rsid w:val="00584F5B"/>
    <w:rsid w:val="0058523F"/>
    <w:rsid w:val="00585518"/>
    <w:rsid w:val="00585A47"/>
    <w:rsid w:val="00586419"/>
    <w:rsid w:val="005870B3"/>
    <w:rsid w:val="0058735C"/>
    <w:rsid w:val="00587467"/>
    <w:rsid w:val="00587998"/>
    <w:rsid w:val="00587B0A"/>
    <w:rsid w:val="0059053D"/>
    <w:rsid w:val="00590664"/>
    <w:rsid w:val="0059068C"/>
    <w:rsid w:val="005909C3"/>
    <w:rsid w:val="00590C47"/>
    <w:rsid w:val="0059257E"/>
    <w:rsid w:val="00592780"/>
    <w:rsid w:val="0059278F"/>
    <w:rsid w:val="00593CEB"/>
    <w:rsid w:val="0059461B"/>
    <w:rsid w:val="00594C68"/>
    <w:rsid w:val="00594E31"/>
    <w:rsid w:val="00594F81"/>
    <w:rsid w:val="005951CB"/>
    <w:rsid w:val="005960E9"/>
    <w:rsid w:val="005960FC"/>
    <w:rsid w:val="005963C3"/>
    <w:rsid w:val="0059654C"/>
    <w:rsid w:val="00596AAF"/>
    <w:rsid w:val="00596E47"/>
    <w:rsid w:val="005973B2"/>
    <w:rsid w:val="00597F34"/>
    <w:rsid w:val="005A04D2"/>
    <w:rsid w:val="005A06C0"/>
    <w:rsid w:val="005A0DEF"/>
    <w:rsid w:val="005A14A5"/>
    <w:rsid w:val="005A1508"/>
    <w:rsid w:val="005A1AED"/>
    <w:rsid w:val="005A2934"/>
    <w:rsid w:val="005A2D38"/>
    <w:rsid w:val="005A2EE7"/>
    <w:rsid w:val="005A3490"/>
    <w:rsid w:val="005A37EC"/>
    <w:rsid w:val="005A3C8D"/>
    <w:rsid w:val="005A51F8"/>
    <w:rsid w:val="005A5470"/>
    <w:rsid w:val="005A547E"/>
    <w:rsid w:val="005A574F"/>
    <w:rsid w:val="005A60A8"/>
    <w:rsid w:val="005A6594"/>
    <w:rsid w:val="005A6826"/>
    <w:rsid w:val="005A6940"/>
    <w:rsid w:val="005A6E0A"/>
    <w:rsid w:val="005A6E4E"/>
    <w:rsid w:val="005A7BE1"/>
    <w:rsid w:val="005A7DEB"/>
    <w:rsid w:val="005B0C3C"/>
    <w:rsid w:val="005B1944"/>
    <w:rsid w:val="005B1BD5"/>
    <w:rsid w:val="005B1CE2"/>
    <w:rsid w:val="005B26C9"/>
    <w:rsid w:val="005B273F"/>
    <w:rsid w:val="005B2ECD"/>
    <w:rsid w:val="005B306E"/>
    <w:rsid w:val="005B3324"/>
    <w:rsid w:val="005B3583"/>
    <w:rsid w:val="005B4218"/>
    <w:rsid w:val="005B4253"/>
    <w:rsid w:val="005B45A7"/>
    <w:rsid w:val="005B50C9"/>
    <w:rsid w:val="005B53FB"/>
    <w:rsid w:val="005B5F9A"/>
    <w:rsid w:val="005B63AF"/>
    <w:rsid w:val="005B63D1"/>
    <w:rsid w:val="005B6845"/>
    <w:rsid w:val="005B6C30"/>
    <w:rsid w:val="005B6D88"/>
    <w:rsid w:val="005B75A3"/>
    <w:rsid w:val="005B7710"/>
    <w:rsid w:val="005B783C"/>
    <w:rsid w:val="005B78E6"/>
    <w:rsid w:val="005C0220"/>
    <w:rsid w:val="005C0732"/>
    <w:rsid w:val="005C07D9"/>
    <w:rsid w:val="005C0E8E"/>
    <w:rsid w:val="005C115C"/>
    <w:rsid w:val="005C13CE"/>
    <w:rsid w:val="005C17BE"/>
    <w:rsid w:val="005C219D"/>
    <w:rsid w:val="005C2282"/>
    <w:rsid w:val="005C25B0"/>
    <w:rsid w:val="005C2DAA"/>
    <w:rsid w:val="005C340F"/>
    <w:rsid w:val="005C3B3C"/>
    <w:rsid w:val="005C417A"/>
    <w:rsid w:val="005C47F4"/>
    <w:rsid w:val="005C4948"/>
    <w:rsid w:val="005C4A26"/>
    <w:rsid w:val="005C5469"/>
    <w:rsid w:val="005C54BD"/>
    <w:rsid w:val="005C57D2"/>
    <w:rsid w:val="005C5E84"/>
    <w:rsid w:val="005C6089"/>
    <w:rsid w:val="005C6337"/>
    <w:rsid w:val="005C63D9"/>
    <w:rsid w:val="005C6616"/>
    <w:rsid w:val="005C7190"/>
    <w:rsid w:val="005C79BA"/>
    <w:rsid w:val="005D047B"/>
    <w:rsid w:val="005D0564"/>
    <w:rsid w:val="005D058A"/>
    <w:rsid w:val="005D167F"/>
    <w:rsid w:val="005D183C"/>
    <w:rsid w:val="005D1869"/>
    <w:rsid w:val="005D1948"/>
    <w:rsid w:val="005D223F"/>
    <w:rsid w:val="005D230A"/>
    <w:rsid w:val="005D2A20"/>
    <w:rsid w:val="005D2B1F"/>
    <w:rsid w:val="005D2B69"/>
    <w:rsid w:val="005D36E2"/>
    <w:rsid w:val="005D3799"/>
    <w:rsid w:val="005D37D3"/>
    <w:rsid w:val="005D404A"/>
    <w:rsid w:val="005D4144"/>
    <w:rsid w:val="005D49F2"/>
    <w:rsid w:val="005D49F4"/>
    <w:rsid w:val="005D51D1"/>
    <w:rsid w:val="005D54FB"/>
    <w:rsid w:val="005D5556"/>
    <w:rsid w:val="005D6379"/>
    <w:rsid w:val="005D66E0"/>
    <w:rsid w:val="005D6B18"/>
    <w:rsid w:val="005D6D86"/>
    <w:rsid w:val="005D6F86"/>
    <w:rsid w:val="005D718B"/>
    <w:rsid w:val="005D739E"/>
    <w:rsid w:val="005D73C4"/>
    <w:rsid w:val="005D7BF9"/>
    <w:rsid w:val="005D7D6D"/>
    <w:rsid w:val="005E027D"/>
    <w:rsid w:val="005E0303"/>
    <w:rsid w:val="005E0573"/>
    <w:rsid w:val="005E069F"/>
    <w:rsid w:val="005E09C5"/>
    <w:rsid w:val="005E0BB6"/>
    <w:rsid w:val="005E0E27"/>
    <w:rsid w:val="005E1150"/>
    <w:rsid w:val="005E1B24"/>
    <w:rsid w:val="005E2B8F"/>
    <w:rsid w:val="005E2DB4"/>
    <w:rsid w:val="005E3144"/>
    <w:rsid w:val="005E3255"/>
    <w:rsid w:val="005E3687"/>
    <w:rsid w:val="005E3C87"/>
    <w:rsid w:val="005E44BE"/>
    <w:rsid w:val="005E4866"/>
    <w:rsid w:val="005E492E"/>
    <w:rsid w:val="005E49CD"/>
    <w:rsid w:val="005E49DC"/>
    <w:rsid w:val="005E4C3D"/>
    <w:rsid w:val="005E4E93"/>
    <w:rsid w:val="005E507E"/>
    <w:rsid w:val="005E5779"/>
    <w:rsid w:val="005E5D96"/>
    <w:rsid w:val="005E5E10"/>
    <w:rsid w:val="005E6077"/>
    <w:rsid w:val="005E620C"/>
    <w:rsid w:val="005E67D1"/>
    <w:rsid w:val="005E750F"/>
    <w:rsid w:val="005E794C"/>
    <w:rsid w:val="005F0A9A"/>
    <w:rsid w:val="005F15CA"/>
    <w:rsid w:val="005F1A2D"/>
    <w:rsid w:val="005F1FAF"/>
    <w:rsid w:val="005F233C"/>
    <w:rsid w:val="005F2402"/>
    <w:rsid w:val="005F411D"/>
    <w:rsid w:val="005F41E0"/>
    <w:rsid w:val="005F450F"/>
    <w:rsid w:val="005F48B5"/>
    <w:rsid w:val="005F4903"/>
    <w:rsid w:val="005F51ED"/>
    <w:rsid w:val="005F5D3D"/>
    <w:rsid w:val="005F5F30"/>
    <w:rsid w:val="005F6045"/>
    <w:rsid w:val="005F62CA"/>
    <w:rsid w:val="005F6DCF"/>
    <w:rsid w:val="005F6F54"/>
    <w:rsid w:val="005F7087"/>
    <w:rsid w:val="005F7330"/>
    <w:rsid w:val="005F736D"/>
    <w:rsid w:val="005F7664"/>
    <w:rsid w:val="005F798E"/>
    <w:rsid w:val="005F7AF8"/>
    <w:rsid w:val="006002D2"/>
    <w:rsid w:val="00600425"/>
    <w:rsid w:val="00600473"/>
    <w:rsid w:val="006007EF"/>
    <w:rsid w:val="00600C87"/>
    <w:rsid w:val="00600DAE"/>
    <w:rsid w:val="00601534"/>
    <w:rsid w:val="006019E4"/>
    <w:rsid w:val="00601FF6"/>
    <w:rsid w:val="006029B1"/>
    <w:rsid w:val="00602EB7"/>
    <w:rsid w:val="00603342"/>
    <w:rsid w:val="00604366"/>
    <w:rsid w:val="00604465"/>
    <w:rsid w:val="00604924"/>
    <w:rsid w:val="00605302"/>
    <w:rsid w:val="00605A0D"/>
    <w:rsid w:val="00605CA3"/>
    <w:rsid w:val="006064F4"/>
    <w:rsid w:val="00606F87"/>
    <w:rsid w:val="00607474"/>
    <w:rsid w:val="0060753B"/>
    <w:rsid w:val="006075EA"/>
    <w:rsid w:val="00607800"/>
    <w:rsid w:val="006101EB"/>
    <w:rsid w:val="006105ED"/>
    <w:rsid w:val="00611120"/>
    <w:rsid w:val="006114D6"/>
    <w:rsid w:val="006119D5"/>
    <w:rsid w:val="0061264B"/>
    <w:rsid w:val="00613018"/>
    <w:rsid w:val="0061314F"/>
    <w:rsid w:val="006131ED"/>
    <w:rsid w:val="006140F9"/>
    <w:rsid w:val="00614712"/>
    <w:rsid w:val="0061479A"/>
    <w:rsid w:val="006147B0"/>
    <w:rsid w:val="006149D7"/>
    <w:rsid w:val="00614B58"/>
    <w:rsid w:val="006164B8"/>
    <w:rsid w:val="006206B5"/>
    <w:rsid w:val="00620825"/>
    <w:rsid w:val="0062110A"/>
    <w:rsid w:val="00622239"/>
    <w:rsid w:val="00622A25"/>
    <w:rsid w:val="0062374A"/>
    <w:rsid w:val="00624251"/>
    <w:rsid w:val="00624578"/>
    <w:rsid w:val="006247FD"/>
    <w:rsid w:val="00624821"/>
    <w:rsid w:val="00624D8F"/>
    <w:rsid w:val="00624F4E"/>
    <w:rsid w:val="00625478"/>
    <w:rsid w:val="006256A5"/>
    <w:rsid w:val="00625C9F"/>
    <w:rsid w:val="00626305"/>
    <w:rsid w:val="006263F0"/>
    <w:rsid w:val="00626420"/>
    <w:rsid w:val="006267E9"/>
    <w:rsid w:val="0062720A"/>
    <w:rsid w:val="00630152"/>
    <w:rsid w:val="006309E6"/>
    <w:rsid w:val="00630BF1"/>
    <w:rsid w:val="0063130D"/>
    <w:rsid w:val="006315AD"/>
    <w:rsid w:val="00631FEB"/>
    <w:rsid w:val="00632792"/>
    <w:rsid w:val="0063427E"/>
    <w:rsid w:val="006346B8"/>
    <w:rsid w:val="00634DC8"/>
    <w:rsid w:val="00635E09"/>
    <w:rsid w:val="0063649D"/>
    <w:rsid w:val="00636648"/>
    <w:rsid w:val="00636A18"/>
    <w:rsid w:val="00636F0D"/>
    <w:rsid w:val="006370CE"/>
    <w:rsid w:val="0063790D"/>
    <w:rsid w:val="00640055"/>
    <w:rsid w:val="0064139E"/>
    <w:rsid w:val="0064154C"/>
    <w:rsid w:val="00641721"/>
    <w:rsid w:val="00641A5D"/>
    <w:rsid w:val="00641A97"/>
    <w:rsid w:val="00641BB9"/>
    <w:rsid w:val="00641C1E"/>
    <w:rsid w:val="00641CD0"/>
    <w:rsid w:val="006422BD"/>
    <w:rsid w:val="006432C3"/>
    <w:rsid w:val="00643C18"/>
    <w:rsid w:val="00643EB4"/>
    <w:rsid w:val="0064412D"/>
    <w:rsid w:val="00644187"/>
    <w:rsid w:val="006441F2"/>
    <w:rsid w:val="00644968"/>
    <w:rsid w:val="00644A4B"/>
    <w:rsid w:val="00644C11"/>
    <w:rsid w:val="00644E2D"/>
    <w:rsid w:val="00645693"/>
    <w:rsid w:val="006463C3"/>
    <w:rsid w:val="00646AB6"/>
    <w:rsid w:val="0065033E"/>
    <w:rsid w:val="006505C3"/>
    <w:rsid w:val="00650BAA"/>
    <w:rsid w:val="0065135A"/>
    <w:rsid w:val="00651D07"/>
    <w:rsid w:val="00651D9D"/>
    <w:rsid w:val="00651F54"/>
    <w:rsid w:val="006520DB"/>
    <w:rsid w:val="00652702"/>
    <w:rsid w:val="006527D2"/>
    <w:rsid w:val="00652A66"/>
    <w:rsid w:val="00652C06"/>
    <w:rsid w:val="00654E12"/>
    <w:rsid w:val="0065545D"/>
    <w:rsid w:val="006556CC"/>
    <w:rsid w:val="0065580E"/>
    <w:rsid w:val="00655854"/>
    <w:rsid w:val="00655B43"/>
    <w:rsid w:val="00656919"/>
    <w:rsid w:val="00656957"/>
    <w:rsid w:val="0065698F"/>
    <w:rsid w:val="00657ABD"/>
    <w:rsid w:val="00660704"/>
    <w:rsid w:val="0066072E"/>
    <w:rsid w:val="00660CAD"/>
    <w:rsid w:val="006615B3"/>
    <w:rsid w:val="006617A9"/>
    <w:rsid w:val="00661E2B"/>
    <w:rsid w:val="00661EB6"/>
    <w:rsid w:val="0066273D"/>
    <w:rsid w:val="00662B8F"/>
    <w:rsid w:val="006631E2"/>
    <w:rsid w:val="006637E7"/>
    <w:rsid w:val="00663ECD"/>
    <w:rsid w:val="00664337"/>
    <w:rsid w:val="006646B9"/>
    <w:rsid w:val="00664C7B"/>
    <w:rsid w:val="00664D6E"/>
    <w:rsid w:val="00664E1B"/>
    <w:rsid w:val="0066598E"/>
    <w:rsid w:val="00666B41"/>
    <w:rsid w:val="006672F9"/>
    <w:rsid w:val="006675A7"/>
    <w:rsid w:val="00667A6A"/>
    <w:rsid w:val="00667BCC"/>
    <w:rsid w:val="0067036B"/>
    <w:rsid w:val="006706B8"/>
    <w:rsid w:val="00670972"/>
    <w:rsid w:val="00670DE5"/>
    <w:rsid w:val="00671710"/>
    <w:rsid w:val="006720BB"/>
    <w:rsid w:val="00672562"/>
    <w:rsid w:val="00673157"/>
    <w:rsid w:val="0067319E"/>
    <w:rsid w:val="006732CC"/>
    <w:rsid w:val="00673357"/>
    <w:rsid w:val="0067376F"/>
    <w:rsid w:val="006738BF"/>
    <w:rsid w:val="00673C2C"/>
    <w:rsid w:val="00673C56"/>
    <w:rsid w:val="006742C2"/>
    <w:rsid w:val="00674337"/>
    <w:rsid w:val="006744F8"/>
    <w:rsid w:val="00674545"/>
    <w:rsid w:val="0067456F"/>
    <w:rsid w:val="006751AD"/>
    <w:rsid w:val="0067560A"/>
    <w:rsid w:val="00675643"/>
    <w:rsid w:val="0067584E"/>
    <w:rsid w:val="00675BEA"/>
    <w:rsid w:val="00676754"/>
    <w:rsid w:val="00676767"/>
    <w:rsid w:val="00677123"/>
    <w:rsid w:val="00677247"/>
    <w:rsid w:val="006773C4"/>
    <w:rsid w:val="00677682"/>
    <w:rsid w:val="00677688"/>
    <w:rsid w:val="00677814"/>
    <w:rsid w:val="00677BCD"/>
    <w:rsid w:val="00677EB8"/>
    <w:rsid w:val="00680107"/>
    <w:rsid w:val="006802B7"/>
    <w:rsid w:val="00680533"/>
    <w:rsid w:val="006805C8"/>
    <w:rsid w:val="00680A99"/>
    <w:rsid w:val="00680B39"/>
    <w:rsid w:val="0068180B"/>
    <w:rsid w:val="00681BC0"/>
    <w:rsid w:val="00681BC2"/>
    <w:rsid w:val="00681C5B"/>
    <w:rsid w:val="00681CA1"/>
    <w:rsid w:val="00681EE8"/>
    <w:rsid w:val="006823F1"/>
    <w:rsid w:val="0068254B"/>
    <w:rsid w:val="0068263F"/>
    <w:rsid w:val="006827F3"/>
    <w:rsid w:val="006828EE"/>
    <w:rsid w:val="00682A68"/>
    <w:rsid w:val="00683326"/>
    <w:rsid w:val="0068364A"/>
    <w:rsid w:val="006854EA"/>
    <w:rsid w:val="00685967"/>
    <w:rsid w:val="00685AD9"/>
    <w:rsid w:val="00686162"/>
    <w:rsid w:val="006861C4"/>
    <w:rsid w:val="00686545"/>
    <w:rsid w:val="0068655D"/>
    <w:rsid w:val="00686D51"/>
    <w:rsid w:val="00686EEC"/>
    <w:rsid w:val="0068790C"/>
    <w:rsid w:val="00687CC5"/>
    <w:rsid w:val="00687DEF"/>
    <w:rsid w:val="0069011A"/>
    <w:rsid w:val="0069013E"/>
    <w:rsid w:val="00690B31"/>
    <w:rsid w:val="00690B63"/>
    <w:rsid w:val="006910E8"/>
    <w:rsid w:val="006920DE"/>
    <w:rsid w:val="00692160"/>
    <w:rsid w:val="00693700"/>
    <w:rsid w:val="006938B6"/>
    <w:rsid w:val="00694D9A"/>
    <w:rsid w:val="0069523D"/>
    <w:rsid w:val="00695D1B"/>
    <w:rsid w:val="00695D81"/>
    <w:rsid w:val="00696089"/>
    <w:rsid w:val="00696200"/>
    <w:rsid w:val="0069687D"/>
    <w:rsid w:val="00696A1A"/>
    <w:rsid w:val="00696CC8"/>
    <w:rsid w:val="00696E7A"/>
    <w:rsid w:val="006973A7"/>
    <w:rsid w:val="0069740E"/>
    <w:rsid w:val="00697C89"/>
    <w:rsid w:val="00697E17"/>
    <w:rsid w:val="006A00BC"/>
    <w:rsid w:val="006A04DA"/>
    <w:rsid w:val="006A0E53"/>
    <w:rsid w:val="006A1399"/>
    <w:rsid w:val="006A1A64"/>
    <w:rsid w:val="006A1C15"/>
    <w:rsid w:val="006A1C8C"/>
    <w:rsid w:val="006A1DE5"/>
    <w:rsid w:val="006A1F2C"/>
    <w:rsid w:val="006A2136"/>
    <w:rsid w:val="006A24D4"/>
    <w:rsid w:val="006A2BAE"/>
    <w:rsid w:val="006A2D69"/>
    <w:rsid w:val="006A379E"/>
    <w:rsid w:val="006A4212"/>
    <w:rsid w:val="006A4447"/>
    <w:rsid w:val="006A4579"/>
    <w:rsid w:val="006A4585"/>
    <w:rsid w:val="006A49E4"/>
    <w:rsid w:val="006A4BA6"/>
    <w:rsid w:val="006A4BE7"/>
    <w:rsid w:val="006A6786"/>
    <w:rsid w:val="006A67C9"/>
    <w:rsid w:val="006A6F91"/>
    <w:rsid w:val="006A6F92"/>
    <w:rsid w:val="006A704D"/>
    <w:rsid w:val="006A75C3"/>
    <w:rsid w:val="006A7888"/>
    <w:rsid w:val="006A7F4C"/>
    <w:rsid w:val="006B063B"/>
    <w:rsid w:val="006B0730"/>
    <w:rsid w:val="006B077A"/>
    <w:rsid w:val="006B1C24"/>
    <w:rsid w:val="006B1CC4"/>
    <w:rsid w:val="006B1D6C"/>
    <w:rsid w:val="006B212E"/>
    <w:rsid w:val="006B2580"/>
    <w:rsid w:val="006B2CA9"/>
    <w:rsid w:val="006B3439"/>
    <w:rsid w:val="006B3508"/>
    <w:rsid w:val="006B392B"/>
    <w:rsid w:val="006B3DC7"/>
    <w:rsid w:val="006B493F"/>
    <w:rsid w:val="006B4ED8"/>
    <w:rsid w:val="006B4F8D"/>
    <w:rsid w:val="006B56B2"/>
    <w:rsid w:val="006B56D3"/>
    <w:rsid w:val="006B57E7"/>
    <w:rsid w:val="006B5B43"/>
    <w:rsid w:val="006B5D7B"/>
    <w:rsid w:val="006B6175"/>
    <w:rsid w:val="006B66C2"/>
    <w:rsid w:val="006B7A28"/>
    <w:rsid w:val="006B7C05"/>
    <w:rsid w:val="006C024B"/>
    <w:rsid w:val="006C0575"/>
    <w:rsid w:val="006C0DA6"/>
    <w:rsid w:val="006C19F3"/>
    <w:rsid w:val="006C2129"/>
    <w:rsid w:val="006C2A84"/>
    <w:rsid w:val="006C2BCC"/>
    <w:rsid w:val="006C333D"/>
    <w:rsid w:val="006C34E7"/>
    <w:rsid w:val="006C35A5"/>
    <w:rsid w:val="006C35F4"/>
    <w:rsid w:val="006C3608"/>
    <w:rsid w:val="006C364E"/>
    <w:rsid w:val="006C3BCE"/>
    <w:rsid w:val="006C40E8"/>
    <w:rsid w:val="006C41D1"/>
    <w:rsid w:val="006C4247"/>
    <w:rsid w:val="006C4266"/>
    <w:rsid w:val="006C4275"/>
    <w:rsid w:val="006C47DE"/>
    <w:rsid w:val="006C4D5A"/>
    <w:rsid w:val="006C5074"/>
    <w:rsid w:val="006C52F0"/>
    <w:rsid w:val="006C6366"/>
    <w:rsid w:val="006C6488"/>
    <w:rsid w:val="006C656E"/>
    <w:rsid w:val="006C68F5"/>
    <w:rsid w:val="006C6E3A"/>
    <w:rsid w:val="006C714B"/>
    <w:rsid w:val="006C7407"/>
    <w:rsid w:val="006C7648"/>
    <w:rsid w:val="006D0347"/>
    <w:rsid w:val="006D05AF"/>
    <w:rsid w:val="006D0E27"/>
    <w:rsid w:val="006D1A5F"/>
    <w:rsid w:val="006D1BD9"/>
    <w:rsid w:val="006D1C0C"/>
    <w:rsid w:val="006D1E87"/>
    <w:rsid w:val="006D2430"/>
    <w:rsid w:val="006D243F"/>
    <w:rsid w:val="006D25F0"/>
    <w:rsid w:val="006D2797"/>
    <w:rsid w:val="006D2881"/>
    <w:rsid w:val="006D2BBB"/>
    <w:rsid w:val="006D3892"/>
    <w:rsid w:val="006D4149"/>
    <w:rsid w:val="006D4C15"/>
    <w:rsid w:val="006D53C4"/>
    <w:rsid w:val="006D5481"/>
    <w:rsid w:val="006D5732"/>
    <w:rsid w:val="006D5AE6"/>
    <w:rsid w:val="006D6E1F"/>
    <w:rsid w:val="006D7067"/>
    <w:rsid w:val="006D7120"/>
    <w:rsid w:val="006D73AD"/>
    <w:rsid w:val="006E03E5"/>
    <w:rsid w:val="006E0C25"/>
    <w:rsid w:val="006E1B1F"/>
    <w:rsid w:val="006E2970"/>
    <w:rsid w:val="006E2F1E"/>
    <w:rsid w:val="006E3B94"/>
    <w:rsid w:val="006E44A3"/>
    <w:rsid w:val="006E4839"/>
    <w:rsid w:val="006E4A6E"/>
    <w:rsid w:val="006E4C5F"/>
    <w:rsid w:val="006E4CB7"/>
    <w:rsid w:val="006E4E09"/>
    <w:rsid w:val="006E54D1"/>
    <w:rsid w:val="006E5BB1"/>
    <w:rsid w:val="006E5BC9"/>
    <w:rsid w:val="006E65A1"/>
    <w:rsid w:val="006E679C"/>
    <w:rsid w:val="006E7CC8"/>
    <w:rsid w:val="006E7E27"/>
    <w:rsid w:val="006F01E2"/>
    <w:rsid w:val="006F025A"/>
    <w:rsid w:val="006F04A5"/>
    <w:rsid w:val="006F0E84"/>
    <w:rsid w:val="006F109D"/>
    <w:rsid w:val="006F116B"/>
    <w:rsid w:val="006F1321"/>
    <w:rsid w:val="006F19CB"/>
    <w:rsid w:val="006F1E50"/>
    <w:rsid w:val="006F2029"/>
    <w:rsid w:val="006F2110"/>
    <w:rsid w:val="006F253B"/>
    <w:rsid w:val="006F2DDD"/>
    <w:rsid w:val="006F3EA4"/>
    <w:rsid w:val="006F407B"/>
    <w:rsid w:val="006F40B9"/>
    <w:rsid w:val="006F421F"/>
    <w:rsid w:val="006F442C"/>
    <w:rsid w:val="006F47E3"/>
    <w:rsid w:val="006F5E74"/>
    <w:rsid w:val="006F682C"/>
    <w:rsid w:val="006F6D97"/>
    <w:rsid w:val="006F7772"/>
    <w:rsid w:val="007003F8"/>
    <w:rsid w:val="007011B7"/>
    <w:rsid w:val="0070181A"/>
    <w:rsid w:val="00701891"/>
    <w:rsid w:val="007022E7"/>
    <w:rsid w:val="00702660"/>
    <w:rsid w:val="00702AA9"/>
    <w:rsid w:val="00702B50"/>
    <w:rsid w:val="00702FC5"/>
    <w:rsid w:val="00703344"/>
    <w:rsid w:val="00703C87"/>
    <w:rsid w:val="00703F65"/>
    <w:rsid w:val="00704465"/>
    <w:rsid w:val="0070469F"/>
    <w:rsid w:val="00704DE7"/>
    <w:rsid w:val="00704EED"/>
    <w:rsid w:val="00705ED0"/>
    <w:rsid w:val="00705F0E"/>
    <w:rsid w:val="00706269"/>
    <w:rsid w:val="007065FE"/>
    <w:rsid w:val="00706768"/>
    <w:rsid w:val="00706B4C"/>
    <w:rsid w:val="00707021"/>
    <w:rsid w:val="0070711D"/>
    <w:rsid w:val="007101F8"/>
    <w:rsid w:val="00710E91"/>
    <w:rsid w:val="0071117F"/>
    <w:rsid w:val="007112B2"/>
    <w:rsid w:val="00711C85"/>
    <w:rsid w:val="00711CCE"/>
    <w:rsid w:val="00711DE5"/>
    <w:rsid w:val="0071204C"/>
    <w:rsid w:val="00712204"/>
    <w:rsid w:val="00712329"/>
    <w:rsid w:val="00712822"/>
    <w:rsid w:val="00712F07"/>
    <w:rsid w:val="00713B37"/>
    <w:rsid w:val="0071419C"/>
    <w:rsid w:val="00714641"/>
    <w:rsid w:val="00714979"/>
    <w:rsid w:val="00714A7E"/>
    <w:rsid w:val="00714B4F"/>
    <w:rsid w:val="007153AF"/>
    <w:rsid w:val="0071559B"/>
    <w:rsid w:val="007155E5"/>
    <w:rsid w:val="00715D69"/>
    <w:rsid w:val="00716236"/>
    <w:rsid w:val="00716E6E"/>
    <w:rsid w:val="00716EC2"/>
    <w:rsid w:val="00716F92"/>
    <w:rsid w:val="00717F2C"/>
    <w:rsid w:val="007206AE"/>
    <w:rsid w:val="007206E7"/>
    <w:rsid w:val="00720BB4"/>
    <w:rsid w:val="00720F9F"/>
    <w:rsid w:val="007210C8"/>
    <w:rsid w:val="00721223"/>
    <w:rsid w:val="0072142E"/>
    <w:rsid w:val="00721CA0"/>
    <w:rsid w:val="007226B6"/>
    <w:rsid w:val="00722A22"/>
    <w:rsid w:val="007233F0"/>
    <w:rsid w:val="00723899"/>
    <w:rsid w:val="00724685"/>
    <w:rsid w:val="00724BBF"/>
    <w:rsid w:val="00724BEA"/>
    <w:rsid w:val="00724E74"/>
    <w:rsid w:val="00724EFE"/>
    <w:rsid w:val="00724F68"/>
    <w:rsid w:val="007252C2"/>
    <w:rsid w:val="00725AF0"/>
    <w:rsid w:val="007260B9"/>
    <w:rsid w:val="007263E3"/>
    <w:rsid w:val="007272ED"/>
    <w:rsid w:val="00727394"/>
    <w:rsid w:val="00727E01"/>
    <w:rsid w:val="0073071F"/>
    <w:rsid w:val="00730B5D"/>
    <w:rsid w:val="00730B7C"/>
    <w:rsid w:val="0073157D"/>
    <w:rsid w:val="007316A3"/>
    <w:rsid w:val="00731833"/>
    <w:rsid w:val="0073226A"/>
    <w:rsid w:val="00732D5D"/>
    <w:rsid w:val="00732E17"/>
    <w:rsid w:val="00733557"/>
    <w:rsid w:val="0073392D"/>
    <w:rsid w:val="0073402F"/>
    <w:rsid w:val="007344F7"/>
    <w:rsid w:val="00734AB5"/>
    <w:rsid w:val="00734C78"/>
    <w:rsid w:val="00736072"/>
    <w:rsid w:val="0073653E"/>
    <w:rsid w:val="00736726"/>
    <w:rsid w:val="0073704B"/>
    <w:rsid w:val="007409BA"/>
    <w:rsid w:val="00740D39"/>
    <w:rsid w:val="00740FE4"/>
    <w:rsid w:val="007417EC"/>
    <w:rsid w:val="007427A3"/>
    <w:rsid w:val="0074288A"/>
    <w:rsid w:val="007429D7"/>
    <w:rsid w:val="007431AA"/>
    <w:rsid w:val="0074359C"/>
    <w:rsid w:val="00743897"/>
    <w:rsid w:val="00743945"/>
    <w:rsid w:val="00743A57"/>
    <w:rsid w:val="00744046"/>
    <w:rsid w:val="00744102"/>
    <w:rsid w:val="007441AE"/>
    <w:rsid w:val="00744837"/>
    <w:rsid w:val="00744900"/>
    <w:rsid w:val="007450A3"/>
    <w:rsid w:val="00745418"/>
    <w:rsid w:val="007455E3"/>
    <w:rsid w:val="00746141"/>
    <w:rsid w:val="0074639E"/>
    <w:rsid w:val="00746BDC"/>
    <w:rsid w:val="00746ED2"/>
    <w:rsid w:val="00746EEA"/>
    <w:rsid w:val="00747320"/>
    <w:rsid w:val="007476AF"/>
    <w:rsid w:val="00747D90"/>
    <w:rsid w:val="00750791"/>
    <w:rsid w:val="00751470"/>
    <w:rsid w:val="007518F2"/>
    <w:rsid w:val="00751A1F"/>
    <w:rsid w:val="00752298"/>
    <w:rsid w:val="00752E8C"/>
    <w:rsid w:val="007532FB"/>
    <w:rsid w:val="00753491"/>
    <w:rsid w:val="007537A3"/>
    <w:rsid w:val="00753838"/>
    <w:rsid w:val="00753E17"/>
    <w:rsid w:val="00753E6B"/>
    <w:rsid w:val="00753E6E"/>
    <w:rsid w:val="007543F1"/>
    <w:rsid w:val="00755491"/>
    <w:rsid w:val="007558C1"/>
    <w:rsid w:val="00755BFF"/>
    <w:rsid w:val="00755D43"/>
    <w:rsid w:val="00755D74"/>
    <w:rsid w:val="007561F5"/>
    <w:rsid w:val="00756478"/>
    <w:rsid w:val="00756804"/>
    <w:rsid w:val="00756CE5"/>
    <w:rsid w:val="00756E4F"/>
    <w:rsid w:val="0075786F"/>
    <w:rsid w:val="00757907"/>
    <w:rsid w:val="00757B79"/>
    <w:rsid w:val="00757E43"/>
    <w:rsid w:val="00757FD7"/>
    <w:rsid w:val="00760108"/>
    <w:rsid w:val="0076044C"/>
    <w:rsid w:val="00760A40"/>
    <w:rsid w:val="007610D0"/>
    <w:rsid w:val="007611A1"/>
    <w:rsid w:val="00761E7C"/>
    <w:rsid w:val="007623BB"/>
    <w:rsid w:val="00762666"/>
    <w:rsid w:val="0076278F"/>
    <w:rsid w:val="007633B2"/>
    <w:rsid w:val="007634E4"/>
    <w:rsid w:val="0076365A"/>
    <w:rsid w:val="00763930"/>
    <w:rsid w:val="00763B13"/>
    <w:rsid w:val="00763D79"/>
    <w:rsid w:val="00764252"/>
    <w:rsid w:val="00764591"/>
    <w:rsid w:val="007645CF"/>
    <w:rsid w:val="00764B79"/>
    <w:rsid w:val="0076506E"/>
    <w:rsid w:val="007650D4"/>
    <w:rsid w:val="007652CD"/>
    <w:rsid w:val="007661CF"/>
    <w:rsid w:val="00766581"/>
    <w:rsid w:val="00766748"/>
    <w:rsid w:val="00766C83"/>
    <w:rsid w:val="00766D5D"/>
    <w:rsid w:val="00766EDF"/>
    <w:rsid w:val="0076710F"/>
    <w:rsid w:val="00767C62"/>
    <w:rsid w:val="00770581"/>
    <w:rsid w:val="00770D3E"/>
    <w:rsid w:val="00770DDE"/>
    <w:rsid w:val="00770EB0"/>
    <w:rsid w:val="00771276"/>
    <w:rsid w:val="00771A9D"/>
    <w:rsid w:val="00771B86"/>
    <w:rsid w:val="00771B90"/>
    <w:rsid w:val="00771CE0"/>
    <w:rsid w:val="0077205A"/>
    <w:rsid w:val="0077266B"/>
    <w:rsid w:val="00772B04"/>
    <w:rsid w:val="00772FD3"/>
    <w:rsid w:val="007733E4"/>
    <w:rsid w:val="00773784"/>
    <w:rsid w:val="007743D0"/>
    <w:rsid w:val="007747AF"/>
    <w:rsid w:val="00775661"/>
    <w:rsid w:val="007760A1"/>
    <w:rsid w:val="007760EA"/>
    <w:rsid w:val="007763CD"/>
    <w:rsid w:val="00776820"/>
    <w:rsid w:val="007768CB"/>
    <w:rsid w:val="00780784"/>
    <w:rsid w:val="00780C18"/>
    <w:rsid w:val="007814DD"/>
    <w:rsid w:val="00781999"/>
    <w:rsid w:val="00781E0D"/>
    <w:rsid w:val="00781F49"/>
    <w:rsid w:val="007825AA"/>
    <w:rsid w:val="007827C5"/>
    <w:rsid w:val="00782917"/>
    <w:rsid w:val="00782A4B"/>
    <w:rsid w:val="00782B39"/>
    <w:rsid w:val="00782B70"/>
    <w:rsid w:val="00782F40"/>
    <w:rsid w:val="0078301A"/>
    <w:rsid w:val="0078310D"/>
    <w:rsid w:val="0078311C"/>
    <w:rsid w:val="00783267"/>
    <w:rsid w:val="0078326A"/>
    <w:rsid w:val="00783A8B"/>
    <w:rsid w:val="00783AA3"/>
    <w:rsid w:val="0078469A"/>
    <w:rsid w:val="007854D9"/>
    <w:rsid w:val="00785A0A"/>
    <w:rsid w:val="00785ADA"/>
    <w:rsid w:val="00786294"/>
    <w:rsid w:val="00786DBD"/>
    <w:rsid w:val="00787349"/>
    <w:rsid w:val="00787534"/>
    <w:rsid w:val="00787950"/>
    <w:rsid w:val="0078798D"/>
    <w:rsid w:val="007900C0"/>
    <w:rsid w:val="007900C6"/>
    <w:rsid w:val="0079041C"/>
    <w:rsid w:val="007907AE"/>
    <w:rsid w:val="0079084A"/>
    <w:rsid w:val="00790AD4"/>
    <w:rsid w:val="00790B0D"/>
    <w:rsid w:val="00791D44"/>
    <w:rsid w:val="00792C11"/>
    <w:rsid w:val="00793285"/>
    <w:rsid w:val="007934C3"/>
    <w:rsid w:val="00793B88"/>
    <w:rsid w:val="00793BB5"/>
    <w:rsid w:val="007940BF"/>
    <w:rsid w:val="007944BD"/>
    <w:rsid w:val="00795075"/>
    <w:rsid w:val="007955D3"/>
    <w:rsid w:val="00795739"/>
    <w:rsid w:val="00795892"/>
    <w:rsid w:val="00795E3C"/>
    <w:rsid w:val="007963FF"/>
    <w:rsid w:val="00796610"/>
    <w:rsid w:val="00796C6F"/>
    <w:rsid w:val="00796CA0"/>
    <w:rsid w:val="0079784C"/>
    <w:rsid w:val="00797DD4"/>
    <w:rsid w:val="00797E42"/>
    <w:rsid w:val="007A029F"/>
    <w:rsid w:val="007A02F5"/>
    <w:rsid w:val="007A0E34"/>
    <w:rsid w:val="007A0EFC"/>
    <w:rsid w:val="007A10EF"/>
    <w:rsid w:val="007A11BA"/>
    <w:rsid w:val="007A1F0E"/>
    <w:rsid w:val="007A1F2C"/>
    <w:rsid w:val="007A2541"/>
    <w:rsid w:val="007A2F48"/>
    <w:rsid w:val="007A33CC"/>
    <w:rsid w:val="007A3582"/>
    <w:rsid w:val="007A36C4"/>
    <w:rsid w:val="007A3BB5"/>
    <w:rsid w:val="007A436D"/>
    <w:rsid w:val="007A443F"/>
    <w:rsid w:val="007A4A28"/>
    <w:rsid w:val="007A4AD9"/>
    <w:rsid w:val="007A4C44"/>
    <w:rsid w:val="007A5147"/>
    <w:rsid w:val="007A514C"/>
    <w:rsid w:val="007A5768"/>
    <w:rsid w:val="007A5A50"/>
    <w:rsid w:val="007A5E3E"/>
    <w:rsid w:val="007A63BC"/>
    <w:rsid w:val="007A6840"/>
    <w:rsid w:val="007A6DAD"/>
    <w:rsid w:val="007A711E"/>
    <w:rsid w:val="007A798A"/>
    <w:rsid w:val="007A7F4E"/>
    <w:rsid w:val="007B13D4"/>
    <w:rsid w:val="007B1A39"/>
    <w:rsid w:val="007B1E67"/>
    <w:rsid w:val="007B2560"/>
    <w:rsid w:val="007B2B74"/>
    <w:rsid w:val="007B2E01"/>
    <w:rsid w:val="007B3245"/>
    <w:rsid w:val="007B3D7F"/>
    <w:rsid w:val="007B41C9"/>
    <w:rsid w:val="007B506B"/>
    <w:rsid w:val="007B55B4"/>
    <w:rsid w:val="007B5607"/>
    <w:rsid w:val="007B5745"/>
    <w:rsid w:val="007B6606"/>
    <w:rsid w:val="007B674D"/>
    <w:rsid w:val="007B6751"/>
    <w:rsid w:val="007B74C6"/>
    <w:rsid w:val="007B75CD"/>
    <w:rsid w:val="007B78D1"/>
    <w:rsid w:val="007B7C0D"/>
    <w:rsid w:val="007B7D40"/>
    <w:rsid w:val="007C09ED"/>
    <w:rsid w:val="007C0A86"/>
    <w:rsid w:val="007C0A95"/>
    <w:rsid w:val="007C1173"/>
    <w:rsid w:val="007C11AD"/>
    <w:rsid w:val="007C1A8E"/>
    <w:rsid w:val="007C31F8"/>
    <w:rsid w:val="007C50E2"/>
    <w:rsid w:val="007C5A65"/>
    <w:rsid w:val="007C5B9F"/>
    <w:rsid w:val="007C632E"/>
    <w:rsid w:val="007C6DB9"/>
    <w:rsid w:val="007C6DCE"/>
    <w:rsid w:val="007C7FD7"/>
    <w:rsid w:val="007D0396"/>
    <w:rsid w:val="007D1618"/>
    <w:rsid w:val="007D1FD0"/>
    <w:rsid w:val="007D213D"/>
    <w:rsid w:val="007D2A68"/>
    <w:rsid w:val="007D2C5E"/>
    <w:rsid w:val="007D381E"/>
    <w:rsid w:val="007D38B4"/>
    <w:rsid w:val="007D42AE"/>
    <w:rsid w:val="007D45BE"/>
    <w:rsid w:val="007D499A"/>
    <w:rsid w:val="007D4A74"/>
    <w:rsid w:val="007D4AB5"/>
    <w:rsid w:val="007D4C87"/>
    <w:rsid w:val="007D50E5"/>
    <w:rsid w:val="007D59E3"/>
    <w:rsid w:val="007D5A3A"/>
    <w:rsid w:val="007D5E76"/>
    <w:rsid w:val="007D6009"/>
    <w:rsid w:val="007D68A9"/>
    <w:rsid w:val="007D6DD4"/>
    <w:rsid w:val="007D7833"/>
    <w:rsid w:val="007D7981"/>
    <w:rsid w:val="007D7B0F"/>
    <w:rsid w:val="007E0E95"/>
    <w:rsid w:val="007E1074"/>
    <w:rsid w:val="007E236D"/>
    <w:rsid w:val="007E23B5"/>
    <w:rsid w:val="007E2A32"/>
    <w:rsid w:val="007E39B5"/>
    <w:rsid w:val="007E3A24"/>
    <w:rsid w:val="007E3EB9"/>
    <w:rsid w:val="007E4407"/>
    <w:rsid w:val="007E47F3"/>
    <w:rsid w:val="007E4CB7"/>
    <w:rsid w:val="007E4DA9"/>
    <w:rsid w:val="007E4ECC"/>
    <w:rsid w:val="007E51A0"/>
    <w:rsid w:val="007E580D"/>
    <w:rsid w:val="007E5CB8"/>
    <w:rsid w:val="007E5E57"/>
    <w:rsid w:val="007E63A8"/>
    <w:rsid w:val="007E6C4B"/>
    <w:rsid w:val="007E6DC9"/>
    <w:rsid w:val="007E7045"/>
    <w:rsid w:val="007F0137"/>
    <w:rsid w:val="007F0363"/>
    <w:rsid w:val="007F04ED"/>
    <w:rsid w:val="007F0663"/>
    <w:rsid w:val="007F06A7"/>
    <w:rsid w:val="007F103F"/>
    <w:rsid w:val="007F1AF5"/>
    <w:rsid w:val="007F21DE"/>
    <w:rsid w:val="007F29E3"/>
    <w:rsid w:val="007F3155"/>
    <w:rsid w:val="007F3289"/>
    <w:rsid w:val="007F35E5"/>
    <w:rsid w:val="007F38E1"/>
    <w:rsid w:val="007F45B7"/>
    <w:rsid w:val="007F4ACE"/>
    <w:rsid w:val="007F4E08"/>
    <w:rsid w:val="007F52AB"/>
    <w:rsid w:val="007F534F"/>
    <w:rsid w:val="007F5D76"/>
    <w:rsid w:val="008003B0"/>
    <w:rsid w:val="00800762"/>
    <w:rsid w:val="00800BA7"/>
    <w:rsid w:val="00800CF1"/>
    <w:rsid w:val="00802024"/>
    <w:rsid w:val="008024D5"/>
    <w:rsid w:val="00802606"/>
    <w:rsid w:val="0080287A"/>
    <w:rsid w:val="00802C51"/>
    <w:rsid w:val="00802E90"/>
    <w:rsid w:val="0080363E"/>
    <w:rsid w:val="0080365A"/>
    <w:rsid w:val="00803B0B"/>
    <w:rsid w:val="008050C7"/>
    <w:rsid w:val="00805817"/>
    <w:rsid w:val="00805C68"/>
    <w:rsid w:val="00805E94"/>
    <w:rsid w:val="00805F81"/>
    <w:rsid w:val="008060A8"/>
    <w:rsid w:val="008061E7"/>
    <w:rsid w:val="008066C3"/>
    <w:rsid w:val="00806FFE"/>
    <w:rsid w:val="0080711E"/>
    <w:rsid w:val="0080738C"/>
    <w:rsid w:val="00810519"/>
    <w:rsid w:val="00810A19"/>
    <w:rsid w:val="00810D30"/>
    <w:rsid w:val="00811239"/>
    <w:rsid w:val="0081202C"/>
    <w:rsid w:val="008120B0"/>
    <w:rsid w:val="008129F0"/>
    <w:rsid w:val="00812BAF"/>
    <w:rsid w:val="00812E04"/>
    <w:rsid w:val="0081338D"/>
    <w:rsid w:val="008134D9"/>
    <w:rsid w:val="0081360F"/>
    <w:rsid w:val="00814889"/>
    <w:rsid w:val="00815A28"/>
    <w:rsid w:val="00815D13"/>
    <w:rsid w:val="00816337"/>
    <w:rsid w:val="00816C8F"/>
    <w:rsid w:val="00816EEF"/>
    <w:rsid w:val="00820497"/>
    <w:rsid w:val="00820A66"/>
    <w:rsid w:val="008210B2"/>
    <w:rsid w:val="00821A6A"/>
    <w:rsid w:val="008226E8"/>
    <w:rsid w:val="0082273C"/>
    <w:rsid w:val="00822947"/>
    <w:rsid w:val="00822CC7"/>
    <w:rsid w:val="00822F0D"/>
    <w:rsid w:val="0082319F"/>
    <w:rsid w:val="008232B6"/>
    <w:rsid w:val="00823737"/>
    <w:rsid w:val="0082383E"/>
    <w:rsid w:val="00823F15"/>
    <w:rsid w:val="0082421A"/>
    <w:rsid w:val="008247EF"/>
    <w:rsid w:val="00824DF6"/>
    <w:rsid w:val="008257EA"/>
    <w:rsid w:val="00825913"/>
    <w:rsid w:val="008259B1"/>
    <w:rsid w:val="00826750"/>
    <w:rsid w:val="008267E7"/>
    <w:rsid w:val="008275E5"/>
    <w:rsid w:val="00827A80"/>
    <w:rsid w:val="00827AB2"/>
    <w:rsid w:val="00827D9D"/>
    <w:rsid w:val="00830960"/>
    <w:rsid w:val="008310C5"/>
    <w:rsid w:val="008311DF"/>
    <w:rsid w:val="008312EF"/>
    <w:rsid w:val="008313EC"/>
    <w:rsid w:val="0083198C"/>
    <w:rsid w:val="00831F46"/>
    <w:rsid w:val="008321E8"/>
    <w:rsid w:val="00832387"/>
    <w:rsid w:val="008324FA"/>
    <w:rsid w:val="008325C8"/>
    <w:rsid w:val="0083282E"/>
    <w:rsid w:val="00832A24"/>
    <w:rsid w:val="0083360F"/>
    <w:rsid w:val="00833647"/>
    <w:rsid w:val="00833680"/>
    <w:rsid w:val="00833829"/>
    <w:rsid w:val="00833A05"/>
    <w:rsid w:val="00833C19"/>
    <w:rsid w:val="00833D32"/>
    <w:rsid w:val="00833FDD"/>
    <w:rsid w:val="00834082"/>
    <w:rsid w:val="008347B6"/>
    <w:rsid w:val="00834A49"/>
    <w:rsid w:val="00834D37"/>
    <w:rsid w:val="00834F24"/>
    <w:rsid w:val="00835144"/>
    <w:rsid w:val="00835672"/>
    <w:rsid w:val="00835752"/>
    <w:rsid w:val="00835EE5"/>
    <w:rsid w:val="00835F9F"/>
    <w:rsid w:val="0083649C"/>
    <w:rsid w:val="0083687F"/>
    <w:rsid w:val="008368D3"/>
    <w:rsid w:val="00836CDC"/>
    <w:rsid w:val="00836F58"/>
    <w:rsid w:val="00837486"/>
    <w:rsid w:val="00837733"/>
    <w:rsid w:val="0083795E"/>
    <w:rsid w:val="00840363"/>
    <w:rsid w:val="008407EF"/>
    <w:rsid w:val="00840853"/>
    <w:rsid w:val="00840C79"/>
    <w:rsid w:val="00840E08"/>
    <w:rsid w:val="00840F32"/>
    <w:rsid w:val="00840F56"/>
    <w:rsid w:val="00841445"/>
    <w:rsid w:val="00841602"/>
    <w:rsid w:val="00841E9F"/>
    <w:rsid w:val="00842335"/>
    <w:rsid w:val="0084276D"/>
    <w:rsid w:val="008429CA"/>
    <w:rsid w:val="00842B7D"/>
    <w:rsid w:val="00842EC8"/>
    <w:rsid w:val="0084325B"/>
    <w:rsid w:val="00843514"/>
    <w:rsid w:val="00843714"/>
    <w:rsid w:val="00843719"/>
    <w:rsid w:val="0084378A"/>
    <w:rsid w:val="00843B28"/>
    <w:rsid w:val="00843D1D"/>
    <w:rsid w:val="00843E8D"/>
    <w:rsid w:val="0084414A"/>
    <w:rsid w:val="008444EB"/>
    <w:rsid w:val="00844FD9"/>
    <w:rsid w:val="00845398"/>
    <w:rsid w:val="008454B0"/>
    <w:rsid w:val="00845CEA"/>
    <w:rsid w:val="00846095"/>
    <w:rsid w:val="00846C4B"/>
    <w:rsid w:val="008470C0"/>
    <w:rsid w:val="008470F0"/>
    <w:rsid w:val="00847183"/>
    <w:rsid w:val="008479E9"/>
    <w:rsid w:val="0085031B"/>
    <w:rsid w:val="00850905"/>
    <w:rsid w:val="00851B3B"/>
    <w:rsid w:val="00851DA1"/>
    <w:rsid w:val="00852722"/>
    <w:rsid w:val="0085309E"/>
    <w:rsid w:val="00853431"/>
    <w:rsid w:val="008534AC"/>
    <w:rsid w:val="00853B2C"/>
    <w:rsid w:val="00853FA8"/>
    <w:rsid w:val="0085488C"/>
    <w:rsid w:val="008553EA"/>
    <w:rsid w:val="00855CA5"/>
    <w:rsid w:val="00856EFF"/>
    <w:rsid w:val="0085754D"/>
    <w:rsid w:val="008575E8"/>
    <w:rsid w:val="0085782E"/>
    <w:rsid w:val="00857B63"/>
    <w:rsid w:val="00857E7D"/>
    <w:rsid w:val="00860EFC"/>
    <w:rsid w:val="00861215"/>
    <w:rsid w:val="008618AF"/>
    <w:rsid w:val="00861D8F"/>
    <w:rsid w:val="00861EB0"/>
    <w:rsid w:val="00862E2A"/>
    <w:rsid w:val="00863ED6"/>
    <w:rsid w:val="008653CF"/>
    <w:rsid w:val="00865790"/>
    <w:rsid w:val="00866AC0"/>
    <w:rsid w:val="00866CC0"/>
    <w:rsid w:val="00867549"/>
    <w:rsid w:val="00867669"/>
    <w:rsid w:val="00870304"/>
    <w:rsid w:val="00871329"/>
    <w:rsid w:val="0087142C"/>
    <w:rsid w:val="00871513"/>
    <w:rsid w:val="00871727"/>
    <w:rsid w:val="008717BD"/>
    <w:rsid w:val="00871ED7"/>
    <w:rsid w:val="00872D0B"/>
    <w:rsid w:val="00872F2D"/>
    <w:rsid w:val="00872FB0"/>
    <w:rsid w:val="0087304F"/>
    <w:rsid w:val="00873232"/>
    <w:rsid w:val="008734C5"/>
    <w:rsid w:val="00873B43"/>
    <w:rsid w:val="008741AF"/>
    <w:rsid w:val="00874558"/>
    <w:rsid w:val="00874957"/>
    <w:rsid w:val="00874A83"/>
    <w:rsid w:val="00874E38"/>
    <w:rsid w:val="0087599A"/>
    <w:rsid w:val="00875B21"/>
    <w:rsid w:val="00875B3A"/>
    <w:rsid w:val="00875F99"/>
    <w:rsid w:val="00876058"/>
    <w:rsid w:val="0087607D"/>
    <w:rsid w:val="008760F0"/>
    <w:rsid w:val="008766EF"/>
    <w:rsid w:val="00876E3E"/>
    <w:rsid w:val="00876FDF"/>
    <w:rsid w:val="00877074"/>
    <w:rsid w:val="0087770F"/>
    <w:rsid w:val="00877FB0"/>
    <w:rsid w:val="008802F0"/>
    <w:rsid w:val="00880553"/>
    <w:rsid w:val="00880764"/>
    <w:rsid w:val="0088112E"/>
    <w:rsid w:val="008812AA"/>
    <w:rsid w:val="00881726"/>
    <w:rsid w:val="008818B3"/>
    <w:rsid w:val="008819B6"/>
    <w:rsid w:val="00882972"/>
    <w:rsid w:val="00883041"/>
    <w:rsid w:val="00883096"/>
    <w:rsid w:val="00883A67"/>
    <w:rsid w:val="00883D8E"/>
    <w:rsid w:val="00883F16"/>
    <w:rsid w:val="00883FB5"/>
    <w:rsid w:val="0088477F"/>
    <w:rsid w:val="00884A34"/>
    <w:rsid w:val="00884F43"/>
    <w:rsid w:val="00885023"/>
    <w:rsid w:val="00885815"/>
    <w:rsid w:val="00885A85"/>
    <w:rsid w:val="00885CC6"/>
    <w:rsid w:val="00885FE7"/>
    <w:rsid w:val="00886047"/>
    <w:rsid w:val="0088607D"/>
    <w:rsid w:val="008878E8"/>
    <w:rsid w:val="008904A7"/>
    <w:rsid w:val="0089100F"/>
    <w:rsid w:val="00891049"/>
    <w:rsid w:val="00891363"/>
    <w:rsid w:val="00891990"/>
    <w:rsid w:val="0089209C"/>
    <w:rsid w:val="00892314"/>
    <w:rsid w:val="008926CD"/>
    <w:rsid w:val="00892E61"/>
    <w:rsid w:val="00893D0A"/>
    <w:rsid w:val="00893EF8"/>
    <w:rsid w:val="00894214"/>
    <w:rsid w:val="00894621"/>
    <w:rsid w:val="00894D08"/>
    <w:rsid w:val="00894E02"/>
    <w:rsid w:val="00895479"/>
    <w:rsid w:val="00895A97"/>
    <w:rsid w:val="008963A2"/>
    <w:rsid w:val="008966E0"/>
    <w:rsid w:val="008975CD"/>
    <w:rsid w:val="00897635"/>
    <w:rsid w:val="00897C10"/>
    <w:rsid w:val="008A0134"/>
    <w:rsid w:val="008A0344"/>
    <w:rsid w:val="008A0BCC"/>
    <w:rsid w:val="008A0CC2"/>
    <w:rsid w:val="008A2788"/>
    <w:rsid w:val="008A27C6"/>
    <w:rsid w:val="008A28FD"/>
    <w:rsid w:val="008A301F"/>
    <w:rsid w:val="008A3D32"/>
    <w:rsid w:val="008A3F5C"/>
    <w:rsid w:val="008A4CA8"/>
    <w:rsid w:val="008A4FCF"/>
    <w:rsid w:val="008A53F0"/>
    <w:rsid w:val="008A5B9F"/>
    <w:rsid w:val="008A607A"/>
    <w:rsid w:val="008A621F"/>
    <w:rsid w:val="008A6645"/>
    <w:rsid w:val="008A7151"/>
    <w:rsid w:val="008A7B4D"/>
    <w:rsid w:val="008B03D8"/>
    <w:rsid w:val="008B04DB"/>
    <w:rsid w:val="008B05EC"/>
    <w:rsid w:val="008B0694"/>
    <w:rsid w:val="008B097B"/>
    <w:rsid w:val="008B0D27"/>
    <w:rsid w:val="008B0DC8"/>
    <w:rsid w:val="008B142D"/>
    <w:rsid w:val="008B188C"/>
    <w:rsid w:val="008B1B61"/>
    <w:rsid w:val="008B1DE5"/>
    <w:rsid w:val="008B2213"/>
    <w:rsid w:val="008B25DE"/>
    <w:rsid w:val="008B2B3B"/>
    <w:rsid w:val="008B3797"/>
    <w:rsid w:val="008B3897"/>
    <w:rsid w:val="008B39D3"/>
    <w:rsid w:val="008B3A1A"/>
    <w:rsid w:val="008B3CA5"/>
    <w:rsid w:val="008B4F3C"/>
    <w:rsid w:val="008B510E"/>
    <w:rsid w:val="008B5165"/>
    <w:rsid w:val="008B5672"/>
    <w:rsid w:val="008B5EF0"/>
    <w:rsid w:val="008B6265"/>
    <w:rsid w:val="008B6321"/>
    <w:rsid w:val="008B738C"/>
    <w:rsid w:val="008B760D"/>
    <w:rsid w:val="008B77C4"/>
    <w:rsid w:val="008B797B"/>
    <w:rsid w:val="008C00A8"/>
    <w:rsid w:val="008C038C"/>
    <w:rsid w:val="008C077A"/>
    <w:rsid w:val="008C0A19"/>
    <w:rsid w:val="008C0C33"/>
    <w:rsid w:val="008C0C7B"/>
    <w:rsid w:val="008C0C80"/>
    <w:rsid w:val="008C260F"/>
    <w:rsid w:val="008C2F4A"/>
    <w:rsid w:val="008C3256"/>
    <w:rsid w:val="008C354B"/>
    <w:rsid w:val="008C45A8"/>
    <w:rsid w:val="008C4DE8"/>
    <w:rsid w:val="008C757D"/>
    <w:rsid w:val="008C7741"/>
    <w:rsid w:val="008C78CA"/>
    <w:rsid w:val="008C7F83"/>
    <w:rsid w:val="008C7FF2"/>
    <w:rsid w:val="008D0017"/>
    <w:rsid w:val="008D0187"/>
    <w:rsid w:val="008D01B2"/>
    <w:rsid w:val="008D0272"/>
    <w:rsid w:val="008D05BB"/>
    <w:rsid w:val="008D0772"/>
    <w:rsid w:val="008D07D6"/>
    <w:rsid w:val="008D0A94"/>
    <w:rsid w:val="008D0FAF"/>
    <w:rsid w:val="008D201F"/>
    <w:rsid w:val="008D2599"/>
    <w:rsid w:val="008D25D6"/>
    <w:rsid w:val="008D2D51"/>
    <w:rsid w:val="008D2E0C"/>
    <w:rsid w:val="008D3B9B"/>
    <w:rsid w:val="008D4620"/>
    <w:rsid w:val="008D4712"/>
    <w:rsid w:val="008D4F51"/>
    <w:rsid w:val="008D5BAE"/>
    <w:rsid w:val="008D5C4A"/>
    <w:rsid w:val="008D601A"/>
    <w:rsid w:val="008D69A9"/>
    <w:rsid w:val="008D6A96"/>
    <w:rsid w:val="008D6AF3"/>
    <w:rsid w:val="008D6E66"/>
    <w:rsid w:val="008D7066"/>
    <w:rsid w:val="008D712A"/>
    <w:rsid w:val="008D73AF"/>
    <w:rsid w:val="008D7DC0"/>
    <w:rsid w:val="008E0147"/>
    <w:rsid w:val="008E05B0"/>
    <w:rsid w:val="008E06E8"/>
    <w:rsid w:val="008E0D22"/>
    <w:rsid w:val="008E0F0B"/>
    <w:rsid w:val="008E1054"/>
    <w:rsid w:val="008E1296"/>
    <w:rsid w:val="008E147A"/>
    <w:rsid w:val="008E1690"/>
    <w:rsid w:val="008E1A0A"/>
    <w:rsid w:val="008E241C"/>
    <w:rsid w:val="008E31B1"/>
    <w:rsid w:val="008E3390"/>
    <w:rsid w:val="008E3A4C"/>
    <w:rsid w:val="008E3CA9"/>
    <w:rsid w:val="008E3EF1"/>
    <w:rsid w:val="008E4146"/>
    <w:rsid w:val="008E42E5"/>
    <w:rsid w:val="008E4583"/>
    <w:rsid w:val="008E4BBE"/>
    <w:rsid w:val="008E4D53"/>
    <w:rsid w:val="008E522B"/>
    <w:rsid w:val="008E52AB"/>
    <w:rsid w:val="008E5B2E"/>
    <w:rsid w:val="008E5E42"/>
    <w:rsid w:val="008E6241"/>
    <w:rsid w:val="008E659B"/>
    <w:rsid w:val="008E676F"/>
    <w:rsid w:val="008E6DDB"/>
    <w:rsid w:val="008E7516"/>
    <w:rsid w:val="008E77C9"/>
    <w:rsid w:val="008E78EA"/>
    <w:rsid w:val="008E7EE6"/>
    <w:rsid w:val="008F03E1"/>
    <w:rsid w:val="008F092E"/>
    <w:rsid w:val="008F09D4"/>
    <w:rsid w:val="008F0B6F"/>
    <w:rsid w:val="008F0C6F"/>
    <w:rsid w:val="008F1BB5"/>
    <w:rsid w:val="008F1C6F"/>
    <w:rsid w:val="008F1E3A"/>
    <w:rsid w:val="008F20D7"/>
    <w:rsid w:val="008F245C"/>
    <w:rsid w:val="008F2618"/>
    <w:rsid w:val="008F2A9F"/>
    <w:rsid w:val="008F30BD"/>
    <w:rsid w:val="008F339C"/>
    <w:rsid w:val="008F35B7"/>
    <w:rsid w:val="008F3BDA"/>
    <w:rsid w:val="008F3DAA"/>
    <w:rsid w:val="008F44E1"/>
    <w:rsid w:val="008F4523"/>
    <w:rsid w:val="008F463E"/>
    <w:rsid w:val="008F4686"/>
    <w:rsid w:val="008F490A"/>
    <w:rsid w:val="008F561C"/>
    <w:rsid w:val="008F56D3"/>
    <w:rsid w:val="008F58B6"/>
    <w:rsid w:val="008F60F9"/>
    <w:rsid w:val="00900016"/>
    <w:rsid w:val="00900182"/>
    <w:rsid w:val="009009E0"/>
    <w:rsid w:val="00900C41"/>
    <w:rsid w:val="00901652"/>
    <w:rsid w:val="00901656"/>
    <w:rsid w:val="00901700"/>
    <w:rsid w:val="009018CD"/>
    <w:rsid w:val="00901A67"/>
    <w:rsid w:val="00901B75"/>
    <w:rsid w:val="009025B0"/>
    <w:rsid w:val="009029E9"/>
    <w:rsid w:val="009033EA"/>
    <w:rsid w:val="009038FB"/>
    <w:rsid w:val="00903CA5"/>
    <w:rsid w:val="009040AD"/>
    <w:rsid w:val="009046C4"/>
    <w:rsid w:val="00904760"/>
    <w:rsid w:val="00904C2E"/>
    <w:rsid w:val="009068BE"/>
    <w:rsid w:val="00907422"/>
    <w:rsid w:val="00907B20"/>
    <w:rsid w:val="009106C9"/>
    <w:rsid w:val="009108C1"/>
    <w:rsid w:val="00910FD3"/>
    <w:rsid w:val="00911008"/>
    <w:rsid w:val="009113B6"/>
    <w:rsid w:val="00911BA7"/>
    <w:rsid w:val="00912844"/>
    <w:rsid w:val="0091299C"/>
    <w:rsid w:val="009133B5"/>
    <w:rsid w:val="009136BE"/>
    <w:rsid w:val="009138C8"/>
    <w:rsid w:val="0091399F"/>
    <w:rsid w:val="00913E8F"/>
    <w:rsid w:val="00913FB8"/>
    <w:rsid w:val="00914600"/>
    <w:rsid w:val="00914F30"/>
    <w:rsid w:val="00914FFE"/>
    <w:rsid w:val="009151DE"/>
    <w:rsid w:val="0091525B"/>
    <w:rsid w:val="009157B0"/>
    <w:rsid w:val="00915895"/>
    <w:rsid w:val="00917131"/>
    <w:rsid w:val="00920392"/>
    <w:rsid w:val="009206F0"/>
    <w:rsid w:val="0092083D"/>
    <w:rsid w:val="009211AA"/>
    <w:rsid w:val="00921A16"/>
    <w:rsid w:val="00922391"/>
    <w:rsid w:val="009225FB"/>
    <w:rsid w:val="00922718"/>
    <w:rsid w:val="0092297F"/>
    <w:rsid w:val="00922988"/>
    <w:rsid w:val="00922B0C"/>
    <w:rsid w:val="00922C77"/>
    <w:rsid w:val="009237AF"/>
    <w:rsid w:val="00923BC5"/>
    <w:rsid w:val="00923D4F"/>
    <w:rsid w:val="00923F0C"/>
    <w:rsid w:val="00923FA6"/>
    <w:rsid w:val="009246DF"/>
    <w:rsid w:val="0092496B"/>
    <w:rsid w:val="00924C4F"/>
    <w:rsid w:val="009253DF"/>
    <w:rsid w:val="00925576"/>
    <w:rsid w:val="009261F8"/>
    <w:rsid w:val="009265CE"/>
    <w:rsid w:val="0092660C"/>
    <w:rsid w:val="00926810"/>
    <w:rsid w:val="00926B9A"/>
    <w:rsid w:val="00926ECF"/>
    <w:rsid w:val="00927468"/>
    <w:rsid w:val="00927C76"/>
    <w:rsid w:val="00930052"/>
    <w:rsid w:val="00930084"/>
    <w:rsid w:val="00930154"/>
    <w:rsid w:val="00930C4C"/>
    <w:rsid w:val="0093104C"/>
    <w:rsid w:val="009314CC"/>
    <w:rsid w:val="009319E2"/>
    <w:rsid w:val="00931A60"/>
    <w:rsid w:val="009325FD"/>
    <w:rsid w:val="00932E3E"/>
    <w:rsid w:val="00932EC8"/>
    <w:rsid w:val="00933139"/>
    <w:rsid w:val="0093365C"/>
    <w:rsid w:val="00933798"/>
    <w:rsid w:val="00933BD6"/>
    <w:rsid w:val="00933CD6"/>
    <w:rsid w:val="00933F35"/>
    <w:rsid w:val="00933FBF"/>
    <w:rsid w:val="00934349"/>
    <w:rsid w:val="00934896"/>
    <w:rsid w:val="00934F90"/>
    <w:rsid w:val="0093569F"/>
    <w:rsid w:val="00935896"/>
    <w:rsid w:val="00935992"/>
    <w:rsid w:val="00935994"/>
    <w:rsid w:val="00936493"/>
    <w:rsid w:val="00936D86"/>
    <w:rsid w:val="009371EC"/>
    <w:rsid w:val="00937967"/>
    <w:rsid w:val="009379F2"/>
    <w:rsid w:val="00937B5F"/>
    <w:rsid w:val="00937E39"/>
    <w:rsid w:val="00940085"/>
    <w:rsid w:val="00940383"/>
    <w:rsid w:val="00940489"/>
    <w:rsid w:val="00940755"/>
    <w:rsid w:val="0094096C"/>
    <w:rsid w:val="009411F0"/>
    <w:rsid w:val="009416AF"/>
    <w:rsid w:val="00941DC3"/>
    <w:rsid w:val="00941E03"/>
    <w:rsid w:val="00941F9D"/>
    <w:rsid w:val="00942731"/>
    <w:rsid w:val="0094380E"/>
    <w:rsid w:val="00943DF5"/>
    <w:rsid w:val="00944321"/>
    <w:rsid w:val="00944579"/>
    <w:rsid w:val="00944AD3"/>
    <w:rsid w:val="00944F8F"/>
    <w:rsid w:val="009450C8"/>
    <w:rsid w:val="009457FB"/>
    <w:rsid w:val="00945E7F"/>
    <w:rsid w:val="00945EE2"/>
    <w:rsid w:val="00946222"/>
    <w:rsid w:val="0094689D"/>
    <w:rsid w:val="00946BDC"/>
    <w:rsid w:val="009476E1"/>
    <w:rsid w:val="009476E3"/>
    <w:rsid w:val="009476FA"/>
    <w:rsid w:val="00950667"/>
    <w:rsid w:val="00950AD5"/>
    <w:rsid w:val="009519BF"/>
    <w:rsid w:val="00951CD1"/>
    <w:rsid w:val="00951E0F"/>
    <w:rsid w:val="00951FB6"/>
    <w:rsid w:val="009523B6"/>
    <w:rsid w:val="009527D6"/>
    <w:rsid w:val="009536CE"/>
    <w:rsid w:val="0095472F"/>
    <w:rsid w:val="009547F7"/>
    <w:rsid w:val="0095499D"/>
    <w:rsid w:val="009551BE"/>
    <w:rsid w:val="009551E7"/>
    <w:rsid w:val="00955677"/>
    <w:rsid w:val="00955804"/>
    <w:rsid w:val="00955C92"/>
    <w:rsid w:val="00956537"/>
    <w:rsid w:val="009568C0"/>
    <w:rsid w:val="00956B40"/>
    <w:rsid w:val="00956CE1"/>
    <w:rsid w:val="00957108"/>
    <w:rsid w:val="009575F9"/>
    <w:rsid w:val="009576A1"/>
    <w:rsid w:val="00957BA2"/>
    <w:rsid w:val="00957DEF"/>
    <w:rsid w:val="00960012"/>
    <w:rsid w:val="009605A3"/>
    <w:rsid w:val="00960898"/>
    <w:rsid w:val="0096095E"/>
    <w:rsid w:val="00960DF2"/>
    <w:rsid w:val="009612E6"/>
    <w:rsid w:val="009618DD"/>
    <w:rsid w:val="0096237D"/>
    <w:rsid w:val="009624E6"/>
    <w:rsid w:val="00963093"/>
    <w:rsid w:val="0096332C"/>
    <w:rsid w:val="00964A1F"/>
    <w:rsid w:val="00964C1E"/>
    <w:rsid w:val="00964EE8"/>
    <w:rsid w:val="009652DA"/>
    <w:rsid w:val="00965590"/>
    <w:rsid w:val="0096560B"/>
    <w:rsid w:val="0096579A"/>
    <w:rsid w:val="00965A27"/>
    <w:rsid w:val="00965A51"/>
    <w:rsid w:val="00965B0D"/>
    <w:rsid w:val="00965D15"/>
    <w:rsid w:val="00965D87"/>
    <w:rsid w:val="009664EA"/>
    <w:rsid w:val="00966ACE"/>
    <w:rsid w:val="00966AED"/>
    <w:rsid w:val="00966F09"/>
    <w:rsid w:val="0096740D"/>
    <w:rsid w:val="00967675"/>
    <w:rsid w:val="0096777E"/>
    <w:rsid w:val="00967EEF"/>
    <w:rsid w:val="00970373"/>
    <w:rsid w:val="0097079B"/>
    <w:rsid w:val="00970F1E"/>
    <w:rsid w:val="009710D6"/>
    <w:rsid w:val="00971596"/>
    <w:rsid w:val="009722FC"/>
    <w:rsid w:val="009746E5"/>
    <w:rsid w:val="00974955"/>
    <w:rsid w:val="0097568F"/>
    <w:rsid w:val="009756D7"/>
    <w:rsid w:val="00975DCD"/>
    <w:rsid w:val="00976012"/>
    <w:rsid w:val="0097601D"/>
    <w:rsid w:val="0097614B"/>
    <w:rsid w:val="00976737"/>
    <w:rsid w:val="009767F9"/>
    <w:rsid w:val="00976C49"/>
    <w:rsid w:val="00976F56"/>
    <w:rsid w:val="009773E3"/>
    <w:rsid w:val="00980150"/>
    <w:rsid w:val="00980174"/>
    <w:rsid w:val="0098088E"/>
    <w:rsid w:val="00980E9E"/>
    <w:rsid w:val="00982069"/>
    <w:rsid w:val="00982175"/>
    <w:rsid w:val="00982A6B"/>
    <w:rsid w:val="00982B62"/>
    <w:rsid w:val="00982CA8"/>
    <w:rsid w:val="00982DDA"/>
    <w:rsid w:val="0098353F"/>
    <w:rsid w:val="00983830"/>
    <w:rsid w:val="009839F7"/>
    <w:rsid w:val="00983B61"/>
    <w:rsid w:val="00983C51"/>
    <w:rsid w:val="00983EEC"/>
    <w:rsid w:val="00984B6F"/>
    <w:rsid w:val="00984D0F"/>
    <w:rsid w:val="009851A9"/>
    <w:rsid w:val="00986718"/>
    <w:rsid w:val="00986D30"/>
    <w:rsid w:val="0098769F"/>
    <w:rsid w:val="00987A45"/>
    <w:rsid w:val="00987DA4"/>
    <w:rsid w:val="0099062E"/>
    <w:rsid w:val="0099126B"/>
    <w:rsid w:val="009913AE"/>
    <w:rsid w:val="00991BD1"/>
    <w:rsid w:val="0099252E"/>
    <w:rsid w:val="00992599"/>
    <w:rsid w:val="0099292A"/>
    <w:rsid w:val="00993188"/>
    <w:rsid w:val="00993429"/>
    <w:rsid w:val="009935F1"/>
    <w:rsid w:val="00993D42"/>
    <w:rsid w:val="0099482C"/>
    <w:rsid w:val="00995490"/>
    <w:rsid w:val="009956A9"/>
    <w:rsid w:val="00996365"/>
    <w:rsid w:val="009963BB"/>
    <w:rsid w:val="00996423"/>
    <w:rsid w:val="009966C7"/>
    <w:rsid w:val="009968CC"/>
    <w:rsid w:val="00996C0F"/>
    <w:rsid w:val="00996D0C"/>
    <w:rsid w:val="009971F7"/>
    <w:rsid w:val="00997375"/>
    <w:rsid w:val="009976E7"/>
    <w:rsid w:val="00997874"/>
    <w:rsid w:val="009A00B4"/>
    <w:rsid w:val="009A01E7"/>
    <w:rsid w:val="009A074A"/>
    <w:rsid w:val="009A0B91"/>
    <w:rsid w:val="009A0F06"/>
    <w:rsid w:val="009A1011"/>
    <w:rsid w:val="009A104C"/>
    <w:rsid w:val="009A1833"/>
    <w:rsid w:val="009A19FB"/>
    <w:rsid w:val="009A1B27"/>
    <w:rsid w:val="009A21F6"/>
    <w:rsid w:val="009A2607"/>
    <w:rsid w:val="009A283C"/>
    <w:rsid w:val="009A31C2"/>
    <w:rsid w:val="009A35BE"/>
    <w:rsid w:val="009A417D"/>
    <w:rsid w:val="009A474F"/>
    <w:rsid w:val="009A4E74"/>
    <w:rsid w:val="009A56DB"/>
    <w:rsid w:val="009A57A4"/>
    <w:rsid w:val="009A58D1"/>
    <w:rsid w:val="009A6381"/>
    <w:rsid w:val="009A6E6E"/>
    <w:rsid w:val="009A6F7D"/>
    <w:rsid w:val="009A7140"/>
    <w:rsid w:val="009A7D11"/>
    <w:rsid w:val="009B011D"/>
    <w:rsid w:val="009B05BC"/>
    <w:rsid w:val="009B0C40"/>
    <w:rsid w:val="009B182C"/>
    <w:rsid w:val="009B1D26"/>
    <w:rsid w:val="009B23F2"/>
    <w:rsid w:val="009B3448"/>
    <w:rsid w:val="009B37B3"/>
    <w:rsid w:val="009B39E0"/>
    <w:rsid w:val="009B3DD4"/>
    <w:rsid w:val="009B4145"/>
    <w:rsid w:val="009B4881"/>
    <w:rsid w:val="009B4FEC"/>
    <w:rsid w:val="009B51FD"/>
    <w:rsid w:val="009B547E"/>
    <w:rsid w:val="009B5A2F"/>
    <w:rsid w:val="009B5FE3"/>
    <w:rsid w:val="009B6549"/>
    <w:rsid w:val="009B67BC"/>
    <w:rsid w:val="009B6DFB"/>
    <w:rsid w:val="009B742C"/>
    <w:rsid w:val="009B7B1E"/>
    <w:rsid w:val="009C077B"/>
    <w:rsid w:val="009C09CC"/>
    <w:rsid w:val="009C0C5E"/>
    <w:rsid w:val="009C14A6"/>
    <w:rsid w:val="009C156E"/>
    <w:rsid w:val="009C1BB2"/>
    <w:rsid w:val="009C1D84"/>
    <w:rsid w:val="009C2528"/>
    <w:rsid w:val="009C2A1F"/>
    <w:rsid w:val="009C2BF2"/>
    <w:rsid w:val="009C30F4"/>
    <w:rsid w:val="009C337A"/>
    <w:rsid w:val="009C34ED"/>
    <w:rsid w:val="009C39BD"/>
    <w:rsid w:val="009C3BCF"/>
    <w:rsid w:val="009C3DA8"/>
    <w:rsid w:val="009C3DE9"/>
    <w:rsid w:val="009C3E52"/>
    <w:rsid w:val="009C4814"/>
    <w:rsid w:val="009C4B1F"/>
    <w:rsid w:val="009C5513"/>
    <w:rsid w:val="009C57F4"/>
    <w:rsid w:val="009C5B21"/>
    <w:rsid w:val="009C62AC"/>
    <w:rsid w:val="009C6D6A"/>
    <w:rsid w:val="009C70A5"/>
    <w:rsid w:val="009C738C"/>
    <w:rsid w:val="009C7B57"/>
    <w:rsid w:val="009D0660"/>
    <w:rsid w:val="009D07DC"/>
    <w:rsid w:val="009D0D33"/>
    <w:rsid w:val="009D0D7E"/>
    <w:rsid w:val="009D1A94"/>
    <w:rsid w:val="009D1F24"/>
    <w:rsid w:val="009D2387"/>
    <w:rsid w:val="009D2406"/>
    <w:rsid w:val="009D27E0"/>
    <w:rsid w:val="009D2EAD"/>
    <w:rsid w:val="009D2EB2"/>
    <w:rsid w:val="009D37D0"/>
    <w:rsid w:val="009D399C"/>
    <w:rsid w:val="009D3C81"/>
    <w:rsid w:val="009D4833"/>
    <w:rsid w:val="009D49B1"/>
    <w:rsid w:val="009D49FA"/>
    <w:rsid w:val="009D4C5C"/>
    <w:rsid w:val="009D51E5"/>
    <w:rsid w:val="009D55C1"/>
    <w:rsid w:val="009D598A"/>
    <w:rsid w:val="009D5D4A"/>
    <w:rsid w:val="009D5E57"/>
    <w:rsid w:val="009D615C"/>
    <w:rsid w:val="009D6599"/>
    <w:rsid w:val="009D7DC9"/>
    <w:rsid w:val="009E062B"/>
    <w:rsid w:val="009E0AF1"/>
    <w:rsid w:val="009E13BC"/>
    <w:rsid w:val="009E1FDF"/>
    <w:rsid w:val="009E213A"/>
    <w:rsid w:val="009E26EF"/>
    <w:rsid w:val="009E3403"/>
    <w:rsid w:val="009E353A"/>
    <w:rsid w:val="009E3A38"/>
    <w:rsid w:val="009E48D5"/>
    <w:rsid w:val="009E4D12"/>
    <w:rsid w:val="009E5192"/>
    <w:rsid w:val="009E5AED"/>
    <w:rsid w:val="009E685F"/>
    <w:rsid w:val="009E7250"/>
    <w:rsid w:val="009E7DB6"/>
    <w:rsid w:val="009F07D2"/>
    <w:rsid w:val="009F0CE3"/>
    <w:rsid w:val="009F1393"/>
    <w:rsid w:val="009F13E5"/>
    <w:rsid w:val="009F15AF"/>
    <w:rsid w:val="009F1931"/>
    <w:rsid w:val="009F1BB4"/>
    <w:rsid w:val="009F1C0E"/>
    <w:rsid w:val="009F1C68"/>
    <w:rsid w:val="009F1D26"/>
    <w:rsid w:val="009F1E1F"/>
    <w:rsid w:val="009F2074"/>
    <w:rsid w:val="009F2679"/>
    <w:rsid w:val="009F3016"/>
    <w:rsid w:val="009F3CCF"/>
    <w:rsid w:val="009F4008"/>
    <w:rsid w:val="009F4270"/>
    <w:rsid w:val="009F483C"/>
    <w:rsid w:val="009F5055"/>
    <w:rsid w:val="009F578C"/>
    <w:rsid w:val="009F5830"/>
    <w:rsid w:val="009F585F"/>
    <w:rsid w:val="009F5CD9"/>
    <w:rsid w:val="009F61CF"/>
    <w:rsid w:val="009F6671"/>
    <w:rsid w:val="009F6C9E"/>
    <w:rsid w:val="009F6F89"/>
    <w:rsid w:val="009F706E"/>
    <w:rsid w:val="009F70E4"/>
    <w:rsid w:val="009F78CA"/>
    <w:rsid w:val="00A000B6"/>
    <w:rsid w:val="00A00CC9"/>
    <w:rsid w:val="00A00D04"/>
    <w:rsid w:val="00A0155D"/>
    <w:rsid w:val="00A016EA"/>
    <w:rsid w:val="00A01F92"/>
    <w:rsid w:val="00A020A7"/>
    <w:rsid w:val="00A02279"/>
    <w:rsid w:val="00A0231F"/>
    <w:rsid w:val="00A0241A"/>
    <w:rsid w:val="00A0265B"/>
    <w:rsid w:val="00A0268D"/>
    <w:rsid w:val="00A02AAA"/>
    <w:rsid w:val="00A02D18"/>
    <w:rsid w:val="00A03A3D"/>
    <w:rsid w:val="00A03F93"/>
    <w:rsid w:val="00A03FD0"/>
    <w:rsid w:val="00A04148"/>
    <w:rsid w:val="00A047E3"/>
    <w:rsid w:val="00A04A68"/>
    <w:rsid w:val="00A055A9"/>
    <w:rsid w:val="00A05850"/>
    <w:rsid w:val="00A05A60"/>
    <w:rsid w:val="00A05A6D"/>
    <w:rsid w:val="00A05A8F"/>
    <w:rsid w:val="00A05D66"/>
    <w:rsid w:val="00A061D5"/>
    <w:rsid w:val="00A062DA"/>
    <w:rsid w:val="00A06516"/>
    <w:rsid w:val="00A0665C"/>
    <w:rsid w:val="00A06FEA"/>
    <w:rsid w:val="00A0752B"/>
    <w:rsid w:val="00A07589"/>
    <w:rsid w:val="00A10564"/>
    <w:rsid w:val="00A105B7"/>
    <w:rsid w:val="00A105EE"/>
    <w:rsid w:val="00A10EAB"/>
    <w:rsid w:val="00A11D63"/>
    <w:rsid w:val="00A11EAD"/>
    <w:rsid w:val="00A11FFB"/>
    <w:rsid w:val="00A12060"/>
    <w:rsid w:val="00A12D2D"/>
    <w:rsid w:val="00A12D2F"/>
    <w:rsid w:val="00A132A4"/>
    <w:rsid w:val="00A13F38"/>
    <w:rsid w:val="00A14E45"/>
    <w:rsid w:val="00A15F52"/>
    <w:rsid w:val="00A168C5"/>
    <w:rsid w:val="00A16C45"/>
    <w:rsid w:val="00A16FED"/>
    <w:rsid w:val="00A17724"/>
    <w:rsid w:val="00A1782A"/>
    <w:rsid w:val="00A178C1"/>
    <w:rsid w:val="00A17905"/>
    <w:rsid w:val="00A17C5A"/>
    <w:rsid w:val="00A200C4"/>
    <w:rsid w:val="00A200D9"/>
    <w:rsid w:val="00A2016D"/>
    <w:rsid w:val="00A20376"/>
    <w:rsid w:val="00A20852"/>
    <w:rsid w:val="00A20C57"/>
    <w:rsid w:val="00A21300"/>
    <w:rsid w:val="00A21427"/>
    <w:rsid w:val="00A2170A"/>
    <w:rsid w:val="00A21DF6"/>
    <w:rsid w:val="00A21E93"/>
    <w:rsid w:val="00A22328"/>
    <w:rsid w:val="00A22912"/>
    <w:rsid w:val="00A22A08"/>
    <w:rsid w:val="00A230FB"/>
    <w:rsid w:val="00A233C2"/>
    <w:rsid w:val="00A241BA"/>
    <w:rsid w:val="00A2454C"/>
    <w:rsid w:val="00A2461F"/>
    <w:rsid w:val="00A24C86"/>
    <w:rsid w:val="00A25408"/>
    <w:rsid w:val="00A25944"/>
    <w:rsid w:val="00A263B3"/>
    <w:rsid w:val="00A26A0E"/>
    <w:rsid w:val="00A26E6B"/>
    <w:rsid w:val="00A26E74"/>
    <w:rsid w:val="00A27D17"/>
    <w:rsid w:val="00A27E03"/>
    <w:rsid w:val="00A27EF0"/>
    <w:rsid w:val="00A27FC8"/>
    <w:rsid w:val="00A30EA1"/>
    <w:rsid w:val="00A311EA"/>
    <w:rsid w:val="00A31494"/>
    <w:rsid w:val="00A31E1F"/>
    <w:rsid w:val="00A31F0E"/>
    <w:rsid w:val="00A3212D"/>
    <w:rsid w:val="00A327CC"/>
    <w:rsid w:val="00A32D4C"/>
    <w:rsid w:val="00A332BC"/>
    <w:rsid w:val="00A33586"/>
    <w:rsid w:val="00A337CA"/>
    <w:rsid w:val="00A341F1"/>
    <w:rsid w:val="00A355F1"/>
    <w:rsid w:val="00A35C48"/>
    <w:rsid w:val="00A35E8D"/>
    <w:rsid w:val="00A363AE"/>
    <w:rsid w:val="00A363FA"/>
    <w:rsid w:val="00A3652C"/>
    <w:rsid w:val="00A36EE6"/>
    <w:rsid w:val="00A370B7"/>
    <w:rsid w:val="00A375D9"/>
    <w:rsid w:val="00A377CE"/>
    <w:rsid w:val="00A37F3B"/>
    <w:rsid w:val="00A402C2"/>
    <w:rsid w:val="00A40CBF"/>
    <w:rsid w:val="00A40E04"/>
    <w:rsid w:val="00A41066"/>
    <w:rsid w:val="00A41AE8"/>
    <w:rsid w:val="00A426E9"/>
    <w:rsid w:val="00A42997"/>
    <w:rsid w:val="00A434F9"/>
    <w:rsid w:val="00A4374C"/>
    <w:rsid w:val="00A43B2C"/>
    <w:rsid w:val="00A43C3C"/>
    <w:rsid w:val="00A44AEB"/>
    <w:rsid w:val="00A4519C"/>
    <w:rsid w:val="00A45430"/>
    <w:rsid w:val="00A456A3"/>
    <w:rsid w:val="00A45E4B"/>
    <w:rsid w:val="00A45E60"/>
    <w:rsid w:val="00A4689A"/>
    <w:rsid w:val="00A46D22"/>
    <w:rsid w:val="00A476C2"/>
    <w:rsid w:val="00A47E4D"/>
    <w:rsid w:val="00A47EB2"/>
    <w:rsid w:val="00A47F7B"/>
    <w:rsid w:val="00A502B1"/>
    <w:rsid w:val="00A5048E"/>
    <w:rsid w:val="00A505EA"/>
    <w:rsid w:val="00A51B37"/>
    <w:rsid w:val="00A51E12"/>
    <w:rsid w:val="00A52242"/>
    <w:rsid w:val="00A528FD"/>
    <w:rsid w:val="00A52B5A"/>
    <w:rsid w:val="00A52B6A"/>
    <w:rsid w:val="00A534FC"/>
    <w:rsid w:val="00A53638"/>
    <w:rsid w:val="00A53885"/>
    <w:rsid w:val="00A542B5"/>
    <w:rsid w:val="00A546E5"/>
    <w:rsid w:val="00A54845"/>
    <w:rsid w:val="00A54C51"/>
    <w:rsid w:val="00A55054"/>
    <w:rsid w:val="00A5510F"/>
    <w:rsid w:val="00A55435"/>
    <w:rsid w:val="00A55439"/>
    <w:rsid w:val="00A5559A"/>
    <w:rsid w:val="00A55D67"/>
    <w:rsid w:val="00A5616C"/>
    <w:rsid w:val="00A56200"/>
    <w:rsid w:val="00A56BB1"/>
    <w:rsid w:val="00A57396"/>
    <w:rsid w:val="00A579AC"/>
    <w:rsid w:val="00A600E7"/>
    <w:rsid w:val="00A6024C"/>
    <w:rsid w:val="00A605C6"/>
    <w:rsid w:val="00A60663"/>
    <w:rsid w:val="00A60AD9"/>
    <w:rsid w:val="00A60CE1"/>
    <w:rsid w:val="00A61141"/>
    <w:rsid w:val="00A61257"/>
    <w:rsid w:val="00A6158F"/>
    <w:rsid w:val="00A61A10"/>
    <w:rsid w:val="00A61F5E"/>
    <w:rsid w:val="00A6208F"/>
    <w:rsid w:val="00A62887"/>
    <w:rsid w:val="00A6289C"/>
    <w:rsid w:val="00A63824"/>
    <w:rsid w:val="00A63B13"/>
    <w:rsid w:val="00A63B7F"/>
    <w:rsid w:val="00A63E78"/>
    <w:rsid w:val="00A64120"/>
    <w:rsid w:val="00A64946"/>
    <w:rsid w:val="00A64A04"/>
    <w:rsid w:val="00A65166"/>
    <w:rsid w:val="00A655AB"/>
    <w:rsid w:val="00A65C06"/>
    <w:rsid w:val="00A65E00"/>
    <w:rsid w:val="00A65E4E"/>
    <w:rsid w:val="00A65FAE"/>
    <w:rsid w:val="00A67060"/>
    <w:rsid w:val="00A670D0"/>
    <w:rsid w:val="00A67456"/>
    <w:rsid w:val="00A6798A"/>
    <w:rsid w:val="00A67A30"/>
    <w:rsid w:val="00A67D05"/>
    <w:rsid w:val="00A67FB5"/>
    <w:rsid w:val="00A707CF"/>
    <w:rsid w:val="00A712A0"/>
    <w:rsid w:val="00A71308"/>
    <w:rsid w:val="00A71463"/>
    <w:rsid w:val="00A717A3"/>
    <w:rsid w:val="00A71C16"/>
    <w:rsid w:val="00A72539"/>
    <w:rsid w:val="00A7290F"/>
    <w:rsid w:val="00A72D50"/>
    <w:rsid w:val="00A730B3"/>
    <w:rsid w:val="00A73116"/>
    <w:rsid w:val="00A732F8"/>
    <w:rsid w:val="00A7336E"/>
    <w:rsid w:val="00A736B8"/>
    <w:rsid w:val="00A73CC6"/>
    <w:rsid w:val="00A74329"/>
    <w:rsid w:val="00A7448D"/>
    <w:rsid w:val="00A749CF"/>
    <w:rsid w:val="00A74BD0"/>
    <w:rsid w:val="00A75C03"/>
    <w:rsid w:val="00A75DFC"/>
    <w:rsid w:val="00A7639F"/>
    <w:rsid w:val="00A76874"/>
    <w:rsid w:val="00A76B23"/>
    <w:rsid w:val="00A76B74"/>
    <w:rsid w:val="00A77474"/>
    <w:rsid w:val="00A77A86"/>
    <w:rsid w:val="00A77AE7"/>
    <w:rsid w:val="00A804D9"/>
    <w:rsid w:val="00A80F3C"/>
    <w:rsid w:val="00A817A5"/>
    <w:rsid w:val="00A81E21"/>
    <w:rsid w:val="00A82014"/>
    <w:rsid w:val="00A82894"/>
    <w:rsid w:val="00A82DC9"/>
    <w:rsid w:val="00A836D1"/>
    <w:rsid w:val="00A8377D"/>
    <w:rsid w:val="00A83C10"/>
    <w:rsid w:val="00A83E6E"/>
    <w:rsid w:val="00A84596"/>
    <w:rsid w:val="00A84F53"/>
    <w:rsid w:val="00A855BC"/>
    <w:rsid w:val="00A85BAA"/>
    <w:rsid w:val="00A85DC7"/>
    <w:rsid w:val="00A860D6"/>
    <w:rsid w:val="00A8624A"/>
    <w:rsid w:val="00A8624F"/>
    <w:rsid w:val="00A86948"/>
    <w:rsid w:val="00A86BFF"/>
    <w:rsid w:val="00A87132"/>
    <w:rsid w:val="00A87742"/>
    <w:rsid w:val="00A900E2"/>
    <w:rsid w:val="00A9027A"/>
    <w:rsid w:val="00A90986"/>
    <w:rsid w:val="00A90C02"/>
    <w:rsid w:val="00A9118D"/>
    <w:rsid w:val="00A918DC"/>
    <w:rsid w:val="00A91971"/>
    <w:rsid w:val="00A926B0"/>
    <w:rsid w:val="00A93B96"/>
    <w:rsid w:val="00A93D41"/>
    <w:rsid w:val="00A93E58"/>
    <w:rsid w:val="00A94BC2"/>
    <w:rsid w:val="00A94DBF"/>
    <w:rsid w:val="00A9586F"/>
    <w:rsid w:val="00A958D6"/>
    <w:rsid w:val="00A963C9"/>
    <w:rsid w:val="00A964F9"/>
    <w:rsid w:val="00A9687F"/>
    <w:rsid w:val="00A96C35"/>
    <w:rsid w:val="00A96F1E"/>
    <w:rsid w:val="00A972B7"/>
    <w:rsid w:val="00A97889"/>
    <w:rsid w:val="00A97D80"/>
    <w:rsid w:val="00AA00C6"/>
    <w:rsid w:val="00AA0309"/>
    <w:rsid w:val="00AA0350"/>
    <w:rsid w:val="00AA04EA"/>
    <w:rsid w:val="00AA0906"/>
    <w:rsid w:val="00AA1115"/>
    <w:rsid w:val="00AA168E"/>
    <w:rsid w:val="00AA19ED"/>
    <w:rsid w:val="00AA1AE4"/>
    <w:rsid w:val="00AA347A"/>
    <w:rsid w:val="00AA36A6"/>
    <w:rsid w:val="00AA40A2"/>
    <w:rsid w:val="00AA490F"/>
    <w:rsid w:val="00AA4F8B"/>
    <w:rsid w:val="00AA5547"/>
    <w:rsid w:val="00AA55D3"/>
    <w:rsid w:val="00AA6670"/>
    <w:rsid w:val="00AA7076"/>
    <w:rsid w:val="00AA7251"/>
    <w:rsid w:val="00AA76A6"/>
    <w:rsid w:val="00AB02A4"/>
    <w:rsid w:val="00AB0E28"/>
    <w:rsid w:val="00AB18A7"/>
    <w:rsid w:val="00AB2176"/>
    <w:rsid w:val="00AB218D"/>
    <w:rsid w:val="00AB2460"/>
    <w:rsid w:val="00AB2BE3"/>
    <w:rsid w:val="00AB389C"/>
    <w:rsid w:val="00AB3C56"/>
    <w:rsid w:val="00AB3EF5"/>
    <w:rsid w:val="00AB40AD"/>
    <w:rsid w:val="00AB43C4"/>
    <w:rsid w:val="00AB43F4"/>
    <w:rsid w:val="00AB51ED"/>
    <w:rsid w:val="00AB535D"/>
    <w:rsid w:val="00AB5927"/>
    <w:rsid w:val="00AB5E33"/>
    <w:rsid w:val="00AB6849"/>
    <w:rsid w:val="00AB6C85"/>
    <w:rsid w:val="00AB7B90"/>
    <w:rsid w:val="00AB7E4B"/>
    <w:rsid w:val="00AB7E92"/>
    <w:rsid w:val="00AC0165"/>
    <w:rsid w:val="00AC040C"/>
    <w:rsid w:val="00AC1439"/>
    <w:rsid w:val="00AC20EF"/>
    <w:rsid w:val="00AC33AD"/>
    <w:rsid w:val="00AC33F3"/>
    <w:rsid w:val="00AC34B9"/>
    <w:rsid w:val="00AC3662"/>
    <w:rsid w:val="00AC3E4A"/>
    <w:rsid w:val="00AC4313"/>
    <w:rsid w:val="00AC4D75"/>
    <w:rsid w:val="00AC4E53"/>
    <w:rsid w:val="00AC4F70"/>
    <w:rsid w:val="00AC4F92"/>
    <w:rsid w:val="00AC5419"/>
    <w:rsid w:val="00AC585F"/>
    <w:rsid w:val="00AC5910"/>
    <w:rsid w:val="00AC5B29"/>
    <w:rsid w:val="00AC5D50"/>
    <w:rsid w:val="00AC6654"/>
    <w:rsid w:val="00AC6703"/>
    <w:rsid w:val="00AC72C2"/>
    <w:rsid w:val="00AD023D"/>
    <w:rsid w:val="00AD0453"/>
    <w:rsid w:val="00AD0478"/>
    <w:rsid w:val="00AD0603"/>
    <w:rsid w:val="00AD10CB"/>
    <w:rsid w:val="00AD1231"/>
    <w:rsid w:val="00AD1AB5"/>
    <w:rsid w:val="00AD2489"/>
    <w:rsid w:val="00AD2EFB"/>
    <w:rsid w:val="00AD3318"/>
    <w:rsid w:val="00AD35AB"/>
    <w:rsid w:val="00AD3752"/>
    <w:rsid w:val="00AD3915"/>
    <w:rsid w:val="00AD4610"/>
    <w:rsid w:val="00AD4773"/>
    <w:rsid w:val="00AD47B6"/>
    <w:rsid w:val="00AD4815"/>
    <w:rsid w:val="00AD4858"/>
    <w:rsid w:val="00AD530D"/>
    <w:rsid w:val="00AD5494"/>
    <w:rsid w:val="00AD5D86"/>
    <w:rsid w:val="00AD64A6"/>
    <w:rsid w:val="00AD6981"/>
    <w:rsid w:val="00AD6C38"/>
    <w:rsid w:val="00AD72A2"/>
    <w:rsid w:val="00AD7684"/>
    <w:rsid w:val="00AE000C"/>
    <w:rsid w:val="00AE0273"/>
    <w:rsid w:val="00AE0494"/>
    <w:rsid w:val="00AE05EA"/>
    <w:rsid w:val="00AE096E"/>
    <w:rsid w:val="00AE10BE"/>
    <w:rsid w:val="00AE1265"/>
    <w:rsid w:val="00AE1EAE"/>
    <w:rsid w:val="00AE2731"/>
    <w:rsid w:val="00AE2AE8"/>
    <w:rsid w:val="00AE2D06"/>
    <w:rsid w:val="00AE3285"/>
    <w:rsid w:val="00AE330C"/>
    <w:rsid w:val="00AE42CA"/>
    <w:rsid w:val="00AE5324"/>
    <w:rsid w:val="00AE533C"/>
    <w:rsid w:val="00AE68DE"/>
    <w:rsid w:val="00AE6A47"/>
    <w:rsid w:val="00AE6DFF"/>
    <w:rsid w:val="00AE79D0"/>
    <w:rsid w:val="00AF0691"/>
    <w:rsid w:val="00AF1033"/>
    <w:rsid w:val="00AF10D2"/>
    <w:rsid w:val="00AF1210"/>
    <w:rsid w:val="00AF19A2"/>
    <w:rsid w:val="00AF24CE"/>
    <w:rsid w:val="00AF2561"/>
    <w:rsid w:val="00AF3469"/>
    <w:rsid w:val="00AF34FD"/>
    <w:rsid w:val="00AF3A3D"/>
    <w:rsid w:val="00AF3AA9"/>
    <w:rsid w:val="00AF3AF2"/>
    <w:rsid w:val="00AF3E10"/>
    <w:rsid w:val="00AF3EF7"/>
    <w:rsid w:val="00AF50C6"/>
    <w:rsid w:val="00AF57A2"/>
    <w:rsid w:val="00AF5E6E"/>
    <w:rsid w:val="00AF5FB2"/>
    <w:rsid w:val="00AF6578"/>
    <w:rsid w:val="00AF65B9"/>
    <w:rsid w:val="00AF7F18"/>
    <w:rsid w:val="00B0019F"/>
    <w:rsid w:val="00B006F2"/>
    <w:rsid w:val="00B00DAE"/>
    <w:rsid w:val="00B01438"/>
    <w:rsid w:val="00B01656"/>
    <w:rsid w:val="00B01C89"/>
    <w:rsid w:val="00B03490"/>
    <w:rsid w:val="00B03D58"/>
    <w:rsid w:val="00B04302"/>
    <w:rsid w:val="00B0544D"/>
    <w:rsid w:val="00B0588D"/>
    <w:rsid w:val="00B05ABE"/>
    <w:rsid w:val="00B06428"/>
    <w:rsid w:val="00B068F1"/>
    <w:rsid w:val="00B069E0"/>
    <w:rsid w:val="00B06BAC"/>
    <w:rsid w:val="00B06EF3"/>
    <w:rsid w:val="00B0705C"/>
    <w:rsid w:val="00B074BB"/>
    <w:rsid w:val="00B079C8"/>
    <w:rsid w:val="00B10026"/>
    <w:rsid w:val="00B108BF"/>
    <w:rsid w:val="00B10D24"/>
    <w:rsid w:val="00B10E15"/>
    <w:rsid w:val="00B10FAD"/>
    <w:rsid w:val="00B11112"/>
    <w:rsid w:val="00B1152D"/>
    <w:rsid w:val="00B115EE"/>
    <w:rsid w:val="00B11C4C"/>
    <w:rsid w:val="00B12134"/>
    <w:rsid w:val="00B12444"/>
    <w:rsid w:val="00B12470"/>
    <w:rsid w:val="00B126AC"/>
    <w:rsid w:val="00B12BCD"/>
    <w:rsid w:val="00B135CB"/>
    <w:rsid w:val="00B1407A"/>
    <w:rsid w:val="00B145F7"/>
    <w:rsid w:val="00B15BB5"/>
    <w:rsid w:val="00B16194"/>
    <w:rsid w:val="00B1648D"/>
    <w:rsid w:val="00B1698F"/>
    <w:rsid w:val="00B16A2A"/>
    <w:rsid w:val="00B16FB0"/>
    <w:rsid w:val="00B1784C"/>
    <w:rsid w:val="00B17A66"/>
    <w:rsid w:val="00B17CBE"/>
    <w:rsid w:val="00B210AA"/>
    <w:rsid w:val="00B2195E"/>
    <w:rsid w:val="00B21A3E"/>
    <w:rsid w:val="00B21CB9"/>
    <w:rsid w:val="00B21E7A"/>
    <w:rsid w:val="00B21EF1"/>
    <w:rsid w:val="00B22C9D"/>
    <w:rsid w:val="00B23DD9"/>
    <w:rsid w:val="00B24279"/>
    <w:rsid w:val="00B24604"/>
    <w:rsid w:val="00B24C6C"/>
    <w:rsid w:val="00B24F85"/>
    <w:rsid w:val="00B25438"/>
    <w:rsid w:val="00B25521"/>
    <w:rsid w:val="00B25EEE"/>
    <w:rsid w:val="00B2657D"/>
    <w:rsid w:val="00B26CAD"/>
    <w:rsid w:val="00B27020"/>
    <w:rsid w:val="00B2728C"/>
    <w:rsid w:val="00B2759B"/>
    <w:rsid w:val="00B27D90"/>
    <w:rsid w:val="00B3012D"/>
    <w:rsid w:val="00B30BA7"/>
    <w:rsid w:val="00B31181"/>
    <w:rsid w:val="00B311BF"/>
    <w:rsid w:val="00B311F0"/>
    <w:rsid w:val="00B315C5"/>
    <w:rsid w:val="00B3243D"/>
    <w:rsid w:val="00B334E3"/>
    <w:rsid w:val="00B33A0E"/>
    <w:rsid w:val="00B33D6F"/>
    <w:rsid w:val="00B33E72"/>
    <w:rsid w:val="00B33EF8"/>
    <w:rsid w:val="00B340A9"/>
    <w:rsid w:val="00B34825"/>
    <w:rsid w:val="00B34E69"/>
    <w:rsid w:val="00B34EB9"/>
    <w:rsid w:val="00B34F45"/>
    <w:rsid w:val="00B35768"/>
    <w:rsid w:val="00B35ACD"/>
    <w:rsid w:val="00B36074"/>
    <w:rsid w:val="00B360CA"/>
    <w:rsid w:val="00B362E0"/>
    <w:rsid w:val="00B36D47"/>
    <w:rsid w:val="00B36DB7"/>
    <w:rsid w:val="00B372ED"/>
    <w:rsid w:val="00B376A3"/>
    <w:rsid w:val="00B40150"/>
    <w:rsid w:val="00B401B1"/>
    <w:rsid w:val="00B4080A"/>
    <w:rsid w:val="00B40DAF"/>
    <w:rsid w:val="00B40FEE"/>
    <w:rsid w:val="00B41356"/>
    <w:rsid w:val="00B424DB"/>
    <w:rsid w:val="00B42B70"/>
    <w:rsid w:val="00B432A6"/>
    <w:rsid w:val="00B43E0A"/>
    <w:rsid w:val="00B43EB3"/>
    <w:rsid w:val="00B445EB"/>
    <w:rsid w:val="00B44856"/>
    <w:rsid w:val="00B449F9"/>
    <w:rsid w:val="00B45BF7"/>
    <w:rsid w:val="00B460B7"/>
    <w:rsid w:val="00B461A0"/>
    <w:rsid w:val="00B46DAD"/>
    <w:rsid w:val="00B471CE"/>
    <w:rsid w:val="00B473FE"/>
    <w:rsid w:val="00B479C3"/>
    <w:rsid w:val="00B47E5E"/>
    <w:rsid w:val="00B504A9"/>
    <w:rsid w:val="00B50699"/>
    <w:rsid w:val="00B50AAC"/>
    <w:rsid w:val="00B50AC1"/>
    <w:rsid w:val="00B510F6"/>
    <w:rsid w:val="00B51460"/>
    <w:rsid w:val="00B51877"/>
    <w:rsid w:val="00B525C2"/>
    <w:rsid w:val="00B52AF9"/>
    <w:rsid w:val="00B52D6F"/>
    <w:rsid w:val="00B5331C"/>
    <w:rsid w:val="00B5333F"/>
    <w:rsid w:val="00B5428F"/>
    <w:rsid w:val="00B54C89"/>
    <w:rsid w:val="00B54CA1"/>
    <w:rsid w:val="00B551C3"/>
    <w:rsid w:val="00B55311"/>
    <w:rsid w:val="00B556F3"/>
    <w:rsid w:val="00B557A4"/>
    <w:rsid w:val="00B55A9B"/>
    <w:rsid w:val="00B55B66"/>
    <w:rsid w:val="00B55C03"/>
    <w:rsid w:val="00B55FAD"/>
    <w:rsid w:val="00B56443"/>
    <w:rsid w:val="00B564A3"/>
    <w:rsid w:val="00B56BD7"/>
    <w:rsid w:val="00B56C88"/>
    <w:rsid w:val="00B5711C"/>
    <w:rsid w:val="00B57126"/>
    <w:rsid w:val="00B5712F"/>
    <w:rsid w:val="00B578A7"/>
    <w:rsid w:val="00B57DAA"/>
    <w:rsid w:val="00B57DE0"/>
    <w:rsid w:val="00B57DED"/>
    <w:rsid w:val="00B57E0B"/>
    <w:rsid w:val="00B609F9"/>
    <w:rsid w:val="00B60A70"/>
    <w:rsid w:val="00B60E50"/>
    <w:rsid w:val="00B61036"/>
    <w:rsid w:val="00B61066"/>
    <w:rsid w:val="00B611BB"/>
    <w:rsid w:val="00B6124E"/>
    <w:rsid w:val="00B614EB"/>
    <w:rsid w:val="00B61DF4"/>
    <w:rsid w:val="00B621BF"/>
    <w:rsid w:val="00B63054"/>
    <w:rsid w:val="00B63A42"/>
    <w:rsid w:val="00B63BD6"/>
    <w:rsid w:val="00B64717"/>
    <w:rsid w:val="00B64DD3"/>
    <w:rsid w:val="00B6530E"/>
    <w:rsid w:val="00B65537"/>
    <w:rsid w:val="00B65DC0"/>
    <w:rsid w:val="00B66CE4"/>
    <w:rsid w:val="00B67443"/>
    <w:rsid w:val="00B67914"/>
    <w:rsid w:val="00B67DED"/>
    <w:rsid w:val="00B67E54"/>
    <w:rsid w:val="00B71031"/>
    <w:rsid w:val="00B710B1"/>
    <w:rsid w:val="00B71B7F"/>
    <w:rsid w:val="00B71FB5"/>
    <w:rsid w:val="00B72076"/>
    <w:rsid w:val="00B7231D"/>
    <w:rsid w:val="00B72893"/>
    <w:rsid w:val="00B73733"/>
    <w:rsid w:val="00B74891"/>
    <w:rsid w:val="00B74DF3"/>
    <w:rsid w:val="00B752A3"/>
    <w:rsid w:val="00B76F57"/>
    <w:rsid w:val="00B76F9D"/>
    <w:rsid w:val="00B7722C"/>
    <w:rsid w:val="00B77290"/>
    <w:rsid w:val="00B778B4"/>
    <w:rsid w:val="00B802DD"/>
    <w:rsid w:val="00B80AF1"/>
    <w:rsid w:val="00B80ED4"/>
    <w:rsid w:val="00B8157A"/>
    <w:rsid w:val="00B81DB0"/>
    <w:rsid w:val="00B82903"/>
    <w:rsid w:val="00B82993"/>
    <w:rsid w:val="00B83A65"/>
    <w:rsid w:val="00B83D0F"/>
    <w:rsid w:val="00B83EC1"/>
    <w:rsid w:val="00B8450E"/>
    <w:rsid w:val="00B84C53"/>
    <w:rsid w:val="00B8509F"/>
    <w:rsid w:val="00B8564D"/>
    <w:rsid w:val="00B85ABE"/>
    <w:rsid w:val="00B85EE8"/>
    <w:rsid w:val="00B86425"/>
    <w:rsid w:val="00B86BCF"/>
    <w:rsid w:val="00B876E5"/>
    <w:rsid w:val="00B901D9"/>
    <w:rsid w:val="00B90483"/>
    <w:rsid w:val="00B9286B"/>
    <w:rsid w:val="00B93333"/>
    <w:rsid w:val="00B941B7"/>
    <w:rsid w:val="00B946E4"/>
    <w:rsid w:val="00B94BDA"/>
    <w:rsid w:val="00B94D5D"/>
    <w:rsid w:val="00B94FF5"/>
    <w:rsid w:val="00B9536C"/>
    <w:rsid w:val="00B97623"/>
    <w:rsid w:val="00B976D5"/>
    <w:rsid w:val="00B97865"/>
    <w:rsid w:val="00B97DC9"/>
    <w:rsid w:val="00B97F38"/>
    <w:rsid w:val="00BA1366"/>
    <w:rsid w:val="00BA15DE"/>
    <w:rsid w:val="00BA16C1"/>
    <w:rsid w:val="00BA17A3"/>
    <w:rsid w:val="00BA185B"/>
    <w:rsid w:val="00BA18A5"/>
    <w:rsid w:val="00BA197D"/>
    <w:rsid w:val="00BA25B3"/>
    <w:rsid w:val="00BA275C"/>
    <w:rsid w:val="00BA39CC"/>
    <w:rsid w:val="00BA3C23"/>
    <w:rsid w:val="00BA479D"/>
    <w:rsid w:val="00BA4B3B"/>
    <w:rsid w:val="00BA4F4F"/>
    <w:rsid w:val="00BA5263"/>
    <w:rsid w:val="00BA57DF"/>
    <w:rsid w:val="00BA57EF"/>
    <w:rsid w:val="00BA58BB"/>
    <w:rsid w:val="00BA5A02"/>
    <w:rsid w:val="00BA5CB6"/>
    <w:rsid w:val="00BA7237"/>
    <w:rsid w:val="00BA7CF4"/>
    <w:rsid w:val="00BB01DE"/>
    <w:rsid w:val="00BB040F"/>
    <w:rsid w:val="00BB05DC"/>
    <w:rsid w:val="00BB083C"/>
    <w:rsid w:val="00BB11D7"/>
    <w:rsid w:val="00BB19FB"/>
    <w:rsid w:val="00BB1EC9"/>
    <w:rsid w:val="00BB244E"/>
    <w:rsid w:val="00BB2AD1"/>
    <w:rsid w:val="00BB2C2D"/>
    <w:rsid w:val="00BB2C40"/>
    <w:rsid w:val="00BB31E7"/>
    <w:rsid w:val="00BB36B7"/>
    <w:rsid w:val="00BB37EC"/>
    <w:rsid w:val="00BB38EF"/>
    <w:rsid w:val="00BB39FA"/>
    <w:rsid w:val="00BB4713"/>
    <w:rsid w:val="00BB4CFC"/>
    <w:rsid w:val="00BB5566"/>
    <w:rsid w:val="00BB595A"/>
    <w:rsid w:val="00BB6721"/>
    <w:rsid w:val="00BB6B2B"/>
    <w:rsid w:val="00BB74A9"/>
    <w:rsid w:val="00BB7539"/>
    <w:rsid w:val="00BB7779"/>
    <w:rsid w:val="00BB7B66"/>
    <w:rsid w:val="00BC01B8"/>
    <w:rsid w:val="00BC05BE"/>
    <w:rsid w:val="00BC0B7A"/>
    <w:rsid w:val="00BC0E37"/>
    <w:rsid w:val="00BC1AA3"/>
    <w:rsid w:val="00BC2131"/>
    <w:rsid w:val="00BC23CB"/>
    <w:rsid w:val="00BC259F"/>
    <w:rsid w:val="00BC2838"/>
    <w:rsid w:val="00BC2909"/>
    <w:rsid w:val="00BC2F6D"/>
    <w:rsid w:val="00BC314B"/>
    <w:rsid w:val="00BC33C4"/>
    <w:rsid w:val="00BC3541"/>
    <w:rsid w:val="00BC3992"/>
    <w:rsid w:val="00BC3FCF"/>
    <w:rsid w:val="00BC4937"/>
    <w:rsid w:val="00BC4B82"/>
    <w:rsid w:val="00BC4C4D"/>
    <w:rsid w:val="00BC4CF1"/>
    <w:rsid w:val="00BC5BD5"/>
    <w:rsid w:val="00BC5CA7"/>
    <w:rsid w:val="00BC5F93"/>
    <w:rsid w:val="00BC6817"/>
    <w:rsid w:val="00BC6B5D"/>
    <w:rsid w:val="00BC6C84"/>
    <w:rsid w:val="00BC6C8C"/>
    <w:rsid w:val="00BC6CD0"/>
    <w:rsid w:val="00BC6D95"/>
    <w:rsid w:val="00BC6DA1"/>
    <w:rsid w:val="00BC70D3"/>
    <w:rsid w:val="00BC740E"/>
    <w:rsid w:val="00BC7503"/>
    <w:rsid w:val="00BC7730"/>
    <w:rsid w:val="00BC78B3"/>
    <w:rsid w:val="00BC7CD1"/>
    <w:rsid w:val="00BC7F50"/>
    <w:rsid w:val="00BD0973"/>
    <w:rsid w:val="00BD0C0B"/>
    <w:rsid w:val="00BD0D70"/>
    <w:rsid w:val="00BD0D76"/>
    <w:rsid w:val="00BD13E1"/>
    <w:rsid w:val="00BD1703"/>
    <w:rsid w:val="00BD1EEB"/>
    <w:rsid w:val="00BD2623"/>
    <w:rsid w:val="00BD32F8"/>
    <w:rsid w:val="00BD443C"/>
    <w:rsid w:val="00BD467C"/>
    <w:rsid w:val="00BD4D77"/>
    <w:rsid w:val="00BD4E3D"/>
    <w:rsid w:val="00BD59C7"/>
    <w:rsid w:val="00BD5C39"/>
    <w:rsid w:val="00BD6258"/>
    <w:rsid w:val="00BD6287"/>
    <w:rsid w:val="00BD643D"/>
    <w:rsid w:val="00BD6445"/>
    <w:rsid w:val="00BD6721"/>
    <w:rsid w:val="00BD684D"/>
    <w:rsid w:val="00BD70E9"/>
    <w:rsid w:val="00BD7768"/>
    <w:rsid w:val="00BD7EC1"/>
    <w:rsid w:val="00BE02A5"/>
    <w:rsid w:val="00BE03CB"/>
    <w:rsid w:val="00BE0676"/>
    <w:rsid w:val="00BE1CE4"/>
    <w:rsid w:val="00BE1D01"/>
    <w:rsid w:val="00BE1F8B"/>
    <w:rsid w:val="00BE216A"/>
    <w:rsid w:val="00BE2872"/>
    <w:rsid w:val="00BE2E0D"/>
    <w:rsid w:val="00BE33F8"/>
    <w:rsid w:val="00BE3EA8"/>
    <w:rsid w:val="00BE4064"/>
    <w:rsid w:val="00BE40CB"/>
    <w:rsid w:val="00BE54BF"/>
    <w:rsid w:val="00BE5635"/>
    <w:rsid w:val="00BE5892"/>
    <w:rsid w:val="00BE5A49"/>
    <w:rsid w:val="00BE5DF3"/>
    <w:rsid w:val="00BE6A63"/>
    <w:rsid w:val="00BE713F"/>
    <w:rsid w:val="00BE73AD"/>
    <w:rsid w:val="00BF06D6"/>
    <w:rsid w:val="00BF0898"/>
    <w:rsid w:val="00BF094A"/>
    <w:rsid w:val="00BF099E"/>
    <w:rsid w:val="00BF09FD"/>
    <w:rsid w:val="00BF19A0"/>
    <w:rsid w:val="00BF1ED4"/>
    <w:rsid w:val="00BF2EEF"/>
    <w:rsid w:val="00BF31A2"/>
    <w:rsid w:val="00BF31B9"/>
    <w:rsid w:val="00BF326C"/>
    <w:rsid w:val="00BF3534"/>
    <w:rsid w:val="00BF492D"/>
    <w:rsid w:val="00BF507B"/>
    <w:rsid w:val="00BF51F6"/>
    <w:rsid w:val="00BF5238"/>
    <w:rsid w:val="00BF687A"/>
    <w:rsid w:val="00BF6BD7"/>
    <w:rsid w:val="00BF6FB2"/>
    <w:rsid w:val="00BF789C"/>
    <w:rsid w:val="00BF7BB8"/>
    <w:rsid w:val="00BF7EF9"/>
    <w:rsid w:val="00C0088F"/>
    <w:rsid w:val="00C015AA"/>
    <w:rsid w:val="00C018E7"/>
    <w:rsid w:val="00C0233F"/>
    <w:rsid w:val="00C02956"/>
    <w:rsid w:val="00C02977"/>
    <w:rsid w:val="00C02A9F"/>
    <w:rsid w:val="00C0403A"/>
    <w:rsid w:val="00C0485B"/>
    <w:rsid w:val="00C04FE9"/>
    <w:rsid w:val="00C05C67"/>
    <w:rsid w:val="00C05DA3"/>
    <w:rsid w:val="00C05DAD"/>
    <w:rsid w:val="00C05DFD"/>
    <w:rsid w:val="00C06354"/>
    <w:rsid w:val="00C065A0"/>
    <w:rsid w:val="00C06C45"/>
    <w:rsid w:val="00C06CAC"/>
    <w:rsid w:val="00C06DAA"/>
    <w:rsid w:val="00C07070"/>
    <w:rsid w:val="00C0751E"/>
    <w:rsid w:val="00C07B0A"/>
    <w:rsid w:val="00C07BFE"/>
    <w:rsid w:val="00C11005"/>
    <w:rsid w:val="00C1242D"/>
    <w:rsid w:val="00C12791"/>
    <w:rsid w:val="00C1291E"/>
    <w:rsid w:val="00C12A66"/>
    <w:rsid w:val="00C12AB6"/>
    <w:rsid w:val="00C12C0C"/>
    <w:rsid w:val="00C13AD3"/>
    <w:rsid w:val="00C13CE1"/>
    <w:rsid w:val="00C13FEE"/>
    <w:rsid w:val="00C1493C"/>
    <w:rsid w:val="00C15038"/>
    <w:rsid w:val="00C15194"/>
    <w:rsid w:val="00C15DA9"/>
    <w:rsid w:val="00C15DD9"/>
    <w:rsid w:val="00C1697B"/>
    <w:rsid w:val="00C16DB4"/>
    <w:rsid w:val="00C16F10"/>
    <w:rsid w:val="00C1700D"/>
    <w:rsid w:val="00C17192"/>
    <w:rsid w:val="00C17379"/>
    <w:rsid w:val="00C17409"/>
    <w:rsid w:val="00C1750E"/>
    <w:rsid w:val="00C17A8C"/>
    <w:rsid w:val="00C17B92"/>
    <w:rsid w:val="00C203F8"/>
    <w:rsid w:val="00C207F6"/>
    <w:rsid w:val="00C20E59"/>
    <w:rsid w:val="00C21784"/>
    <w:rsid w:val="00C21ABD"/>
    <w:rsid w:val="00C21B3C"/>
    <w:rsid w:val="00C21C38"/>
    <w:rsid w:val="00C21E20"/>
    <w:rsid w:val="00C22188"/>
    <w:rsid w:val="00C22A68"/>
    <w:rsid w:val="00C22EE3"/>
    <w:rsid w:val="00C23194"/>
    <w:rsid w:val="00C2391B"/>
    <w:rsid w:val="00C23A80"/>
    <w:rsid w:val="00C23D2E"/>
    <w:rsid w:val="00C2441A"/>
    <w:rsid w:val="00C245C7"/>
    <w:rsid w:val="00C24DDF"/>
    <w:rsid w:val="00C2528E"/>
    <w:rsid w:val="00C253A0"/>
    <w:rsid w:val="00C25DF2"/>
    <w:rsid w:val="00C26575"/>
    <w:rsid w:val="00C2682C"/>
    <w:rsid w:val="00C27C23"/>
    <w:rsid w:val="00C305CA"/>
    <w:rsid w:val="00C318F1"/>
    <w:rsid w:val="00C31FBD"/>
    <w:rsid w:val="00C322D9"/>
    <w:rsid w:val="00C328CE"/>
    <w:rsid w:val="00C32E1B"/>
    <w:rsid w:val="00C33072"/>
    <w:rsid w:val="00C335F6"/>
    <w:rsid w:val="00C33762"/>
    <w:rsid w:val="00C3400C"/>
    <w:rsid w:val="00C34169"/>
    <w:rsid w:val="00C341BD"/>
    <w:rsid w:val="00C3466C"/>
    <w:rsid w:val="00C349EA"/>
    <w:rsid w:val="00C355B0"/>
    <w:rsid w:val="00C35CFF"/>
    <w:rsid w:val="00C36CB4"/>
    <w:rsid w:val="00C36D0C"/>
    <w:rsid w:val="00C371E7"/>
    <w:rsid w:val="00C376A1"/>
    <w:rsid w:val="00C37722"/>
    <w:rsid w:val="00C377AA"/>
    <w:rsid w:val="00C40541"/>
    <w:rsid w:val="00C40693"/>
    <w:rsid w:val="00C41444"/>
    <w:rsid w:val="00C43164"/>
    <w:rsid w:val="00C440B8"/>
    <w:rsid w:val="00C446B3"/>
    <w:rsid w:val="00C44E0D"/>
    <w:rsid w:val="00C45524"/>
    <w:rsid w:val="00C45DD8"/>
    <w:rsid w:val="00C46384"/>
    <w:rsid w:val="00C475DD"/>
    <w:rsid w:val="00C475F3"/>
    <w:rsid w:val="00C50A7D"/>
    <w:rsid w:val="00C50EA7"/>
    <w:rsid w:val="00C5132D"/>
    <w:rsid w:val="00C513D6"/>
    <w:rsid w:val="00C51B7D"/>
    <w:rsid w:val="00C51F2C"/>
    <w:rsid w:val="00C521BD"/>
    <w:rsid w:val="00C521D9"/>
    <w:rsid w:val="00C52B29"/>
    <w:rsid w:val="00C536DE"/>
    <w:rsid w:val="00C53EEB"/>
    <w:rsid w:val="00C54484"/>
    <w:rsid w:val="00C54C33"/>
    <w:rsid w:val="00C54EB3"/>
    <w:rsid w:val="00C552BB"/>
    <w:rsid w:val="00C552F2"/>
    <w:rsid w:val="00C5541B"/>
    <w:rsid w:val="00C55547"/>
    <w:rsid w:val="00C55B07"/>
    <w:rsid w:val="00C55EBC"/>
    <w:rsid w:val="00C567E7"/>
    <w:rsid w:val="00C5699C"/>
    <w:rsid w:val="00C56A94"/>
    <w:rsid w:val="00C56DCE"/>
    <w:rsid w:val="00C6032D"/>
    <w:rsid w:val="00C60CFB"/>
    <w:rsid w:val="00C6113F"/>
    <w:rsid w:val="00C612B5"/>
    <w:rsid w:val="00C614B2"/>
    <w:rsid w:val="00C6168B"/>
    <w:rsid w:val="00C62EBB"/>
    <w:rsid w:val="00C632E7"/>
    <w:rsid w:val="00C63346"/>
    <w:rsid w:val="00C63813"/>
    <w:rsid w:val="00C63B6B"/>
    <w:rsid w:val="00C653E2"/>
    <w:rsid w:val="00C66A26"/>
    <w:rsid w:val="00C66EF5"/>
    <w:rsid w:val="00C66FB8"/>
    <w:rsid w:val="00C67786"/>
    <w:rsid w:val="00C67944"/>
    <w:rsid w:val="00C6797D"/>
    <w:rsid w:val="00C67A3E"/>
    <w:rsid w:val="00C67A78"/>
    <w:rsid w:val="00C67FB0"/>
    <w:rsid w:val="00C67FBC"/>
    <w:rsid w:val="00C711C2"/>
    <w:rsid w:val="00C718FC"/>
    <w:rsid w:val="00C72765"/>
    <w:rsid w:val="00C72947"/>
    <w:rsid w:val="00C72958"/>
    <w:rsid w:val="00C72A87"/>
    <w:rsid w:val="00C72C1D"/>
    <w:rsid w:val="00C73B48"/>
    <w:rsid w:val="00C73C65"/>
    <w:rsid w:val="00C7424E"/>
    <w:rsid w:val="00C7460B"/>
    <w:rsid w:val="00C74D1D"/>
    <w:rsid w:val="00C75093"/>
    <w:rsid w:val="00C7515C"/>
    <w:rsid w:val="00C758A5"/>
    <w:rsid w:val="00C75F7B"/>
    <w:rsid w:val="00C7665D"/>
    <w:rsid w:val="00C76C2F"/>
    <w:rsid w:val="00C76FB6"/>
    <w:rsid w:val="00C7702C"/>
    <w:rsid w:val="00C77CA5"/>
    <w:rsid w:val="00C77CEF"/>
    <w:rsid w:val="00C77EF2"/>
    <w:rsid w:val="00C77F83"/>
    <w:rsid w:val="00C80702"/>
    <w:rsid w:val="00C81920"/>
    <w:rsid w:val="00C81961"/>
    <w:rsid w:val="00C82427"/>
    <w:rsid w:val="00C82DCE"/>
    <w:rsid w:val="00C845DB"/>
    <w:rsid w:val="00C84F15"/>
    <w:rsid w:val="00C856AE"/>
    <w:rsid w:val="00C85986"/>
    <w:rsid w:val="00C85B01"/>
    <w:rsid w:val="00C85B67"/>
    <w:rsid w:val="00C862C9"/>
    <w:rsid w:val="00C864A7"/>
    <w:rsid w:val="00C8684B"/>
    <w:rsid w:val="00C87573"/>
    <w:rsid w:val="00C87B26"/>
    <w:rsid w:val="00C87FC3"/>
    <w:rsid w:val="00C9021A"/>
    <w:rsid w:val="00C9026D"/>
    <w:rsid w:val="00C90A35"/>
    <w:rsid w:val="00C918CF"/>
    <w:rsid w:val="00C91AE7"/>
    <w:rsid w:val="00C91D63"/>
    <w:rsid w:val="00C92334"/>
    <w:rsid w:val="00C92768"/>
    <w:rsid w:val="00C928EB"/>
    <w:rsid w:val="00C95554"/>
    <w:rsid w:val="00C95734"/>
    <w:rsid w:val="00C95EF9"/>
    <w:rsid w:val="00C9726C"/>
    <w:rsid w:val="00C972DA"/>
    <w:rsid w:val="00C9768F"/>
    <w:rsid w:val="00C97758"/>
    <w:rsid w:val="00C977EB"/>
    <w:rsid w:val="00C979AD"/>
    <w:rsid w:val="00C97C38"/>
    <w:rsid w:val="00CA056B"/>
    <w:rsid w:val="00CA05F2"/>
    <w:rsid w:val="00CA080E"/>
    <w:rsid w:val="00CA0872"/>
    <w:rsid w:val="00CA0B51"/>
    <w:rsid w:val="00CA0E50"/>
    <w:rsid w:val="00CA0E7C"/>
    <w:rsid w:val="00CA1980"/>
    <w:rsid w:val="00CA255B"/>
    <w:rsid w:val="00CA3287"/>
    <w:rsid w:val="00CA38ED"/>
    <w:rsid w:val="00CA3ADF"/>
    <w:rsid w:val="00CA3F72"/>
    <w:rsid w:val="00CA45F0"/>
    <w:rsid w:val="00CA4903"/>
    <w:rsid w:val="00CA4CFC"/>
    <w:rsid w:val="00CA4E26"/>
    <w:rsid w:val="00CA55D4"/>
    <w:rsid w:val="00CA5A08"/>
    <w:rsid w:val="00CA692F"/>
    <w:rsid w:val="00CA6BB8"/>
    <w:rsid w:val="00CA6CC3"/>
    <w:rsid w:val="00CA70B1"/>
    <w:rsid w:val="00CA718B"/>
    <w:rsid w:val="00CA744F"/>
    <w:rsid w:val="00CA776F"/>
    <w:rsid w:val="00CB0A91"/>
    <w:rsid w:val="00CB0B65"/>
    <w:rsid w:val="00CB210E"/>
    <w:rsid w:val="00CB2A3D"/>
    <w:rsid w:val="00CB3340"/>
    <w:rsid w:val="00CB34EE"/>
    <w:rsid w:val="00CB4062"/>
    <w:rsid w:val="00CB4643"/>
    <w:rsid w:val="00CB4AA4"/>
    <w:rsid w:val="00CB5ED0"/>
    <w:rsid w:val="00CB66A1"/>
    <w:rsid w:val="00CB68FD"/>
    <w:rsid w:val="00CB6CDF"/>
    <w:rsid w:val="00CB79EC"/>
    <w:rsid w:val="00CB7C00"/>
    <w:rsid w:val="00CC04F9"/>
    <w:rsid w:val="00CC05BD"/>
    <w:rsid w:val="00CC1EA0"/>
    <w:rsid w:val="00CC2CE2"/>
    <w:rsid w:val="00CC325B"/>
    <w:rsid w:val="00CC36D5"/>
    <w:rsid w:val="00CC36EA"/>
    <w:rsid w:val="00CC39D6"/>
    <w:rsid w:val="00CC3BFD"/>
    <w:rsid w:val="00CC42A4"/>
    <w:rsid w:val="00CC4364"/>
    <w:rsid w:val="00CC452E"/>
    <w:rsid w:val="00CC4CF1"/>
    <w:rsid w:val="00CC4FBB"/>
    <w:rsid w:val="00CC52D3"/>
    <w:rsid w:val="00CC5337"/>
    <w:rsid w:val="00CC5817"/>
    <w:rsid w:val="00CC5AAE"/>
    <w:rsid w:val="00CC62F5"/>
    <w:rsid w:val="00CC6BFE"/>
    <w:rsid w:val="00CC6F40"/>
    <w:rsid w:val="00CC7CA1"/>
    <w:rsid w:val="00CC7F1A"/>
    <w:rsid w:val="00CD0141"/>
    <w:rsid w:val="00CD09D3"/>
    <w:rsid w:val="00CD0DC1"/>
    <w:rsid w:val="00CD12DB"/>
    <w:rsid w:val="00CD1E0D"/>
    <w:rsid w:val="00CD21AD"/>
    <w:rsid w:val="00CD23A8"/>
    <w:rsid w:val="00CD23E8"/>
    <w:rsid w:val="00CD26F4"/>
    <w:rsid w:val="00CD313F"/>
    <w:rsid w:val="00CD3A65"/>
    <w:rsid w:val="00CD47EB"/>
    <w:rsid w:val="00CD4CA9"/>
    <w:rsid w:val="00CD4D17"/>
    <w:rsid w:val="00CD4F67"/>
    <w:rsid w:val="00CD4FC2"/>
    <w:rsid w:val="00CD5225"/>
    <w:rsid w:val="00CD5371"/>
    <w:rsid w:val="00CD58C2"/>
    <w:rsid w:val="00CD5A8F"/>
    <w:rsid w:val="00CD5C3A"/>
    <w:rsid w:val="00CD6129"/>
    <w:rsid w:val="00CD6859"/>
    <w:rsid w:val="00CD6C32"/>
    <w:rsid w:val="00CD6F3F"/>
    <w:rsid w:val="00CD73E5"/>
    <w:rsid w:val="00CD7400"/>
    <w:rsid w:val="00CD7686"/>
    <w:rsid w:val="00CD78B2"/>
    <w:rsid w:val="00CD7932"/>
    <w:rsid w:val="00CE0691"/>
    <w:rsid w:val="00CE0CA1"/>
    <w:rsid w:val="00CE13CA"/>
    <w:rsid w:val="00CE19DE"/>
    <w:rsid w:val="00CE1BBB"/>
    <w:rsid w:val="00CE2AAB"/>
    <w:rsid w:val="00CE2C47"/>
    <w:rsid w:val="00CE2C9E"/>
    <w:rsid w:val="00CE2FEF"/>
    <w:rsid w:val="00CE3066"/>
    <w:rsid w:val="00CE3088"/>
    <w:rsid w:val="00CE3860"/>
    <w:rsid w:val="00CE3A8C"/>
    <w:rsid w:val="00CE3BD2"/>
    <w:rsid w:val="00CE417E"/>
    <w:rsid w:val="00CE46F4"/>
    <w:rsid w:val="00CE50F7"/>
    <w:rsid w:val="00CE5119"/>
    <w:rsid w:val="00CE5323"/>
    <w:rsid w:val="00CE5A5C"/>
    <w:rsid w:val="00CE5CCE"/>
    <w:rsid w:val="00CE5E11"/>
    <w:rsid w:val="00CE616D"/>
    <w:rsid w:val="00CE7194"/>
    <w:rsid w:val="00CE724B"/>
    <w:rsid w:val="00CE7E87"/>
    <w:rsid w:val="00CE7FF9"/>
    <w:rsid w:val="00CF0155"/>
    <w:rsid w:val="00CF0562"/>
    <w:rsid w:val="00CF0870"/>
    <w:rsid w:val="00CF0C16"/>
    <w:rsid w:val="00CF0FBD"/>
    <w:rsid w:val="00CF1128"/>
    <w:rsid w:val="00CF11F0"/>
    <w:rsid w:val="00CF1595"/>
    <w:rsid w:val="00CF2307"/>
    <w:rsid w:val="00CF230D"/>
    <w:rsid w:val="00CF2529"/>
    <w:rsid w:val="00CF2581"/>
    <w:rsid w:val="00CF27C4"/>
    <w:rsid w:val="00CF2FF7"/>
    <w:rsid w:val="00CF3D42"/>
    <w:rsid w:val="00CF3FB2"/>
    <w:rsid w:val="00CF41EA"/>
    <w:rsid w:val="00CF48A6"/>
    <w:rsid w:val="00CF4A48"/>
    <w:rsid w:val="00CF4D38"/>
    <w:rsid w:val="00CF4E22"/>
    <w:rsid w:val="00CF50CA"/>
    <w:rsid w:val="00CF529F"/>
    <w:rsid w:val="00CF577A"/>
    <w:rsid w:val="00CF5A36"/>
    <w:rsid w:val="00CF6107"/>
    <w:rsid w:val="00CF64D7"/>
    <w:rsid w:val="00CF64DF"/>
    <w:rsid w:val="00CF66D5"/>
    <w:rsid w:val="00CF6E28"/>
    <w:rsid w:val="00CF6EC3"/>
    <w:rsid w:val="00CF6F83"/>
    <w:rsid w:val="00CF72AA"/>
    <w:rsid w:val="00CF7C5C"/>
    <w:rsid w:val="00CF7EFE"/>
    <w:rsid w:val="00D0018E"/>
    <w:rsid w:val="00D001D0"/>
    <w:rsid w:val="00D007C5"/>
    <w:rsid w:val="00D00806"/>
    <w:rsid w:val="00D008C4"/>
    <w:rsid w:val="00D0248E"/>
    <w:rsid w:val="00D027FD"/>
    <w:rsid w:val="00D03B22"/>
    <w:rsid w:val="00D03B5F"/>
    <w:rsid w:val="00D04604"/>
    <w:rsid w:val="00D04641"/>
    <w:rsid w:val="00D05768"/>
    <w:rsid w:val="00D060F9"/>
    <w:rsid w:val="00D065F3"/>
    <w:rsid w:val="00D0660E"/>
    <w:rsid w:val="00D066C6"/>
    <w:rsid w:val="00D06827"/>
    <w:rsid w:val="00D06C28"/>
    <w:rsid w:val="00D076D4"/>
    <w:rsid w:val="00D0773D"/>
    <w:rsid w:val="00D10015"/>
    <w:rsid w:val="00D104D2"/>
    <w:rsid w:val="00D104DE"/>
    <w:rsid w:val="00D10CCD"/>
    <w:rsid w:val="00D10DCD"/>
    <w:rsid w:val="00D11662"/>
    <w:rsid w:val="00D1168A"/>
    <w:rsid w:val="00D11BEF"/>
    <w:rsid w:val="00D12046"/>
    <w:rsid w:val="00D12424"/>
    <w:rsid w:val="00D1252D"/>
    <w:rsid w:val="00D1261C"/>
    <w:rsid w:val="00D12736"/>
    <w:rsid w:val="00D12A8C"/>
    <w:rsid w:val="00D12FE9"/>
    <w:rsid w:val="00D1329C"/>
    <w:rsid w:val="00D147E5"/>
    <w:rsid w:val="00D14974"/>
    <w:rsid w:val="00D14CD8"/>
    <w:rsid w:val="00D14E68"/>
    <w:rsid w:val="00D154C2"/>
    <w:rsid w:val="00D15831"/>
    <w:rsid w:val="00D15D56"/>
    <w:rsid w:val="00D15FE9"/>
    <w:rsid w:val="00D16DAD"/>
    <w:rsid w:val="00D17030"/>
    <w:rsid w:val="00D17193"/>
    <w:rsid w:val="00D17A3C"/>
    <w:rsid w:val="00D17DA7"/>
    <w:rsid w:val="00D17EED"/>
    <w:rsid w:val="00D20017"/>
    <w:rsid w:val="00D2002D"/>
    <w:rsid w:val="00D20675"/>
    <w:rsid w:val="00D20C4C"/>
    <w:rsid w:val="00D20D2C"/>
    <w:rsid w:val="00D20D9D"/>
    <w:rsid w:val="00D214F8"/>
    <w:rsid w:val="00D21536"/>
    <w:rsid w:val="00D2168E"/>
    <w:rsid w:val="00D219F5"/>
    <w:rsid w:val="00D21AFA"/>
    <w:rsid w:val="00D21B2A"/>
    <w:rsid w:val="00D2213B"/>
    <w:rsid w:val="00D22B07"/>
    <w:rsid w:val="00D23084"/>
    <w:rsid w:val="00D23237"/>
    <w:rsid w:val="00D24420"/>
    <w:rsid w:val="00D245DC"/>
    <w:rsid w:val="00D250CF"/>
    <w:rsid w:val="00D25210"/>
    <w:rsid w:val="00D25293"/>
    <w:rsid w:val="00D25374"/>
    <w:rsid w:val="00D259F0"/>
    <w:rsid w:val="00D25D40"/>
    <w:rsid w:val="00D2624C"/>
    <w:rsid w:val="00D262A7"/>
    <w:rsid w:val="00D26ADB"/>
    <w:rsid w:val="00D27777"/>
    <w:rsid w:val="00D27F75"/>
    <w:rsid w:val="00D306EF"/>
    <w:rsid w:val="00D30C5D"/>
    <w:rsid w:val="00D30CA6"/>
    <w:rsid w:val="00D30CE4"/>
    <w:rsid w:val="00D31A1E"/>
    <w:rsid w:val="00D31AB0"/>
    <w:rsid w:val="00D31BCB"/>
    <w:rsid w:val="00D31CDC"/>
    <w:rsid w:val="00D32520"/>
    <w:rsid w:val="00D32AF1"/>
    <w:rsid w:val="00D32C7A"/>
    <w:rsid w:val="00D338EF"/>
    <w:rsid w:val="00D33EA8"/>
    <w:rsid w:val="00D3430F"/>
    <w:rsid w:val="00D34A30"/>
    <w:rsid w:val="00D35566"/>
    <w:rsid w:val="00D35EF3"/>
    <w:rsid w:val="00D36549"/>
    <w:rsid w:val="00D368ED"/>
    <w:rsid w:val="00D36D91"/>
    <w:rsid w:val="00D36FCC"/>
    <w:rsid w:val="00D373D2"/>
    <w:rsid w:val="00D37A89"/>
    <w:rsid w:val="00D4024C"/>
    <w:rsid w:val="00D40265"/>
    <w:rsid w:val="00D40CFA"/>
    <w:rsid w:val="00D418BC"/>
    <w:rsid w:val="00D418BE"/>
    <w:rsid w:val="00D41B82"/>
    <w:rsid w:val="00D420A6"/>
    <w:rsid w:val="00D43E4D"/>
    <w:rsid w:val="00D4404B"/>
    <w:rsid w:val="00D440A1"/>
    <w:rsid w:val="00D444A9"/>
    <w:rsid w:val="00D44BC5"/>
    <w:rsid w:val="00D44DC3"/>
    <w:rsid w:val="00D44FCA"/>
    <w:rsid w:val="00D4531E"/>
    <w:rsid w:val="00D4555B"/>
    <w:rsid w:val="00D45718"/>
    <w:rsid w:val="00D45744"/>
    <w:rsid w:val="00D45BC3"/>
    <w:rsid w:val="00D45C7A"/>
    <w:rsid w:val="00D45D18"/>
    <w:rsid w:val="00D45E14"/>
    <w:rsid w:val="00D46052"/>
    <w:rsid w:val="00D46345"/>
    <w:rsid w:val="00D46946"/>
    <w:rsid w:val="00D46C49"/>
    <w:rsid w:val="00D47013"/>
    <w:rsid w:val="00D4798B"/>
    <w:rsid w:val="00D50E31"/>
    <w:rsid w:val="00D50E63"/>
    <w:rsid w:val="00D519DE"/>
    <w:rsid w:val="00D5208B"/>
    <w:rsid w:val="00D521EE"/>
    <w:rsid w:val="00D530C3"/>
    <w:rsid w:val="00D534DB"/>
    <w:rsid w:val="00D53979"/>
    <w:rsid w:val="00D53FB9"/>
    <w:rsid w:val="00D55811"/>
    <w:rsid w:val="00D55F65"/>
    <w:rsid w:val="00D56E7F"/>
    <w:rsid w:val="00D56F19"/>
    <w:rsid w:val="00D5704B"/>
    <w:rsid w:val="00D574CB"/>
    <w:rsid w:val="00D57EBE"/>
    <w:rsid w:val="00D6033C"/>
    <w:rsid w:val="00D6078F"/>
    <w:rsid w:val="00D613EF"/>
    <w:rsid w:val="00D62223"/>
    <w:rsid w:val="00D6273A"/>
    <w:rsid w:val="00D6295A"/>
    <w:rsid w:val="00D6315C"/>
    <w:rsid w:val="00D63821"/>
    <w:rsid w:val="00D63FE0"/>
    <w:rsid w:val="00D64099"/>
    <w:rsid w:val="00D6450A"/>
    <w:rsid w:val="00D6496D"/>
    <w:rsid w:val="00D64CF4"/>
    <w:rsid w:val="00D64D3E"/>
    <w:rsid w:val="00D64FB7"/>
    <w:rsid w:val="00D656FE"/>
    <w:rsid w:val="00D65A23"/>
    <w:rsid w:val="00D65C8E"/>
    <w:rsid w:val="00D65DB9"/>
    <w:rsid w:val="00D6629E"/>
    <w:rsid w:val="00D663F1"/>
    <w:rsid w:val="00D667D7"/>
    <w:rsid w:val="00D66C8B"/>
    <w:rsid w:val="00D66FF9"/>
    <w:rsid w:val="00D67037"/>
    <w:rsid w:val="00D6705F"/>
    <w:rsid w:val="00D670DC"/>
    <w:rsid w:val="00D675A7"/>
    <w:rsid w:val="00D675D6"/>
    <w:rsid w:val="00D706C4"/>
    <w:rsid w:val="00D70710"/>
    <w:rsid w:val="00D70834"/>
    <w:rsid w:val="00D70A6B"/>
    <w:rsid w:val="00D70EB6"/>
    <w:rsid w:val="00D71B59"/>
    <w:rsid w:val="00D71CF0"/>
    <w:rsid w:val="00D71E7A"/>
    <w:rsid w:val="00D72D8C"/>
    <w:rsid w:val="00D7316C"/>
    <w:rsid w:val="00D733D7"/>
    <w:rsid w:val="00D73655"/>
    <w:rsid w:val="00D73838"/>
    <w:rsid w:val="00D73E17"/>
    <w:rsid w:val="00D7440B"/>
    <w:rsid w:val="00D7444C"/>
    <w:rsid w:val="00D755A5"/>
    <w:rsid w:val="00D75951"/>
    <w:rsid w:val="00D75AB8"/>
    <w:rsid w:val="00D75FCB"/>
    <w:rsid w:val="00D76856"/>
    <w:rsid w:val="00D76E90"/>
    <w:rsid w:val="00D76F02"/>
    <w:rsid w:val="00D771F0"/>
    <w:rsid w:val="00D77AE3"/>
    <w:rsid w:val="00D77AEB"/>
    <w:rsid w:val="00D77CD8"/>
    <w:rsid w:val="00D80C49"/>
    <w:rsid w:val="00D81155"/>
    <w:rsid w:val="00D811E5"/>
    <w:rsid w:val="00D812B0"/>
    <w:rsid w:val="00D8199D"/>
    <w:rsid w:val="00D81BBB"/>
    <w:rsid w:val="00D81FD7"/>
    <w:rsid w:val="00D82216"/>
    <w:rsid w:val="00D829BC"/>
    <w:rsid w:val="00D82B86"/>
    <w:rsid w:val="00D83641"/>
    <w:rsid w:val="00D8411D"/>
    <w:rsid w:val="00D844B2"/>
    <w:rsid w:val="00D848E7"/>
    <w:rsid w:val="00D84ADE"/>
    <w:rsid w:val="00D84B19"/>
    <w:rsid w:val="00D853F5"/>
    <w:rsid w:val="00D85A99"/>
    <w:rsid w:val="00D86371"/>
    <w:rsid w:val="00D8666A"/>
    <w:rsid w:val="00D86A97"/>
    <w:rsid w:val="00D86FD1"/>
    <w:rsid w:val="00D879CC"/>
    <w:rsid w:val="00D87D49"/>
    <w:rsid w:val="00D87E0F"/>
    <w:rsid w:val="00D9019B"/>
    <w:rsid w:val="00D904D1"/>
    <w:rsid w:val="00D905C7"/>
    <w:rsid w:val="00D90C32"/>
    <w:rsid w:val="00D90DC6"/>
    <w:rsid w:val="00D91330"/>
    <w:rsid w:val="00D91F83"/>
    <w:rsid w:val="00D9395F"/>
    <w:rsid w:val="00D93D55"/>
    <w:rsid w:val="00D941C4"/>
    <w:rsid w:val="00D9466B"/>
    <w:rsid w:val="00D946EA"/>
    <w:rsid w:val="00D94751"/>
    <w:rsid w:val="00D94A70"/>
    <w:rsid w:val="00D955AB"/>
    <w:rsid w:val="00D95981"/>
    <w:rsid w:val="00D9690B"/>
    <w:rsid w:val="00D96B42"/>
    <w:rsid w:val="00D97346"/>
    <w:rsid w:val="00DA0480"/>
    <w:rsid w:val="00DA04DB"/>
    <w:rsid w:val="00DA0636"/>
    <w:rsid w:val="00DA0BBE"/>
    <w:rsid w:val="00DA0F52"/>
    <w:rsid w:val="00DA0FC7"/>
    <w:rsid w:val="00DA1430"/>
    <w:rsid w:val="00DA23BF"/>
    <w:rsid w:val="00DA2840"/>
    <w:rsid w:val="00DA2A66"/>
    <w:rsid w:val="00DA2B54"/>
    <w:rsid w:val="00DA321F"/>
    <w:rsid w:val="00DA3647"/>
    <w:rsid w:val="00DA39B4"/>
    <w:rsid w:val="00DA44B1"/>
    <w:rsid w:val="00DA52A0"/>
    <w:rsid w:val="00DA573D"/>
    <w:rsid w:val="00DA5D55"/>
    <w:rsid w:val="00DA6C11"/>
    <w:rsid w:val="00DA6F26"/>
    <w:rsid w:val="00DA6FE2"/>
    <w:rsid w:val="00DB000C"/>
    <w:rsid w:val="00DB08EF"/>
    <w:rsid w:val="00DB1C36"/>
    <w:rsid w:val="00DB22FA"/>
    <w:rsid w:val="00DB252D"/>
    <w:rsid w:val="00DB2DB3"/>
    <w:rsid w:val="00DB2E36"/>
    <w:rsid w:val="00DB3262"/>
    <w:rsid w:val="00DB383D"/>
    <w:rsid w:val="00DB473C"/>
    <w:rsid w:val="00DB4A6C"/>
    <w:rsid w:val="00DB4AE2"/>
    <w:rsid w:val="00DB4DF9"/>
    <w:rsid w:val="00DB4EF2"/>
    <w:rsid w:val="00DB5BE3"/>
    <w:rsid w:val="00DB5D3F"/>
    <w:rsid w:val="00DB63C1"/>
    <w:rsid w:val="00DB6D2D"/>
    <w:rsid w:val="00DB6E95"/>
    <w:rsid w:val="00DB6F3F"/>
    <w:rsid w:val="00DB70B4"/>
    <w:rsid w:val="00DB71C7"/>
    <w:rsid w:val="00DB7ECC"/>
    <w:rsid w:val="00DC04BE"/>
    <w:rsid w:val="00DC05A8"/>
    <w:rsid w:val="00DC10E8"/>
    <w:rsid w:val="00DC1AD8"/>
    <w:rsid w:val="00DC216D"/>
    <w:rsid w:val="00DC2549"/>
    <w:rsid w:val="00DC268D"/>
    <w:rsid w:val="00DC26DE"/>
    <w:rsid w:val="00DC2EDD"/>
    <w:rsid w:val="00DC3783"/>
    <w:rsid w:val="00DC3976"/>
    <w:rsid w:val="00DC436E"/>
    <w:rsid w:val="00DC44B2"/>
    <w:rsid w:val="00DC482D"/>
    <w:rsid w:val="00DC4B32"/>
    <w:rsid w:val="00DC4C75"/>
    <w:rsid w:val="00DC5656"/>
    <w:rsid w:val="00DC5677"/>
    <w:rsid w:val="00DC5952"/>
    <w:rsid w:val="00DC5CB1"/>
    <w:rsid w:val="00DC5CCB"/>
    <w:rsid w:val="00DC5E28"/>
    <w:rsid w:val="00DC5FAA"/>
    <w:rsid w:val="00DC6453"/>
    <w:rsid w:val="00DC742D"/>
    <w:rsid w:val="00DC7844"/>
    <w:rsid w:val="00DD00A1"/>
    <w:rsid w:val="00DD0136"/>
    <w:rsid w:val="00DD066A"/>
    <w:rsid w:val="00DD1D47"/>
    <w:rsid w:val="00DD24E0"/>
    <w:rsid w:val="00DD29F2"/>
    <w:rsid w:val="00DD2D63"/>
    <w:rsid w:val="00DD35B9"/>
    <w:rsid w:val="00DD383E"/>
    <w:rsid w:val="00DD3ACB"/>
    <w:rsid w:val="00DD3B5C"/>
    <w:rsid w:val="00DD483E"/>
    <w:rsid w:val="00DD4976"/>
    <w:rsid w:val="00DD4E98"/>
    <w:rsid w:val="00DD56E6"/>
    <w:rsid w:val="00DD5AAD"/>
    <w:rsid w:val="00DD5E69"/>
    <w:rsid w:val="00DD5F52"/>
    <w:rsid w:val="00DD5FBD"/>
    <w:rsid w:val="00DD660F"/>
    <w:rsid w:val="00DD670E"/>
    <w:rsid w:val="00DD6A2E"/>
    <w:rsid w:val="00DD6F7E"/>
    <w:rsid w:val="00DD770E"/>
    <w:rsid w:val="00DD7FB6"/>
    <w:rsid w:val="00DE043F"/>
    <w:rsid w:val="00DE0833"/>
    <w:rsid w:val="00DE0C99"/>
    <w:rsid w:val="00DE1013"/>
    <w:rsid w:val="00DE1191"/>
    <w:rsid w:val="00DE149A"/>
    <w:rsid w:val="00DE1719"/>
    <w:rsid w:val="00DE2072"/>
    <w:rsid w:val="00DE33C1"/>
    <w:rsid w:val="00DE3405"/>
    <w:rsid w:val="00DE34CE"/>
    <w:rsid w:val="00DE36D9"/>
    <w:rsid w:val="00DE3E4B"/>
    <w:rsid w:val="00DE497D"/>
    <w:rsid w:val="00DE4CE1"/>
    <w:rsid w:val="00DE4F11"/>
    <w:rsid w:val="00DE5CE0"/>
    <w:rsid w:val="00DE6146"/>
    <w:rsid w:val="00DE6685"/>
    <w:rsid w:val="00DE72CF"/>
    <w:rsid w:val="00DE7CFD"/>
    <w:rsid w:val="00DE7EF6"/>
    <w:rsid w:val="00DF0986"/>
    <w:rsid w:val="00DF0D7F"/>
    <w:rsid w:val="00DF17D8"/>
    <w:rsid w:val="00DF1BC9"/>
    <w:rsid w:val="00DF22DE"/>
    <w:rsid w:val="00DF232D"/>
    <w:rsid w:val="00DF2A57"/>
    <w:rsid w:val="00DF2B60"/>
    <w:rsid w:val="00DF2C21"/>
    <w:rsid w:val="00DF2FDC"/>
    <w:rsid w:val="00DF3021"/>
    <w:rsid w:val="00DF3566"/>
    <w:rsid w:val="00DF357A"/>
    <w:rsid w:val="00DF3D9F"/>
    <w:rsid w:val="00DF43F2"/>
    <w:rsid w:val="00DF443F"/>
    <w:rsid w:val="00DF4493"/>
    <w:rsid w:val="00DF47B2"/>
    <w:rsid w:val="00DF506F"/>
    <w:rsid w:val="00DF5418"/>
    <w:rsid w:val="00DF5F02"/>
    <w:rsid w:val="00DF634F"/>
    <w:rsid w:val="00DF654C"/>
    <w:rsid w:val="00DF679A"/>
    <w:rsid w:val="00DF6953"/>
    <w:rsid w:val="00DF6E6F"/>
    <w:rsid w:val="00DF6ED1"/>
    <w:rsid w:val="00DF6F73"/>
    <w:rsid w:val="00DF7048"/>
    <w:rsid w:val="00DF7051"/>
    <w:rsid w:val="00DF744A"/>
    <w:rsid w:val="00DF7532"/>
    <w:rsid w:val="00E004D9"/>
    <w:rsid w:val="00E008CC"/>
    <w:rsid w:val="00E00C81"/>
    <w:rsid w:val="00E01159"/>
    <w:rsid w:val="00E0122E"/>
    <w:rsid w:val="00E01BC1"/>
    <w:rsid w:val="00E02905"/>
    <w:rsid w:val="00E03275"/>
    <w:rsid w:val="00E03BC9"/>
    <w:rsid w:val="00E050CE"/>
    <w:rsid w:val="00E05B58"/>
    <w:rsid w:val="00E05DC8"/>
    <w:rsid w:val="00E06FD7"/>
    <w:rsid w:val="00E07173"/>
    <w:rsid w:val="00E07CA8"/>
    <w:rsid w:val="00E07D4E"/>
    <w:rsid w:val="00E1032D"/>
    <w:rsid w:val="00E1054D"/>
    <w:rsid w:val="00E1061A"/>
    <w:rsid w:val="00E10882"/>
    <w:rsid w:val="00E10F40"/>
    <w:rsid w:val="00E11669"/>
    <w:rsid w:val="00E1176F"/>
    <w:rsid w:val="00E11E01"/>
    <w:rsid w:val="00E11EC2"/>
    <w:rsid w:val="00E134C2"/>
    <w:rsid w:val="00E1361F"/>
    <w:rsid w:val="00E13854"/>
    <w:rsid w:val="00E13CBF"/>
    <w:rsid w:val="00E14469"/>
    <w:rsid w:val="00E1452D"/>
    <w:rsid w:val="00E14A8B"/>
    <w:rsid w:val="00E1550A"/>
    <w:rsid w:val="00E15672"/>
    <w:rsid w:val="00E15A52"/>
    <w:rsid w:val="00E15F38"/>
    <w:rsid w:val="00E16475"/>
    <w:rsid w:val="00E16D69"/>
    <w:rsid w:val="00E16EB3"/>
    <w:rsid w:val="00E17FF4"/>
    <w:rsid w:val="00E20623"/>
    <w:rsid w:val="00E2094B"/>
    <w:rsid w:val="00E20BC0"/>
    <w:rsid w:val="00E22C1F"/>
    <w:rsid w:val="00E2361D"/>
    <w:rsid w:val="00E23CB0"/>
    <w:rsid w:val="00E23E6F"/>
    <w:rsid w:val="00E24038"/>
    <w:rsid w:val="00E24698"/>
    <w:rsid w:val="00E2540E"/>
    <w:rsid w:val="00E25E89"/>
    <w:rsid w:val="00E26717"/>
    <w:rsid w:val="00E26A3B"/>
    <w:rsid w:val="00E26C74"/>
    <w:rsid w:val="00E27464"/>
    <w:rsid w:val="00E27EC7"/>
    <w:rsid w:val="00E30217"/>
    <w:rsid w:val="00E30408"/>
    <w:rsid w:val="00E30B53"/>
    <w:rsid w:val="00E31A89"/>
    <w:rsid w:val="00E31CE3"/>
    <w:rsid w:val="00E321B0"/>
    <w:rsid w:val="00E3223F"/>
    <w:rsid w:val="00E32269"/>
    <w:rsid w:val="00E330C9"/>
    <w:rsid w:val="00E34036"/>
    <w:rsid w:val="00E34450"/>
    <w:rsid w:val="00E36B21"/>
    <w:rsid w:val="00E37295"/>
    <w:rsid w:val="00E373D4"/>
    <w:rsid w:val="00E3768D"/>
    <w:rsid w:val="00E37984"/>
    <w:rsid w:val="00E40F4D"/>
    <w:rsid w:val="00E41798"/>
    <w:rsid w:val="00E41BDE"/>
    <w:rsid w:val="00E41D23"/>
    <w:rsid w:val="00E41DD7"/>
    <w:rsid w:val="00E42A47"/>
    <w:rsid w:val="00E42E1E"/>
    <w:rsid w:val="00E432CD"/>
    <w:rsid w:val="00E43414"/>
    <w:rsid w:val="00E437A6"/>
    <w:rsid w:val="00E43C04"/>
    <w:rsid w:val="00E43EC8"/>
    <w:rsid w:val="00E44024"/>
    <w:rsid w:val="00E4445B"/>
    <w:rsid w:val="00E445BB"/>
    <w:rsid w:val="00E45886"/>
    <w:rsid w:val="00E45893"/>
    <w:rsid w:val="00E45B2C"/>
    <w:rsid w:val="00E45BBD"/>
    <w:rsid w:val="00E461D0"/>
    <w:rsid w:val="00E46B17"/>
    <w:rsid w:val="00E4700F"/>
    <w:rsid w:val="00E47656"/>
    <w:rsid w:val="00E47B81"/>
    <w:rsid w:val="00E47ECF"/>
    <w:rsid w:val="00E500A8"/>
    <w:rsid w:val="00E515F9"/>
    <w:rsid w:val="00E51652"/>
    <w:rsid w:val="00E51A8A"/>
    <w:rsid w:val="00E51B5F"/>
    <w:rsid w:val="00E51E2C"/>
    <w:rsid w:val="00E51EEF"/>
    <w:rsid w:val="00E5230F"/>
    <w:rsid w:val="00E5256A"/>
    <w:rsid w:val="00E5329C"/>
    <w:rsid w:val="00E53528"/>
    <w:rsid w:val="00E53E83"/>
    <w:rsid w:val="00E552D2"/>
    <w:rsid w:val="00E5554F"/>
    <w:rsid w:val="00E55E45"/>
    <w:rsid w:val="00E55F76"/>
    <w:rsid w:val="00E56BEE"/>
    <w:rsid w:val="00E571AB"/>
    <w:rsid w:val="00E571E1"/>
    <w:rsid w:val="00E573CE"/>
    <w:rsid w:val="00E5778D"/>
    <w:rsid w:val="00E57D76"/>
    <w:rsid w:val="00E600D4"/>
    <w:rsid w:val="00E60177"/>
    <w:rsid w:val="00E60408"/>
    <w:rsid w:val="00E60681"/>
    <w:rsid w:val="00E60881"/>
    <w:rsid w:val="00E61ACD"/>
    <w:rsid w:val="00E61C35"/>
    <w:rsid w:val="00E61F3B"/>
    <w:rsid w:val="00E62566"/>
    <w:rsid w:val="00E62849"/>
    <w:rsid w:val="00E636B2"/>
    <w:rsid w:val="00E64118"/>
    <w:rsid w:val="00E64691"/>
    <w:rsid w:val="00E6538E"/>
    <w:rsid w:val="00E656F9"/>
    <w:rsid w:val="00E65790"/>
    <w:rsid w:val="00E65828"/>
    <w:rsid w:val="00E65FB3"/>
    <w:rsid w:val="00E66354"/>
    <w:rsid w:val="00E666F4"/>
    <w:rsid w:val="00E66904"/>
    <w:rsid w:val="00E675C3"/>
    <w:rsid w:val="00E676D7"/>
    <w:rsid w:val="00E67EF9"/>
    <w:rsid w:val="00E70CB0"/>
    <w:rsid w:val="00E70D22"/>
    <w:rsid w:val="00E70FCA"/>
    <w:rsid w:val="00E712DB"/>
    <w:rsid w:val="00E7186D"/>
    <w:rsid w:val="00E726EF"/>
    <w:rsid w:val="00E72928"/>
    <w:rsid w:val="00E72F73"/>
    <w:rsid w:val="00E72FF9"/>
    <w:rsid w:val="00E73C89"/>
    <w:rsid w:val="00E73EDA"/>
    <w:rsid w:val="00E743DF"/>
    <w:rsid w:val="00E753FB"/>
    <w:rsid w:val="00E75C77"/>
    <w:rsid w:val="00E75F3A"/>
    <w:rsid w:val="00E76183"/>
    <w:rsid w:val="00E7620E"/>
    <w:rsid w:val="00E76A43"/>
    <w:rsid w:val="00E77542"/>
    <w:rsid w:val="00E80038"/>
    <w:rsid w:val="00E802A9"/>
    <w:rsid w:val="00E80A96"/>
    <w:rsid w:val="00E80B80"/>
    <w:rsid w:val="00E81125"/>
    <w:rsid w:val="00E81C6D"/>
    <w:rsid w:val="00E8261F"/>
    <w:rsid w:val="00E82B5E"/>
    <w:rsid w:val="00E82C06"/>
    <w:rsid w:val="00E82D3C"/>
    <w:rsid w:val="00E830D0"/>
    <w:rsid w:val="00E833E6"/>
    <w:rsid w:val="00E84248"/>
    <w:rsid w:val="00E844F2"/>
    <w:rsid w:val="00E84552"/>
    <w:rsid w:val="00E85110"/>
    <w:rsid w:val="00E851DA"/>
    <w:rsid w:val="00E852D4"/>
    <w:rsid w:val="00E85846"/>
    <w:rsid w:val="00E858FF"/>
    <w:rsid w:val="00E85917"/>
    <w:rsid w:val="00E86480"/>
    <w:rsid w:val="00E86AE8"/>
    <w:rsid w:val="00E872FC"/>
    <w:rsid w:val="00E87322"/>
    <w:rsid w:val="00E903B6"/>
    <w:rsid w:val="00E90689"/>
    <w:rsid w:val="00E912B8"/>
    <w:rsid w:val="00E9174A"/>
    <w:rsid w:val="00E91ADD"/>
    <w:rsid w:val="00E91F81"/>
    <w:rsid w:val="00E9263A"/>
    <w:rsid w:val="00E92A4A"/>
    <w:rsid w:val="00E938EB"/>
    <w:rsid w:val="00E939DD"/>
    <w:rsid w:val="00E944C4"/>
    <w:rsid w:val="00E9473D"/>
    <w:rsid w:val="00E948EE"/>
    <w:rsid w:val="00E94959"/>
    <w:rsid w:val="00E95460"/>
    <w:rsid w:val="00E955F0"/>
    <w:rsid w:val="00E95625"/>
    <w:rsid w:val="00E957A6"/>
    <w:rsid w:val="00E961EF"/>
    <w:rsid w:val="00E96B5E"/>
    <w:rsid w:val="00E96CD2"/>
    <w:rsid w:val="00E96D5B"/>
    <w:rsid w:val="00E97ACF"/>
    <w:rsid w:val="00E97B39"/>
    <w:rsid w:val="00E97D9D"/>
    <w:rsid w:val="00EA0131"/>
    <w:rsid w:val="00EA03F2"/>
    <w:rsid w:val="00EA0657"/>
    <w:rsid w:val="00EA065A"/>
    <w:rsid w:val="00EA07BC"/>
    <w:rsid w:val="00EA0B23"/>
    <w:rsid w:val="00EA0C0E"/>
    <w:rsid w:val="00EA0C21"/>
    <w:rsid w:val="00EA0FEE"/>
    <w:rsid w:val="00EA17F7"/>
    <w:rsid w:val="00EA2EAB"/>
    <w:rsid w:val="00EA324A"/>
    <w:rsid w:val="00EA3263"/>
    <w:rsid w:val="00EA3313"/>
    <w:rsid w:val="00EA3358"/>
    <w:rsid w:val="00EA33BE"/>
    <w:rsid w:val="00EA4200"/>
    <w:rsid w:val="00EA4BF9"/>
    <w:rsid w:val="00EA4C10"/>
    <w:rsid w:val="00EA50F8"/>
    <w:rsid w:val="00EA57A0"/>
    <w:rsid w:val="00EA624C"/>
    <w:rsid w:val="00EA6D7D"/>
    <w:rsid w:val="00EA6F39"/>
    <w:rsid w:val="00EA73C8"/>
    <w:rsid w:val="00EA740A"/>
    <w:rsid w:val="00EA7F3D"/>
    <w:rsid w:val="00EB0470"/>
    <w:rsid w:val="00EB0510"/>
    <w:rsid w:val="00EB05AA"/>
    <w:rsid w:val="00EB0626"/>
    <w:rsid w:val="00EB079C"/>
    <w:rsid w:val="00EB0FB9"/>
    <w:rsid w:val="00EB10BE"/>
    <w:rsid w:val="00EB176E"/>
    <w:rsid w:val="00EB205B"/>
    <w:rsid w:val="00EB2975"/>
    <w:rsid w:val="00EB2D6C"/>
    <w:rsid w:val="00EB3313"/>
    <w:rsid w:val="00EB3CA9"/>
    <w:rsid w:val="00EB3F93"/>
    <w:rsid w:val="00EB427F"/>
    <w:rsid w:val="00EB4687"/>
    <w:rsid w:val="00EB472A"/>
    <w:rsid w:val="00EB4C32"/>
    <w:rsid w:val="00EB52B9"/>
    <w:rsid w:val="00EB549B"/>
    <w:rsid w:val="00EB56F8"/>
    <w:rsid w:val="00EB5DF0"/>
    <w:rsid w:val="00EB6065"/>
    <w:rsid w:val="00EB643E"/>
    <w:rsid w:val="00EB655A"/>
    <w:rsid w:val="00EB6904"/>
    <w:rsid w:val="00EB69B6"/>
    <w:rsid w:val="00EB7467"/>
    <w:rsid w:val="00EC076C"/>
    <w:rsid w:val="00EC0D48"/>
    <w:rsid w:val="00EC0E74"/>
    <w:rsid w:val="00EC16D6"/>
    <w:rsid w:val="00EC35C0"/>
    <w:rsid w:val="00EC3BDA"/>
    <w:rsid w:val="00EC3BDC"/>
    <w:rsid w:val="00EC3E67"/>
    <w:rsid w:val="00EC4397"/>
    <w:rsid w:val="00EC471E"/>
    <w:rsid w:val="00EC4873"/>
    <w:rsid w:val="00EC4E22"/>
    <w:rsid w:val="00EC582D"/>
    <w:rsid w:val="00EC584F"/>
    <w:rsid w:val="00EC5FDA"/>
    <w:rsid w:val="00EC6CDA"/>
    <w:rsid w:val="00EC6DAD"/>
    <w:rsid w:val="00ED0048"/>
    <w:rsid w:val="00ED0084"/>
    <w:rsid w:val="00ED05A7"/>
    <w:rsid w:val="00ED06EC"/>
    <w:rsid w:val="00ED0D6F"/>
    <w:rsid w:val="00ED0FBA"/>
    <w:rsid w:val="00ED1374"/>
    <w:rsid w:val="00ED15A7"/>
    <w:rsid w:val="00ED1CCA"/>
    <w:rsid w:val="00ED202C"/>
    <w:rsid w:val="00ED2A40"/>
    <w:rsid w:val="00ED2BC1"/>
    <w:rsid w:val="00ED352D"/>
    <w:rsid w:val="00ED3E30"/>
    <w:rsid w:val="00ED3FEB"/>
    <w:rsid w:val="00ED43D9"/>
    <w:rsid w:val="00ED449A"/>
    <w:rsid w:val="00ED465A"/>
    <w:rsid w:val="00ED485B"/>
    <w:rsid w:val="00ED58C2"/>
    <w:rsid w:val="00ED5D47"/>
    <w:rsid w:val="00ED65E6"/>
    <w:rsid w:val="00ED675C"/>
    <w:rsid w:val="00ED6934"/>
    <w:rsid w:val="00ED6CD7"/>
    <w:rsid w:val="00ED73F5"/>
    <w:rsid w:val="00ED7467"/>
    <w:rsid w:val="00ED794E"/>
    <w:rsid w:val="00EE0233"/>
    <w:rsid w:val="00EE0640"/>
    <w:rsid w:val="00EE0A4D"/>
    <w:rsid w:val="00EE0C55"/>
    <w:rsid w:val="00EE0FB4"/>
    <w:rsid w:val="00EE13E7"/>
    <w:rsid w:val="00EE1400"/>
    <w:rsid w:val="00EE1575"/>
    <w:rsid w:val="00EE1F19"/>
    <w:rsid w:val="00EE2080"/>
    <w:rsid w:val="00EE218F"/>
    <w:rsid w:val="00EE26FF"/>
    <w:rsid w:val="00EE2DDD"/>
    <w:rsid w:val="00EE2EA5"/>
    <w:rsid w:val="00EE3442"/>
    <w:rsid w:val="00EE367C"/>
    <w:rsid w:val="00EE4579"/>
    <w:rsid w:val="00EE5979"/>
    <w:rsid w:val="00EE5B8B"/>
    <w:rsid w:val="00EE6A25"/>
    <w:rsid w:val="00EE7030"/>
    <w:rsid w:val="00EE75BA"/>
    <w:rsid w:val="00EF043C"/>
    <w:rsid w:val="00EF04EB"/>
    <w:rsid w:val="00EF06A8"/>
    <w:rsid w:val="00EF0B5E"/>
    <w:rsid w:val="00EF0BD6"/>
    <w:rsid w:val="00EF1110"/>
    <w:rsid w:val="00EF19F7"/>
    <w:rsid w:val="00EF1B49"/>
    <w:rsid w:val="00EF1F55"/>
    <w:rsid w:val="00EF1FC6"/>
    <w:rsid w:val="00EF2558"/>
    <w:rsid w:val="00EF3667"/>
    <w:rsid w:val="00EF3AD9"/>
    <w:rsid w:val="00EF3CB4"/>
    <w:rsid w:val="00EF4D83"/>
    <w:rsid w:val="00EF5AC7"/>
    <w:rsid w:val="00EF620B"/>
    <w:rsid w:val="00EF6661"/>
    <w:rsid w:val="00EF6B30"/>
    <w:rsid w:val="00EF6C26"/>
    <w:rsid w:val="00EF6D50"/>
    <w:rsid w:val="00EF71F7"/>
    <w:rsid w:val="00EF7226"/>
    <w:rsid w:val="00EF7344"/>
    <w:rsid w:val="00EF74C1"/>
    <w:rsid w:val="00EF78DD"/>
    <w:rsid w:val="00EF7C8E"/>
    <w:rsid w:val="00F0002E"/>
    <w:rsid w:val="00F000EC"/>
    <w:rsid w:val="00F0032B"/>
    <w:rsid w:val="00F0033B"/>
    <w:rsid w:val="00F00864"/>
    <w:rsid w:val="00F016F3"/>
    <w:rsid w:val="00F019A4"/>
    <w:rsid w:val="00F02539"/>
    <w:rsid w:val="00F02A38"/>
    <w:rsid w:val="00F03485"/>
    <w:rsid w:val="00F0355C"/>
    <w:rsid w:val="00F03744"/>
    <w:rsid w:val="00F046A7"/>
    <w:rsid w:val="00F04764"/>
    <w:rsid w:val="00F047F7"/>
    <w:rsid w:val="00F04C04"/>
    <w:rsid w:val="00F04ED2"/>
    <w:rsid w:val="00F052CF"/>
    <w:rsid w:val="00F05537"/>
    <w:rsid w:val="00F05803"/>
    <w:rsid w:val="00F06066"/>
    <w:rsid w:val="00F060DE"/>
    <w:rsid w:val="00F066F5"/>
    <w:rsid w:val="00F06B01"/>
    <w:rsid w:val="00F06B66"/>
    <w:rsid w:val="00F06D27"/>
    <w:rsid w:val="00F0739A"/>
    <w:rsid w:val="00F0746F"/>
    <w:rsid w:val="00F076B6"/>
    <w:rsid w:val="00F10162"/>
    <w:rsid w:val="00F108FF"/>
    <w:rsid w:val="00F11302"/>
    <w:rsid w:val="00F113DC"/>
    <w:rsid w:val="00F11C7B"/>
    <w:rsid w:val="00F120D8"/>
    <w:rsid w:val="00F12607"/>
    <w:rsid w:val="00F128F3"/>
    <w:rsid w:val="00F1295B"/>
    <w:rsid w:val="00F12ABD"/>
    <w:rsid w:val="00F12C09"/>
    <w:rsid w:val="00F12E27"/>
    <w:rsid w:val="00F13168"/>
    <w:rsid w:val="00F13241"/>
    <w:rsid w:val="00F13457"/>
    <w:rsid w:val="00F13B1F"/>
    <w:rsid w:val="00F1442C"/>
    <w:rsid w:val="00F14549"/>
    <w:rsid w:val="00F14CEA"/>
    <w:rsid w:val="00F14F61"/>
    <w:rsid w:val="00F14FAD"/>
    <w:rsid w:val="00F15019"/>
    <w:rsid w:val="00F1543F"/>
    <w:rsid w:val="00F15570"/>
    <w:rsid w:val="00F15688"/>
    <w:rsid w:val="00F166CB"/>
    <w:rsid w:val="00F168CE"/>
    <w:rsid w:val="00F170B6"/>
    <w:rsid w:val="00F1711F"/>
    <w:rsid w:val="00F177D2"/>
    <w:rsid w:val="00F17968"/>
    <w:rsid w:val="00F179A5"/>
    <w:rsid w:val="00F221D3"/>
    <w:rsid w:val="00F24A7D"/>
    <w:rsid w:val="00F25158"/>
    <w:rsid w:val="00F2577A"/>
    <w:rsid w:val="00F257FB"/>
    <w:rsid w:val="00F25810"/>
    <w:rsid w:val="00F25A35"/>
    <w:rsid w:val="00F25D41"/>
    <w:rsid w:val="00F264CB"/>
    <w:rsid w:val="00F26B78"/>
    <w:rsid w:val="00F26C22"/>
    <w:rsid w:val="00F27471"/>
    <w:rsid w:val="00F30727"/>
    <w:rsid w:val="00F30947"/>
    <w:rsid w:val="00F30A94"/>
    <w:rsid w:val="00F31181"/>
    <w:rsid w:val="00F32406"/>
    <w:rsid w:val="00F327E2"/>
    <w:rsid w:val="00F32882"/>
    <w:rsid w:val="00F32A16"/>
    <w:rsid w:val="00F33752"/>
    <w:rsid w:val="00F33CCD"/>
    <w:rsid w:val="00F33E03"/>
    <w:rsid w:val="00F348FF"/>
    <w:rsid w:val="00F350FC"/>
    <w:rsid w:val="00F353E9"/>
    <w:rsid w:val="00F3569E"/>
    <w:rsid w:val="00F35A4A"/>
    <w:rsid w:val="00F3624D"/>
    <w:rsid w:val="00F36C63"/>
    <w:rsid w:val="00F36EB3"/>
    <w:rsid w:val="00F37C27"/>
    <w:rsid w:val="00F40368"/>
    <w:rsid w:val="00F40431"/>
    <w:rsid w:val="00F40901"/>
    <w:rsid w:val="00F409C9"/>
    <w:rsid w:val="00F41582"/>
    <w:rsid w:val="00F41786"/>
    <w:rsid w:val="00F418DC"/>
    <w:rsid w:val="00F41E43"/>
    <w:rsid w:val="00F41F78"/>
    <w:rsid w:val="00F421E6"/>
    <w:rsid w:val="00F42392"/>
    <w:rsid w:val="00F4298A"/>
    <w:rsid w:val="00F42E76"/>
    <w:rsid w:val="00F42FC2"/>
    <w:rsid w:val="00F44529"/>
    <w:rsid w:val="00F44707"/>
    <w:rsid w:val="00F44B05"/>
    <w:rsid w:val="00F45165"/>
    <w:rsid w:val="00F45231"/>
    <w:rsid w:val="00F4563D"/>
    <w:rsid w:val="00F45647"/>
    <w:rsid w:val="00F4668F"/>
    <w:rsid w:val="00F46A82"/>
    <w:rsid w:val="00F503B1"/>
    <w:rsid w:val="00F50A0E"/>
    <w:rsid w:val="00F50F36"/>
    <w:rsid w:val="00F51011"/>
    <w:rsid w:val="00F51584"/>
    <w:rsid w:val="00F51B9D"/>
    <w:rsid w:val="00F5213D"/>
    <w:rsid w:val="00F52A07"/>
    <w:rsid w:val="00F52B3E"/>
    <w:rsid w:val="00F52DD9"/>
    <w:rsid w:val="00F53189"/>
    <w:rsid w:val="00F538FB"/>
    <w:rsid w:val="00F540C3"/>
    <w:rsid w:val="00F540D4"/>
    <w:rsid w:val="00F54192"/>
    <w:rsid w:val="00F55573"/>
    <w:rsid w:val="00F555AF"/>
    <w:rsid w:val="00F55A1E"/>
    <w:rsid w:val="00F55BBC"/>
    <w:rsid w:val="00F55F6A"/>
    <w:rsid w:val="00F562E9"/>
    <w:rsid w:val="00F56C22"/>
    <w:rsid w:val="00F56E13"/>
    <w:rsid w:val="00F5736D"/>
    <w:rsid w:val="00F608D5"/>
    <w:rsid w:val="00F608F0"/>
    <w:rsid w:val="00F60F77"/>
    <w:rsid w:val="00F61139"/>
    <w:rsid w:val="00F614C0"/>
    <w:rsid w:val="00F61A55"/>
    <w:rsid w:val="00F61B6B"/>
    <w:rsid w:val="00F61D5E"/>
    <w:rsid w:val="00F61E34"/>
    <w:rsid w:val="00F62038"/>
    <w:rsid w:val="00F62588"/>
    <w:rsid w:val="00F62C57"/>
    <w:rsid w:val="00F62DA9"/>
    <w:rsid w:val="00F6430C"/>
    <w:rsid w:val="00F6449D"/>
    <w:rsid w:val="00F64C16"/>
    <w:rsid w:val="00F65523"/>
    <w:rsid w:val="00F65526"/>
    <w:rsid w:val="00F65E12"/>
    <w:rsid w:val="00F65FA1"/>
    <w:rsid w:val="00F66E8E"/>
    <w:rsid w:val="00F66EEB"/>
    <w:rsid w:val="00F670F3"/>
    <w:rsid w:val="00F6729E"/>
    <w:rsid w:val="00F672F8"/>
    <w:rsid w:val="00F6740E"/>
    <w:rsid w:val="00F6748C"/>
    <w:rsid w:val="00F67931"/>
    <w:rsid w:val="00F700D8"/>
    <w:rsid w:val="00F7013F"/>
    <w:rsid w:val="00F701C2"/>
    <w:rsid w:val="00F70613"/>
    <w:rsid w:val="00F71D09"/>
    <w:rsid w:val="00F729F6"/>
    <w:rsid w:val="00F73549"/>
    <w:rsid w:val="00F73EE1"/>
    <w:rsid w:val="00F7402A"/>
    <w:rsid w:val="00F74078"/>
    <w:rsid w:val="00F7425B"/>
    <w:rsid w:val="00F747FF"/>
    <w:rsid w:val="00F74EB2"/>
    <w:rsid w:val="00F74F69"/>
    <w:rsid w:val="00F75CD0"/>
    <w:rsid w:val="00F76380"/>
    <w:rsid w:val="00F7740E"/>
    <w:rsid w:val="00F77BA2"/>
    <w:rsid w:val="00F80141"/>
    <w:rsid w:val="00F806D7"/>
    <w:rsid w:val="00F80C1E"/>
    <w:rsid w:val="00F813BB"/>
    <w:rsid w:val="00F815B0"/>
    <w:rsid w:val="00F815F5"/>
    <w:rsid w:val="00F81B39"/>
    <w:rsid w:val="00F82A52"/>
    <w:rsid w:val="00F82C84"/>
    <w:rsid w:val="00F83544"/>
    <w:rsid w:val="00F841CB"/>
    <w:rsid w:val="00F845BA"/>
    <w:rsid w:val="00F848B8"/>
    <w:rsid w:val="00F85C55"/>
    <w:rsid w:val="00F85CAB"/>
    <w:rsid w:val="00F85D99"/>
    <w:rsid w:val="00F86337"/>
    <w:rsid w:val="00F863AC"/>
    <w:rsid w:val="00F866AF"/>
    <w:rsid w:val="00F867B1"/>
    <w:rsid w:val="00F86D28"/>
    <w:rsid w:val="00F86DD4"/>
    <w:rsid w:val="00F86FA6"/>
    <w:rsid w:val="00F86FDB"/>
    <w:rsid w:val="00F87445"/>
    <w:rsid w:val="00F87894"/>
    <w:rsid w:val="00F9019D"/>
    <w:rsid w:val="00F903B3"/>
    <w:rsid w:val="00F9075B"/>
    <w:rsid w:val="00F90A03"/>
    <w:rsid w:val="00F91A99"/>
    <w:rsid w:val="00F91E69"/>
    <w:rsid w:val="00F91FA6"/>
    <w:rsid w:val="00F92F36"/>
    <w:rsid w:val="00F93049"/>
    <w:rsid w:val="00F9384D"/>
    <w:rsid w:val="00F93946"/>
    <w:rsid w:val="00F93AD8"/>
    <w:rsid w:val="00F93AF3"/>
    <w:rsid w:val="00F94212"/>
    <w:rsid w:val="00F94EB1"/>
    <w:rsid w:val="00F95598"/>
    <w:rsid w:val="00F957F5"/>
    <w:rsid w:val="00F95CC0"/>
    <w:rsid w:val="00F9680F"/>
    <w:rsid w:val="00F9687D"/>
    <w:rsid w:val="00F96887"/>
    <w:rsid w:val="00F96E24"/>
    <w:rsid w:val="00F971EC"/>
    <w:rsid w:val="00F97BD9"/>
    <w:rsid w:val="00F97C1B"/>
    <w:rsid w:val="00F97D7C"/>
    <w:rsid w:val="00FA05EC"/>
    <w:rsid w:val="00FA1573"/>
    <w:rsid w:val="00FA19ED"/>
    <w:rsid w:val="00FA1E7B"/>
    <w:rsid w:val="00FA22C4"/>
    <w:rsid w:val="00FA2329"/>
    <w:rsid w:val="00FA4647"/>
    <w:rsid w:val="00FA47DD"/>
    <w:rsid w:val="00FA480D"/>
    <w:rsid w:val="00FA5639"/>
    <w:rsid w:val="00FA6219"/>
    <w:rsid w:val="00FA6407"/>
    <w:rsid w:val="00FA6D7E"/>
    <w:rsid w:val="00FA79C7"/>
    <w:rsid w:val="00FA7A83"/>
    <w:rsid w:val="00FA7C3E"/>
    <w:rsid w:val="00FB00FF"/>
    <w:rsid w:val="00FB02B6"/>
    <w:rsid w:val="00FB0B4B"/>
    <w:rsid w:val="00FB130B"/>
    <w:rsid w:val="00FB18C2"/>
    <w:rsid w:val="00FB1AF7"/>
    <w:rsid w:val="00FB1F10"/>
    <w:rsid w:val="00FB21BB"/>
    <w:rsid w:val="00FB277F"/>
    <w:rsid w:val="00FB2E75"/>
    <w:rsid w:val="00FB4067"/>
    <w:rsid w:val="00FB4109"/>
    <w:rsid w:val="00FB416E"/>
    <w:rsid w:val="00FB4A97"/>
    <w:rsid w:val="00FB4B0D"/>
    <w:rsid w:val="00FB4F35"/>
    <w:rsid w:val="00FB547A"/>
    <w:rsid w:val="00FB5822"/>
    <w:rsid w:val="00FB6721"/>
    <w:rsid w:val="00FB6B8C"/>
    <w:rsid w:val="00FB74C2"/>
    <w:rsid w:val="00FB7615"/>
    <w:rsid w:val="00FB7825"/>
    <w:rsid w:val="00FB7A9D"/>
    <w:rsid w:val="00FC0079"/>
    <w:rsid w:val="00FC070F"/>
    <w:rsid w:val="00FC0AE5"/>
    <w:rsid w:val="00FC0CB7"/>
    <w:rsid w:val="00FC10D3"/>
    <w:rsid w:val="00FC1264"/>
    <w:rsid w:val="00FC134C"/>
    <w:rsid w:val="00FC259D"/>
    <w:rsid w:val="00FC2950"/>
    <w:rsid w:val="00FC4FDF"/>
    <w:rsid w:val="00FC5239"/>
    <w:rsid w:val="00FC534F"/>
    <w:rsid w:val="00FC5977"/>
    <w:rsid w:val="00FC62D9"/>
    <w:rsid w:val="00FC6693"/>
    <w:rsid w:val="00FC6AA1"/>
    <w:rsid w:val="00FC74F9"/>
    <w:rsid w:val="00FC7ABA"/>
    <w:rsid w:val="00FD0193"/>
    <w:rsid w:val="00FD02E0"/>
    <w:rsid w:val="00FD02E4"/>
    <w:rsid w:val="00FD0327"/>
    <w:rsid w:val="00FD048E"/>
    <w:rsid w:val="00FD08EC"/>
    <w:rsid w:val="00FD0AD7"/>
    <w:rsid w:val="00FD0F66"/>
    <w:rsid w:val="00FD1319"/>
    <w:rsid w:val="00FD1D9E"/>
    <w:rsid w:val="00FD1FA3"/>
    <w:rsid w:val="00FD215A"/>
    <w:rsid w:val="00FD24ED"/>
    <w:rsid w:val="00FD28F9"/>
    <w:rsid w:val="00FD2DD5"/>
    <w:rsid w:val="00FD3202"/>
    <w:rsid w:val="00FD38E0"/>
    <w:rsid w:val="00FD3F53"/>
    <w:rsid w:val="00FD3F8C"/>
    <w:rsid w:val="00FD4203"/>
    <w:rsid w:val="00FD468E"/>
    <w:rsid w:val="00FD4FC1"/>
    <w:rsid w:val="00FD507B"/>
    <w:rsid w:val="00FD5358"/>
    <w:rsid w:val="00FD5591"/>
    <w:rsid w:val="00FD6535"/>
    <w:rsid w:val="00FD6547"/>
    <w:rsid w:val="00FD660A"/>
    <w:rsid w:val="00FD694F"/>
    <w:rsid w:val="00FD6963"/>
    <w:rsid w:val="00FD7A1F"/>
    <w:rsid w:val="00FD7D49"/>
    <w:rsid w:val="00FD7E23"/>
    <w:rsid w:val="00FE0193"/>
    <w:rsid w:val="00FE027E"/>
    <w:rsid w:val="00FE0525"/>
    <w:rsid w:val="00FE08C0"/>
    <w:rsid w:val="00FE0C98"/>
    <w:rsid w:val="00FE1E9A"/>
    <w:rsid w:val="00FE2142"/>
    <w:rsid w:val="00FE24AE"/>
    <w:rsid w:val="00FE323A"/>
    <w:rsid w:val="00FE333D"/>
    <w:rsid w:val="00FE36E9"/>
    <w:rsid w:val="00FE3A25"/>
    <w:rsid w:val="00FE462C"/>
    <w:rsid w:val="00FE4870"/>
    <w:rsid w:val="00FE52C9"/>
    <w:rsid w:val="00FE5A68"/>
    <w:rsid w:val="00FE5EAC"/>
    <w:rsid w:val="00FE5F69"/>
    <w:rsid w:val="00FE6B21"/>
    <w:rsid w:val="00FE71A7"/>
    <w:rsid w:val="00FE71C5"/>
    <w:rsid w:val="00FE72FB"/>
    <w:rsid w:val="00FE7874"/>
    <w:rsid w:val="00FE7EF8"/>
    <w:rsid w:val="00FF0170"/>
    <w:rsid w:val="00FF0BA5"/>
    <w:rsid w:val="00FF0D49"/>
    <w:rsid w:val="00FF15A5"/>
    <w:rsid w:val="00FF1718"/>
    <w:rsid w:val="00FF1F33"/>
    <w:rsid w:val="00FF211D"/>
    <w:rsid w:val="00FF21A1"/>
    <w:rsid w:val="00FF26B6"/>
    <w:rsid w:val="00FF27DB"/>
    <w:rsid w:val="00FF284B"/>
    <w:rsid w:val="00FF2892"/>
    <w:rsid w:val="00FF351F"/>
    <w:rsid w:val="00FF36EC"/>
    <w:rsid w:val="00FF3E57"/>
    <w:rsid w:val="00FF4961"/>
    <w:rsid w:val="00FF4E9E"/>
    <w:rsid w:val="00FF51C6"/>
    <w:rsid w:val="00FF5214"/>
    <w:rsid w:val="00FF6006"/>
    <w:rsid w:val="00FF6076"/>
    <w:rsid w:val="00FF676A"/>
    <w:rsid w:val="00FF687E"/>
    <w:rsid w:val="00FF6CD1"/>
    <w:rsid w:val="00FF6D97"/>
    <w:rsid w:val="00FF737D"/>
    <w:rsid w:val="00FF7468"/>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6C5072"/>
  <w15:chartTrackingRefBased/>
  <w15:docId w15:val="{565F9521-89C3-47C5-A90E-CF7EFDC36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360" w:lineRule="auto"/>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935F1"/>
    <w:pPr>
      <w:jc w:val="both"/>
    </w:pPr>
    <w:rPr>
      <w:rFonts w:ascii="Times New Roman" w:hAnsi="Times New Roman"/>
      <w:sz w:val="24"/>
    </w:rPr>
  </w:style>
  <w:style w:type="paragraph" w:styleId="Kop1">
    <w:name w:val="heading 1"/>
    <w:basedOn w:val="Standaard"/>
    <w:next w:val="Standaard"/>
    <w:link w:val="Kop1Char"/>
    <w:uiPriority w:val="9"/>
    <w:qFormat/>
    <w:rsid w:val="002325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B06EF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F9680F"/>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724BEA"/>
    <w:pPr>
      <w:spacing w:after="0" w:line="240" w:lineRule="auto"/>
      <w:jc w:val="left"/>
    </w:pPr>
    <w:rPr>
      <w:rFonts w:eastAsiaTheme="minorEastAsia"/>
      <w:lang w:eastAsia="nl-NL"/>
    </w:rPr>
  </w:style>
  <w:style w:type="character" w:customStyle="1" w:styleId="GeenafstandChar">
    <w:name w:val="Geen afstand Char"/>
    <w:basedOn w:val="Standaardalinea-lettertype"/>
    <w:link w:val="Geenafstand"/>
    <w:uiPriority w:val="1"/>
    <w:rsid w:val="00724BEA"/>
    <w:rPr>
      <w:rFonts w:eastAsiaTheme="minorEastAsia"/>
      <w:lang w:eastAsia="nl-NL"/>
    </w:rPr>
  </w:style>
  <w:style w:type="character" w:customStyle="1" w:styleId="Kop1Char">
    <w:name w:val="Kop 1 Char"/>
    <w:basedOn w:val="Standaardalinea-lettertype"/>
    <w:link w:val="Kop1"/>
    <w:uiPriority w:val="9"/>
    <w:rsid w:val="0023257D"/>
    <w:rPr>
      <w:rFonts w:asciiTheme="majorHAnsi" w:eastAsiaTheme="majorEastAsia" w:hAnsiTheme="majorHAnsi" w:cstheme="majorBidi"/>
      <w:color w:val="2F5496" w:themeColor="accent1" w:themeShade="BF"/>
      <w:sz w:val="32"/>
      <w:szCs w:val="32"/>
    </w:rPr>
  </w:style>
  <w:style w:type="paragraph" w:styleId="Koptekst">
    <w:name w:val="header"/>
    <w:basedOn w:val="Standaard"/>
    <w:link w:val="KoptekstChar"/>
    <w:uiPriority w:val="99"/>
    <w:unhideWhenUsed/>
    <w:rsid w:val="00F3288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32882"/>
    <w:rPr>
      <w:rFonts w:ascii="Times New Roman" w:hAnsi="Times New Roman"/>
      <w:sz w:val="24"/>
    </w:rPr>
  </w:style>
  <w:style w:type="paragraph" w:styleId="Voettekst">
    <w:name w:val="footer"/>
    <w:basedOn w:val="Standaard"/>
    <w:link w:val="VoettekstChar"/>
    <w:uiPriority w:val="99"/>
    <w:unhideWhenUsed/>
    <w:rsid w:val="00F3288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32882"/>
    <w:rPr>
      <w:rFonts w:ascii="Times New Roman" w:hAnsi="Times New Roman"/>
      <w:sz w:val="24"/>
    </w:rPr>
  </w:style>
  <w:style w:type="paragraph" w:styleId="Kopvaninhoudsopgave">
    <w:name w:val="TOC Heading"/>
    <w:basedOn w:val="Kop1"/>
    <w:next w:val="Standaard"/>
    <w:uiPriority w:val="39"/>
    <w:unhideWhenUsed/>
    <w:qFormat/>
    <w:rsid w:val="000B1072"/>
    <w:pPr>
      <w:spacing w:line="259" w:lineRule="auto"/>
      <w:jc w:val="left"/>
      <w:outlineLvl w:val="9"/>
    </w:pPr>
    <w:rPr>
      <w:lang w:eastAsia="nl-NL"/>
    </w:rPr>
  </w:style>
  <w:style w:type="paragraph" w:styleId="Inhopg1">
    <w:name w:val="toc 1"/>
    <w:basedOn w:val="Standaard"/>
    <w:next w:val="Standaard"/>
    <w:autoRedefine/>
    <w:uiPriority w:val="39"/>
    <w:unhideWhenUsed/>
    <w:rsid w:val="000B1072"/>
    <w:pPr>
      <w:spacing w:after="100"/>
    </w:pPr>
  </w:style>
  <w:style w:type="character" w:styleId="Hyperlink">
    <w:name w:val="Hyperlink"/>
    <w:basedOn w:val="Standaardalinea-lettertype"/>
    <w:uiPriority w:val="99"/>
    <w:unhideWhenUsed/>
    <w:rsid w:val="000B1072"/>
    <w:rPr>
      <w:color w:val="0563C1" w:themeColor="hyperlink"/>
      <w:u w:val="single"/>
    </w:rPr>
  </w:style>
  <w:style w:type="character" w:styleId="Verwijzingopmerking">
    <w:name w:val="annotation reference"/>
    <w:basedOn w:val="Standaardalinea-lettertype"/>
    <w:uiPriority w:val="99"/>
    <w:semiHidden/>
    <w:unhideWhenUsed/>
    <w:rsid w:val="00B06EF3"/>
    <w:rPr>
      <w:sz w:val="16"/>
      <w:szCs w:val="16"/>
    </w:rPr>
  </w:style>
  <w:style w:type="paragraph" w:styleId="Tekstopmerking">
    <w:name w:val="annotation text"/>
    <w:basedOn w:val="Standaard"/>
    <w:link w:val="TekstopmerkingChar"/>
    <w:uiPriority w:val="99"/>
    <w:unhideWhenUsed/>
    <w:rsid w:val="00B06EF3"/>
    <w:pPr>
      <w:spacing w:line="240" w:lineRule="auto"/>
    </w:pPr>
    <w:rPr>
      <w:sz w:val="20"/>
      <w:szCs w:val="20"/>
    </w:rPr>
  </w:style>
  <w:style w:type="character" w:customStyle="1" w:styleId="TekstopmerkingChar">
    <w:name w:val="Tekst opmerking Char"/>
    <w:basedOn w:val="Standaardalinea-lettertype"/>
    <w:link w:val="Tekstopmerking"/>
    <w:uiPriority w:val="99"/>
    <w:rsid w:val="00B06EF3"/>
    <w:rPr>
      <w:rFonts w:ascii="Times New Roman" w:hAnsi="Times New Roman"/>
      <w:sz w:val="20"/>
      <w:szCs w:val="20"/>
    </w:rPr>
  </w:style>
  <w:style w:type="character" w:customStyle="1" w:styleId="Kop2Char">
    <w:name w:val="Kop 2 Char"/>
    <w:basedOn w:val="Standaardalinea-lettertype"/>
    <w:link w:val="Kop2"/>
    <w:uiPriority w:val="9"/>
    <w:rsid w:val="00B06EF3"/>
    <w:rPr>
      <w:rFonts w:asciiTheme="majorHAnsi" w:eastAsiaTheme="majorEastAsia" w:hAnsiTheme="majorHAnsi" w:cstheme="majorBidi"/>
      <w:color w:val="2F5496" w:themeColor="accent1" w:themeShade="BF"/>
      <w:sz w:val="26"/>
      <w:szCs w:val="26"/>
    </w:rPr>
  </w:style>
  <w:style w:type="paragraph" w:styleId="Lijstalinea">
    <w:name w:val="List Paragraph"/>
    <w:basedOn w:val="Standaard"/>
    <w:uiPriority w:val="34"/>
    <w:qFormat/>
    <w:rsid w:val="00ED0D6F"/>
    <w:pPr>
      <w:ind w:left="720"/>
      <w:contextualSpacing/>
    </w:pPr>
  </w:style>
  <w:style w:type="paragraph" w:styleId="Inhopg2">
    <w:name w:val="toc 2"/>
    <w:basedOn w:val="Standaard"/>
    <w:next w:val="Standaard"/>
    <w:autoRedefine/>
    <w:uiPriority w:val="39"/>
    <w:unhideWhenUsed/>
    <w:rsid w:val="00B61DF4"/>
    <w:pPr>
      <w:spacing w:after="100"/>
      <w:ind w:left="240"/>
    </w:pPr>
  </w:style>
  <w:style w:type="paragraph" w:styleId="Voetnoottekst">
    <w:name w:val="footnote text"/>
    <w:basedOn w:val="Standaard"/>
    <w:link w:val="VoetnoottekstChar"/>
    <w:uiPriority w:val="99"/>
    <w:semiHidden/>
    <w:unhideWhenUsed/>
    <w:rsid w:val="009C14A6"/>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9C14A6"/>
    <w:rPr>
      <w:rFonts w:ascii="Times New Roman" w:hAnsi="Times New Roman"/>
      <w:sz w:val="20"/>
      <w:szCs w:val="20"/>
    </w:rPr>
  </w:style>
  <w:style w:type="character" w:styleId="Voetnootmarkering">
    <w:name w:val="footnote reference"/>
    <w:basedOn w:val="Standaardalinea-lettertype"/>
    <w:uiPriority w:val="99"/>
    <w:semiHidden/>
    <w:unhideWhenUsed/>
    <w:rsid w:val="009C14A6"/>
    <w:rPr>
      <w:vertAlign w:val="superscript"/>
    </w:rPr>
  </w:style>
  <w:style w:type="character" w:styleId="Onopgelostemelding">
    <w:name w:val="Unresolved Mention"/>
    <w:basedOn w:val="Standaardalinea-lettertype"/>
    <w:uiPriority w:val="99"/>
    <w:semiHidden/>
    <w:unhideWhenUsed/>
    <w:rsid w:val="00ED1374"/>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D76F02"/>
    <w:rPr>
      <w:b/>
      <w:bCs/>
    </w:rPr>
  </w:style>
  <w:style w:type="character" w:customStyle="1" w:styleId="OnderwerpvanopmerkingChar">
    <w:name w:val="Onderwerp van opmerking Char"/>
    <w:basedOn w:val="TekstopmerkingChar"/>
    <w:link w:val="Onderwerpvanopmerking"/>
    <w:uiPriority w:val="99"/>
    <w:semiHidden/>
    <w:rsid w:val="00D76F02"/>
    <w:rPr>
      <w:rFonts w:ascii="Times New Roman" w:hAnsi="Times New Roman"/>
      <w:b/>
      <w:bCs/>
      <w:sz w:val="20"/>
      <w:szCs w:val="20"/>
    </w:rPr>
  </w:style>
  <w:style w:type="character" w:styleId="GevolgdeHyperlink">
    <w:name w:val="FollowedHyperlink"/>
    <w:basedOn w:val="Standaardalinea-lettertype"/>
    <w:uiPriority w:val="99"/>
    <w:semiHidden/>
    <w:unhideWhenUsed/>
    <w:rsid w:val="0035722F"/>
    <w:rPr>
      <w:color w:val="954F72" w:themeColor="followedHyperlink"/>
      <w:u w:val="single"/>
    </w:rPr>
  </w:style>
  <w:style w:type="paragraph" w:styleId="Revisie">
    <w:name w:val="Revision"/>
    <w:hidden/>
    <w:uiPriority w:val="99"/>
    <w:semiHidden/>
    <w:rsid w:val="00ED06EC"/>
    <w:pPr>
      <w:spacing w:after="0" w:line="240" w:lineRule="auto"/>
      <w:jc w:val="left"/>
    </w:pPr>
    <w:rPr>
      <w:rFonts w:ascii="Times New Roman" w:hAnsi="Times New Roman"/>
      <w:sz w:val="24"/>
    </w:rPr>
  </w:style>
  <w:style w:type="numbering" w:customStyle="1" w:styleId="Geenlijst1">
    <w:name w:val="Geen lijst1"/>
    <w:next w:val="Geenlijst"/>
    <w:uiPriority w:val="99"/>
    <w:semiHidden/>
    <w:unhideWhenUsed/>
    <w:rsid w:val="00D11BEF"/>
  </w:style>
  <w:style w:type="table" w:styleId="Tabelraster">
    <w:name w:val="Table Grid"/>
    <w:basedOn w:val="Standaardtabel"/>
    <w:uiPriority w:val="39"/>
    <w:rsid w:val="00D11BEF"/>
    <w:pPr>
      <w:spacing w:after="0" w:line="240" w:lineRule="auto"/>
      <w:jc w:val="left"/>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rasterlicht">
    <w:name w:val="Grid Table Light"/>
    <w:basedOn w:val="Standaardtabel"/>
    <w:uiPriority w:val="40"/>
    <w:rsid w:val="00D11BEF"/>
    <w:pPr>
      <w:spacing w:after="0" w:line="240" w:lineRule="auto"/>
      <w:jc w:val="left"/>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nopgemaaktetabel2">
    <w:name w:val="Plain Table 2"/>
    <w:basedOn w:val="Standaardtabel"/>
    <w:uiPriority w:val="42"/>
    <w:rsid w:val="00D11BEF"/>
    <w:pPr>
      <w:spacing w:after="0" w:line="240" w:lineRule="auto"/>
      <w:jc w:val="left"/>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nopgemaaktetabel3">
    <w:name w:val="Plain Table 3"/>
    <w:basedOn w:val="Standaardtabel"/>
    <w:uiPriority w:val="43"/>
    <w:rsid w:val="00D11BEF"/>
    <w:pPr>
      <w:spacing w:after="0" w:line="240" w:lineRule="auto"/>
      <w:jc w:val="left"/>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nopgemaaktetabel4">
    <w:name w:val="Plain Table 4"/>
    <w:basedOn w:val="Standaardtabel"/>
    <w:uiPriority w:val="44"/>
    <w:rsid w:val="00D11BEF"/>
    <w:pPr>
      <w:spacing w:after="0" w:line="240" w:lineRule="auto"/>
      <w:jc w:val="left"/>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Kop3Char">
    <w:name w:val="Kop 3 Char"/>
    <w:basedOn w:val="Standaardalinea-lettertype"/>
    <w:link w:val="Kop3"/>
    <w:uiPriority w:val="9"/>
    <w:rsid w:val="00F9680F"/>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208164">
      <w:bodyDiv w:val="1"/>
      <w:marLeft w:val="0"/>
      <w:marRight w:val="0"/>
      <w:marTop w:val="0"/>
      <w:marBottom w:val="0"/>
      <w:divBdr>
        <w:top w:val="none" w:sz="0" w:space="0" w:color="auto"/>
        <w:left w:val="none" w:sz="0" w:space="0" w:color="auto"/>
        <w:bottom w:val="none" w:sz="0" w:space="0" w:color="auto"/>
        <w:right w:val="none" w:sz="0" w:space="0" w:color="auto"/>
      </w:divBdr>
    </w:div>
    <w:div w:id="1347947095">
      <w:bodyDiv w:val="1"/>
      <w:marLeft w:val="0"/>
      <w:marRight w:val="0"/>
      <w:marTop w:val="0"/>
      <w:marBottom w:val="0"/>
      <w:divBdr>
        <w:top w:val="none" w:sz="0" w:space="0" w:color="auto"/>
        <w:left w:val="none" w:sz="0" w:space="0" w:color="auto"/>
        <w:bottom w:val="none" w:sz="0" w:space="0" w:color="auto"/>
        <w:right w:val="none" w:sz="0" w:space="0" w:color="auto"/>
      </w:divBdr>
      <w:divsChild>
        <w:div w:id="2011907342">
          <w:marLeft w:val="0"/>
          <w:marRight w:val="0"/>
          <w:marTop w:val="0"/>
          <w:marBottom w:val="0"/>
          <w:divBdr>
            <w:top w:val="none" w:sz="0" w:space="0" w:color="auto"/>
            <w:left w:val="none" w:sz="0" w:space="0" w:color="auto"/>
            <w:bottom w:val="none" w:sz="0" w:space="0" w:color="auto"/>
            <w:right w:val="none" w:sz="0" w:space="0" w:color="auto"/>
          </w:divBdr>
        </w:div>
      </w:divsChild>
    </w:div>
    <w:div w:id="2073499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oter" Target="footer2.xml"/><Relationship Id="rId26" Type="http://schemas.openxmlformats.org/officeDocument/2006/relationships/hyperlink" Target="https://doi.org/10.1057/s41309-020-00092-y" TargetMode="External"/><Relationship Id="rId39"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s://www.cbs.nl/nl-nl/onze-diensten/methoden/classificaties/overig/gemeentelijke-indelingen-per-jaar" TargetMode="External"/><Relationship Id="rId34" Type="http://schemas.openxmlformats.org/officeDocument/2006/relationships/diagramQuickStyle" Target="diagrams/quickStyl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yperlink" Target="https://doi.org/10.1080/13597560802351564" TargetMode="External"/><Relationship Id="rId33" Type="http://schemas.openxmlformats.org/officeDocument/2006/relationships/diagramLayout" Target="diagrams/layout1.xml"/><Relationship Id="rId38"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doi.org/10.1080/03003930.2014.930024" TargetMode="External"/><Relationship Id="rId29" Type="http://schemas.openxmlformats.org/officeDocument/2006/relationships/hyperlink" Target="https://vng.nl/nieuws/vng-stelt-nieuwe-europavisie-en-strategie-vas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1080/13501760500160292" TargetMode="External"/><Relationship Id="rId32" Type="http://schemas.openxmlformats.org/officeDocument/2006/relationships/diagramData" Target="diagrams/data1.xml"/><Relationship Id="rId37" Type="http://schemas.openxmlformats.org/officeDocument/2006/relationships/footer" Target="footer3.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doi.org/10.1080/03003930.2022.2105840" TargetMode="External"/><Relationship Id="rId28" Type="http://schemas.openxmlformats.org/officeDocument/2006/relationships/hyperlink" Target="http://eiop.or.at/eiop/texte/2000-008a.htm" TargetMode="External"/><Relationship Id="rId36" Type="http://schemas.microsoft.com/office/2007/relationships/diagramDrawing" Target="diagrams/drawing1.xml"/><Relationship Id="rId10" Type="http://schemas.openxmlformats.org/officeDocument/2006/relationships/image" Target="media/image3.png"/><Relationship Id="rId19" Type="http://schemas.openxmlformats.org/officeDocument/2006/relationships/hyperlink" Target="https://hdl.handle.net/1887/16356" TargetMode="External"/><Relationship Id="rId31" Type="http://schemas.openxmlformats.org/officeDocument/2006/relationships/hyperlink" Target="https://doi.org/10.1080/135017604200029807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portal.cor.europa.eu/divisionpowers/Pages/Decentralization-Index.aspx" TargetMode="External"/><Relationship Id="rId27" Type="http://schemas.openxmlformats.org/officeDocument/2006/relationships/hyperlink" Target="https://www.raadopenbaarbestuur.nl/documenten/publicaties/2013/11/25/met-europa-verbonden" TargetMode="External"/><Relationship Id="rId30" Type="http://schemas.openxmlformats.org/officeDocument/2006/relationships/hyperlink" Target="https://spectator.clingendael.org/pub/2017/2/nederlandse_partijen_over_europese_integratie/" TargetMode="External"/><Relationship Id="rId35" Type="http://schemas.openxmlformats.org/officeDocument/2006/relationships/diagramColors" Target="diagrams/colors1.xml"/></Relationships>
</file>

<file path=word/_rels/footnotes.xml.rels><?xml version="1.0" encoding="UTF-8" standalone="yes"?>
<Relationships xmlns="http://schemas.openxmlformats.org/package/2006/relationships"><Relationship Id="rId1" Type="http://schemas.openxmlformats.org/officeDocument/2006/relationships/hyperlink" Target="https://vng.nl/nieuws/gemeentelijke-coalitieakkoorden-in-kaar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30691CD-3CCB-4EE7-9DD7-B9DECC9C7EF5}"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nl-NL"/>
        </a:p>
      </dgm:t>
    </dgm:pt>
    <dgm:pt modelId="{55A22812-A10D-493E-9628-889A3E865E20}">
      <dgm:prSet phldrT="[Tekst]" custT="1"/>
      <dgm:spPr>
        <a:xfrm>
          <a:off x="2625222" y="2869583"/>
          <a:ext cx="685260" cy="342630"/>
        </a:xfrm>
        <a:prstGeom prst="roundRect">
          <a:avLst>
            <a:gd name="adj" fmla="val 10000"/>
          </a:avLst>
        </a:prstGeom>
      </dgm:spPr>
      <dgm:t>
        <a:bodyPr/>
        <a:lstStyle/>
        <a:p>
          <a:r>
            <a:rPr lang="nl-NL" sz="800"/>
            <a:t>Poliltiek-bestuurlijke Europanisering gemeenten</a:t>
          </a:r>
        </a:p>
      </dgm:t>
    </dgm:pt>
    <dgm:pt modelId="{3FE6EEE9-0678-4449-B352-E7270D71B974}" type="parTrans" cxnId="{8BE51E06-DD44-4BCB-BC55-1AF1ED0629D8}">
      <dgm:prSet/>
      <dgm:spPr/>
      <dgm:t>
        <a:bodyPr/>
        <a:lstStyle/>
        <a:p>
          <a:endParaRPr lang="nl-NL" sz="800"/>
        </a:p>
      </dgm:t>
    </dgm:pt>
    <dgm:pt modelId="{7BA99FB5-AA33-47D4-8341-E0D45CAD9F44}" type="sibTrans" cxnId="{8BE51E06-DD44-4BCB-BC55-1AF1ED0629D8}">
      <dgm:prSet/>
      <dgm:spPr/>
      <dgm:t>
        <a:bodyPr/>
        <a:lstStyle/>
        <a:p>
          <a:endParaRPr lang="nl-NL" sz="800"/>
        </a:p>
      </dgm:t>
    </dgm:pt>
    <dgm:pt modelId="{4710C3D6-B054-458D-A798-B9EFC918649B}">
      <dgm:prSet phldrT="[Tekst]" custT="1"/>
      <dgm:spPr>
        <a:xfrm>
          <a:off x="3584587" y="2672570"/>
          <a:ext cx="685260" cy="342630"/>
        </a:xfrm>
        <a:prstGeom prst="roundRect">
          <a:avLst>
            <a:gd name="adj" fmla="val 10000"/>
          </a:avLst>
        </a:prstGeom>
      </dgm:spPr>
      <dgm:t>
        <a:bodyPr/>
        <a:lstStyle/>
        <a:p>
          <a:r>
            <a:rPr lang="nl-NL" sz="800"/>
            <a:t>Geen (0)</a:t>
          </a:r>
        </a:p>
      </dgm:t>
    </dgm:pt>
    <dgm:pt modelId="{BB889D24-0C5A-4C55-A327-7E51FF4004D7}" type="parTrans" cxnId="{5462D086-4A39-4848-B797-C0628FB7A945}">
      <dgm:prSet custT="1"/>
      <dgm:spPr>
        <a:xfrm rot="19457599">
          <a:off x="3278755" y="2936569"/>
          <a:ext cx="337560" cy="11645"/>
        </a:xfrm>
        <a:custGeom>
          <a:avLst/>
          <a:gdLst/>
          <a:ahLst/>
          <a:cxnLst/>
          <a:rect l="0" t="0" r="0" b="0"/>
          <a:pathLst>
            <a:path>
              <a:moveTo>
                <a:pt x="0" y="5822"/>
              </a:moveTo>
              <a:lnTo>
                <a:pt x="203993" y="5822"/>
              </a:lnTo>
            </a:path>
          </a:pathLst>
        </a:custGeom>
      </dgm:spPr>
      <dgm:t>
        <a:bodyPr/>
        <a:lstStyle/>
        <a:p>
          <a:endParaRPr lang="nl-NL" sz="800"/>
        </a:p>
      </dgm:t>
    </dgm:pt>
    <dgm:pt modelId="{F84FE3C1-255B-4E1F-8B48-C7864FD4ADF4}" type="sibTrans" cxnId="{5462D086-4A39-4848-B797-C0628FB7A945}">
      <dgm:prSet/>
      <dgm:spPr/>
      <dgm:t>
        <a:bodyPr/>
        <a:lstStyle/>
        <a:p>
          <a:endParaRPr lang="nl-NL" sz="800"/>
        </a:p>
      </dgm:t>
    </dgm:pt>
    <dgm:pt modelId="{0E681A87-E347-4A0C-A672-0FD78BB61A9F}">
      <dgm:prSet phldrT="[Tekst]" custT="1"/>
      <dgm:spPr>
        <a:xfrm>
          <a:off x="3584587" y="3066595"/>
          <a:ext cx="685260" cy="342630"/>
        </a:xfrm>
        <a:prstGeom prst="roundRect">
          <a:avLst>
            <a:gd name="adj" fmla="val 10000"/>
          </a:avLst>
        </a:prstGeom>
      </dgm:spPr>
      <dgm:t>
        <a:bodyPr/>
        <a:lstStyle/>
        <a:p>
          <a:r>
            <a:rPr lang="nl-NL" sz="800"/>
            <a:t>Wel (1-4)</a:t>
          </a:r>
        </a:p>
      </dgm:t>
    </dgm:pt>
    <dgm:pt modelId="{D2054933-B70A-4E7F-82EB-2F61C29FA44B}" type="parTrans" cxnId="{E8B17037-708B-40B7-B065-2FAB42ACC10E}">
      <dgm:prSet custT="1"/>
      <dgm:spPr>
        <a:xfrm rot="2142401">
          <a:off x="3278755" y="3133581"/>
          <a:ext cx="337560" cy="11645"/>
        </a:xfrm>
        <a:custGeom>
          <a:avLst/>
          <a:gdLst/>
          <a:ahLst/>
          <a:cxnLst/>
          <a:rect l="0" t="0" r="0" b="0"/>
          <a:pathLst>
            <a:path>
              <a:moveTo>
                <a:pt x="0" y="5822"/>
              </a:moveTo>
              <a:lnTo>
                <a:pt x="203993" y="5822"/>
              </a:lnTo>
            </a:path>
          </a:pathLst>
        </a:custGeom>
      </dgm:spPr>
      <dgm:t>
        <a:bodyPr/>
        <a:lstStyle/>
        <a:p>
          <a:endParaRPr lang="nl-NL" sz="800"/>
        </a:p>
      </dgm:t>
    </dgm:pt>
    <dgm:pt modelId="{57C776C0-3086-47C1-8A2D-B080C66795FE}" type="sibTrans" cxnId="{E8B17037-708B-40B7-B065-2FAB42ACC10E}">
      <dgm:prSet/>
      <dgm:spPr/>
      <dgm:t>
        <a:bodyPr/>
        <a:lstStyle/>
        <a:p>
          <a:endParaRPr lang="nl-NL" sz="800"/>
        </a:p>
      </dgm:t>
    </dgm:pt>
    <dgm:pt modelId="{55D30D76-9D13-45E6-AA0D-622106838E33}">
      <dgm:prSet phldrT="[Tekst]" custT="1"/>
      <dgm:spPr>
        <a:xfrm>
          <a:off x="4543952" y="1786015"/>
          <a:ext cx="685260" cy="342630"/>
        </a:xfrm>
        <a:prstGeom prst="roundRect">
          <a:avLst>
            <a:gd name="adj" fmla="val 10000"/>
          </a:avLst>
        </a:prstGeom>
      </dgm:spPr>
      <dgm:t>
        <a:bodyPr/>
        <a:lstStyle/>
        <a:p>
          <a:r>
            <a:rPr lang="nl-NL" sz="800"/>
            <a:t>Lobbying (4)</a:t>
          </a:r>
        </a:p>
      </dgm:t>
    </dgm:pt>
    <dgm:pt modelId="{76116E4F-DC9E-4C8A-B383-AFD8652CA88B}" type="parTrans" cxnId="{ACD0BDC8-DB1E-41DA-AE26-871E2BCC2CD8}">
      <dgm:prSet custT="1"/>
      <dgm:spPr>
        <a:xfrm rot="16924900">
          <a:off x="3752106" y="2591797"/>
          <a:ext cx="1309587" cy="11645"/>
        </a:xfrm>
        <a:custGeom>
          <a:avLst/>
          <a:gdLst/>
          <a:ahLst/>
          <a:cxnLst/>
          <a:rect l="0" t="0" r="0" b="0"/>
          <a:pathLst>
            <a:path>
              <a:moveTo>
                <a:pt x="0" y="5822"/>
              </a:moveTo>
              <a:lnTo>
                <a:pt x="791405" y="5822"/>
              </a:lnTo>
            </a:path>
          </a:pathLst>
        </a:custGeom>
      </dgm:spPr>
      <dgm:t>
        <a:bodyPr/>
        <a:lstStyle/>
        <a:p>
          <a:endParaRPr lang="nl-NL" sz="800"/>
        </a:p>
      </dgm:t>
    </dgm:pt>
    <dgm:pt modelId="{77CB782E-94B5-4D96-8252-45C41CC046BF}" type="sibTrans" cxnId="{ACD0BDC8-DB1E-41DA-AE26-871E2BCC2CD8}">
      <dgm:prSet/>
      <dgm:spPr/>
      <dgm:t>
        <a:bodyPr/>
        <a:lstStyle/>
        <a:p>
          <a:endParaRPr lang="nl-NL" sz="800"/>
        </a:p>
      </dgm:t>
    </dgm:pt>
    <dgm:pt modelId="{80F1DC3C-307C-4DCA-8F49-11691EBDC6AA}">
      <dgm:prSet phldrT="[Tekst]" custT="1"/>
      <dgm:spPr>
        <a:xfrm>
          <a:off x="4543952" y="4347176"/>
          <a:ext cx="685260" cy="342630"/>
        </a:xfrm>
        <a:prstGeom prst="roundRect">
          <a:avLst>
            <a:gd name="adj" fmla="val 10000"/>
          </a:avLst>
        </a:prstGeom>
      </dgm:spPr>
      <dgm:t>
        <a:bodyPr/>
        <a:lstStyle/>
        <a:p>
          <a:r>
            <a:rPr lang="nl-NL" sz="800"/>
            <a:t>Minimal (1)</a:t>
          </a:r>
        </a:p>
      </dgm:t>
    </dgm:pt>
    <dgm:pt modelId="{05A75B09-157C-43CA-AA4C-325216976B65}" type="parTrans" cxnId="{B06AA43B-0044-45B7-B8A8-4578066B8634}">
      <dgm:prSet custT="1"/>
      <dgm:spPr>
        <a:xfrm rot="4675100">
          <a:off x="3752106" y="3872378"/>
          <a:ext cx="1309587" cy="11645"/>
        </a:xfrm>
        <a:custGeom>
          <a:avLst/>
          <a:gdLst/>
          <a:ahLst/>
          <a:cxnLst/>
          <a:rect l="0" t="0" r="0" b="0"/>
          <a:pathLst>
            <a:path>
              <a:moveTo>
                <a:pt x="0" y="5822"/>
              </a:moveTo>
              <a:lnTo>
                <a:pt x="791405" y="5822"/>
              </a:lnTo>
            </a:path>
          </a:pathLst>
        </a:custGeom>
      </dgm:spPr>
      <dgm:t>
        <a:bodyPr/>
        <a:lstStyle/>
        <a:p>
          <a:endParaRPr lang="nl-NL" sz="800"/>
        </a:p>
      </dgm:t>
    </dgm:pt>
    <dgm:pt modelId="{9FB857DE-B7B4-4A5C-A578-819EB7C8016B}" type="sibTrans" cxnId="{B06AA43B-0044-45B7-B8A8-4578066B8634}">
      <dgm:prSet/>
      <dgm:spPr/>
      <dgm:t>
        <a:bodyPr/>
        <a:lstStyle/>
        <a:p>
          <a:endParaRPr lang="nl-NL" sz="800"/>
        </a:p>
      </dgm:t>
    </dgm:pt>
    <dgm:pt modelId="{66E9E855-EA79-40F7-AABC-655A6D5EC691}">
      <dgm:prSet phldrT="[Tekst]" custT="1"/>
      <dgm:spPr>
        <a:xfrm>
          <a:off x="4543952" y="2574064"/>
          <a:ext cx="685260" cy="342630"/>
        </a:xfrm>
        <a:prstGeom prst="roundRect">
          <a:avLst>
            <a:gd name="adj" fmla="val 10000"/>
          </a:avLst>
        </a:prstGeom>
      </dgm:spPr>
      <dgm:t>
        <a:bodyPr/>
        <a:lstStyle/>
        <a:p>
          <a:r>
            <a:rPr lang="nl-NL" sz="800"/>
            <a:t>Networking (3)</a:t>
          </a:r>
        </a:p>
      </dgm:t>
    </dgm:pt>
    <dgm:pt modelId="{5257AAFB-E8E3-4DD0-9EFC-D4ECE0D26482}" type="parTrans" cxnId="{48046D20-DAA6-47BB-AF4C-384EBE413648}">
      <dgm:prSet custT="1"/>
      <dgm:spPr>
        <a:xfrm rot="17945813">
          <a:off x="4125066" y="2985822"/>
          <a:ext cx="563666" cy="11645"/>
        </a:xfrm>
        <a:custGeom>
          <a:avLst/>
          <a:gdLst/>
          <a:ahLst/>
          <a:cxnLst/>
          <a:rect l="0" t="0" r="0" b="0"/>
          <a:pathLst>
            <a:path>
              <a:moveTo>
                <a:pt x="0" y="5822"/>
              </a:moveTo>
              <a:lnTo>
                <a:pt x="340632" y="5822"/>
              </a:lnTo>
            </a:path>
          </a:pathLst>
        </a:custGeom>
      </dgm:spPr>
      <dgm:t>
        <a:bodyPr/>
        <a:lstStyle/>
        <a:p>
          <a:endParaRPr lang="nl-NL" sz="800"/>
        </a:p>
      </dgm:t>
    </dgm:pt>
    <dgm:pt modelId="{17CC2C5D-6C3B-49D9-B99E-CDB2B0AF0CC3}" type="sibTrans" cxnId="{48046D20-DAA6-47BB-AF4C-384EBE413648}">
      <dgm:prSet/>
      <dgm:spPr/>
      <dgm:t>
        <a:bodyPr/>
        <a:lstStyle/>
        <a:p>
          <a:endParaRPr lang="nl-NL" sz="800"/>
        </a:p>
      </dgm:t>
    </dgm:pt>
    <dgm:pt modelId="{90B97C4F-5A48-49AF-BEB6-51EFE1100780}">
      <dgm:prSet phldrT="[Tekst]" custT="1"/>
      <dgm:spPr>
        <a:xfrm>
          <a:off x="4543952" y="3362114"/>
          <a:ext cx="685260" cy="342630"/>
        </a:xfrm>
        <a:prstGeom prst="roundRect">
          <a:avLst>
            <a:gd name="adj" fmla="val 10000"/>
          </a:avLst>
        </a:prstGeom>
      </dgm:spPr>
      <dgm:t>
        <a:bodyPr/>
        <a:lstStyle/>
        <a:p>
          <a:r>
            <a:rPr lang="nl-NL" sz="800"/>
            <a:t>Financial (2)</a:t>
          </a:r>
        </a:p>
      </dgm:t>
    </dgm:pt>
    <dgm:pt modelId="{E7F86FB9-C409-4708-A801-F5939B1D2517}" type="parTrans" cxnId="{F3C5EA01-6C15-4901-8EA0-00FE3FA564A3}">
      <dgm:prSet custT="1"/>
      <dgm:spPr>
        <a:xfrm rot="2829178">
          <a:off x="4205365" y="3379847"/>
          <a:ext cx="403068" cy="11645"/>
        </a:xfrm>
        <a:custGeom>
          <a:avLst/>
          <a:gdLst/>
          <a:ahLst/>
          <a:cxnLst/>
          <a:rect l="0" t="0" r="0" b="0"/>
          <a:pathLst>
            <a:path>
              <a:moveTo>
                <a:pt x="0" y="5822"/>
              </a:moveTo>
              <a:lnTo>
                <a:pt x="243581" y="5822"/>
              </a:lnTo>
            </a:path>
          </a:pathLst>
        </a:custGeom>
      </dgm:spPr>
      <dgm:t>
        <a:bodyPr/>
        <a:lstStyle/>
        <a:p>
          <a:endParaRPr lang="nl-NL" sz="800"/>
        </a:p>
      </dgm:t>
    </dgm:pt>
    <dgm:pt modelId="{5195EF69-1582-4AFB-9E50-A5DD4A6C6440}" type="sibTrans" cxnId="{F3C5EA01-6C15-4901-8EA0-00FE3FA564A3}">
      <dgm:prSet/>
      <dgm:spPr/>
      <dgm:t>
        <a:bodyPr/>
        <a:lstStyle/>
        <a:p>
          <a:endParaRPr lang="nl-NL" sz="800"/>
        </a:p>
      </dgm:t>
    </dgm:pt>
    <dgm:pt modelId="{168B4C1C-CC45-4754-A1C8-CF0DB0AB3A95}">
      <dgm:prSet custT="1"/>
      <dgm:spPr>
        <a:xfrm>
          <a:off x="5503316" y="1589002"/>
          <a:ext cx="685260" cy="342630"/>
        </a:xfrm>
        <a:prstGeom prst="roundRect">
          <a:avLst>
            <a:gd name="adj" fmla="val 10000"/>
          </a:avLst>
        </a:prstGeom>
      </dgm:spPr>
      <dgm:t>
        <a:bodyPr/>
        <a:lstStyle/>
        <a:p>
          <a:r>
            <a:rPr lang="nl-NL" sz="800"/>
            <a:t>Making the council policies more 'European'</a:t>
          </a:r>
        </a:p>
      </dgm:t>
    </dgm:pt>
    <dgm:pt modelId="{5062C6F3-FE5C-4C25-9F5F-3CF6D4C9F8C0}" type="parTrans" cxnId="{7C40418C-818F-4E06-9D71-95A8E128F625}">
      <dgm:prSet custT="1"/>
      <dgm:spPr>
        <a:xfrm rot="19457599">
          <a:off x="5197484" y="1853001"/>
          <a:ext cx="337560" cy="11645"/>
        </a:xfrm>
        <a:custGeom>
          <a:avLst/>
          <a:gdLst/>
          <a:ahLst/>
          <a:cxnLst/>
          <a:rect l="0" t="0" r="0" b="0"/>
          <a:pathLst>
            <a:path>
              <a:moveTo>
                <a:pt x="0" y="5822"/>
              </a:moveTo>
              <a:lnTo>
                <a:pt x="203993" y="5822"/>
              </a:lnTo>
            </a:path>
          </a:pathLst>
        </a:custGeom>
      </dgm:spPr>
      <dgm:t>
        <a:bodyPr/>
        <a:lstStyle/>
        <a:p>
          <a:endParaRPr lang="nl-NL" sz="800"/>
        </a:p>
      </dgm:t>
    </dgm:pt>
    <dgm:pt modelId="{3F8A6E91-B441-4F1C-BD74-5AAF78488964}" type="sibTrans" cxnId="{7C40418C-818F-4E06-9D71-95A8E128F625}">
      <dgm:prSet/>
      <dgm:spPr/>
      <dgm:t>
        <a:bodyPr/>
        <a:lstStyle/>
        <a:p>
          <a:endParaRPr lang="nl-NL" sz="800"/>
        </a:p>
      </dgm:t>
    </dgm:pt>
    <dgm:pt modelId="{676B45F0-F994-430E-A33F-D331A69895A7}">
      <dgm:prSet custT="1"/>
      <dgm:spPr>
        <a:xfrm>
          <a:off x="5503316" y="1983027"/>
          <a:ext cx="685260" cy="342630"/>
        </a:xfrm>
        <a:prstGeom prst="roundRect">
          <a:avLst>
            <a:gd name="adj" fmla="val 10000"/>
          </a:avLst>
        </a:prstGeom>
      </dgm:spPr>
      <dgm:t>
        <a:bodyPr/>
        <a:lstStyle/>
        <a:p>
          <a:r>
            <a:rPr lang="nl-NL" sz="800"/>
            <a:t>Advising the EU on implementation </a:t>
          </a:r>
        </a:p>
      </dgm:t>
    </dgm:pt>
    <dgm:pt modelId="{C19E9A15-A8E1-476A-B7EF-7A611825501C}" type="parTrans" cxnId="{1C896784-EC67-40F2-907D-D099E22E6590}">
      <dgm:prSet custT="1"/>
      <dgm:spPr>
        <a:xfrm rot="2142401">
          <a:off x="5197484" y="2050013"/>
          <a:ext cx="337560" cy="11645"/>
        </a:xfrm>
        <a:custGeom>
          <a:avLst/>
          <a:gdLst/>
          <a:ahLst/>
          <a:cxnLst/>
          <a:rect l="0" t="0" r="0" b="0"/>
          <a:pathLst>
            <a:path>
              <a:moveTo>
                <a:pt x="0" y="5822"/>
              </a:moveTo>
              <a:lnTo>
                <a:pt x="203993" y="5822"/>
              </a:lnTo>
            </a:path>
          </a:pathLst>
        </a:custGeom>
      </dgm:spPr>
      <dgm:t>
        <a:bodyPr/>
        <a:lstStyle/>
        <a:p>
          <a:endParaRPr lang="nl-NL" sz="800"/>
        </a:p>
      </dgm:t>
    </dgm:pt>
    <dgm:pt modelId="{23923810-DA5B-4C2A-903A-32E4F2A594EF}" type="sibTrans" cxnId="{1C896784-EC67-40F2-907D-D099E22E6590}">
      <dgm:prSet/>
      <dgm:spPr/>
      <dgm:t>
        <a:bodyPr/>
        <a:lstStyle/>
        <a:p>
          <a:endParaRPr lang="nl-NL" sz="800"/>
        </a:p>
      </dgm:t>
    </dgm:pt>
    <dgm:pt modelId="{4B0F8E5E-AF6F-40B7-9049-8B626EB7B1B2}">
      <dgm:prSet custT="1"/>
      <dgm:spPr>
        <a:xfrm>
          <a:off x="5503316" y="2377052"/>
          <a:ext cx="685260" cy="342630"/>
        </a:xfrm>
        <a:prstGeom prst="roundRect">
          <a:avLst>
            <a:gd name="adj" fmla="val 10000"/>
          </a:avLst>
        </a:prstGeom>
      </dgm:spPr>
      <dgm:t>
        <a:bodyPr/>
        <a:lstStyle/>
        <a:p>
          <a:r>
            <a:rPr lang="nl-NL" sz="800"/>
            <a:t>Participating in EU international networks &amp; co-operating in joint projects</a:t>
          </a:r>
        </a:p>
      </dgm:t>
    </dgm:pt>
    <dgm:pt modelId="{CF0884BF-CED7-4530-891E-19B8BB6D1A63}" type="parTrans" cxnId="{ECB4DBF2-57B5-4AF4-A0AB-A11B4050141B}">
      <dgm:prSet custT="1"/>
      <dgm:spPr>
        <a:xfrm rot="19457599">
          <a:off x="5197484" y="2641050"/>
          <a:ext cx="337560" cy="11645"/>
        </a:xfrm>
        <a:custGeom>
          <a:avLst/>
          <a:gdLst/>
          <a:ahLst/>
          <a:cxnLst/>
          <a:rect l="0" t="0" r="0" b="0"/>
          <a:pathLst>
            <a:path>
              <a:moveTo>
                <a:pt x="0" y="5822"/>
              </a:moveTo>
              <a:lnTo>
                <a:pt x="203993" y="5822"/>
              </a:lnTo>
            </a:path>
          </a:pathLst>
        </a:custGeom>
      </dgm:spPr>
      <dgm:t>
        <a:bodyPr/>
        <a:lstStyle/>
        <a:p>
          <a:endParaRPr lang="nl-NL" sz="800"/>
        </a:p>
      </dgm:t>
    </dgm:pt>
    <dgm:pt modelId="{9876A440-8FEA-47B7-9E46-539E198E61DA}" type="sibTrans" cxnId="{ECB4DBF2-57B5-4AF4-A0AB-A11B4050141B}">
      <dgm:prSet/>
      <dgm:spPr/>
      <dgm:t>
        <a:bodyPr/>
        <a:lstStyle/>
        <a:p>
          <a:endParaRPr lang="nl-NL" sz="800"/>
        </a:p>
      </dgm:t>
    </dgm:pt>
    <dgm:pt modelId="{6E8D8918-1DBD-4166-A9E5-F6D6968CF568}">
      <dgm:prSet custT="1"/>
      <dgm:spPr>
        <a:xfrm>
          <a:off x="5503316" y="2771077"/>
          <a:ext cx="685260" cy="342630"/>
        </a:xfrm>
        <a:prstGeom prst="roundRect">
          <a:avLst>
            <a:gd name="adj" fmla="val 10000"/>
          </a:avLst>
        </a:prstGeom>
      </dgm:spPr>
      <dgm:t>
        <a:bodyPr/>
        <a:lstStyle/>
        <a:p>
          <a:r>
            <a:rPr lang="nl-NL" sz="800"/>
            <a:t>Linking with other local organizations participating in the EU</a:t>
          </a:r>
        </a:p>
      </dgm:t>
    </dgm:pt>
    <dgm:pt modelId="{F2F71D60-8AC5-4F52-8FBA-9E9CB56700F9}" type="parTrans" cxnId="{F59CF7A9-8742-44FB-B81B-35983967AD2E}">
      <dgm:prSet custT="1"/>
      <dgm:spPr>
        <a:xfrm rot="2142401">
          <a:off x="5197484" y="2838063"/>
          <a:ext cx="337560" cy="11645"/>
        </a:xfrm>
        <a:custGeom>
          <a:avLst/>
          <a:gdLst/>
          <a:ahLst/>
          <a:cxnLst/>
          <a:rect l="0" t="0" r="0" b="0"/>
          <a:pathLst>
            <a:path>
              <a:moveTo>
                <a:pt x="0" y="5822"/>
              </a:moveTo>
              <a:lnTo>
                <a:pt x="203993" y="5822"/>
              </a:lnTo>
            </a:path>
          </a:pathLst>
        </a:custGeom>
      </dgm:spPr>
      <dgm:t>
        <a:bodyPr/>
        <a:lstStyle/>
        <a:p>
          <a:endParaRPr lang="nl-NL" sz="800"/>
        </a:p>
      </dgm:t>
    </dgm:pt>
    <dgm:pt modelId="{54EABF68-E9C1-4F97-9BFB-5F9234CA98C7}" type="sibTrans" cxnId="{F59CF7A9-8742-44FB-B81B-35983967AD2E}">
      <dgm:prSet/>
      <dgm:spPr/>
      <dgm:t>
        <a:bodyPr/>
        <a:lstStyle/>
        <a:p>
          <a:endParaRPr lang="nl-NL" sz="800"/>
        </a:p>
      </dgm:t>
    </dgm:pt>
    <dgm:pt modelId="{F3851D85-3DE3-4F38-88FB-26E37ACD5764}">
      <dgm:prSet custT="1"/>
      <dgm:spPr>
        <a:xfrm>
          <a:off x="5503316" y="3165101"/>
          <a:ext cx="685260" cy="342630"/>
        </a:xfrm>
        <a:prstGeom prst="roundRect">
          <a:avLst>
            <a:gd name="adj" fmla="val 10000"/>
          </a:avLst>
        </a:prstGeom>
      </dgm:spPr>
      <dgm:t>
        <a:bodyPr/>
        <a:lstStyle/>
        <a:p>
          <a:r>
            <a:rPr lang="nl-NL" sz="800"/>
            <a:t>Facilitating economic regeneration </a:t>
          </a:r>
        </a:p>
      </dgm:t>
    </dgm:pt>
    <dgm:pt modelId="{48536DBD-CA30-4297-9583-6C8BFC41AD38}" type="parTrans" cxnId="{29EB8A5B-C2FA-40FD-A428-A2F73CBD617C}">
      <dgm:prSet custT="1"/>
      <dgm:spPr>
        <a:xfrm rot="19457599">
          <a:off x="5197484" y="3429100"/>
          <a:ext cx="337560" cy="11645"/>
        </a:xfrm>
        <a:custGeom>
          <a:avLst/>
          <a:gdLst/>
          <a:ahLst/>
          <a:cxnLst/>
          <a:rect l="0" t="0" r="0" b="0"/>
          <a:pathLst>
            <a:path>
              <a:moveTo>
                <a:pt x="0" y="5822"/>
              </a:moveTo>
              <a:lnTo>
                <a:pt x="203993" y="5822"/>
              </a:lnTo>
            </a:path>
          </a:pathLst>
        </a:custGeom>
      </dgm:spPr>
      <dgm:t>
        <a:bodyPr/>
        <a:lstStyle/>
        <a:p>
          <a:endParaRPr lang="nl-NL" sz="800"/>
        </a:p>
      </dgm:t>
    </dgm:pt>
    <dgm:pt modelId="{46198870-F8BB-49DE-92A2-70072D847F52}" type="sibTrans" cxnId="{29EB8A5B-C2FA-40FD-A428-A2F73CBD617C}">
      <dgm:prSet/>
      <dgm:spPr/>
      <dgm:t>
        <a:bodyPr/>
        <a:lstStyle/>
        <a:p>
          <a:endParaRPr lang="nl-NL" sz="800"/>
        </a:p>
      </dgm:t>
    </dgm:pt>
    <dgm:pt modelId="{BEC715C5-E978-4E58-BA75-B08188F94729}">
      <dgm:prSet custT="1"/>
      <dgm:spPr>
        <a:xfrm>
          <a:off x="5503316" y="3559126"/>
          <a:ext cx="685260" cy="342630"/>
        </a:xfrm>
        <a:prstGeom prst="roundRect">
          <a:avLst>
            <a:gd name="adj" fmla="val 10000"/>
          </a:avLst>
        </a:prstGeom>
      </dgm:spPr>
      <dgm:t>
        <a:bodyPr/>
        <a:lstStyle/>
        <a:p>
          <a:r>
            <a:rPr lang="nl-NL" sz="800"/>
            <a:t>Maximasing EU grants</a:t>
          </a:r>
        </a:p>
      </dgm:t>
    </dgm:pt>
    <dgm:pt modelId="{6B9A667B-83A7-4712-BE47-DD2A8E8A622F}" type="parTrans" cxnId="{96BF210A-B7A7-4AA0-86DA-B73D68565380}">
      <dgm:prSet custT="1"/>
      <dgm:spPr>
        <a:xfrm rot="2142401">
          <a:off x="5197484" y="3626112"/>
          <a:ext cx="337560" cy="11645"/>
        </a:xfrm>
        <a:custGeom>
          <a:avLst/>
          <a:gdLst/>
          <a:ahLst/>
          <a:cxnLst/>
          <a:rect l="0" t="0" r="0" b="0"/>
          <a:pathLst>
            <a:path>
              <a:moveTo>
                <a:pt x="0" y="5822"/>
              </a:moveTo>
              <a:lnTo>
                <a:pt x="203993" y="5822"/>
              </a:lnTo>
            </a:path>
          </a:pathLst>
        </a:custGeom>
      </dgm:spPr>
      <dgm:t>
        <a:bodyPr/>
        <a:lstStyle/>
        <a:p>
          <a:endParaRPr lang="nl-NL" sz="800"/>
        </a:p>
      </dgm:t>
    </dgm:pt>
    <dgm:pt modelId="{05258909-D6BD-4667-962C-AAE5BEE3C5E3}" type="sibTrans" cxnId="{96BF210A-B7A7-4AA0-86DA-B73D68565380}">
      <dgm:prSet/>
      <dgm:spPr/>
      <dgm:t>
        <a:bodyPr/>
        <a:lstStyle/>
        <a:p>
          <a:endParaRPr lang="nl-NL" sz="800"/>
        </a:p>
      </dgm:t>
    </dgm:pt>
    <dgm:pt modelId="{94B86DF2-AE90-41AE-A592-09262185B868}">
      <dgm:prSet custT="1"/>
      <dgm:spPr>
        <a:xfrm>
          <a:off x="5503316" y="3953151"/>
          <a:ext cx="685260" cy="342630"/>
        </a:xfrm>
        <a:prstGeom prst="roundRect">
          <a:avLst>
            <a:gd name="adj" fmla="val 10000"/>
          </a:avLst>
        </a:prstGeom>
      </dgm:spPr>
      <dgm:t>
        <a:bodyPr/>
        <a:lstStyle/>
        <a:p>
          <a:r>
            <a:rPr lang="nl-NL" sz="800"/>
            <a:t>Communicating to the private sector and the public</a:t>
          </a:r>
        </a:p>
      </dgm:t>
    </dgm:pt>
    <dgm:pt modelId="{A8702D56-9B49-4514-B88D-3C32F812F4EF}" type="parTrans" cxnId="{2B95A430-204E-4A12-A129-87EB3AA82CE3}">
      <dgm:prSet custT="1"/>
      <dgm:spPr>
        <a:xfrm rot="18289469">
          <a:off x="5126270" y="4315656"/>
          <a:ext cx="479988" cy="11645"/>
        </a:xfrm>
        <a:custGeom>
          <a:avLst/>
          <a:gdLst/>
          <a:ahLst/>
          <a:cxnLst/>
          <a:rect l="0" t="0" r="0" b="0"/>
          <a:pathLst>
            <a:path>
              <a:moveTo>
                <a:pt x="0" y="5822"/>
              </a:moveTo>
              <a:lnTo>
                <a:pt x="290064" y="5822"/>
              </a:lnTo>
            </a:path>
          </a:pathLst>
        </a:custGeom>
      </dgm:spPr>
      <dgm:t>
        <a:bodyPr/>
        <a:lstStyle/>
        <a:p>
          <a:endParaRPr lang="nl-NL" sz="800"/>
        </a:p>
      </dgm:t>
    </dgm:pt>
    <dgm:pt modelId="{061EEDAF-A4D8-4904-A663-CCB760FD6457}" type="sibTrans" cxnId="{2B95A430-204E-4A12-A129-87EB3AA82CE3}">
      <dgm:prSet/>
      <dgm:spPr/>
      <dgm:t>
        <a:bodyPr/>
        <a:lstStyle/>
        <a:p>
          <a:endParaRPr lang="nl-NL" sz="800"/>
        </a:p>
      </dgm:t>
    </dgm:pt>
    <dgm:pt modelId="{28AA4F0A-2FA2-4E40-AEB7-CC34F6D96C93}">
      <dgm:prSet custT="1"/>
      <dgm:spPr>
        <a:xfrm>
          <a:off x="5503316" y="4347176"/>
          <a:ext cx="685260" cy="342630"/>
        </a:xfrm>
        <a:prstGeom prst="roundRect">
          <a:avLst>
            <a:gd name="adj" fmla="val 10000"/>
          </a:avLst>
        </a:prstGeom>
      </dgm:spPr>
      <dgm:t>
        <a:bodyPr/>
        <a:lstStyle/>
        <a:p>
          <a:r>
            <a:rPr lang="nl-NL" sz="800"/>
            <a:t>Managing European information</a:t>
          </a:r>
        </a:p>
      </dgm:t>
    </dgm:pt>
    <dgm:pt modelId="{047B481B-9658-48A0-84FA-A3BAFC9FC7CF}" type="parTrans" cxnId="{CC524DDA-AACD-47EC-9E9C-7DC33E153EAA}">
      <dgm:prSet custT="1"/>
      <dgm:spPr>
        <a:xfrm>
          <a:off x="5229212" y="4512668"/>
          <a:ext cx="274104" cy="11645"/>
        </a:xfrm>
        <a:custGeom>
          <a:avLst/>
          <a:gdLst/>
          <a:ahLst/>
          <a:cxnLst/>
          <a:rect l="0" t="0" r="0" b="0"/>
          <a:pathLst>
            <a:path>
              <a:moveTo>
                <a:pt x="0" y="5822"/>
              </a:moveTo>
              <a:lnTo>
                <a:pt x="165645" y="5822"/>
              </a:lnTo>
            </a:path>
          </a:pathLst>
        </a:custGeom>
      </dgm:spPr>
      <dgm:t>
        <a:bodyPr/>
        <a:lstStyle/>
        <a:p>
          <a:endParaRPr lang="nl-NL" sz="800"/>
        </a:p>
      </dgm:t>
    </dgm:pt>
    <dgm:pt modelId="{6DF61A32-702A-4874-AC3E-7F34E17291B3}" type="sibTrans" cxnId="{CC524DDA-AACD-47EC-9E9C-7DC33E153EAA}">
      <dgm:prSet/>
      <dgm:spPr/>
      <dgm:t>
        <a:bodyPr/>
        <a:lstStyle/>
        <a:p>
          <a:endParaRPr lang="nl-NL" sz="800"/>
        </a:p>
      </dgm:t>
    </dgm:pt>
    <dgm:pt modelId="{6A903C54-5591-4EC8-B64B-40871646FF82}">
      <dgm:prSet custT="1"/>
      <dgm:spPr>
        <a:xfrm>
          <a:off x="5503316" y="4741201"/>
          <a:ext cx="685260" cy="342630"/>
        </a:xfrm>
        <a:prstGeom prst="roundRect">
          <a:avLst>
            <a:gd name="adj" fmla="val 10000"/>
          </a:avLst>
        </a:prstGeom>
      </dgm:spPr>
      <dgm:t>
        <a:bodyPr/>
        <a:lstStyle/>
        <a:p>
          <a:r>
            <a:rPr lang="nl-NL" sz="800"/>
            <a:t>Responding to EU directives and regulation</a:t>
          </a:r>
        </a:p>
      </dgm:t>
    </dgm:pt>
    <dgm:pt modelId="{C9A488C7-D4CF-42C5-867C-DF7B36910E05}" type="parTrans" cxnId="{36625380-5CC6-4FCE-9670-B59E8306FB92}">
      <dgm:prSet custT="1"/>
      <dgm:spPr>
        <a:xfrm rot="3310531">
          <a:off x="5126270" y="4709680"/>
          <a:ext cx="479988" cy="11645"/>
        </a:xfrm>
        <a:custGeom>
          <a:avLst/>
          <a:gdLst/>
          <a:ahLst/>
          <a:cxnLst/>
          <a:rect l="0" t="0" r="0" b="0"/>
          <a:pathLst>
            <a:path>
              <a:moveTo>
                <a:pt x="0" y="5822"/>
              </a:moveTo>
              <a:lnTo>
                <a:pt x="290064" y="5822"/>
              </a:lnTo>
            </a:path>
          </a:pathLst>
        </a:custGeom>
      </dgm:spPr>
      <dgm:t>
        <a:bodyPr/>
        <a:lstStyle/>
        <a:p>
          <a:endParaRPr lang="nl-NL" sz="800"/>
        </a:p>
      </dgm:t>
    </dgm:pt>
    <dgm:pt modelId="{116467FE-3E5F-4129-90E0-2EE3171C2347}" type="sibTrans" cxnId="{36625380-5CC6-4FCE-9670-B59E8306FB92}">
      <dgm:prSet/>
      <dgm:spPr/>
      <dgm:t>
        <a:bodyPr/>
        <a:lstStyle/>
        <a:p>
          <a:endParaRPr lang="nl-NL" sz="800"/>
        </a:p>
      </dgm:t>
    </dgm:pt>
    <dgm:pt modelId="{C705D5EB-F8A8-4C28-BFF4-01F49DD2D051}">
      <dgm:prSet phldrT="[Tekst]" custT="1"/>
      <dgm:spPr>
        <a:xfrm>
          <a:off x="5434790" y="0"/>
          <a:ext cx="822312" cy="5295899"/>
        </a:xfrm>
        <a:prstGeom prst="roundRect">
          <a:avLst>
            <a:gd name="adj" fmla="val 10000"/>
          </a:avLst>
        </a:prstGeom>
      </dgm:spPr>
      <dgm:t>
        <a:bodyPr/>
        <a:lstStyle/>
        <a:p>
          <a:r>
            <a:rPr lang="nl-NL" sz="800"/>
            <a:t>Indicatoren: treden Europeaniseringsladder John (2001)</a:t>
          </a:r>
        </a:p>
      </dgm:t>
    </dgm:pt>
    <dgm:pt modelId="{89AF38F1-EBC2-48F5-A103-B6D75B1AD84F}" type="sibTrans" cxnId="{619F701F-8CFB-4BE2-AA8E-8E77167407A7}">
      <dgm:prSet/>
      <dgm:spPr/>
      <dgm:t>
        <a:bodyPr/>
        <a:lstStyle/>
        <a:p>
          <a:endParaRPr lang="nl-NL" sz="800"/>
        </a:p>
      </dgm:t>
    </dgm:pt>
    <dgm:pt modelId="{DD9572FA-EE9E-4578-BC71-C4734F073A45}" type="parTrans" cxnId="{619F701F-8CFB-4BE2-AA8E-8E77167407A7}">
      <dgm:prSet/>
      <dgm:spPr/>
      <dgm:t>
        <a:bodyPr/>
        <a:lstStyle/>
        <a:p>
          <a:endParaRPr lang="nl-NL" sz="800"/>
        </a:p>
      </dgm:t>
    </dgm:pt>
    <dgm:pt modelId="{76E1BBB6-E056-4452-A543-E4CC0A6CA8EE}">
      <dgm:prSet phldrT="[Tekst]" custT="1"/>
      <dgm:spPr>
        <a:xfrm>
          <a:off x="4475426" y="0"/>
          <a:ext cx="822312" cy="5295899"/>
        </a:xfrm>
        <a:prstGeom prst="roundRect">
          <a:avLst>
            <a:gd name="adj" fmla="val 10000"/>
          </a:avLst>
        </a:prstGeom>
      </dgm:spPr>
      <dgm:t>
        <a:bodyPr/>
        <a:lstStyle/>
        <a:p>
          <a:r>
            <a:rPr lang="nl-NL" sz="800"/>
            <a:t>2e codering: </a:t>
          </a:r>
        </a:p>
        <a:p>
          <a:r>
            <a:rPr lang="nl-NL" sz="800"/>
            <a:t>soort aandacht</a:t>
          </a:r>
        </a:p>
      </dgm:t>
    </dgm:pt>
    <dgm:pt modelId="{D4E29DFC-F540-4A6C-B608-A0DBF7671FEA}" type="sibTrans" cxnId="{61D91619-90C2-4BDF-9BB6-5F4F94B4ABEF}">
      <dgm:prSet/>
      <dgm:spPr/>
      <dgm:t>
        <a:bodyPr/>
        <a:lstStyle/>
        <a:p>
          <a:endParaRPr lang="nl-NL" sz="800"/>
        </a:p>
      </dgm:t>
    </dgm:pt>
    <dgm:pt modelId="{DD85BB05-5DF2-4A7B-92EC-830F001086C5}" type="parTrans" cxnId="{61D91619-90C2-4BDF-9BB6-5F4F94B4ABEF}">
      <dgm:prSet/>
      <dgm:spPr/>
      <dgm:t>
        <a:bodyPr/>
        <a:lstStyle/>
        <a:p>
          <a:endParaRPr lang="nl-NL" sz="800"/>
        </a:p>
      </dgm:t>
    </dgm:pt>
    <dgm:pt modelId="{6091E229-71E6-4D99-83B7-6C172687C8C1}">
      <dgm:prSet phldrT="[Tekst]" custT="1"/>
      <dgm:spPr>
        <a:xfrm>
          <a:off x="3516061" y="0"/>
          <a:ext cx="822312" cy="5295899"/>
        </a:xfrm>
        <a:prstGeom prst="roundRect">
          <a:avLst>
            <a:gd name="adj" fmla="val 10000"/>
          </a:avLst>
        </a:prstGeom>
      </dgm:spPr>
      <dgm:t>
        <a:bodyPr/>
        <a:lstStyle/>
        <a:p>
          <a:r>
            <a:rPr lang="nl-NL" sz="800"/>
            <a:t>1e codering: </a:t>
          </a:r>
        </a:p>
        <a:p>
          <a:r>
            <a:rPr lang="nl-NL" sz="800"/>
            <a:t>wel/geen aandacht EU</a:t>
          </a:r>
        </a:p>
      </dgm:t>
    </dgm:pt>
    <dgm:pt modelId="{2C000225-8B51-4E77-AAA3-3FFDB01B3BFE}" type="sibTrans" cxnId="{FFFF7884-0C1F-4EA5-BFC2-61D7AAD648D1}">
      <dgm:prSet/>
      <dgm:spPr/>
      <dgm:t>
        <a:bodyPr/>
        <a:lstStyle/>
        <a:p>
          <a:endParaRPr lang="nl-NL" sz="800"/>
        </a:p>
      </dgm:t>
    </dgm:pt>
    <dgm:pt modelId="{07F8863E-D098-490B-B44E-73EFBDDFF7A4}" type="parTrans" cxnId="{FFFF7884-0C1F-4EA5-BFC2-61D7AAD648D1}">
      <dgm:prSet/>
      <dgm:spPr/>
      <dgm:t>
        <a:bodyPr/>
        <a:lstStyle/>
        <a:p>
          <a:endParaRPr lang="nl-NL" sz="800"/>
        </a:p>
      </dgm:t>
    </dgm:pt>
    <dgm:pt modelId="{1F89225F-E84D-46E2-840C-67F711CAA8C9}">
      <dgm:prSet phldrT="[Tekst]" custT="1"/>
      <dgm:spPr>
        <a:xfrm>
          <a:off x="2556696" y="0"/>
          <a:ext cx="822312" cy="5295899"/>
        </a:xfrm>
        <a:prstGeom prst="roundRect">
          <a:avLst>
            <a:gd name="adj" fmla="val 10000"/>
          </a:avLst>
        </a:prstGeom>
      </dgm:spPr>
      <dgm:t>
        <a:bodyPr/>
        <a:lstStyle/>
        <a:p>
          <a:r>
            <a:rPr lang="nl-NL" sz="800"/>
            <a:t>Centraal begrip</a:t>
          </a:r>
        </a:p>
      </dgm:t>
    </dgm:pt>
    <dgm:pt modelId="{ABC1B68C-1B27-42B1-AA8A-C44D32C89D54}" type="sibTrans" cxnId="{B1727EC7-E6AF-419D-B5D1-24B5A6A18F40}">
      <dgm:prSet/>
      <dgm:spPr/>
      <dgm:t>
        <a:bodyPr/>
        <a:lstStyle/>
        <a:p>
          <a:endParaRPr lang="nl-NL" sz="800"/>
        </a:p>
      </dgm:t>
    </dgm:pt>
    <dgm:pt modelId="{CA977031-8989-4CFB-B1F6-5DDF6218C95D}" type="parTrans" cxnId="{B1727EC7-E6AF-419D-B5D1-24B5A6A18F40}">
      <dgm:prSet/>
      <dgm:spPr/>
      <dgm:t>
        <a:bodyPr/>
        <a:lstStyle/>
        <a:p>
          <a:endParaRPr lang="nl-NL" sz="800"/>
        </a:p>
      </dgm:t>
    </dgm:pt>
    <dgm:pt modelId="{2E457011-6DA1-4009-9076-02F0E6A9F4D5}" type="pres">
      <dgm:prSet presAssocID="{730691CD-3CCB-4EE7-9DD7-B9DECC9C7EF5}" presName="mainComposite" presStyleCnt="0">
        <dgm:presLayoutVars>
          <dgm:chPref val="1"/>
          <dgm:dir/>
          <dgm:animOne val="branch"/>
          <dgm:animLvl val="lvl"/>
          <dgm:resizeHandles val="exact"/>
        </dgm:presLayoutVars>
      </dgm:prSet>
      <dgm:spPr/>
    </dgm:pt>
    <dgm:pt modelId="{110536F0-AC83-4906-9C21-ED4D99A9F1C9}" type="pres">
      <dgm:prSet presAssocID="{730691CD-3CCB-4EE7-9DD7-B9DECC9C7EF5}" presName="hierFlow" presStyleCnt="0"/>
      <dgm:spPr/>
    </dgm:pt>
    <dgm:pt modelId="{9A6DBD7B-1960-4701-A8D8-B4C19CCC293C}" type="pres">
      <dgm:prSet presAssocID="{730691CD-3CCB-4EE7-9DD7-B9DECC9C7EF5}" presName="firstBuf" presStyleCnt="0"/>
      <dgm:spPr/>
    </dgm:pt>
    <dgm:pt modelId="{B23446A1-296A-4AEB-991F-F5F07B0A66D8}" type="pres">
      <dgm:prSet presAssocID="{730691CD-3CCB-4EE7-9DD7-B9DECC9C7EF5}" presName="hierChild1" presStyleCnt="0">
        <dgm:presLayoutVars>
          <dgm:chPref val="1"/>
          <dgm:animOne val="branch"/>
          <dgm:animLvl val="lvl"/>
        </dgm:presLayoutVars>
      </dgm:prSet>
      <dgm:spPr/>
    </dgm:pt>
    <dgm:pt modelId="{CBEACDB8-989B-4A90-80C2-31CE299D3AC7}" type="pres">
      <dgm:prSet presAssocID="{55A22812-A10D-493E-9628-889A3E865E20}" presName="Name17" presStyleCnt="0"/>
      <dgm:spPr/>
    </dgm:pt>
    <dgm:pt modelId="{8F19268B-B170-47B9-B276-B0B30A921224}" type="pres">
      <dgm:prSet presAssocID="{55A22812-A10D-493E-9628-889A3E865E20}" presName="level1Shape" presStyleLbl="node0" presStyleIdx="0" presStyleCnt="1" custScaleX="107332" custScaleY="187608">
        <dgm:presLayoutVars>
          <dgm:chPref val="3"/>
        </dgm:presLayoutVars>
      </dgm:prSet>
      <dgm:spPr/>
    </dgm:pt>
    <dgm:pt modelId="{561777DD-9460-4FCE-9A2F-CA8F16C37EDB}" type="pres">
      <dgm:prSet presAssocID="{55A22812-A10D-493E-9628-889A3E865E20}" presName="hierChild2" presStyleCnt="0"/>
      <dgm:spPr/>
    </dgm:pt>
    <dgm:pt modelId="{CC68BC88-5CBB-4D48-8E25-4472854C9960}" type="pres">
      <dgm:prSet presAssocID="{BB889D24-0C5A-4C55-A327-7E51FF4004D7}" presName="Name25" presStyleLbl="parChTrans1D2" presStyleIdx="0" presStyleCnt="2"/>
      <dgm:spPr/>
    </dgm:pt>
    <dgm:pt modelId="{BB9212B7-9C7A-4881-B7FE-BA798EABE781}" type="pres">
      <dgm:prSet presAssocID="{BB889D24-0C5A-4C55-A327-7E51FF4004D7}" presName="connTx" presStyleLbl="parChTrans1D2" presStyleIdx="0" presStyleCnt="2"/>
      <dgm:spPr/>
    </dgm:pt>
    <dgm:pt modelId="{D6674120-DF7C-4579-9280-B42212164A57}" type="pres">
      <dgm:prSet presAssocID="{4710C3D6-B054-458D-A798-B9EFC918649B}" presName="Name30" presStyleCnt="0"/>
      <dgm:spPr/>
    </dgm:pt>
    <dgm:pt modelId="{6BC73FEB-0FF9-4A7B-B94C-2AF90844F12C}" type="pres">
      <dgm:prSet presAssocID="{4710C3D6-B054-458D-A798-B9EFC918649B}" presName="level2Shape" presStyleLbl="node2" presStyleIdx="0" presStyleCnt="2" custScaleX="107164" custScaleY="99662" custLinFactNeighborY="-24951"/>
      <dgm:spPr/>
    </dgm:pt>
    <dgm:pt modelId="{8343F693-3767-4BBA-8B97-0A28D9164EC4}" type="pres">
      <dgm:prSet presAssocID="{4710C3D6-B054-458D-A798-B9EFC918649B}" presName="hierChild3" presStyleCnt="0"/>
      <dgm:spPr/>
    </dgm:pt>
    <dgm:pt modelId="{418ACE79-6041-4DA1-A2ED-E0360AA6B36F}" type="pres">
      <dgm:prSet presAssocID="{D2054933-B70A-4E7F-82EB-2F61C29FA44B}" presName="Name25" presStyleLbl="parChTrans1D2" presStyleIdx="1" presStyleCnt="2"/>
      <dgm:spPr/>
    </dgm:pt>
    <dgm:pt modelId="{033C7CA2-1B75-454E-A5FD-0FAB6AAF08BB}" type="pres">
      <dgm:prSet presAssocID="{D2054933-B70A-4E7F-82EB-2F61C29FA44B}" presName="connTx" presStyleLbl="parChTrans1D2" presStyleIdx="1" presStyleCnt="2"/>
      <dgm:spPr/>
    </dgm:pt>
    <dgm:pt modelId="{E6010400-169E-41F0-937A-E633EA204EDE}" type="pres">
      <dgm:prSet presAssocID="{0E681A87-E347-4A0C-A672-0FD78BB61A9F}" presName="Name30" presStyleCnt="0"/>
      <dgm:spPr/>
    </dgm:pt>
    <dgm:pt modelId="{38AF3FE6-C506-468E-A70D-9F29962AA7A8}" type="pres">
      <dgm:prSet presAssocID="{0E681A87-E347-4A0C-A672-0FD78BB61A9F}" presName="level2Shape" presStyleLbl="node2" presStyleIdx="1" presStyleCnt="2" custScaleX="107164" custScaleY="99662"/>
      <dgm:spPr/>
    </dgm:pt>
    <dgm:pt modelId="{275845C3-95A9-4542-88EB-C6229D2547C3}" type="pres">
      <dgm:prSet presAssocID="{0E681A87-E347-4A0C-A672-0FD78BB61A9F}" presName="hierChild3" presStyleCnt="0"/>
      <dgm:spPr/>
    </dgm:pt>
    <dgm:pt modelId="{BA768222-7A16-434F-B2E0-3F1C1A673083}" type="pres">
      <dgm:prSet presAssocID="{76116E4F-DC9E-4C8A-B383-AFD8652CA88B}" presName="Name25" presStyleLbl="parChTrans1D3" presStyleIdx="0" presStyleCnt="4"/>
      <dgm:spPr/>
    </dgm:pt>
    <dgm:pt modelId="{331278FF-AC9F-4541-AB44-1F2AFBF994EA}" type="pres">
      <dgm:prSet presAssocID="{76116E4F-DC9E-4C8A-B383-AFD8652CA88B}" presName="connTx" presStyleLbl="parChTrans1D3" presStyleIdx="0" presStyleCnt="4"/>
      <dgm:spPr/>
    </dgm:pt>
    <dgm:pt modelId="{AE4283D3-87CD-461C-8CB0-D0789482E88B}" type="pres">
      <dgm:prSet presAssocID="{55D30D76-9D13-45E6-AA0D-622106838E33}" presName="Name30" presStyleCnt="0"/>
      <dgm:spPr/>
    </dgm:pt>
    <dgm:pt modelId="{1FDA3A69-74D2-4843-8E2B-6070B5CEB616}" type="pres">
      <dgm:prSet presAssocID="{55D30D76-9D13-45E6-AA0D-622106838E33}" presName="level2Shape" presStyleLbl="node3" presStyleIdx="0" presStyleCnt="4" custScaleX="107164" custScaleY="99662"/>
      <dgm:spPr/>
    </dgm:pt>
    <dgm:pt modelId="{F00D6894-5F6F-46D3-AFAA-A8FEDDA6E229}" type="pres">
      <dgm:prSet presAssocID="{55D30D76-9D13-45E6-AA0D-622106838E33}" presName="hierChild3" presStyleCnt="0"/>
      <dgm:spPr/>
    </dgm:pt>
    <dgm:pt modelId="{80110401-87D8-4033-9579-19CFB5423CB5}" type="pres">
      <dgm:prSet presAssocID="{5062C6F3-FE5C-4C25-9F5F-3CF6D4C9F8C0}" presName="Name25" presStyleLbl="parChTrans1D4" presStyleIdx="0" presStyleCnt="9"/>
      <dgm:spPr/>
    </dgm:pt>
    <dgm:pt modelId="{EB41E16A-6CA2-4D66-8C0A-2303F5E4EC9F}" type="pres">
      <dgm:prSet presAssocID="{5062C6F3-FE5C-4C25-9F5F-3CF6D4C9F8C0}" presName="connTx" presStyleLbl="parChTrans1D4" presStyleIdx="0" presStyleCnt="9"/>
      <dgm:spPr/>
    </dgm:pt>
    <dgm:pt modelId="{610AFFC9-6D91-4384-A929-CB636E576D25}" type="pres">
      <dgm:prSet presAssocID="{168B4C1C-CC45-4754-A1C8-CF0DB0AB3A95}" presName="Name30" presStyleCnt="0"/>
      <dgm:spPr/>
    </dgm:pt>
    <dgm:pt modelId="{5F683B5D-246D-47B1-9C78-04D8BF30C4DA}" type="pres">
      <dgm:prSet presAssocID="{168B4C1C-CC45-4754-A1C8-CF0DB0AB3A95}" presName="level2Shape" presStyleLbl="node4" presStyleIdx="0" presStyleCnt="9" custScaleX="428655" custScaleY="100734"/>
      <dgm:spPr/>
    </dgm:pt>
    <dgm:pt modelId="{F99C68B4-147E-4169-885C-CA1E82818C50}" type="pres">
      <dgm:prSet presAssocID="{168B4C1C-CC45-4754-A1C8-CF0DB0AB3A95}" presName="hierChild3" presStyleCnt="0"/>
      <dgm:spPr/>
    </dgm:pt>
    <dgm:pt modelId="{5295F92A-1F8B-401E-8FB3-FAA0EC72CB47}" type="pres">
      <dgm:prSet presAssocID="{C19E9A15-A8E1-476A-B7EF-7A611825501C}" presName="Name25" presStyleLbl="parChTrans1D4" presStyleIdx="1" presStyleCnt="9"/>
      <dgm:spPr/>
    </dgm:pt>
    <dgm:pt modelId="{A6F2CB4D-6C32-460B-9ECF-04BA979A6088}" type="pres">
      <dgm:prSet presAssocID="{C19E9A15-A8E1-476A-B7EF-7A611825501C}" presName="connTx" presStyleLbl="parChTrans1D4" presStyleIdx="1" presStyleCnt="9"/>
      <dgm:spPr/>
    </dgm:pt>
    <dgm:pt modelId="{B00BF01E-9E8A-4C2E-8C73-EA0B048DB427}" type="pres">
      <dgm:prSet presAssocID="{676B45F0-F994-430E-A33F-D331A69895A7}" presName="Name30" presStyleCnt="0"/>
      <dgm:spPr/>
    </dgm:pt>
    <dgm:pt modelId="{ACF8FCE4-3A97-4E70-8F72-7937AF5B8A14}" type="pres">
      <dgm:prSet presAssocID="{676B45F0-F994-430E-A33F-D331A69895A7}" presName="level2Shape" presStyleLbl="node4" presStyleIdx="1" presStyleCnt="9" custScaleX="428655" custScaleY="100734"/>
      <dgm:spPr/>
    </dgm:pt>
    <dgm:pt modelId="{B148F769-919C-4F9F-B9FC-F9B8A2969B33}" type="pres">
      <dgm:prSet presAssocID="{676B45F0-F994-430E-A33F-D331A69895A7}" presName="hierChild3" presStyleCnt="0"/>
      <dgm:spPr/>
    </dgm:pt>
    <dgm:pt modelId="{87A86CB4-C3E4-4577-A388-8C44A972E7B2}" type="pres">
      <dgm:prSet presAssocID="{5257AAFB-E8E3-4DD0-9EFC-D4ECE0D26482}" presName="Name25" presStyleLbl="parChTrans1D3" presStyleIdx="1" presStyleCnt="4"/>
      <dgm:spPr/>
    </dgm:pt>
    <dgm:pt modelId="{7C1D1254-2CAB-46EF-A4FB-B244E63C0D30}" type="pres">
      <dgm:prSet presAssocID="{5257AAFB-E8E3-4DD0-9EFC-D4ECE0D26482}" presName="connTx" presStyleLbl="parChTrans1D3" presStyleIdx="1" presStyleCnt="4"/>
      <dgm:spPr/>
    </dgm:pt>
    <dgm:pt modelId="{0082FC14-C0D3-4EEB-AACC-E82F8DD41B71}" type="pres">
      <dgm:prSet presAssocID="{66E9E855-EA79-40F7-AABC-655A6D5EC691}" presName="Name30" presStyleCnt="0"/>
      <dgm:spPr/>
    </dgm:pt>
    <dgm:pt modelId="{B757EDAE-B30F-4E1D-9C40-0079E8DA955A}" type="pres">
      <dgm:prSet presAssocID="{66E9E855-EA79-40F7-AABC-655A6D5EC691}" presName="level2Shape" presStyleLbl="node3" presStyleIdx="1" presStyleCnt="4" custScaleX="107164" custScaleY="99662"/>
      <dgm:spPr/>
    </dgm:pt>
    <dgm:pt modelId="{F839332B-3487-4BEB-8F56-906A65A27D89}" type="pres">
      <dgm:prSet presAssocID="{66E9E855-EA79-40F7-AABC-655A6D5EC691}" presName="hierChild3" presStyleCnt="0"/>
      <dgm:spPr/>
    </dgm:pt>
    <dgm:pt modelId="{DA67EFBA-6D28-4B6E-ADD5-E09D60AF2140}" type="pres">
      <dgm:prSet presAssocID="{CF0884BF-CED7-4530-891E-19B8BB6D1A63}" presName="Name25" presStyleLbl="parChTrans1D4" presStyleIdx="2" presStyleCnt="9"/>
      <dgm:spPr/>
    </dgm:pt>
    <dgm:pt modelId="{33577FB8-1F5C-4D2B-B365-26C61202FB21}" type="pres">
      <dgm:prSet presAssocID="{CF0884BF-CED7-4530-891E-19B8BB6D1A63}" presName="connTx" presStyleLbl="parChTrans1D4" presStyleIdx="2" presStyleCnt="9"/>
      <dgm:spPr/>
    </dgm:pt>
    <dgm:pt modelId="{99318C44-C39E-4A19-950B-9C9331852D43}" type="pres">
      <dgm:prSet presAssocID="{4B0F8E5E-AF6F-40B7-9049-8B626EB7B1B2}" presName="Name30" presStyleCnt="0"/>
      <dgm:spPr/>
    </dgm:pt>
    <dgm:pt modelId="{28020C06-D4D2-49D3-BBEA-BC566477D017}" type="pres">
      <dgm:prSet presAssocID="{4B0F8E5E-AF6F-40B7-9049-8B626EB7B1B2}" presName="level2Shape" presStyleLbl="node4" presStyleIdx="2" presStyleCnt="9" custScaleX="428655" custScaleY="100734"/>
      <dgm:spPr/>
    </dgm:pt>
    <dgm:pt modelId="{6ED8AA87-AF93-41CC-8980-EA2751A5DF95}" type="pres">
      <dgm:prSet presAssocID="{4B0F8E5E-AF6F-40B7-9049-8B626EB7B1B2}" presName="hierChild3" presStyleCnt="0"/>
      <dgm:spPr/>
    </dgm:pt>
    <dgm:pt modelId="{10D0769D-35EA-455F-857F-057AC9226557}" type="pres">
      <dgm:prSet presAssocID="{F2F71D60-8AC5-4F52-8FBA-9E9CB56700F9}" presName="Name25" presStyleLbl="parChTrans1D4" presStyleIdx="3" presStyleCnt="9"/>
      <dgm:spPr/>
    </dgm:pt>
    <dgm:pt modelId="{4B4A67D8-BEE0-489E-8D3B-DDBE6CA93A9B}" type="pres">
      <dgm:prSet presAssocID="{F2F71D60-8AC5-4F52-8FBA-9E9CB56700F9}" presName="connTx" presStyleLbl="parChTrans1D4" presStyleIdx="3" presStyleCnt="9"/>
      <dgm:spPr/>
    </dgm:pt>
    <dgm:pt modelId="{D8100CA7-2C4C-4077-9FFE-2486233C6E22}" type="pres">
      <dgm:prSet presAssocID="{6E8D8918-1DBD-4166-A9E5-F6D6968CF568}" presName="Name30" presStyleCnt="0"/>
      <dgm:spPr/>
    </dgm:pt>
    <dgm:pt modelId="{31E9BBAE-3B19-488C-AB9E-4EF8F1F4A8E5}" type="pres">
      <dgm:prSet presAssocID="{6E8D8918-1DBD-4166-A9E5-F6D6968CF568}" presName="level2Shape" presStyleLbl="node4" presStyleIdx="3" presStyleCnt="9" custScaleX="428655" custScaleY="100734"/>
      <dgm:spPr/>
    </dgm:pt>
    <dgm:pt modelId="{BD650E52-B914-43FA-B584-0CA6C5AA75CF}" type="pres">
      <dgm:prSet presAssocID="{6E8D8918-1DBD-4166-A9E5-F6D6968CF568}" presName="hierChild3" presStyleCnt="0"/>
      <dgm:spPr/>
    </dgm:pt>
    <dgm:pt modelId="{091B9AA4-5A15-4586-AE88-E400F3F6340E}" type="pres">
      <dgm:prSet presAssocID="{E7F86FB9-C409-4708-A801-F5939B1D2517}" presName="Name25" presStyleLbl="parChTrans1D3" presStyleIdx="2" presStyleCnt="4"/>
      <dgm:spPr/>
    </dgm:pt>
    <dgm:pt modelId="{94269D3B-93A8-48D5-85D9-FB17997BB915}" type="pres">
      <dgm:prSet presAssocID="{E7F86FB9-C409-4708-A801-F5939B1D2517}" presName="connTx" presStyleLbl="parChTrans1D3" presStyleIdx="2" presStyleCnt="4"/>
      <dgm:spPr/>
    </dgm:pt>
    <dgm:pt modelId="{8906BF77-F2D8-4A80-B7F2-C0F351F0A361}" type="pres">
      <dgm:prSet presAssocID="{90B97C4F-5A48-49AF-BEB6-51EFE1100780}" presName="Name30" presStyleCnt="0"/>
      <dgm:spPr/>
    </dgm:pt>
    <dgm:pt modelId="{A762CD8A-F6E9-45D3-BCEB-5AF8F7C6D21D}" type="pres">
      <dgm:prSet presAssocID="{90B97C4F-5A48-49AF-BEB6-51EFE1100780}" presName="level2Shape" presStyleLbl="node3" presStyleIdx="2" presStyleCnt="4" custScaleX="107164" custScaleY="99662"/>
      <dgm:spPr/>
    </dgm:pt>
    <dgm:pt modelId="{EBA94E49-3B32-45A0-9B87-26B45774E6F8}" type="pres">
      <dgm:prSet presAssocID="{90B97C4F-5A48-49AF-BEB6-51EFE1100780}" presName="hierChild3" presStyleCnt="0"/>
      <dgm:spPr/>
    </dgm:pt>
    <dgm:pt modelId="{12FA289F-805D-4020-AB96-60DF8D63F3A5}" type="pres">
      <dgm:prSet presAssocID="{48536DBD-CA30-4297-9583-6C8BFC41AD38}" presName="Name25" presStyleLbl="parChTrans1D4" presStyleIdx="4" presStyleCnt="9"/>
      <dgm:spPr/>
    </dgm:pt>
    <dgm:pt modelId="{C245CA06-539D-4AA1-9C86-63253EC26258}" type="pres">
      <dgm:prSet presAssocID="{48536DBD-CA30-4297-9583-6C8BFC41AD38}" presName="connTx" presStyleLbl="parChTrans1D4" presStyleIdx="4" presStyleCnt="9"/>
      <dgm:spPr/>
    </dgm:pt>
    <dgm:pt modelId="{3CFDEFC1-2151-44B9-9287-BB6FACDF0275}" type="pres">
      <dgm:prSet presAssocID="{F3851D85-3DE3-4F38-88FB-26E37ACD5764}" presName="Name30" presStyleCnt="0"/>
      <dgm:spPr/>
    </dgm:pt>
    <dgm:pt modelId="{10BEEE2B-D4DB-4500-9495-0DADDD1E901B}" type="pres">
      <dgm:prSet presAssocID="{F3851D85-3DE3-4F38-88FB-26E37ACD5764}" presName="level2Shape" presStyleLbl="node4" presStyleIdx="4" presStyleCnt="9" custScaleX="428655" custScaleY="99662"/>
      <dgm:spPr/>
    </dgm:pt>
    <dgm:pt modelId="{69F38E37-451C-4527-B552-B664D26572C8}" type="pres">
      <dgm:prSet presAssocID="{F3851D85-3DE3-4F38-88FB-26E37ACD5764}" presName="hierChild3" presStyleCnt="0"/>
      <dgm:spPr/>
    </dgm:pt>
    <dgm:pt modelId="{9C270939-0433-43E5-8C75-AF3E2316C7A9}" type="pres">
      <dgm:prSet presAssocID="{6B9A667B-83A7-4712-BE47-DD2A8E8A622F}" presName="Name25" presStyleLbl="parChTrans1D4" presStyleIdx="5" presStyleCnt="9"/>
      <dgm:spPr/>
    </dgm:pt>
    <dgm:pt modelId="{36319EB8-E838-4013-8260-785512EC5A09}" type="pres">
      <dgm:prSet presAssocID="{6B9A667B-83A7-4712-BE47-DD2A8E8A622F}" presName="connTx" presStyleLbl="parChTrans1D4" presStyleIdx="5" presStyleCnt="9"/>
      <dgm:spPr/>
    </dgm:pt>
    <dgm:pt modelId="{905A52FF-99B4-4CAB-B6F5-CF64DC09CD69}" type="pres">
      <dgm:prSet presAssocID="{BEC715C5-E978-4E58-BA75-B08188F94729}" presName="Name30" presStyleCnt="0"/>
      <dgm:spPr/>
    </dgm:pt>
    <dgm:pt modelId="{2235568A-637E-457E-A716-B41A41084271}" type="pres">
      <dgm:prSet presAssocID="{BEC715C5-E978-4E58-BA75-B08188F94729}" presName="level2Shape" presStyleLbl="node4" presStyleIdx="5" presStyleCnt="9" custScaleX="428655" custScaleY="100734"/>
      <dgm:spPr/>
    </dgm:pt>
    <dgm:pt modelId="{3B68F2FB-7836-46A8-B925-7F0346E80B76}" type="pres">
      <dgm:prSet presAssocID="{BEC715C5-E978-4E58-BA75-B08188F94729}" presName="hierChild3" presStyleCnt="0"/>
      <dgm:spPr/>
    </dgm:pt>
    <dgm:pt modelId="{B56A3AD0-ACB6-48D9-AFEB-4AD557F6365B}" type="pres">
      <dgm:prSet presAssocID="{05A75B09-157C-43CA-AA4C-325216976B65}" presName="Name25" presStyleLbl="parChTrans1D3" presStyleIdx="3" presStyleCnt="4"/>
      <dgm:spPr/>
    </dgm:pt>
    <dgm:pt modelId="{95FA2159-B2B3-46AA-BD02-6A9BB1057640}" type="pres">
      <dgm:prSet presAssocID="{05A75B09-157C-43CA-AA4C-325216976B65}" presName="connTx" presStyleLbl="parChTrans1D3" presStyleIdx="3" presStyleCnt="4"/>
      <dgm:spPr/>
    </dgm:pt>
    <dgm:pt modelId="{BD6D54A8-43EA-43F0-944F-90B9A934F3AE}" type="pres">
      <dgm:prSet presAssocID="{80F1DC3C-307C-4DCA-8F49-11691EBDC6AA}" presName="Name30" presStyleCnt="0"/>
      <dgm:spPr/>
    </dgm:pt>
    <dgm:pt modelId="{9D98CD9E-3322-45B6-8390-28C9FEC34CE7}" type="pres">
      <dgm:prSet presAssocID="{80F1DC3C-307C-4DCA-8F49-11691EBDC6AA}" presName="level2Shape" presStyleLbl="node3" presStyleIdx="3" presStyleCnt="4" custScaleX="107164" custScaleY="99662"/>
      <dgm:spPr/>
    </dgm:pt>
    <dgm:pt modelId="{81514306-837D-41D6-94EE-0B3795B6295E}" type="pres">
      <dgm:prSet presAssocID="{80F1DC3C-307C-4DCA-8F49-11691EBDC6AA}" presName="hierChild3" presStyleCnt="0"/>
      <dgm:spPr/>
    </dgm:pt>
    <dgm:pt modelId="{79C7FF9C-B692-4241-A565-E0BC0758576C}" type="pres">
      <dgm:prSet presAssocID="{A8702D56-9B49-4514-B88D-3C32F812F4EF}" presName="Name25" presStyleLbl="parChTrans1D4" presStyleIdx="6" presStyleCnt="9"/>
      <dgm:spPr/>
    </dgm:pt>
    <dgm:pt modelId="{7DB5370F-4403-436A-B731-22D3BE131DB5}" type="pres">
      <dgm:prSet presAssocID="{A8702D56-9B49-4514-B88D-3C32F812F4EF}" presName="connTx" presStyleLbl="parChTrans1D4" presStyleIdx="6" presStyleCnt="9"/>
      <dgm:spPr/>
    </dgm:pt>
    <dgm:pt modelId="{F8DDCA84-5609-4B60-AEDE-3C692A8B895D}" type="pres">
      <dgm:prSet presAssocID="{94B86DF2-AE90-41AE-A592-09262185B868}" presName="Name30" presStyleCnt="0"/>
      <dgm:spPr/>
    </dgm:pt>
    <dgm:pt modelId="{F3CED7B5-A709-4D55-96B9-B9BB52C338EB}" type="pres">
      <dgm:prSet presAssocID="{94B86DF2-AE90-41AE-A592-09262185B868}" presName="level2Shape" presStyleLbl="node4" presStyleIdx="6" presStyleCnt="9" custScaleX="428655" custScaleY="99662"/>
      <dgm:spPr/>
    </dgm:pt>
    <dgm:pt modelId="{40B1C0B7-EF1F-45A2-98C8-F31B2BB0266A}" type="pres">
      <dgm:prSet presAssocID="{94B86DF2-AE90-41AE-A592-09262185B868}" presName="hierChild3" presStyleCnt="0"/>
      <dgm:spPr/>
    </dgm:pt>
    <dgm:pt modelId="{AC412E89-4604-415D-971F-5EBA6EA35F02}" type="pres">
      <dgm:prSet presAssocID="{047B481B-9658-48A0-84FA-A3BAFC9FC7CF}" presName="Name25" presStyleLbl="parChTrans1D4" presStyleIdx="7" presStyleCnt="9"/>
      <dgm:spPr/>
    </dgm:pt>
    <dgm:pt modelId="{8631E3D9-D13D-4E9E-891D-3B715AC66ECB}" type="pres">
      <dgm:prSet presAssocID="{047B481B-9658-48A0-84FA-A3BAFC9FC7CF}" presName="connTx" presStyleLbl="parChTrans1D4" presStyleIdx="7" presStyleCnt="9"/>
      <dgm:spPr/>
    </dgm:pt>
    <dgm:pt modelId="{FDB12CAD-F631-4A1F-97D4-A332D895C1E7}" type="pres">
      <dgm:prSet presAssocID="{28AA4F0A-2FA2-4E40-AEB7-CC34F6D96C93}" presName="Name30" presStyleCnt="0"/>
      <dgm:spPr/>
    </dgm:pt>
    <dgm:pt modelId="{74BF1C35-8060-4AAC-BFC5-5CB6CAF327F8}" type="pres">
      <dgm:prSet presAssocID="{28AA4F0A-2FA2-4E40-AEB7-CC34F6D96C93}" presName="level2Shape" presStyleLbl="node4" presStyleIdx="7" presStyleCnt="9" custScaleX="428655" custScaleY="100734"/>
      <dgm:spPr/>
    </dgm:pt>
    <dgm:pt modelId="{B69EBF17-E42F-42C7-9B92-2DDD9F4869E0}" type="pres">
      <dgm:prSet presAssocID="{28AA4F0A-2FA2-4E40-AEB7-CC34F6D96C93}" presName="hierChild3" presStyleCnt="0"/>
      <dgm:spPr/>
    </dgm:pt>
    <dgm:pt modelId="{0569F182-E3F8-427F-99AA-F122BD8BF2F9}" type="pres">
      <dgm:prSet presAssocID="{C9A488C7-D4CF-42C5-867C-DF7B36910E05}" presName="Name25" presStyleLbl="parChTrans1D4" presStyleIdx="8" presStyleCnt="9"/>
      <dgm:spPr/>
    </dgm:pt>
    <dgm:pt modelId="{DD22DEE1-6A42-4CAF-AA3C-BAB203F5759A}" type="pres">
      <dgm:prSet presAssocID="{C9A488C7-D4CF-42C5-867C-DF7B36910E05}" presName="connTx" presStyleLbl="parChTrans1D4" presStyleIdx="8" presStyleCnt="9"/>
      <dgm:spPr/>
    </dgm:pt>
    <dgm:pt modelId="{4D577C22-2702-4529-AE95-744C0E8EAA72}" type="pres">
      <dgm:prSet presAssocID="{6A903C54-5591-4EC8-B64B-40871646FF82}" presName="Name30" presStyleCnt="0"/>
      <dgm:spPr/>
    </dgm:pt>
    <dgm:pt modelId="{2A02F76E-44CB-485E-B9A9-478E59D14509}" type="pres">
      <dgm:prSet presAssocID="{6A903C54-5591-4EC8-B64B-40871646FF82}" presName="level2Shape" presStyleLbl="node4" presStyleIdx="8" presStyleCnt="9" custScaleX="428655" custScaleY="99662"/>
      <dgm:spPr/>
    </dgm:pt>
    <dgm:pt modelId="{58F53D56-1A57-41F6-9320-20F0D09C4AA4}" type="pres">
      <dgm:prSet presAssocID="{6A903C54-5591-4EC8-B64B-40871646FF82}" presName="hierChild3" presStyleCnt="0"/>
      <dgm:spPr/>
    </dgm:pt>
    <dgm:pt modelId="{9D5E2263-F268-4C0E-B125-77786BF37331}" type="pres">
      <dgm:prSet presAssocID="{730691CD-3CCB-4EE7-9DD7-B9DECC9C7EF5}" presName="bgShapesFlow" presStyleCnt="0"/>
      <dgm:spPr/>
    </dgm:pt>
    <dgm:pt modelId="{8FD510E7-FC7C-4976-B022-D5F8119F61F8}" type="pres">
      <dgm:prSet presAssocID="{1F89225F-E84D-46E2-840C-67F711CAA8C9}" presName="rectComp" presStyleCnt="0"/>
      <dgm:spPr/>
    </dgm:pt>
    <dgm:pt modelId="{B2211D72-8007-43CC-A569-167D6D8A6544}" type="pres">
      <dgm:prSet presAssocID="{1F89225F-E84D-46E2-840C-67F711CAA8C9}" presName="bgRect" presStyleLbl="bgShp" presStyleIdx="0" presStyleCnt="4" custScaleX="99915" custLinFactNeighborX="2919" custLinFactNeighborY="286"/>
      <dgm:spPr/>
    </dgm:pt>
    <dgm:pt modelId="{F5E7B76A-998E-4266-8CCF-A31FF76DE272}" type="pres">
      <dgm:prSet presAssocID="{1F89225F-E84D-46E2-840C-67F711CAA8C9}" presName="bgRectTx" presStyleLbl="bgShp" presStyleIdx="0" presStyleCnt="4">
        <dgm:presLayoutVars>
          <dgm:bulletEnabled val="1"/>
        </dgm:presLayoutVars>
      </dgm:prSet>
      <dgm:spPr/>
    </dgm:pt>
    <dgm:pt modelId="{4598EFA2-2AEE-4707-A462-0B7013FADA99}" type="pres">
      <dgm:prSet presAssocID="{1F89225F-E84D-46E2-840C-67F711CAA8C9}" presName="spComp" presStyleCnt="0"/>
      <dgm:spPr/>
    </dgm:pt>
    <dgm:pt modelId="{19C5EC07-92FD-4792-B977-C930E9E5563B}" type="pres">
      <dgm:prSet presAssocID="{1F89225F-E84D-46E2-840C-67F711CAA8C9}" presName="hSp" presStyleCnt="0"/>
      <dgm:spPr/>
    </dgm:pt>
    <dgm:pt modelId="{3D246CA4-FA38-464B-9004-10CB19862490}" type="pres">
      <dgm:prSet presAssocID="{6091E229-71E6-4D99-83B7-6C172687C8C1}" presName="rectComp" presStyleCnt="0"/>
      <dgm:spPr/>
    </dgm:pt>
    <dgm:pt modelId="{E9C9894D-60BF-4C2A-96F1-9EAD437E6654}" type="pres">
      <dgm:prSet presAssocID="{6091E229-71E6-4D99-83B7-6C172687C8C1}" presName="bgRect" presStyleLbl="bgShp" presStyleIdx="1" presStyleCnt="4" custLinFactNeighborX="9557"/>
      <dgm:spPr/>
    </dgm:pt>
    <dgm:pt modelId="{402B8DB7-2DC3-4CAE-9D24-63B4E310278C}" type="pres">
      <dgm:prSet presAssocID="{6091E229-71E6-4D99-83B7-6C172687C8C1}" presName="bgRectTx" presStyleLbl="bgShp" presStyleIdx="1" presStyleCnt="4">
        <dgm:presLayoutVars>
          <dgm:bulletEnabled val="1"/>
        </dgm:presLayoutVars>
      </dgm:prSet>
      <dgm:spPr/>
    </dgm:pt>
    <dgm:pt modelId="{3D2F764C-7B5C-4EA1-845E-06266AF97EB1}" type="pres">
      <dgm:prSet presAssocID="{6091E229-71E6-4D99-83B7-6C172687C8C1}" presName="spComp" presStyleCnt="0"/>
      <dgm:spPr/>
    </dgm:pt>
    <dgm:pt modelId="{1750A006-E932-40E7-9591-6DB2163428E0}" type="pres">
      <dgm:prSet presAssocID="{6091E229-71E6-4D99-83B7-6C172687C8C1}" presName="hSp" presStyleCnt="0"/>
      <dgm:spPr/>
    </dgm:pt>
    <dgm:pt modelId="{F8F09353-A3EA-41BC-B52E-017CDC5345F2}" type="pres">
      <dgm:prSet presAssocID="{76E1BBB6-E056-4452-A543-E4CC0A6CA8EE}" presName="rectComp" presStyleCnt="0"/>
      <dgm:spPr/>
    </dgm:pt>
    <dgm:pt modelId="{D29AC5AA-B2C4-49D8-A07B-27FD39C30041}" type="pres">
      <dgm:prSet presAssocID="{76E1BBB6-E056-4452-A543-E4CC0A6CA8EE}" presName="bgRect" presStyleLbl="bgShp" presStyleIdx="2" presStyleCnt="4" custLinFactNeighborX="15229"/>
      <dgm:spPr/>
    </dgm:pt>
    <dgm:pt modelId="{C1F033D8-E224-496E-A2AF-E7520C18823B}" type="pres">
      <dgm:prSet presAssocID="{76E1BBB6-E056-4452-A543-E4CC0A6CA8EE}" presName="bgRectTx" presStyleLbl="bgShp" presStyleIdx="2" presStyleCnt="4">
        <dgm:presLayoutVars>
          <dgm:bulletEnabled val="1"/>
        </dgm:presLayoutVars>
      </dgm:prSet>
      <dgm:spPr/>
    </dgm:pt>
    <dgm:pt modelId="{4ED7BDF1-CE29-47E4-B184-AD899370E6A5}" type="pres">
      <dgm:prSet presAssocID="{76E1BBB6-E056-4452-A543-E4CC0A6CA8EE}" presName="spComp" presStyleCnt="0"/>
      <dgm:spPr/>
    </dgm:pt>
    <dgm:pt modelId="{F3DC622E-414B-46A1-BAB9-67035337E051}" type="pres">
      <dgm:prSet presAssocID="{76E1BBB6-E056-4452-A543-E4CC0A6CA8EE}" presName="hSp" presStyleCnt="0"/>
      <dgm:spPr/>
    </dgm:pt>
    <dgm:pt modelId="{F2876F2D-BF71-46D5-94FA-0FBB1CC75183}" type="pres">
      <dgm:prSet presAssocID="{C705D5EB-F8A8-4C28-BFF4-01F49DD2D051}" presName="rectComp" presStyleCnt="0"/>
      <dgm:spPr/>
    </dgm:pt>
    <dgm:pt modelId="{5046583C-64DE-453C-99CC-6F3CB012C473}" type="pres">
      <dgm:prSet presAssocID="{C705D5EB-F8A8-4C28-BFF4-01F49DD2D051}" presName="bgRect" presStyleLbl="bgShp" presStyleIdx="3" presStyleCnt="4" custScaleX="370608" custLinFactNeighborX="19053"/>
      <dgm:spPr/>
    </dgm:pt>
    <dgm:pt modelId="{BCA8D300-C60F-48C7-BAD9-6C023914F87C}" type="pres">
      <dgm:prSet presAssocID="{C705D5EB-F8A8-4C28-BFF4-01F49DD2D051}" presName="bgRectTx" presStyleLbl="bgShp" presStyleIdx="3" presStyleCnt="4">
        <dgm:presLayoutVars>
          <dgm:bulletEnabled val="1"/>
        </dgm:presLayoutVars>
      </dgm:prSet>
      <dgm:spPr/>
    </dgm:pt>
  </dgm:ptLst>
  <dgm:cxnLst>
    <dgm:cxn modelId="{F3C5EA01-6C15-4901-8EA0-00FE3FA564A3}" srcId="{0E681A87-E347-4A0C-A672-0FD78BB61A9F}" destId="{90B97C4F-5A48-49AF-BEB6-51EFE1100780}" srcOrd="2" destOrd="0" parTransId="{E7F86FB9-C409-4708-A801-F5939B1D2517}" sibTransId="{5195EF69-1582-4AFB-9E50-A5DD4A6C6440}"/>
    <dgm:cxn modelId="{A4B72603-01E3-4E09-AF3A-AE14DA038BB3}" type="presOf" srcId="{BEC715C5-E978-4E58-BA75-B08188F94729}" destId="{2235568A-637E-457E-A716-B41A41084271}" srcOrd="0" destOrd="0" presId="urn:microsoft.com/office/officeart/2005/8/layout/hierarchy5"/>
    <dgm:cxn modelId="{8BE51E06-DD44-4BCB-BC55-1AF1ED0629D8}" srcId="{730691CD-3CCB-4EE7-9DD7-B9DECC9C7EF5}" destId="{55A22812-A10D-493E-9628-889A3E865E20}" srcOrd="0" destOrd="0" parTransId="{3FE6EEE9-0678-4449-B352-E7270D71B974}" sibTransId="{7BA99FB5-AA33-47D4-8341-E0D45CAD9F44}"/>
    <dgm:cxn modelId="{96BF210A-B7A7-4AA0-86DA-B73D68565380}" srcId="{90B97C4F-5A48-49AF-BEB6-51EFE1100780}" destId="{BEC715C5-E978-4E58-BA75-B08188F94729}" srcOrd="1" destOrd="0" parTransId="{6B9A667B-83A7-4712-BE47-DD2A8E8A622F}" sibTransId="{05258909-D6BD-4667-962C-AAE5BEE3C5E3}"/>
    <dgm:cxn modelId="{E4F1C50D-9877-4784-A591-1DB7F0D9B1FC}" type="presOf" srcId="{4710C3D6-B054-458D-A798-B9EFC918649B}" destId="{6BC73FEB-0FF9-4A7B-B94C-2AF90844F12C}" srcOrd="0" destOrd="0" presId="urn:microsoft.com/office/officeart/2005/8/layout/hierarchy5"/>
    <dgm:cxn modelId="{7FD87D13-3641-4682-8B0A-3C2183E4043E}" type="presOf" srcId="{CF0884BF-CED7-4530-891E-19B8BB6D1A63}" destId="{33577FB8-1F5C-4D2B-B365-26C61202FB21}" srcOrd="1" destOrd="0" presId="urn:microsoft.com/office/officeart/2005/8/layout/hierarchy5"/>
    <dgm:cxn modelId="{7D927915-942B-4EA8-9D72-6A2822EFAE71}" type="presOf" srcId="{C705D5EB-F8A8-4C28-BFF4-01F49DD2D051}" destId="{5046583C-64DE-453C-99CC-6F3CB012C473}" srcOrd="0" destOrd="0" presId="urn:microsoft.com/office/officeart/2005/8/layout/hierarchy5"/>
    <dgm:cxn modelId="{61D91619-90C2-4BDF-9BB6-5F4F94B4ABEF}" srcId="{730691CD-3CCB-4EE7-9DD7-B9DECC9C7EF5}" destId="{76E1BBB6-E056-4452-A543-E4CC0A6CA8EE}" srcOrd="3" destOrd="0" parTransId="{DD85BB05-5DF2-4A7B-92EC-830F001086C5}" sibTransId="{D4E29DFC-F540-4A6C-B608-A0DBF7671FEA}"/>
    <dgm:cxn modelId="{69FA6B1B-CFA0-414C-B17C-A319272E7625}" type="presOf" srcId="{05A75B09-157C-43CA-AA4C-325216976B65}" destId="{95FA2159-B2B3-46AA-BD02-6A9BB1057640}" srcOrd="1" destOrd="0" presId="urn:microsoft.com/office/officeart/2005/8/layout/hierarchy5"/>
    <dgm:cxn modelId="{619F701F-8CFB-4BE2-AA8E-8E77167407A7}" srcId="{730691CD-3CCB-4EE7-9DD7-B9DECC9C7EF5}" destId="{C705D5EB-F8A8-4C28-BFF4-01F49DD2D051}" srcOrd="4" destOrd="0" parTransId="{DD9572FA-EE9E-4578-BC71-C4734F073A45}" sibTransId="{89AF38F1-EBC2-48F5-A103-B6D75B1AD84F}"/>
    <dgm:cxn modelId="{48046D20-DAA6-47BB-AF4C-384EBE413648}" srcId="{0E681A87-E347-4A0C-A672-0FD78BB61A9F}" destId="{66E9E855-EA79-40F7-AABC-655A6D5EC691}" srcOrd="1" destOrd="0" parTransId="{5257AAFB-E8E3-4DD0-9EFC-D4ECE0D26482}" sibTransId="{17CC2C5D-6C3B-49D9-B99E-CDB2B0AF0CC3}"/>
    <dgm:cxn modelId="{50D54D21-4D3F-44E3-B66A-5A4207922CE8}" type="presOf" srcId="{6A903C54-5591-4EC8-B64B-40871646FF82}" destId="{2A02F76E-44CB-485E-B9A9-478E59D14509}" srcOrd="0" destOrd="0" presId="urn:microsoft.com/office/officeart/2005/8/layout/hierarchy5"/>
    <dgm:cxn modelId="{A7C0AD22-03AF-448C-8AD4-57047B9E409B}" type="presOf" srcId="{5257AAFB-E8E3-4DD0-9EFC-D4ECE0D26482}" destId="{87A86CB4-C3E4-4577-A388-8C44A972E7B2}" srcOrd="0" destOrd="0" presId="urn:microsoft.com/office/officeart/2005/8/layout/hierarchy5"/>
    <dgm:cxn modelId="{37A70025-B934-45B2-A752-7C9D9F7AC4DE}" type="presOf" srcId="{676B45F0-F994-430E-A33F-D331A69895A7}" destId="{ACF8FCE4-3A97-4E70-8F72-7937AF5B8A14}" srcOrd="0" destOrd="0" presId="urn:microsoft.com/office/officeart/2005/8/layout/hierarchy5"/>
    <dgm:cxn modelId="{690FC82F-C6D6-4755-B109-BC747338F5FF}" type="presOf" srcId="{C9A488C7-D4CF-42C5-867C-DF7B36910E05}" destId="{DD22DEE1-6A42-4CAF-AA3C-BAB203F5759A}" srcOrd="1" destOrd="0" presId="urn:microsoft.com/office/officeart/2005/8/layout/hierarchy5"/>
    <dgm:cxn modelId="{2B95A430-204E-4A12-A129-87EB3AA82CE3}" srcId="{80F1DC3C-307C-4DCA-8F49-11691EBDC6AA}" destId="{94B86DF2-AE90-41AE-A592-09262185B868}" srcOrd="0" destOrd="0" parTransId="{A8702D56-9B49-4514-B88D-3C32F812F4EF}" sibTransId="{061EEDAF-A4D8-4904-A663-CCB760FD6457}"/>
    <dgm:cxn modelId="{51DC8331-8A8E-4AEC-BFE4-52F5C44A7EA3}" type="presOf" srcId="{F2F71D60-8AC5-4F52-8FBA-9E9CB56700F9}" destId="{10D0769D-35EA-455F-857F-057AC9226557}" srcOrd="0" destOrd="0" presId="urn:microsoft.com/office/officeart/2005/8/layout/hierarchy5"/>
    <dgm:cxn modelId="{D04FCF31-A372-4528-B188-E4CE71BF7FAC}" type="presOf" srcId="{05A75B09-157C-43CA-AA4C-325216976B65}" destId="{B56A3AD0-ACB6-48D9-AFEB-4AD557F6365B}" srcOrd="0" destOrd="0" presId="urn:microsoft.com/office/officeart/2005/8/layout/hierarchy5"/>
    <dgm:cxn modelId="{3929FB34-F4BC-4515-B0FB-3855247C2393}" type="presOf" srcId="{E7F86FB9-C409-4708-A801-F5939B1D2517}" destId="{94269D3B-93A8-48D5-85D9-FB17997BB915}" srcOrd="1" destOrd="0" presId="urn:microsoft.com/office/officeart/2005/8/layout/hierarchy5"/>
    <dgm:cxn modelId="{E8B17037-708B-40B7-B065-2FAB42ACC10E}" srcId="{55A22812-A10D-493E-9628-889A3E865E20}" destId="{0E681A87-E347-4A0C-A672-0FD78BB61A9F}" srcOrd="1" destOrd="0" parTransId="{D2054933-B70A-4E7F-82EB-2F61C29FA44B}" sibTransId="{57C776C0-3086-47C1-8A2D-B080C66795FE}"/>
    <dgm:cxn modelId="{B06AA43B-0044-45B7-B8A8-4578066B8634}" srcId="{0E681A87-E347-4A0C-A672-0FD78BB61A9F}" destId="{80F1DC3C-307C-4DCA-8F49-11691EBDC6AA}" srcOrd="3" destOrd="0" parTransId="{05A75B09-157C-43CA-AA4C-325216976B65}" sibTransId="{9FB857DE-B7B4-4A5C-A578-819EB7C8016B}"/>
    <dgm:cxn modelId="{54B6483E-CC38-4DB2-ADA7-0E4774D7D1E8}" type="presOf" srcId="{6B9A667B-83A7-4712-BE47-DD2A8E8A622F}" destId="{9C270939-0433-43E5-8C75-AF3E2316C7A9}" srcOrd="0" destOrd="0" presId="urn:microsoft.com/office/officeart/2005/8/layout/hierarchy5"/>
    <dgm:cxn modelId="{48141E40-1451-478E-B4C5-B2596D7F8F90}" type="presOf" srcId="{730691CD-3CCB-4EE7-9DD7-B9DECC9C7EF5}" destId="{2E457011-6DA1-4009-9076-02F0E6A9F4D5}" srcOrd="0" destOrd="0" presId="urn:microsoft.com/office/officeart/2005/8/layout/hierarchy5"/>
    <dgm:cxn modelId="{CB973440-45B0-4A2E-8BF9-AA3BC588747C}" type="presOf" srcId="{28AA4F0A-2FA2-4E40-AEB7-CC34F6D96C93}" destId="{74BF1C35-8060-4AAC-BFC5-5CB6CAF327F8}" srcOrd="0" destOrd="0" presId="urn:microsoft.com/office/officeart/2005/8/layout/hierarchy5"/>
    <dgm:cxn modelId="{29EB8A5B-C2FA-40FD-A428-A2F73CBD617C}" srcId="{90B97C4F-5A48-49AF-BEB6-51EFE1100780}" destId="{F3851D85-3DE3-4F38-88FB-26E37ACD5764}" srcOrd="0" destOrd="0" parTransId="{48536DBD-CA30-4297-9583-6C8BFC41AD38}" sibTransId="{46198870-F8BB-49DE-92A2-70072D847F52}"/>
    <dgm:cxn modelId="{A556ED5B-21DA-4EBD-844B-8CED83517895}" type="presOf" srcId="{0E681A87-E347-4A0C-A672-0FD78BB61A9F}" destId="{38AF3FE6-C506-468E-A70D-9F29962AA7A8}" srcOrd="0" destOrd="0" presId="urn:microsoft.com/office/officeart/2005/8/layout/hierarchy5"/>
    <dgm:cxn modelId="{A2E83D5C-A849-422A-8ECA-A4B65BA31596}" type="presOf" srcId="{5257AAFB-E8E3-4DD0-9EFC-D4ECE0D26482}" destId="{7C1D1254-2CAB-46EF-A4FB-B244E63C0D30}" srcOrd="1" destOrd="0" presId="urn:microsoft.com/office/officeart/2005/8/layout/hierarchy5"/>
    <dgm:cxn modelId="{7CDE915C-3A80-4101-A672-BC5807198F04}" type="presOf" srcId="{CF0884BF-CED7-4530-891E-19B8BB6D1A63}" destId="{DA67EFBA-6D28-4B6E-ADD5-E09D60AF2140}" srcOrd="0" destOrd="0" presId="urn:microsoft.com/office/officeart/2005/8/layout/hierarchy5"/>
    <dgm:cxn modelId="{DEFA7E63-52DE-4BA3-9B37-1D621A679492}" type="presOf" srcId="{E7F86FB9-C409-4708-A801-F5939B1D2517}" destId="{091B9AA4-5A15-4586-AE88-E400F3F6340E}" srcOrd="0" destOrd="0" presId="urn:microsoft.com/office/officeart/2005/8/layout/hierarchy5"/>
    <dgm:cxn modelId="{D4B9CF65-B4F2-41AC-83F9-B04E0FF073CD}" type="presOf" srcId="{1F89225F-E84D-46E2-840C-67F711CAA8C9}" destId="{B2211D72-8007-43CC-A569-167D6D8A6544}" srcOrd="0" destOrd="0" presId="urn:microsoft.com/office/officeart/2005/8/layout/hierarchy5"/>
    <dgm:cxn modelId="{06089B48-C9D9-4B74-BD4F-5D56F238B52A}" type="presOf" srcId="{76E1BBB6-E056-4452-A543-E4CC0A6CA8EE}" destId="{D29AC5AA-B2C4-49D8-A07B-27FD39C30041}" srcOrd="0" destOrd="0" presId="urn:microsoft.com/office/officeart/2005/8/layout/hierarchy5"/>
    <dgm:cxn modelId="{4479F368-4E36-48A2-8812-315EC2B08C3B}" type="presOf" srcId="{76116E4F-DC9E-4C8A-B383-AFD8652CA88B}" destId="{BA768222-7A16-434F-B2E0-3F1C1A673083}" srcOrd="0" destOrd="0" presId="urn:microsoft.com/office/officeart/2005/8/layout/hierarchy5"/>
    <dgm:cxn modelId="{94D15C4E-F564-4F41-B48D-636BC94AF2C8}" type="presOf" srcId="{BB889D24-0C5A-4C55-A327-7E51FF4004D7}" destId="{CC68BC88-5CBB-4D48-8E25-4472854C9960}" srcOrd="0" destOrd="0" presId="urn:microsoft.com/office/officeart/2005/8/layout/hierarchy5"/>
    <dgm:cxn modelId="{E1006479-F1FA-4A60-B5B4-F4BF53FEAB9C}" type="presOf" srcId="{C705D5EB-F8A8-4C28-BFF4-01F49DD2D051}" destId="{BCA8D300-C60F-48C7-BAD9-6C023914F87C}" srcOrd="1" destOrd="0" presId="urn:microsoft.com/office/officeart/2005/8/layout/hierarchy5"/>
    <dgm:cxn modelId="{BD56CF7C-DE45-44E3-B613-E069B96BBEA3}" type="presOf" srcId="{6091E229-71E6-4D99-83B7-6C172687C8C1}" destId="{402B8DB7-2DC3-4CAE-9D24-63B4E310278C}" srcOrd="1" destOrd="0" presId="urn:microsoft.com/office/officeart/2005/8/layout/hierarchy5"/>
    <dgm:cxn modelId="{E2A18E7D-2F6C-4B22-97A4-82D429B6C190}" type="presOf" srcId="{80F1DC3C-307C-4DCA-8F49-11691EBDC6AA}" destId="{9D98CD9E-3322-45B6-8390-28C9FEC34CE7}" srcOrd="0" destOrd="0" presId="urn:microsoft.com/office/officeart/2005/8/layout/hierarchy5"/>
    <dgm:cxn modelId="{86CCD07D-A20F-4911-8D12-CE7148A790B9}" type="presOf" srcId="{94B86DF2-AE90-41AE-A592-09262185B868}" destId="{F3CED7B5-A709-4D55-96B9-B9BB52C338EB}" srcOrd="0" destOrd="0" presId="urn:microsoft.com/office/officeart/2005/8/layout/hierarchy5"/>
    <dgm:cxn modelId="{36625380-5CC6-4FCE-9670-B59E8306FB92}" srcId="{80F1DC3C-307C-4DCA-8F49-11691EBDC6AA}" destId="{6A903C54-5591-4EC8-B64B-40871646FF82}" srcOrd="2" destOrd="0" parTransId="{C9A488C7-D4CF-42C5-867C-DF7B36910E05}" sibTransId="{116467FE-3E5F-4129-90E0-2EE3171C2347}"/>
    <dgm:cxn modelId="{1C896784-EC67-40F2-907D-D099E22E6590}" srcId="{55D30D76-9D13-45E6-AA0D-622106838E33}" destId="{676B45F0-F994-430E-A33F-D331A69895A7}" srcOrd="1" destOrd="0" parTransId="{C19E9A15-A8E1-476A-B7EF-7A611825501C}" sibTransId="{23923810-DA5B-4C2A-903A-32E4F2A594EF}"/>
    <dgm:cxn modelId="{FFFF7884-0C1F-4EA5-BFC2-61D7AAD648D1}" srcId="{730691CD-3CCB-4EE7-9DD7-B9DECC9C7EF5}" destId="{6091E229-71E6-4D99-83B7-6C172687C8C1}" srcOrd="2" destOrd="0" parTransId="{07F8863E-D098-490B-B44E-73EFBDDFF7A4}" sibTransId="{2C000225-8B51-4E77-AAA3-3FFDB01B3BFE}"/>
    <dgm:cxn modelId="{5462D086-4A39-4848-B797-C0628FB7A945}" srcId="{55A22812-A10D-493E-9628-889A3E865E20}" destId="{4710C3D6-B054-458D-A798-B9EFC918649B}" srcOrd="0" destOrd="0" parTransId="{BB889D24-0C5A-4C55-A327-7E51FF4004D7}" sibTransId="{F84FE3C1-255B-4E1F-8B48-C7864FD4ADF4}"/>
    <dgm:cxn modelId="{5068D58A-E55A-49A7-B2A5-CE378F684D5C}" type="presOf" srcId="{76E1BBB6-E056-4452-A543-E4CC0A6CA8EE}" destId="{C1F033D8-E224-496E-A2AF-E7520C18823B}" srcOrd="1" destOrd="0" presId="urn:microsoft.com/office/officeart/2005/8/layout/hierarchy5"/>
    <dgm:cxn modelId="{605EB58B-969F-4D4A-AEB0-35B9D1A4E031}" type="presOf" srcId="{C9A488C7-D4CF-42C5-867C-DF7B36910E05}" destId="{0569F182-E3F8-427F-99AA-F122BD8BF2F9}" srcOrd="0" destOrd="0" presId="urn:microsoft.com/office/officeart/2005/8/layout/hierarchy5"/>
    <dgm:cxn modelId="{0E3FD38B-0D53-46DF-8269-E568BC584753}" type="presOf" srcId="{6E8D8918-1DBD-4166-A9E5-F6D6968CF568}" destId="{31E9BBAE-3B19-488C-AB9E-4EF8F1F4A8E5}" srcOrd="0" destOrd="0" presId="urn:microsoft.com/office/officeart/2005/8/layout/hierarchy5"/>
    <dgm:cxn modelId="{7261118C-3681-4427-B4A8-9B6531A6EE17}" type="presOf" srcId="{D2054933-B70A-4E7F-82EB-2F61C29FA44B}" destId="{033C7CA2-1B75-454E-A5FD-0FAB6AAF08BB}" srcOrd="1" destOrd="0" presId="urn:microsoft.com/office/officeart/2005/8/layout/hierarchy5"/>
    <dgm:cxn modelId="{7C40418C-818F-4E06-9D71-95A8E128F625}" srcId="{55D30D76-9D13-45E6-AA0D-622106838E33}" destId="{168B4C1C-CC45-4754-A1C8-CF0DB0AB3A95}" srcOrd="0" destOrd="0" parTransId="{5062C6F3-FE5C-4C25-9F5F-3CF6D4C9F8C0}" sibTransId="{3F8A6E91-B441-4F1C-BD74-5AAF78488964}"/>
    <dgm:cxn modelId="{DDF8708D-90DF-470F-90AE-439902CE7109}" type="presOf" srcId="{48536DBD-CA30-4297-9583-6C8BFC41AD38}" destId="{C245CA06-539D-4AA1-9C86-63253EC26258}" srcOrd="1" destOrd="0" presId="urn:microsoft.com/office/officeart/2005/8/layout/hierarchy5"/>
    <dgm:cxn modelId="{65755D91-A41E-495D-9B2F-AAF14E4DE2BB}" type="presOf" srcId="{168B4C1C-CC45-4754-A1C8-CF0DB0AB3A95}" destId="{5F683B5D-246D-47B1-9C78-04D8BF30C4DA}" srcOrd="0" destOrd="0" presId="urn:microsoft.com/office/officeart/2005/8/layout/hierarchy5"/>
    <dgm:cxn modelId="{359FCE98-0CD2-4969-ABE6-3F449FF5176F}" type="presOf" srcId="{6091E229-71E6-4D99-83B7-6C172687C8C1}" destId="{E9C9894D-60BF-4C2A-96F1-9EAD437E6654}" srcOrd="0" destOrd="0" presId="urn:microsoft.com/office/officeart/2005/8/layout/hierarchy5"/>
    <dgm:cxn modelId="{E38DA89F-D244-4700-845B-2446227804CC}" type="presOf" srcId="{A8702D56-9B49-4514-B88D-3C32F812F4EF}" destId="{7DB5370F-4403-436A-B731-22D3BE131DB5}" srcOrd="1" destOrd="0" presId="urn:microsoft.com/office/officeart/2005/8/layout/hierarchy5"/>
    <dgm:cxn modelId="{FEE242A1-C190-4E31-95B8-DBBB2ED69EAB}" type="presOf" srcId="{BB889D24-0C5A-4C55-A327-7E51FF4004D7}" destId="{BB9212B7-9C7A-4881-B7FE-BA798EABE781}" srcOrd="1" destOrd="0" presId="urn:microsoft.com/office/officeart/2005/8/layout/hierarchy5"/>
    <dgm:cxn modelId="{AC504DA9-FEEA-4A69-8E78-0987932063A9}" type="presOf" srcId="{48536DBD-CA30-4297-9583-6C8BFC41AD38}" destId="{12FA289F-805D-4020-AB96-60DF8D63F3A5}" srcOrd="0" destOrd="0" presId="urn:microsoft.com/office/officeart/2005/8/layout/hierarchy5"/>
    <dgm:cxn modelId="{F59CF7A9-8742-44FB-B81B-35983967AD2E}" srcId="{66E9E855-EA79-40F7-AABC-655A6D5EC691}" destId="{6E8D8918-1DBD-4166-A9E5-F6D6968CF568}" srcOrd="1" destOrd="0" parTransId="{F2F71D60-8AC5-4F52-8FBA-9E9CB56700F9}" sibTransId="{54EABF68-E9C1-4F97-9BFB-5F9234CA98C7}"/>
    <dgm:cxn modelId="{677E92AC-DE23-44CC-87CE-C61756391A11}" type="presOf" srcId="{1F89225F-E84D-46E2-840C-67F711CAA8C9}" destId="{F5E7B76A-998E-4266-8CCF-A31FF76DE272}" srcOrd="1" destOrd="0" presId="urn:microsoft.com/office/officeart/2005/8/layout/hierarchy5"/>
    <dgm:cxn modelId="{93AC17B4-291E-455D-A6BF-1D7912717D61}" type="presOf" srcId="{C19E9A15-A8E1-476A-B7EF-7A611825501C}" destId="{5295F92A-1F8B-401E-8FB3-FAA0EC72CB47}" srcOrd="0" destOrd="0" presId="urn:microsoft.com/office/officeart/2005/8/layout/hierarchy5"/>
    <dgm:cxn modelId="{A1F628B6-6778-4AC0-91F4-FE3DEB0DD3F7}" type="presOf" srcId="{4B0F8E5E-AF6F-40B7-9049-8B626EB7B1B2}" destId="{28020C06-D4D2-49D3-BBEA-BC566477D017}" srcOrd="0" destOrd="0" presId="urn:microsoft.com/office/officeart/2005/8/layout/hierarchy5"/>
    <dgm:cxn modelId="{A8BA4ABA-92B2-4B8C-8C0B-4938214C045A}" type="presOf" srcId="{66E9E855-EA79-40F7-AABC-655A6D5EC691}" destId="{B757EDAE-B30F-4E1D-9C40-0079E8DA955A}" srcOrd="0" destOrd="0" presId="urn:microsoft.com/office/officeart/2005/8/layout/hierarchy5"/>
    <dgm:cxn modelId="{B1727EC7-E6AF-419D-B5D1-24B5A6A18F40}" srcId="{730691CD-3CCB-4EE7-9DD7-B9DECC9C7EF5}" destId="{1F89225F-E84D-46E2-840C-67F711CAA8C9}" srcOrd="1" destOrd="0" parTransId="{CA977031-8989-4CFB-B1F6-5DDF6218C95D}" sibTransId="{ABC1B68C-1B27-42B1-AA8A-C44D32C89D54}"/>
    <dgm:cxn modelId="{D7BA99C7-EEEC-4E49-A0E1-34962F8D2150}" type="presOf" srcId="{55D30D76-9D13-45E6-AA0D-622106838E33}" destId="{1FDA3A69-74D2-4843-8E2B-6070B5CEB616}" srcOrd="0" destOrd="0" presId="urn:microsoft.com/office/officeart/2005/8/layout/hierarchy5"/>
    <dgm:cxn modelId="{16E08EC8-D424-4D83-A168-DB13F29D29C8}" type="presOf" srcId="{D2054933-B70A-4E7F-82EB-2F61C29FA44B}" destId="{418ACE79-6041-4DA1-A2ED-E0360AA6B36F}" srcOrd="0" destOrd="0" presId="urn:microsoft.com/office/officeart/2005/8/layout/hierarchy5"/>
    <dgm:cxn modelId="{ACD0BDC8-DB1E-41DA-AE26-871E2BCC2CD8}" srcId="{0E681A87-E347-4A0C-A672-0FD78BB61A9F}" destId="{55D30D76-9D13-45E6-AA0D-622106838E33}" srcOrd="0" destOrd="0" parTransId="{76116E4F-DC9E-4C8A-B383-AFD8652CA88B}" sibTransId="{77CB782E-94B5-4D96-8252-45C41CC046BF}"/>
    <dgm:cxn modelId="{A5BF30CA-7249-455A-AAC3-329C4A81BF5D}" type="presOf" srcId="{55A22812-A10D-493E-9628-889A3E865E20}" destId="{8F19268B-B170-47B9-B276-B0B30A921224}" srcOrd="0" destOrd="0" presId="urn:microsoft.com/office/officeart/2005/8/layout/hierarchy5"/>
    <dgm:cxn modelId="{78A3EDCF-0B16-4DED-A2F4-68DA23629870}" type="presOf" srcId="{76116E4F-DC9E-4C8A-B383-AFD8652CA88B}" destId="{331278FF-AC9F-4541-AB44-1F2AFBF994EA}" srcOrd="1" destOrd="0" presId="urn:microsoft.com/office/officeart/2005/8/layout/hierarchy5"/>
    <dgm:cxn modelId="{ACDC35D2-664A-4D5A-87D4-3DBA3BB42464}" type="presOf" srcId="{5062C6F3-FE5C-4C25-9F5F-3CF6D4C9F8C0}" destId="{80110401-87D8-4033-9579-19CFB5423CB5}" srcOrd="0" destOrd="0" presId="urn:microsoft.com/office/officeart/2005/8/layout/hierarchy5"/>
    <dgm:cxn modelId="{1AD59AD3-FF9F-4E91-A8AD-02CC59C5DB1E}" type="presOf" srcId="{90B97C4F-5A48-49AF-BEB6-51EFE1100780}" destId="{A762CD8A-F6E9-45D3-BCEB-5AF8F7C6D21D}" srcOrd="0" destOrd="0" presId="urn:microsoft.com/office/officeart/2005/8/layout/hierarchy5"/>
    <dgm:cxn modelId="{C50F4CD6-8FB8-4AC9-9CB1-D358BA26D20C}" type="presOf" srcId="{A8702D56-9B49-4514-B88D-3C32F812F4EF}" destId="{79C7FF9C-B692-4241-A565-E0BC0758576C}" srcOrd="0" destOrd="0" presId="urn:microsoft.com/office/officeart/2005/8/layout/hierarchy5"/>
    <dgm:cxn modelId="{CC524DDA-AACD-47EC-9E9C-7DC33E153EAA}" srcId="{80F1DC3C-307C-4DCA-8F49-11691EBDC6AA}" destId="{28AA4F0A-2FA2-4E40-AEB7-CC34F6D96C93}" srcOrd="1" destOrd="0" parTransId="{047B481B-9658-48A0-84FA-A3BAFC9FC7CF}" sibTransId="{6DF61A32-702A-4874-AC3E-7F34E17291B3}"/>
    <dgm:cxn modelId="{72245BE4-C959-444F-9472-861A4187BB3B}" type="presOf" srcId="{047B481B-9658-48A0-84FA-A3BAFC9FC7CF}" destId="{8631E3D9-D13D-4E9E-891D-3B715AC66ECB}" srcOrd="1" destOrd="0" presId="urn:microsoft.com/office/officeart/2005/8/layout/hierarchy5"/>
    <dgm:cxn modelId="{AE87A0E6-7F6B-42F7-BF0B-1506FCB411F4}" type="presOf" srcId="{F2F71D60-8AC5-4F52-8FBA-9E9CB56700F9}" destId="{4B4A67D8-BEE0-489E-8D3B-DDBE6CA93A9B}" srcOrd="1" destOrd="0" presId="urn:microsoft.com/office/officeart/2005/8/layout/hierarchy5"/>
    <dgm:cxn modelId="{8D3A3AEA-3AF5-4808-A6D3-3DC3E6D4CB57}" type="presOf" srcId="{C19E9A15-A8E1-476A-B7EF-7A611825501C}" destId="{A6F2CB4D-6C32-460B-9ECF-04BA979A6088}" srcOrd="1" destOrd="0" presId="urn:microsoft.com/office/officeart/2005/8/layout/hierarchy5"/>
    <dgm:cxn modelId="{D0A047F1-73D9-4157-9AD8-56C6A93A796D}" type="presOf" srcId="{6B9A667B-83A7-4712-BE47-DD2A8E8A622F}" destId="{36319EB8-E838-4013-8260-785512EC5A09}" srcOrd="1" destOrd="0" presId="urn:microsoft.com/office/officeart/2005/8/layout/hierarchy5"/>
    <dgm:cxn modelId="{E21E22F2-9C5F-4BD3-8302-39C3412C4393}" type="presOf" srcId="{5062C6F3-FE5C-4C25-9F5F-3CF6D4C9F8C0}" destId="{EB41E16A-6CA2-4D66-8C0A-2303F5E4EC9F}" srcOrd="1" destOrd="0" presId="urn:microsoft.com/office/officeart/2005/8/layout/hierarchy5"/>
    <dgm:cxn modelId="{ECB4DBF2-57B5-4AF4-A0AB-A11B4050141B}" srcId="{66E9E855-EA79-40F7-AABC-655A6D5EC691}" destId="{4B0F8E5E-AF6F-40B7-9049-8B626EB7B1B2}" srcOrd="0" destOrd="0" parTransId="{CF0884BF-CED7-4530-891E-19B8BB6D1A63}" sibTransId="{9876A440-8FEA-47B7-9E46-539E198E61DA}"/>
    <dgm:cxn modelId="{5604A1F3-E22E-4D3E-B82A-52207EA6CB03}" type="presOf" srcId="{F3851D85-3DE3-4F38-88FB-26E37ACD5764}" destId="{10BEEE2B-D4DB-4500-9495-0DADDD1E901B}" srcOrd="0" destOrd="0" presId="urn:microsoft.com/office/officeart/2005/8/layout/hierarchy5"/>
    <dgm:cxn modelId="{C2119CF7-597F-4E78-8504-FC65D6F50FCF}" type="presOf" srcId="{047B481B-9658-48A0-84FA-A3BAFC9FC7CF}" destId="{AC412E89-4604-415D-971F-5EBA6EA35F02}" srcOrd="0" destOrd="0" presId="urn:microsoft.com/office/officeart/2005/8/layout/hierarchy5"/>
    <dgm:cxn modelId="{85372D23-44BD-4EE9-BF01-6F500E00C330}" type="presParOf" srcId="{2E457011-6DA1-4009-9076-02F0E6A9F4D5}" destId="{110536F0-AC83-4906-9C21-ED4D99A9F1C9}" srcOrd="0" destOrd="0" presId="urn:microsoft.com/office/officeart/2005/8/layout/hierarchy5"/>
    <dgm:cxn modelId="{47AFF8BB-1F22-40F5-B0EE-6CD042369A8E}" type="presParOf" srcId="{110536F0-AC83-4906-9C21-ED4D99A9F1C9}" destId="{9A6DBD7B-1960-4701-A8D8-B4C19CCC293C}" srcOrd="0" destOrd="0" presId="urn:microsoft.com/office/officeart/2005/8/layout/hierarchy5"/>
    <dgm:cxn modelId="{1B04B260-D1C5-4798-870C-0AC6A0780986}" type="presParOf" srcId="{110536F0-AC83-4906-9C21-ED4D99A9F1C9}" destId="{B23446A1-296A-4AEB-991F-F5F07B0A66D8}" srcOrd="1" destOrd="0" presId="urn:microsoft.com/office/officeart/2005/8/layout/hierarchy5"/>
    <dgm:cxn modelId="{117F1B98-0AD8-4963-AE19-F82CB6400133}" type="presParOf" srcId="{B23446A1-296A-4AEB-991F-F5F07B0A66D8}" destId="{CBEACDB8-989B-4A90-80C2-31CE299D3AC7}" srcOrd="0" destOrd="0" presId="urn:microsoft.com/office/officeart/2005/8/layout/hierarchy5"/>
    <dgm:cxn modelId="{2C9BA46D-3F55-4D4B-8599-A27AD647B2C2}" type="presParOf" srcId="{CBEACDB8-989B-4A90-80C2-31CE299D3AC7}" destId="{8F19268B-B170-47B9-B276-B0B30A921224}" srcOrd="0" destOrd="0" presId="urn:microsoft.com/office/officeart/2005/8/layout/hierarchy5"/>
    <dgm:cxn modelId="{F765E6F5-CDD2-462A-A5BB-4C10605EC3FB}" type="presParOf" srcId="{CBEACDB8-989B-4A90-80C2-31CE299D3AC7}" destId="{561777DD-9460-4FCE-9A2F-CA8F16C37EDB}" srcOrd="1" destOrd="0" presId="urn:microsoft.com/office/officeart/2005/8/layout/hierarchy5"/>
    <dgm:cxn modelId="{C030F061-6896-4A33-9D0C-5F55BFA8F0BF}" type="presParOf" srcId="{561777DD-9460-4FCE-9A2F-CA8F16C37EDB}" destId="{CC68BC88-5CBB-4D48-8E25-4472854C9960}" srcOrd="0" destOrd="0" presId="urn:microsoft.com/office/officeart/2005/8/layout/hierarchy5"/>
    <dgm:cxn modelId="{DFFC5CE0-0E41-48D1-8E41-4F93A81F2105}" type="presParOf" srcId="{CC68BC88-5CBB-4D48-8E25-4472854C9960}" destId="{BB9212B7-9C7A-4881-B7FE-BA798EABE781}" srcOrd="0" destOrd="0" presId="urn:microsoft.com/office/officeart/2005/8/layout/hierarchy5"/>
    <dgm:cxn modelId="{12D51036-DCE3-4EF4-B1B8-287695F88F61}" type="presParOf" srcId="{561777DD-9460-4FCE-9A2F-CA8F16C37EDB}" destId="{D6674120-DF7C-4579-9280-B42212164A57}" srcOrd="1" destOrd="0" presId="urn:microsoft.com/office/officeart/2005/8/layout/hierarchy5"/>
    <dgm:cxn modelId="{23BB1F9E-0C4C-446E-B1F2-28C196B7260A}" type="presParOf" srcId="{D6674120-DF7C-4579-9280-B42212164A57}" destId="{6BC73FEB-0FF9-4A7B-B94C-2AF90844F12C}" srcOrd="0" destOrd="0" presId="urn:microsoft.com/office/officeart/2005/8/layout/hierarchy5"/>
    <dgm:cxn modelId="{1D8EAD3F-2656-4794-AB60-2208CFC6CA01}" type="presParOf" srcId="{D6674120-DF7C-4579-9280-B42212164A57}" destId="{8343F693-3767-4BBA-8B97-0A28D9164EC4}" srcOrd="1" destOrd="0" presId="urn:microsoft.com/office/officeart/2005/8/layout/hierarchy5"/>
    <dgm:cxn modelId="{772E1A17-45D0-49B7-BB76-3125B64CBDEE}" type="presParOf" srcId="{561777DD-9460-4FCE-9A2F-CA8F16C37EDB}" destId="{418ACE79-6041-4DA1-A2ED-E0360AA6B36F}" srcOrd="2" destOrd="0" presId="urn:microsoft.com/office/officeart/2005/8/layout/hierarchy5"/>
    <dgm:cxn modelId="{62369706-E090-4832-BEF3-16F416FE4DE2}" type="presParOf" srcId="{418ACE79-6041-4DA1-A2ED-E0360AA6B36F}" destId="{033C7CA2-1B75-454E-A5FD-0FAB6AAF08BB}" srcOrd="0" destOrd="0" presId="urn:microsoft.com/office/officeart/2005/8/layout/hierarchy5"/>
    <dgm:cxn modelId="{8BD2691E-462D-4DEA-9180-D0A0C5F87E78}" type="presParOf" srcId="{561777DD-9460-4FCE-9A2F-CA8F16C37EDB}" destId="{E6010400-169E-41F0-937A-E633EA204EDE}" srcOrd="3" destOrd="0" presId="urn:microsoft.com/office/officeart/2005/8/layout/hierarchy5"/>
    <dgm:cxn modelId="{29180E15-AA06-4D5B-990C-FECCF3BD2845}" type="presParOf" srcId="{E6010400-169E-41F0-937A-E633EA204EDE}" destId="{38AF3FE6-C506-468E-A70D-9F29962AA7A8}" srcOrd="0" destOrd="0" presId="urn:microsoft.com/office/officeart/2005/8/layout/hierarchy5"/>
    <dgm:cxn modelId="{05F21D16-11FD-4BD6-AE2A-387B754C474E}" type="presParOf" srcId="{E6010400-169E-41F0-937A-E633EA204EDE}" destId="{275845C3-95A9-4542-88EB-C6229D2547C3}" srcOrd="1" destOrd="0" presId="urn:microsoft.com/office/officeart/2005/8/layout/hierarchy5"/>
    <dgm:cxn modelId="{38EE634B-85D3-43D0-BFC3-AF06AB45A988}" type="presParOf" srcId="{275845C3-95A9-4542-88EB-C6229D2547C3}" destId="{BA768222-7A16-434F-B2E0-3F1C1A673083}" srcOrd="0" destOrd="0" presId="urn:microsoft.com/office/officeart/2005/8/layout/hierarchy5"/>
    <dgm:cxn modelId="{CBDE2CBA-30B2-4817-8B2F-551380798998}" type="presParOf" srcId="{BA768222-7A16-434F-B2E0-3F1C1A673083}" destId="{331278FF-AC9F-4541-AB44-1F2AFBF994EA}" srcOrd="0" destOrd="0" presId="urn:microsoft.com/office/officeart/2005/8/layout/hierarchy5"/>
    <dgm:cxn modelId="{B27E6F36-C2C7-4366-A5FD-3CEB1C66DE15}" type="presParOf" srcId="{275845C3-95A9-4542-88EB-C6229D2547C3}" destId="{AE4283D3-87CD-461C-8CB0-D0789482E88B}" srcOrd="1" destOrd="0" presId="urn:microsoft.com/office/officeart/2005/8/layout/hierarchy5"/>
    <dgm:cxn modelId="{C7650A02-AD7B-45EE-98FF-EAAA477B73C4}" type="presParOf" srcId="{AE4283D3-87CD-461C-8CB0-D0789482E88B}" destId="{1FDA3A69-74D2-4843-8E2B-6070B5CEB616}" srcOrd="0" destOrd="0" presId="urn:microsoft.com/office/officeart/2005/8/layout/hierarchy5"/>
    <dgm:cxn modelId="{6EBA7DDB-2FFD-417D-A78F-28E0A9BC7E81}" type="presParOf" srcId="{AE4283D3-87CD-461C-8CB0-D0789482E88B}" destId="{F00D6894-5F6F-46D3-AFAA-A8FEDDA6E229}" srcOrd="1" destOrd="0" presId="urn:microsoft.com/office/officeart/2005/8/layout/hierarchy5"/>
    <dgm:cxn modelId="{861CBF40-51AF-4998-A942-DE2582544BDF}" type="presParOf" srcId="{F00D6894-5F6F-46D3-AFAA-A8FEDDA6E229}" destId="{80110401-87D8-4033-9579-19CFB5423CB5}" srcOrd="0" destOrd="0" presId="urn:microsoft.com/office/officeart/2005/8/layout/hierarchy5"/>
    <dgm:cxn modelId="{4028DD94-6CFC-414A-B348-BAB350A923E1}" type="presParOf" srcId="{80110401-87D8-4033-9579-19CFB5423CB5}" destId="{EB41E16A-6CA2-4D66-8C0A-2303F5E4EC9F}" srcOrd="0" destOrd="0" presId="urn:microsoft.com/office/officeart/2005/8/layout/hierarchy5"/>
    <dgm:cxn modelId="{F39B895A-0C85-4650-9248-55338FF2BFFE}" type="presParOf" srcId="{F00D6894-5F6F-46D3-AFAA-A8FEDDA6E229}" destId="{610AFFC9-6D91-4384-A929-CB636E576D25}" srcOrd="1" destOrd="0" presId="urn:microsoft.com/office/officeart/2005/8/layout/hierarchy5"/>
    <dgm:cxn modelId="{38DC9318-2E86-49DE-ABE3-7561AD6822EA}" type="presParOf" srcId="{610AFFC9-6D91-4384-A929-CB636E576D25}" destId="{5F683B5D-246D-47B1-9C78-04D8BF30C4DA}" srcOrd="0" destOrd="0" presId="urn:microsoft.com/office/officeart/2005/8/layout/hierarchy5"/>
    <dgm:cxn modelId="{0F2110C6-3C3F-4FCF-B06A-A95221EA36E4}" type="presParOf" srcId="{610AFFC9-6D91-4384-A929-CB636E576D25}" destId="{F99C68B4-147E-4169-885C-CA1E82818C50}" srcOrd="1" destOrd="0" presId="urn:microsoft.com/office/officeart/2005/8/layout/hierarchy5"/>
    <dgm:cxn modelId="{10743CC8-11A4-4BD5-89D2-4559451A904D}" type="presParOf" srcId="{F00D6894-5F6F-46D3-AFAA-A8FEDDA6E229}" destId="{5295F92A-1F8B-401E-8FB3-FAA0EC72CB47}" srcOrd="2" destOrd="0" presId="urn:microsoft.com/office/officeart/2005/8/layout/hierarchy5"/>
    <dgm:cxn modelId="{3984E9AE-4887-46F4-AE0A-B0ECB2F37262}" type="presParOf" srcId="{5295F92A-1F8B-401E-8FB3-FAA0EC72CB47}" destId="{A6F2CB4D-6C32-460B-9ECF-04BA979A6088}" srcOrd="0" destOrd="0" presId="urn:microsoft.com/office/officeart/2005/8/layout/hierarchy5"/>
    <dgm:cxn modelId="{5E4E972B-E26A-4ACE-BB98-58F4F60DF97A}" type="presParOf" srcId="{F00D6894-5F6F-46D3-AFAA-A8FEDDA6E229}" destId="{B00BF01E-9E8A-4C2E-8C73-EA0B048DB427}" srcOrd="3" destOrd="0" presId="urn:microsoft.com/office/officeart/2005/8/layout/hierarchy5"/>
    <dgm:cxn modelId="{EA6DC021-F4B5-4D3F-9B55-27EF9D76B845}" type="presParOf" srcId="{B00BF01E-9E8A-4C2E-8C73-EA0B048DB427}" destId="{ACF8FCE4-3A97-4E70-8F72-7937AF5B8A14}" srcOrd="0" destOrd="0" presId="urn:microsoft.com/office/officeart/2005/8/layout/hierarchy5"/>
    <dgm:cxn modelId="{D509D26C-C34C-4898-BDE8-551909A1DE6C}" type="presParOf" srcId="{B00BF01E-9E8A-4C2E-8C73-EA0B048DB427}" destId="{B148F769-919C-4F9F-B9FC-F9B8A2969B33}" srcOrd="1" destOrd="0" presId="urn:microsoft.com/office/officeart/2005/8/layout/hierarchy5"/>
    <dgm:cxn modelId="{382D94B5-4B9C-4582-BE4E-918017DB202C}" type="presParOf" srcId="{275845C3-95A9-4542-88EB-C6229D2547C3}" destId="{87A86CB4-C3E4-4577-A388-8C44A972E7B2}" srcOrd="2" destOrd="0" presId="urn:microsoft.com/office/officeart/2005/8/layout/hierarchy5"/>
    <dgm:cxn modelId="{90D88442-2BF1-4B33-B967-C6EDF0E1D35F}" type="presParOf" srcId="{87A86CB4-C3E4-4577-A388-8C44A972E7B2}" destId="{7C1D1254-2CAB-46EF-A4FB-B244E63C0D30}" srcOrd="0" destOrd="0" presId="urn:microsoft.com/office/officeart/2005/8/layout/hierarchy5"/>
    <dgm:cxn modelId="{96B4D3D3-6FFD-4984-AD62-79D03A970AE5}" type="presParOf" srcId="{275845C3-95A9-4542-88EB-C6229D2547C3}" destId="{0082FC14-C0D3-4EEB-AACC-E82F8DD41B71}" srcOrd="3" destOrd="0" presId="urn:microsoft.com/office/officeart/2005/8/layout/hierarchy5"/>
    <dgm:cxn modelId="{094D91AE-7D7B-4AEE-8FE3-DAE6489C4E88}" type="presParOf" srcId="{0082FC14-C0D3-4EEB-AACC-E82F8DD41B71}" destId="{B757EDAE-B30F-4E1D-9C40-0079E8DA955A}" srcOrd="0" destOrd="0" presId="urn:microsoft.com/office/officeart/2005/8/layout/hierarchy5"/>
    <dgm:cxn modelId="{5F90C83F-4244-4250-BAAB-C6FCE391AC6F}" type="presParOf" srcId="{0082FC14-C0D3-4EEB-AACC-E82F8DD41B71}" destId="{F839332B-3487-4BEB-8F56-906A65A27D89}" srcOrd="1" destOrd="0" presId="urn:microsoft.com/office/officeart/2005/8/layout/hierarchy5"/>
    <dgm:cxn modelId="{8D4CAC0A-0DB2-4081-8AB1-51C006316449}" type="presParOf" srcId="{F839332B-3487-4BEB-8F56-906A65A27D89}" destId="{DA67EFBA-6D28-4B6E-ADD5-E09D60AF2140}" srcOrd="0" destOrd="0" presId="urn:microsoft.com/office/officeart/2005/8/layout/hierarchy5"/>
    <dgm:cxn modelId="{94D5FADE-A661-4464-BA7C-F5AE18F31775}" type="presParOf" srcId="{DA67EFBA-6D28-4B6E-ADD5-E09D60AF2140}" destId="{33577FB8-1F5C-4D2B-B365-26C61202FB21}" srcOrd="0" destOrd="0" presId="urn:microsoft.com/office/officeart/2005/8/layout/hierarchy5"/>
    <dgm:cxn modelId="{D1F5E67A-AC74-4240-A118-96A3BDE99C18}" type="presParOf" srcId="{F839332B-3487-4BEB-8F56-906A65A27D89}" destId="{99318C44-C39E-4A19-950B-9C9331852D43}" srcOrd="1" destOrd="0" presId="urn:microsoft.com/office/officeart/2005/8/layout/hierarchy5"/>
    <dgm:cxn modelId="{91056D28-FEBA-4C1F-BA0D-2AEF10516787}" type="presParOf" srcId="{99318C44-C39E-4A19-950B-9C9331852D43}" destId="{28020C06-D4D2-49D3-BBEA-BC566477D017}" srcOrd="0" destOrd="0" presId="urn:microsoft.com/office/officeart/2005/8/layout/hierarchy5"/>
    <dgm:cxn modelId="{DF22634C-1343-4F21-A388-7A7429290C75}" type="presParOf" srcId="{99318C44-C39E-4A19-950B-9C9331852D43}" destId="{6ED8AA87-AF93-41CC-8980-EA2751A5DF95}" srcOrd="1" destOrd="0" presId="urn:microsoft.com/office/officeart/2005/8/layout/hierarchy5"/>
    <dgm:cxn modelId="{6E0CA66D-FE61-46B9-9231-C170649A216E}" type="presParOf" srcId="{F839332B-3487-4BEB-8F56-906A65A27D89}" destId="{10D0769D-35EA-455F-857F-057AC9226557}" srcOrd="2" destOrd="0" presId="urn:microsoft.com/office/officeart/2005/8/layout/hierarchy5"/>
    <dgm:cxn modelId="{ED2C3EA9-F5B4-43E3-8D03-FDF5B69D9F1B}" type="presParOf" srcId="{10D0769D-35EA-455F-857F-057AC9226557}" destId="{4B4A67D8-BEE0-489E-8D3B-DDBE6CA93A9B}" srcOrd="0" destOrd="0" presId="urn:microsoft.com/office/officeart/2005/8/layout/hierarchy5"/>
    <dgm:cxn modelId="{A9DFD8E7-4940-464D-A032-72F66D5B440C}" type="presParOf" srcId="{F839332B-3487-4BEB-8F56-906A65A27D89}" destId="{D8100CA7-2C4C-4077-9FFE-2486233C6E22}" srcOrd="3" destOrd="0" presId="urn:microsoft.com/office/officeart/2005/8/layout/hierarchy5"/>
    <dgm:cxn modelId="{0237B3DD-B033-4723-9C2C-324DF01E37AD}" type="presParOf" srcId="{D8100CA7-2C4C-4077-9FFE-2486233C6E22}" destId="{31E9BBAE-3B19-488C-AB9E-4EF8F1F4A8E5}" srcOrd="0" destOrd="0" presId="urn:microsoft.com/office/officeart/2005/8/layout/hierarchy5"/>
    <dgm:cxn modelId="{B5E378EA-28BE-4331-BD9A-5055C47995A7}" type="presParOf" srcId="{D8100CA7-2C4C-4077-9FFE-2486233C6E22}" destId="{BD650E52-B914-43FA-B584-0CA6C5AA75CF}" srcOrd="1" destOrd="0" presId="urn:microsoft.com/office/officeart/2005/8/layout/hierarchy5"/>
    <dgm:cxn modelId="{12F3E3C9-BD02-4974-809C-D60DA1DF4786}" type="presParOf" srcId="{275845C3-95A9-4542-88EB-C6229D2547C3}" destId="{091B9AA4-5A15-4586-AE88-E400F3F6340E}" srcOrd="4" destOrd="0" presId="urn:microsoft.com/office/officeart/2005/8/layout/hierarchy5"/>
    <dgm:cxn modelId="{C2383153-A8D1-45DC-A5DB-44E574612C21}" type="presParOf" srcId="{091B9AA4-5A15-4586-AE88-E400F3F6340E}" destId="{94269D3B-93A8-48D5-85D9-FB17997BB915}" srcOrd="0" destOrd="0" presId="urn:microsoft.com/office/officeart/2005/8/layout/hierarchy5"/>
    <dgm:cxn modelId="{913E9081-C451-45E1-AFAA-4F7F9B186571}" type="presParOf" srcId="{275845C3-95A9-4542-88EB-C6229D2547C3}" destId="{8906BF77-F2D8-4A80-B7F2-C0F351F0A361}" srcOrd="5" destOrd="0" presId="urn:microsoft.com/office/officeart/2005/8/layout/hierarchy5"/>
    <dgm:cxn modelId="{A28F9E97-981E-464F-AB43-D9C85C153849}" type="presParOf" srcId="{8906BF77-F2D8-4A80-B7F2-C0F351F0A361}" destId="{A762CD8A-F6E9-45D3-BCEB-5AF8F7C6D21D}" srcOrd="0" destOrd="0" presId="urn:microsoft.com/office/officeart/2005/8/layout/hierarchy5"/>
    <dgm:cxn modelId="{FFA20BC2-704B-410B-8481-1F177388FD9D}" type="presParOf" srcId="{8906BF77-F2D8-4A80-B7F2-C0F351F0A361}" destId="{EBA94E49-3B32-45A0-9B87-26B45774E6F8}" srcOrd="1" destOrd="0" presId="urn:microsoft.com/office/officeart/2005/8/layout/hierarchy5"/>
    <dgm:cxn modelId="{33390BE2-E8DC-4781-B540-A6A28E087C7C}" type="presParOf" srcId="{EBA94E49-3B32-45A0-9B87-26B45774E6F8}" destId="{12FA289F-805D-4020-AB96-60DF8D63F3A5}" srcOrd="0" destOrd="0" presId="urn:microsoft.com/office/officeart/2005/8/layout/hierarchy5"/>
    <dgm:cxn modelId="{7BFEFA2D-886D-483B-B16A-5E65D0B4794F}" type="presParOf" srcId="{12FA289F-805D-4020-AB96-60DF8D63F3A5}" destId="{C245CA06-539D-4AA1-9C86-63253EC26258}" srcOrd="0" destOrd="0" presId="urn:microsoft.com/office/officeart/2005/8/layout/hierarchy5"/>
    <dgm:cxn modelId="{08B96F26-067D-4B21-AC4E-0B13329B7278}" type="presParOf" srcId="{EBA94E49-3B32-45A0-9B87-26B45774E6F8}" destId="{3CFDEFC1-2151-44B9-9287-BB6FACDF0275}" srcOrd="1" destOrd="0" presId="urn:microsoft.com/office/officeart/2005/8/layout/hierarchy5"/>
    <dgm:cxn modelId="{D79737DC-03CC-4269-AA7E-57B823F164DE}" type="presParOf" srcId="{3CFDEFC1-2151-44B9-9287-BB6FACDF0275}" destId="{10BEEE2B-D4DB-4500-9495-0DADDD1E901B}" srcOrd="0" destOrd="0" presId="urn:microsoft.com/office/officeart/2005/8/layout/hierarchy5"/>
    <dgm:cxn modelId="{EED2CC97-D606-4EF5-8F53-CD1741F5C639}" type="presParOf" srcId="{3CFDEFC1-2151-44B9-9287-BB6FACDF0275}" destId="{69F38E37-451C-4527-B552-B664D26572C8}" srcOrd="1" destOrd="0" presId="urn:microsoft.com/office/officeart/2005/8/layout/hierarchy5"/>
    <dgm:cxn modelId="{98D56438-716D-4055-AD79-EEDE0326F8D5}" type="presParOf" srcId="{EBA94E49-3B32-45A0-9B87-26B45774E6F8}" destId="{9C270939-0433-43E5-8C75-AF3E2316C7A9}" srcOrd="2" destOrd="0" presId="urn:microsoft.com/office/officeart/2005/8/layout/hierarchy5"/>
    <dgm:cxn modelId="{05020BA2-819B-4B44-852C-343457F20BEC}" type="presParOf" srcId="{9C270939-0433-43E5-8C75-AF3E2316C7A9}" destId="{36319EB8-E838-4013-8260-785512EC5A09}" srcOrd="0" destOrd="0" presId="urn:microsoft.com/office/officeart/2005/8/layout/hierarchy5"/>
    <dgm:cxn modelId="{36E30A86-E4EF-4EF3-9F01-AF0A5995632F}" type="presParOf" srcId="{EBA94E49-3B32-45A0-9B87-26B45774E6F8}" destId="{905A52FF-99B4-4CAB-B6F5-CF64DC09CD69}" srcOrd="3" destOrd="0" presId="urn:microsoft.com/office/officeart/2005/8/layout/hierarchy5"/>
    <dgm:cxn modelId="{E5BA5264-FB63-4E27-9C2F-114199E01188}" type="presParOf" srcId="{905A52FF-99B4-4CAB-B6F5-CF64DC09CD69}" destId="{2235568A-637E-457E-A716-B41A41084271}" srcOrd="0" destOrd="0" presId="urn:microsoft.com/office/officeart/2005/8/layout/hierarchy5"/>
    <dgm:cxn modelId="{AB2A7489-ECF9-426F-AD47-93D38D760292}" type="presParOf" srcId="{905A52FF-99B4-4CAB-B6F5-CF64DC09CD69}" destId="{3B68F2FB-7836-46A8-B925-7F0346E80B76}" srcOrd="1" destOrd="0" presId="urn:microsoft.com/office/officeart/2005/8/layout/hierarchy5"/>
    <dgm:cxn modelId="{C69843D6-F6EF-46CA-98DF-DA3AE615402E}" type="presParOf" srcId="{275845C3-95A9-4542-88EB-C6229D2547C3}" destId="{B56A3AD0-ACB6-48D9-AFEB-4AD557F6365B}" srcOrd="6" destOrd="0" presId="urn:microsoft.com/office/officeart/2005/8/layout/hierarchy5"/>
    <dgm:cxn modelId="{14D143B3-D57E-492F-9880-DBF3C6707217}" type="presParOf" srcId="{B56A3AD0-ACB6-48D9-AFEB-4AD557F6365B}" destId="{95FA2159-B2B3-46AA-BD02-6A9BB1057640}" srcOrd="0" destOrd="0" presId="urn:microsoft.com/office/officeart/2005/8/layout/hierarchy5"/>
    <dgm:cxn modelId="{B1073141-685B-4C81-804F-579F79BF250C}" type="presParOf" srcId="{275845C3-95A9-4542-88EB-C6229D2547C3}" destId="{BD6D54A8-43EA-43F0-944F-90B9A934F3AE}" srcOrd="7" destOrd="0" presId="urn:microsoft.com/office/officeart/2005/8/layout/hierarchy5"/>
    <dgm:cxn modelId="{82FFE61E-A491-40B9-8DF9-F08061BA4A25}" type="presParOf" srcId="{BD6D54A8-43EA-43F0-944F-90B9A934F3AE}" destId="{9D98CD9E-3322-45B6-8390-28C9FEC34CE7}" srcOrd="0" destOrd="0" presId="urn:microsoft.com/office/officeart/2005/8/layout/hierarchy5"/>
    <dgm:cxn modelId="{78F1ED1D-777C-4A6E-A251-5ABB318FA9A1}" type="presParOf" srcId="{BD6D54A8-43EA-43F0-944F-90B9A934F3AE}" destId="{81514306-837D-41D6-94EE-0B3795B6295E}" srcOrd="1" destOrd="0" presId="urn:microsoft.com/office/officeart/2005/8/layout/hierarchy5"/>
    <dgm:cxn modelId="{92927F17-4051-4DC4-9050-BF41971D3443}" type="presParOf" srcId="{81514306-837D-41D6-94EE-0B3795B6295E}" destId="{79C7FF9C-B692-4241-A565-E0BC0758576C}" srcOrd="0" destOrd="0" presId="urn:microsoft.com/office/officeart/2005/8/layout/hierarchy5"/>
    <dgm:cxn modelId="{FC1B5F47-A056-45C2-95E0-31ED119C341F}" type="presParOf" srcId="{79C7FF9C-B692-4241-A565-E0BC0758576C}" destId="{7DB5370F-4403-436A-B731-22D3BE131DB5}" srcOrd="0" destOrd="0" presId="urn:microsoft.com/office/officeart/2005/8/layout/hierarchy5"/>
    <dgm:cxn modelId="{254EE15F-3C68-49C4-809C-D9D255A40B12}" type="presParOf" srcId="{81514306-837D-41D6-94EE-0B3795B6295E}" destId="{F8DDCA84-5609-4B60-AEDE-3C692A8B895D}" srcOrd="1" destOrd="0" presId="urn:microsoft.com/office/officeart/2005/8/layout/hierarchy5"/>
    <dgm:cxn modelId="{C0BAA841-D128-4D30-AC18-E0EF2B452D4B}" type="presParOf" srcId="{F8DDCA84-5609-4B60-AEDE-3C692A8B895D}" destId="{F3CED7B5-A709-4D55-96B9-B9BB52C338EB}" srcOrd="0" destOrd="0" presId="urn:microsoft.com/office/officeart/2005/8/layout/hierarchy5"/>
    <dgm:cxn modelId="{D98B8FA0-DD97-40CB-B47A-380907451342}" type="presParOf" srcId="{F8DDCA84-5609-4B60-AEDE-3C692A8B895D}" destId="{40B1C0B7-EF1F-45A2-98C8-F31B2BB0266A}" srcOrd="1" destOrd="0" presId="urn:microsoft.com/office/officeart/2005/8/layout/hierarchy5"/>
    <dgm:cxn modelId="{6E66BD92-6AE8-430E-90EB-29B056C58640}" type="presParOf" srcId="{81514306-837D-41D6-94EE-0B3795B6295E}" destId="{AC412E89-4604-415D-971F-5EBA6EA35F02}" srcOrd="2" destOrd="0" presId="urn:microsoft.com/office/officeart/2005/8/layout/hierarchy5"/>
    <dgm:cxn modelId="{6D0C16C2-C724-4A56-BEAF-3BB38A506139}" type="presParOf" srcId="{AC412E89-4604-415D-971F-5EBA6EA35F02}" destId="{8631E3D9-D13D-4E9E-891D-3B715AC66ECB}" srcOrd="0" destOrd="0" presId="urn:microsoft.com/office/officeart/2005/8/layout/hierarchy5"/>
    <dgm:cxn modelId="{9A305127-7F8D-4301-BC8A-1E0793562C3C}" type="presParOf" srcId="{81514306-837D-41D6-94EE-0B3795B6295E}" destId="{FDB12CAD-F631-4A1F-97D4-A332D895C1E7}" srcOrd="3" destOrd="0" presId="urn:microsoft.com/office/officeart/2005/8/layout/hierarchy5"/>
    <dgm:cxn modelId="{43DAFE66-F531-468A-BF37-11DEDE01FBB2}" type="presParOf" srcId="{FDB12CAD-F631-4A1F-97D4-A332D895C1E7}" destId="{74BF1C35-8060-4AAC-BFC5-5CB6CAF327F8}" srcOrd="0" destOrd="0" presId="urn:microsoft.com/office/officeart/2005/8/layout/hierarchy5"/>
    <dgm:cxn modelId="{091A097C-E063-4ADE-87A6-EE05BF49A8E8}" type="presParOf" srcId="{FDB12CAD-F631-4A1F-97D4-A332D895C1E7}" destId="{B69EBF17-E42F-42C7-9B92-2DDD9F4869E0}" srcOrd="1" destOrd="0" presId="urn:microsoft.com/office/officeart/2005/8/layout/hierarchy5"/>
    <dgm:cxn modelId="{77930176-EF50-4FE5-9B31-C4059FA91292}" type="presParOf" srcId="{81514306-837D-41D6-94EE-0B3795B6295E}" destId="{0569F182-E3F8-427F-99AA-F122BD8BF2F9}" srcOrd="4" destOrd="0" presId="urn:microsoft.com/office/officeart/2005/8/layout/hierarchy5"/>
    <dgm:cxn modelId="{E0AC9ECA-A9C6-415D-9B14-4D6C4D57D3AF}" type="presParOf" srcId="{0569F182-E3F8-427F-99AA-F122BD8BF2F9}" destId="{DD22DEE1-6A42-4CAF-AA3C-BAB203F5759A}" srcOrd="0" destOrd="0" presId="urn:microsoft.com/office/officeart/2005/8/layout/hierarchy5"/>
    <dgm:cxn modelId="{C68D5307-A2A4-4362-8C60-FD3D0F33FF8F}" type="presParOf" srcId="{81514306-837D-41D6-94EE-0B3795B6295E}" destId="{4D577C22-2702-4529-AE95-744C0E8EAA72}" srcOrd="5" destOrd="0" presId="urn:microsoft.com/office/officeart/2005/8/layout/hierarchy5"/>
    <dgm:cxn modelId="{B25184B5-D48C-46D9-A4F2-8382642047F3}" type="presParOf" srcId="{4D577C22-2702-4529-AE95-744C0E8EAA72}" destId="{2A02F76E-44CB-485E-B9A9-478E59D14509}" srcOrd="0" destOrd="0" presId="urn:microsoft.com/office/officeart/2005/8/layout/hierarchy5"/>
    <dgm:cxn modelId="{21B1ADC0-0ACF-4347-BE19-CEFB6C730E24}" type="presParOf" srcId="{4D577C22-2702-4529-AE95-744C0E8EAA72}" destId="{58F53D56-1A57-41F6-9320-20F0D09C4AA4}" srcOrd="1" destOrd="0" presId="urn:microsoft.com/office/officeart/2005/8/layout/hierarchy5"/>
    <dgm:cxn modelId="{675ABFC9-43C2-4214-9CDD-733EE1A9C946}" type="presParOf" srcId="{2E457011-6DA1-4009-9076-02F0E6A9F4D5}" destId="{9D5E2263-F268-4C0E-B125-77786BF37331}" srcOrd="1" destOrd="0" presId="urn:microsoft.com/office/officeart/2005/8/layout/hierarchy5"/>
    <dgm:cxn modelId="{826358CD-0F6A-4B15-B2BF-D7A9F016ED0E}" type="presParOf" srcId="{9D5E2263-F268-4C0E-B125-77786BF37331}" destId="{8FD510E7-FC7C-4976-B022-D5F8119F61F8}" srcOrd="0" destOrd="0" presId="urn:microsoft.com/office/officeart/2005/8/layout/hierarchy5"/>
    <dgm:cxn modelId="{70CFB990-DB29-40D1-B913-45405109F87A}" type="presParOf" srcId="{8FD510E7-FC7C-4976-B022-D5F8119F61F8}" destId="{B2211D72-8007-43CC-A569-167D6D8A6544}" srcOrd="0" destOrd="0" presId="urn:microsoft.com/office/officeart/2005/8/layout/hierarchy5"/>
    <dgm:cxn modelId="{7648A252-07C4-423F-A5C1-24215C5B971C}" type="presParOf" srcId="{8FD510E7-FC7C-4976-B022-D5F8119F61F8}" destId="{F5E7B76A-998E-4266-8CCF-A31FF76DE272}" srcOrd="1" destOrd="0" presId="urn:microsoft.com/office/officeart/2005/8/layout/hierarchy5"/>
    <dgm:cxn modelId="{C9E610CB-A002-40FA-8CB6-E6E085595C24}" type="presParOf" srcId="{9D5E2263-F268-4C0E-B125-77786BF37331}" destId="{4598EFA2-2AEE-4707-A462-0B7013FADA99}" srcOrd="1" destOrd="0" presId="urn:microsoft.com/office/officeart/2005/8/layout/hierarchy5"/>
    <dgm:cxn modelId="{D6D093F8-44F0-45B0-9B6F-7843ADB32C77}" type="presParOf" srcId="{4598EFA2-2AEE-4707-A462-0B7013FADA99}" destId="{19C5EC07-92FD-4792-B977-C930E9E5563B}" srcOrd="0" destOrd="0" presId="urn:microsoft.com/office/officeart/2005/8/layout/hierarchy5"/>
    <dgm:cxn modelId="{508F5FDE-E89C-4DA6-B83E-D3E61E5A293B}" type="presParOf" srcId="{9D5E2263-F268-4C0E-B125-77786BF37331}" destId="{3D246CA4-FA38-464B-9004-10CB19862490}" srcOrd="2" destOrd="0" presId="urn:microsoft.com/office/officeart/2005/8/layout/hierarchy5"/>
    <dgm:cxn modelId="{BF40B23B-4520-4E0C-A178-6C5C401F762C}" type="presParOf" srcId="{3D246CA4-FA38-464B-9004-10CB19862490}" destId="{E9C9894D-60BF-4C2A-96F1-9EAD437E6654}" srcOrd="0" destOrd="0" presId="urn:microsoft.com/office/officeart/2005/8/layout/hierarchy5"/>
    <dgm:cxn modelId="{EB0C6E60-E7FF-4CBB-AC67-F42D188DE748}" type="presParOf" srcId="{3D246CA4-FA38-464B-9004-10CB19862490}" destId="{402B8DB7-2DC3-4CAE-9D24-63B4E310278C}" srcOrd="1" destOrd="0" presId="urn:microsoft.com/office/officeart/2005/8/layout/hierarchy5"/>
    <dgm:cxn modelId="{93CE056B-DBFA-4518-984D-A9F592F98E4B}" type="presParOf" srcId="{9D5E2263-F268-4C0E-B125-77786BF37331}" destId="{3D2F764C-7B5C-4EA1-845E-06266AF97EB1}" srcOrd="3" destOrd="0" presId="urn:microsoft.com/office/officeart/2005/8/layout/hierarchy5"/>
    <dgm:cxn modelId="{0BB79DF7-9F36-4DFB-B081-8342ED168203}" type="presParOf" srcId="{3D2F764C-7B5C-4EA1-845E-06266AF97EB1}" destId="{1750A006-E932-40E7-9591-6DB2163428E0}" srcOrd="0" destOrd="0" presId="urn:microsoft.com/office/officeart/2005/8/layout/hierarchy5"/>
    <dgm:cxn modelId="{3C664D7D-270F-4F03-B293-719A1C66FBF1}" type="presParOf" srcId="{9D5E2263-F268-4C0E-B125-77786BF37331}" destId="{F8F09353-A3EA-41BC-B52E-017CDC5345F2}" srcOrd="4" destOrd="0" presId="urn:microsoft.com/office/officeart/2005/8/layout/hierarchy5"/>
    <dgm:cxn modelId="{F08D90AF-24C2-4A57-88FF-A6BD87101257}" type="presParOf" srcId="{F8F09353-A3EA-41BC-B52E-017CDC5345F2}" destId="{D29AC5AA-B2C4-49D8-A07B-27FD39C30041}" srcOrd="0" destOrd="0" presId="urn:microsoft.com/office/officeart/2005/8/layout/hierarchy5"/>
    <dgm:cxn modelId="{1A3B6684-7C15-482B-9077-1C876E97FA51}" type="presParOf" srcId="{F8F09353-A3EA-41BC-B52E-017CDC5345F2}" destId="{C1F033D8-E224-496E-A2AF-E7520C18823B}" srcOrd="1" destOrd="0" presId="urn:microsoft.com/office/officeart/2005/8/layout/hierarchy5"/>
    <dgm:cxn modelId="{8A9F4D22-65E3-4A3B-B7B2-5CFAEA50A4C0}" type="presParOf" srcId="{9D5E2263-F268-4C0E-B125-77786BF37331}" destId="{4ED7BDF1-CE29-47E4-B184-AD899370E6A5}" srcOrd="5" destOrd="0" presId="urn:microsoft.com/office/officeart/2005/8/layout/hierarchy5"/>
    <dgm:cxn modelId="{C673AA6F-E5C7-4F43-85C0-0C4A6D5A7745}" type="presParOf" srcId="{4ED7BDF1-CE29-47E4-B184-AD899370E6A5}" destId="{F3DC622E-414B-46A1-BAB9-67035337E051}" srcOrd="0" destOrd="0" presId="urn:microsoft.com/office/officeart/2005/8/layout/hierarchy5"/>
    <dgm:cxn modelId="{FDB33E92-40A3-48B3-9685-CDB00AA157E3}" type="presParOf" srcId="{9D5E2263-F268-4C0E-B125-77786BF37331}" destId="{F2876F2D-BF71-46D5-94FA-0FBB1CC75183}" srcOrd="6" destOrd="0" presId="urn:microsoft.com/office/officeart/2005/8/layout/hierarchy5"/>
    <dgm:cxn modelId="{980B643E-09C0-47E5-88F7-5352EA71F34D}" type="presParOf" srcId="{F2876F2D-BF71-46D5-94FA-0FBB1CC75183}" destId="{5046583C-64DE-453C-99CC-6F3CB012C473}" srcOrd="0" destOrd="0" presId="urn:microsoft.com/office/officeart/2005/8/layout/hierarchy5"/>
    <dgm:cxn modelId="{A1BA186A-3C62-4A4C-B4FA-D50E4C011B3B}" type="presParOf" srcId="{F2876F2D-BF71-46D5-94FA-0FBB1CC75183}" destId="{BCA8D300-C60F-48C7-BAD9-6C023914F87C}" srcOrd="1" destOrd="0" presId="urn:microsoft.com/office/officeart/2005/8/layout/hierarchy5"/>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46583C-64DE-453C-99CC-6F3CB012C473}">
      <dsp:nvSpPr>
        <dsp:cNvPr id="0" name=""/>
        <dsp:cNvSpPr/>
      </dsp:nvSpPr>
      <dsp:spPr>
        <a:xfrm>
          <a:off x="4554914" y="0"/>
          <a:ext cx="3057898" cy="53340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nl-NL" sz="800" kern="1200"/>
            <a:t>Indicatoren: treden Europeaniseringsladder John (2001)</a:t>
          </a:r>
        </a:p>
      </dsp:txBody>
      <dsp:txXfrm>
        <a:off x="4601782" y="46868"/>
        <a:ext cx="2964162" cy="1506464"/>
      </dsp:txXfrm>
    </dsp:sp>
    <dsp:sp modelId="{D29AC5AA-B2C4-49D8-A07B-27FD39C30041}">
      <dsp:nvSpPr>
        <dsp:cNvPr id="0" name=""/>
        <dsp:cNvSpPr/>
      </dsp:nvSpPr>
      <dsp:spPr>
        <a:xfrm>
          <a:off x="3560742" y="0"/>
          <a:ext cx="825103" cy="53340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nl-NL" sz="800" kern="1200"/>
            <a:t>2e codering: </a:t>
          </a:r>
        </a:p>
        <a:p>
          <a:pPr marL="0" lvl="0" indent="0" algn="ctr" defTabSz="355600">
            <a:lnSpc>
              <a:spcPct val="90000"/>
            </a:lnSpc>
            <a:spcBef>
              <a:spcPct val="0"/>
            </a:spcBef>
            <a:spcAft>
              <a:spcPct val="35000"/>
            </a:spcAft>
            <a:buNone/>
          </a:pPr>
          <a:r>
            <a:rPr lang="nl-NL" sz="800" kern="1200"/>
            <a:t>soort aandacht</a:t>
          </a:r>
        </a:p>
      </dsp:txBody>
      <dsp:txXfrm>
        <a:off x="3584908" y="24166"/>
        <a:ext cx="776771" cy="1551868"/>
      </dsp:txXfrm>
    </dsp:sp>
    <dsp:sp modelId="{E9C9894D-60BF-4C2A-96F1-9EAD437E6654}">
      <dsp:nvSpPr>
        <dsp:cNvPr id="0" name=""/>
        <dsp:cNvSpPr/>
      </dsp:nvSpPr>
      <dsp:spPr>
        <a:xfrm>
          <a:off x="2551322" y="0"/>
          <a:ext cx="825103" cy="53340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nl-NL" sz="800" kern="1200"/>
            <a:t>1e codering: </a:t>
          </a:r>
        </a:p>
        <a:p>
          <a:pPr marL="0" lvl="0" indent="0" algn="ctr" defTabSz="355600">
            <a:lnSpc>
              <a:spcPct val="90000"/>
            </a:lnSpc>
            <a:spcBef>
              <a:spcPct val="0"/>
            </a:spcBef>
            <a:spcAft>
              <a:spcPct val="35000"/>
            </a:spcAft>
            <a:buNone/>
          </a:pPr>
          <a:r>
            <a:rPr lang="nl-NL" sz="800" kern="1200"/>
            <a:t>wel/geen aandacht EU</a:t>
          </a:r>
        </a:p>
      </dsp:txBody>
      <dsp:txXfrm>
        <a:off x="2575488" y="24166"/>
        <a:ext cx="776771" cy="1551868"/>
      </dsp:txXfrm>
    </dsp:sp>
    <dsp:sp modelId="{B2211D72-8007-43CC-A569-167D6D8A6544}">
      <dsp:nvSpPr>
        <dsp:cNvPr id="0" name=""/>
        <dsp:cNvSpPr/>
      </dsp:nvSpPr>
      <dsp:spPr>
        <a:xfrm>
          <a:off x="1535313" y="0"/>
          <a:ext cx="823701" cy="53340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nl-NL" sz="800" kern="1200"/>
            <a:t>Centraal begrip</a:t>
          </a:r>
        </a:p>
      </dsp:txBody>
      <dsp:txXfrm>
        <a:off x="1559438" y="24125"/>
        <a:ext cx="775451" cy="1551950"/>
      </dsp:txXfrm>
    </dsp:sp>
    <dsp:sp modelId="{8F19268B-B170-47B9-B276-B0B30A921224}">
      <dsp:nvSpPr>
        <dsp:cNvPr id="0" name=""/>
        <dsp:cNvSpPr/>
      </dsp:nvSpPr>
      <dsp:spPr>
        <a:xfrm>
          <a:off x="1580007" y="2743199"/>
          <a:ext cx="737999" cy="64498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Poliltiek-bestuurlijke Europanisering gemeenten</a:t>
          </a:r>
        </a:p>
      </dsp:txBody>
      <dsp:txXfrm>
        <a:off x="1598898" y="2762090"/>
        <a:ext cx="700217" cy="607201"/>
      </dsp:txXfrm>
    </dsp:sp>
    <dsp:sp modelId="{CC68BC88-5CBB-4D48-8E25-4472854C9960}">
      <dsp:nvSpPr>
        <dsp:cNvPr id="0" name=""/>
        <dsp:cNvSpPr/>
      </dsp:nvSpPr>
      <dsp:spPr>
        <a:xfrm rot="18851662">
          <a:off x="2258252" y="2918450"/>
          <a:ext cx="394543" cy="11601"/>
        </a:xfrm>
        <a:custGeom>
          <a:avLst/>
          <a:gdLst/>
          <a:ahLst/>
          <a:cxnLst/>
          <a:rect l="0" t="0" r="0" b="0"/>
          <a:pathLst>
            <a:path>
              <a:moveTo>
                <a:pt x="0" y="5822"/>
              </a:moveTo>
              <a:lnTo>
                <a:pt x="203993" y="58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2441576" y="2924447"/>
        <a:ext cx="0" cy="0"/>
      </dsp:txXfrm>
    </dsp:sp>
    <dsp:sp modelId="{6BC73FEB-0FF9-4A7B-B94C-2AF90844F12C}">
      <dsp:nvSpPr>
        <dsp:cNvPr id="0" name=""/>
        <dsp:cNvSpPr/>
      </dsp:nvSpPr>
      <dsp:spPr>
        <a:xfrm>
          <a:off x="2593041" y="2611496"/>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Geen (0)</a:t>
          </a:r>
        </a:p>
      </dsp:txBody>
      <dsp:txXfrm>
        <a:off x="2603076" y="2621531"/>
        <a:ext cx="716774" cy="322560"/>
      </dsp:txXfrm>
    </dsp:sp>
    <dsp:sp modelId="{418ACE79-6041-4DA1-A2ED-E0360AA6B36F}">
      <dsp:nvSpPr>
        <dsp:cNvPr id="0" name=""/>
        <dsp:cNvSpPr/>
      </dsp:nvSpPr>
      <dsp:spPr>
        <a:xfrm rot="2137608">
          <a:off x="2286340" y="3158440"/>
          <a:ext cx="338367" cy="11601"/>
        </a:xfrm>
        <a:custGeom>
          <a:avLst/>
          <a:gdLst/>
          <a:ahLst/>
          <a:cxnLst/>
          <a:rect l="0" t="0" r="0" b="0"/>
          <a:pathLst>
            <a:path>
              <a:moveTo>
                <a:pt x="0" y="5822"/>
              </a:moveTo>
              <a:lnTo>
                <a:pt x="203993" y="582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2453576" y="3152438"/>
        <a:ext cx="0" cy="0"/>
      </dsp:txXfrm>
    </dsp:sp>
    <dsp:sp modelId="{38AF3FE6-C506-468E-A70D-9F29962AA7A8}">
      <dsp:nvSpPr>
        <dsp:cNvPr id="0" name=""/>
        <dsp:cNvSpPr/>
      </dsp:nvSpPr>
      <dsp:spPr>
        <a:xfrm>
          <a:off x="2593041" y="3091475"/>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Wel (1-4)</a:t>
          </a:r>
        </a:p>
      </dsp:txBody>
      <dsp:txXfrm>
        <a:off x="2603076" y="3101510"/>
        <a:ext cx="716774" cy="322560"/>
      </dsp:txXfrm>
    </dsp:sp>
    <dsp:sp modelId="{BA768222-7A16-434F-B2E0-3F1C1A673083}">
      <dsp:nvSpPr>
        <dsp:cNvPr id="0" name=""/>
        <dsp:cNvSpPr/>
      </dsp:nvSpPr>
      <dsp:spPr>
        <a:xfrm rot="16922436">
          <a:off x="2808179" y="2612269"/>
          <a:ext cx="1318447" cy="11601"/>
        </a:xfrm>
        <a:custGeom>
          <a:avLst/>
          <a:gdLst/>
          <a:ahLst/>
          <a:cxnLst/>
          <a:rect l="0" t="0" r="0" b="0"/>
          <a:pathLst>
            <a:path>
              <a:moveTo>
                <a:pt x="0" y="5822"/>
              </a:moveTo>
              <a:lnTo>
                <a:pt x="791405"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3428291" y="2643430"/>
        <a:ext cx="0" cy="0"/>
      </dsp:txXfrm>
    </dsp:sp>
    <dsp:sp modelId="{1FDA3A69-74D2-4843-8E2B-6070B5CEB616}">
      <dsp:nvSpPr>
        <dsp:cNvPr id="0" name=""/>
        <dsp:cNvSpPr/>
      </dsp:nvSpPr>
      <dsp:spPr>
        <a:xfrm>
          <a:off x="3604920" y="1802033"/>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Lobbying (4)</a:t>
          </a:r>
        </a:p>
      </dsp:txBody>
      <dsp:txXfrm>
        <a:off x="3614955" y="1812068"/>
        <a:ext cx="716774" cy="322560"/>
      </dsp:txXfrm>
    </dsp:sp>
    <dsp:sp modelId="{80110401-87D8-4033-9579-19CFB5423CB5}">
      <dsp:nvSpPr>
        <dsp:cNvPr id="0" name=""/>
        <dsp:cNvSpPr/>
      </dsp:nvSpPr>
      <dsp:spPr>
        <a:xfrm rot="19447222">
          <a:off x="4309560" y="1868077"/>
          <a:ext cx="339443"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67433" y="1871976"/>
        <a:ext cx="0" cy="0"/>
      </dsp:txXfrm>
    </dsp:sp>
    <dsp:sp modelId="{5F683B5D-246D-47B1-9C78-04D8BF30C4DA}">
      <dsp:nvSpPr>
        <dsp:cNvPr id="0" name=""/>
        <dsp:cNvSpPr/>
      </dsp:nvSpPr>
      <dsp:spPr>
        <a:xfrm>
          <a:off x="4616799" y="1601248"/>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Making the council policies more 'European'</a:t>
          </a:r>
        </a:p>
      </dsp:txBody>
      <dsp:txXfrm>
        <a:off x="4626942" y="1611391"/>
        <a:ext cx="2927085" cy="326030"/>
      </dsp:txXfrm>
    </dsp:sp>
    <dsp:sp modelId="{5295F92A-1F8B-401E-8FB3-FAA0EC72CB47}">
      <dsp:nvSpPr>
        <dsp:cNvPr id="0" name=""/>
        <dsp:cNvSpPr/>
      </dsp:nvSpPr>
      <dsp:spPr>
        <a:xfrm rot="2152778">
          <a:off x="4309560" y="2067020"/>
          <a:ext cx="339443"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77380" y="2060971"/>
        <a:ext cx="0" cy="0"/>
      </dsp:txXfrm>
    </dsp:sp>
    <dsp:sp modelId="{ACF8FCE4-3A97-4E70-8F72-7937AF5B8A14}">
      <dsp:nvSpPr>
        <dsp:cNvPr id="0" name=""/>
        <dsp:cNvSpPr/>
      </dsp:nvSpPr>
      <dsp:spPr>
        <a:xfrm>
          <a:off x="4616799" y="1999133"/>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Advising the EU on implementation </a:t>
          </a:r>
        </a:p>
      </dsp:txBody>
      <dsp:txXfrm>
        <a:off x="4626942" y="2009276"/>
        <a:ext cx="2927085" cy="326030"/>
      </dsp:txXfrm>
    </dsp:sp>
    <dsp:sp modelId="{87A86CB4-C3E4-4577-A388-8C44A972E7B2}">
      <dsp:nvSpPr>
        <dsp:cNvPr id="0" name=""/>
        <dsp:cNvSpPr/>
      </dsp:nvSpPr>
      <dsp:spPr>
        <a:xfrm rot="17947385">
          <a:off x="3184845" y="3010154"/>
          <a:ext cx="565115" cy="11601"/>
        </a:xfrm>
        <a:custGeom>
          <a:avLst/>
          <a:gdLst/>
          <a:ahLst/>
          <a:cxnLst/>
          <a:rect l="0" t="0" r="0" b="0"/>
          <a:pathLst>
            <a:path>
              <a:moveTo>
                <a:pt x="0" y="5822"/>
              </a:moveTo>
              <a:lnTo>
                <a:pt x="340632"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3448185" y="3021420"/>
        <a:ext cx="0" cy="0"/>
      </dsp:txXfrm>
    </dsp:sp>
    <dsp:sp modelId="{B757EDAE-B30F-4E1D-9C40-0079E8DA955A}">
      <dsp:nvSpPr>
        <dsp:cNvPr id="0" name=""/>
        <dsp:cNvSpPr/>
      </dsp:nvSpPr>
      <dsp:spPr>
        <a:xfrm>
          <a:off x="3604920" y="2597804"/>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Networking (3)</a:t>
          </a:r>
        </a:p>
      </dsp:txBody>
      <dsp:txXfrm>
        <a:off x="3614955" y="2607839"/>
        <a:ext cx="716774" cy="322560"/>
      </dsp:txXfrm>
    </dsp:sp>
    <dsp:sp modelId="{DA67EFBA-6D28-4B6E-ADD5-E09D60AF2140}">
      <dsp:nvSpPr>
        <dsp:cNvPr id="0" name=""/>
        <dsp:cNvSpPr/>
      </dsp:nvSpPr>
      <dsp:spPr>
        <a:xfrm rot="19447222">
          <a:off x="4309560" y="2663848"/>
          <a:ext cx="339443"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67433" y="2667746"/>
        <a:ext cx="0" cy="0"/>
      </dsp:txXfrm>
    </dsp:sp>
    <dsp:sp modelId="{28020C06-D4D2-49D3-BBEA-BC566477D017}">
      <dsp:nvSpPr>
        <dsp:cNvPr id="0" name=""/>
        <dsp:cNvSpPr/>
      </dsp:nvSpPr>
      <dsp:spPr>
        <a:xfrm>
          <a:off x="4616799" y="2397019"/>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Participating in EU international networks &amp; co-operating in joint projects</a:t>
          </a:r>
        </a:p>
      </dsp:txBody>
      <dsp:txXfrm>
        <a:off x="4626942" y="2407162"/>
        <a:ext cx="2927085" cy="326030"/>
      </dsp:txXfrm>
    </dsp:sp>
    <dsp:sp modelId="{10D0769D-35EA-455F-857F-057AC9226557}">
      <dsp:nvSpPr>
        <dsp:cNvPr id="0" name=""/>
        <dsp:cNvSpPr/>
      </dsp:nvSpPr>
      <dsp:spPr>
        <a:xfrm rot="2152778">
          <a:off x="4309560" y="2862790"/>
          <a:ext cx="339443"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77380" y="2856742"/>
        <a:ext cx="0" cy="0"/>
      </dsp:txXfrm>
    </dsp:sp>
    <dsp:sp modelId="{31E9BBAE-3B19-488C-AB9E-4EF8F1F4A8E5}">
      <dsp:nvSpPr>
        <dsp:cNvPr id="0" name=""/>
        <dsp:cNvSpPr/>
      </dsp:nvSpPr>
      <dsp:spPr>
        <a:xfrm>
          <a:off x="4616799" y="2794904"/>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Linking with other local organizations participating in the EU</a:t>
          </a:r>
        </a:p>
      </dsp:txBody>
      <dsp:txXfrm>
        <a:off x="4626942" y="2805047"/>
        <a:ext cx="2927085" cy="326030"/>
      </dsp:txXfrm>
    </dsp:sp>
    <dsp:sp modelId="{091B9AA4-5A15-4586-AE88-E400F3F6340E}">
      <dsp:nvSpPr>
        <dsp:cNvPr id="0" name=""/>
        <dsp:cNvSpPr/>
      </dsp:nvSpPr>
      <dsp:spPr>
        <a:xfrm rot="2850624">
          <a:off x="3263811" y="3407118"/>
          <a:ext cx="407183" cy="11601"/>
        </a:xfrm>
        <a:custGeom>
          <a:avLst/>
          <a:gdLst/>
          <a:ahLst/>
          <a:cxnLst/>
          <a:rect l="0" t="0" r="0" b="0"/>
          <a:pathLst>
            <a:path>
              <a:moveTo>
                <a:pt x="0" y="5822"/>
              </a:moveTo>
              <a:lnTo>
                <a:pt x="243581"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3468033" y="3398537"/>
        <a:ext cx="0" cy="0"/>
      </dsp:txXfrm>
    </dsp:sp>
    <dsp:sp modelId="{A762CD8A-F6E9-45D3-BCEB-5AF8F7C6D21D}">
      <dsp:nvSpPr>
        <dsp:cNvPr id="0" name=""/>
        <dsp:cNvSpPr/>
      </dsp:nvSpPr>
      <dsp:spPr>
        <a:xfrm>
          <a:off x="3604920" y="3391732"/>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Financial (2)</a:t>
          </a:r>
        </a:p>
      </dsp:txBody>
      <dsp:txXfrm>
        <a:off x="3614955" y="3401767"/>
        <a:ext cx="716774" cy="322560"/>
      </dsp:txXfrm>
    </dsp:sp>
    <dsp:sp modelId="{12FA289F-805D-4020-AB96-60DF8D63F3A5}">
      <dsp:nvSpPr>
        <dsp:cNvPr id="0" name=""/>
        <dsp:cNvSpPr/>
      </dsp:nvSpPr>
      <dsp:spPr>
        <a:xfrm rot="19447222">
          <a:off x="4309560" y="3457776"/>
          <a:ext cx="339443"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67433" y="3461674"/>
        <a:ext cx="0" cy="0"/>
      </dsp:txXfrm>
    </dsp:sp>
    <dsp:sp modelId="{10BEEE2B-D4DB-4500-9495-0DADDD1E901B}">
      <dsp:nvSpPr>
        <dsp:cNvPr id="0" name=""/>
        <dsp:cNvSpPr/>
      </dsp:nvSpPr>
      <dsp:spPr>
        <a:xfrm>
          <a:off x="4616799" y="3192789"/>
          <a:ext cx="2947371"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Facilitating economic regeneration </a:t>
          </a:r>
        </a:p>
      </dsp:txBody>
      <dsp:txXfrm>
        <a:off x="4626834" y="3202824"/>
        <a:ext cx="2927301" cy="322560"/>
      </dsp:txXfrm>
    </dsp:sp>
    <dsp:sp modelId="{9C270939-0433-43E5-8C75-AF3E2316C7A9}">
      <dsp:nvSpPr>
        <dsp:cNvPr id="0" name=""/>
        <dsp:cNvSpPr/>
      </dsp:nvSpPr>
      <dsp:spPr>
        <a:xfrm rot="2137608">
          <a:off x="4310098" y="3655797"/>
          <a:ext cx="338367" cy="11601"/>
        </a:xfrm>
        <a:custGeom>
          <a:avLst/>
          <a:gdLst/>
          <a:ahLst/>
          <a:cxnLst/>
          <a:rect l="0" t="0" r="0" b="0"/>
          <a:pathLst>
            <a:path>
              <a:moveTo>
                <a:pt x="0" y="5822"/>
              </a:moveTo>
              <a:lnTo>
                <a:pt x="203993"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77334" y="3649794"/>
        <a:ext cx="0" cy="0"/>
      </dsp:txXfrm>
    </dsp:sp>
    <dsp:sp modelId="{2235568A-637E-457E-A716-B41A41084271}">
      <dsp:nvSpPr>
        <dsp:cNvPr id="0" name=""/>
        <dsp:cNvSpPr/>
      </dsp:nvSpPr>
      <dsp:spPr>
        <a:xfrm>
          <a:off x="4616799" y="3586989"/>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Maximasing EU grants</a:t>
          </a:r>
        </a:p>
      </dsp:txBody>
      <dsp:txXfrm>
        <a:off x="4626942" y="3597132"/>
        <a:ext cx="2927085" cy="326030"/>
      </dsp:txXfrm>
    </dsp:sp>
    <dsp:sp modelId="{B56A3AD0-ACB6-48D9-AFEB-4AD557F6365B}">
      <dsp:nvSpPr>
        <dsp:cNvPr id="0" name=""/>
        <dsp:cNvSpPr/>
      </dsp:nvSpPr>
      <dsp:spPr>
        <a:xfrm rot="4677564">
          <a:off x="2808179" y="3901711"/>
          <a:ext cx="1318447" cy="11601"/>
        </a:xfrm>
        <a:custGeom>
          <a:avLst/>
          <a:gdLst/>
          <a:ahLst/>
          <a:cxnLst/>
          <a:rect l="0" t="0" r="0" b="0"/>
          <a:pathLst>
            <a:path>
              <a:moveTo>
                <a:pt x="0" y="5822"/>
              </a:moveTo>
              <a:lnTo>
                <a:pt x="791405"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3492763" y="3868400"/>
        <a:ext cx="0" cy="0"/>
      </dsp:txXfrm>
    </dsp:sp>
    <dsp:sp modelId="{9D98CD9E-3322-45B6-8390-28C9FEC34CE7}">
      <dsp:nvSpPr>
        <dsp:cNvPr id="0" name=""/>
        <dsp:cNvSpPr/>
      </dsp:nvSpPr>
      <dsp:spPr>
        <a:xfrm>
          <a:off x="3604920" y="4380917"/>
          <a:ext cx="736844"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Minimal (1)</a:t>
          </a:r>
        </a:p>
      </dsp:txBody>
      <dsp:txXfrm>
        <a:off x="3614955" y="4390952"/>
        <a:ext cx="716774" cy="322560"/>
      </dsp:txXfrm>
    </dsp:sp>
    <dsp:sp modelId="{79C7FF9C-B692-4241-A565-E0BC0758576C}">
      <dsp:nvSpPr>
        <dsp:cNvPr id="0" name=""/>
        <dsp:cNvSpPr/>
      </dsp:nvSpPr>
      <dsp:spPr>
        <a:xfrm rot="18286698">
          <a:off x="4238194" y="4348411"/>
          <a:ext cx="482175" cy="11601"/>
        </a:xfrm>
        <a:custGeom>
          <a:avLst/>
          <a:gdLst/>
          <a:ahLst/>
          <a:cxnLst/>
          <a:rect l="0" t="0" r="0" b="0"/>
          <a:pathLst>
            <a:path>
              <a:moveTo>
                <a:pt x="0" y="5822"/>
              </a:moveTo>
              <a:lnTo>
                <a:pt x="290064"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62505" y="4357236"/>
        <a:ext cx="0" cy="0"/>
      </dsp:txXfrm>
    </dsp:sp>
    <dsp:sp modelId="{F3CED7B5-A709-4D55-96B9-B9BB52C338EB}">
      <dsp:nvSpPr>
        <dsp:cNvPr id="0" name=""/>
        <dsp:cNvSpPr/>
      </dsp:nvSpPr>
      <dsp:spPr>
        <a:xfrm>
          <a:off x="4616799" y="3984875"/>
          <a:ext cx="2947371"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Communicating to the private sector and the public</a:t>
          </a:r>
        </a:p>
      </dsp:txBody>
      <dsp:txXfrm>
        <a:off x="4626834" y="3994910"/>
        <a:ext cx="2927301" cy="322560"/>
      </dsp:txXfrm>
    </dsp:sp>
    <dsp:sp modelId="{AC412E89-4604-415D-971F-5EBA6EA35F02}">
      <dsp:nvSpPr>
        <dsp:cNvPr id="0" name=""/>
        <dsp:cNvSpPr/>
      </dsp:nvSpPr>
      <dsp:spPr>
        <a:xfrm>
          <a:off x="4341765" y="4546432"/>
          <a:ext cx="275034" cy="11601"/>
        </a:xfrm>
        <a:custGeom>
          <a:avLst/>
          <a:gdLst/>
          <a:ahLst/>
          <a:cxnLst/>
          <a:rect l="0" t="0" r="0" b="0"/>
          <a:pathLst>
            <a:path>
              <a:moveTo>
                <a:pt x="0" y="5822"/>
              </a:moveTo>
              <a:lnTo>
                <a:pt x="165645"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72406" y="4545357"/>
        <a:ext cx="0" cy="0"/>
      </dsp:txXfrm>
    </dsp:sp>
    <dsp:sp modelId="{74BF1C35-8060-4AAC-BFC5-5CB6CAF327F8}">
      <dsp:nvSpPr>
        <dsp:cNvPr id="0" name=""/>
        <dsp:cNvSpPr/>
      </dsp:nvSpPr>
      <dsp:spPr>
        <a:xfrm>
          <a:off x="4616799" y="4379075"/>
          <a:ext cx="2947371" cy="3463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Managing European information</a:t>
          </a:r>
        </a:p>
      </dsp:txBody>
      <dsp:txXfrm>
        <a:off x="4626942" y="4389218"/>
        <a:ext cx="2927085" cy="326030"/>
      </dsp:txXfrm>
    </dsp:sp>
    <dsp:sp modelId="{0569F182-E3F8-427F-99AA-F122BD8BF2F9}">
      <dsp:nvSpPr>
        <dsp:cNvPr id="0" name=""/>
        <dsp:cNvSpPr/>
      </dsp:nvSpPr>
      <dsp:spPr>
        <a:xfrm rot="3313302">
          <a:off x="4238194" y="4744453"/>
          <a:ext cx="482175" cy="11601"/>
        </a:xfrm>
        <a:custGeom>
          <a:avLst/>
          <a:gdLst/>
          <a:ahLst/>
          <a:cxnLst/>
          <a:rect l="0" t="0" r="0" b="0"/>
          <a:pathLst>
            <a:path>
              <a:moveTo>
                <a:pt x="0" y="5822"/>
              </a:moveTo>
              <a:lnTo>
                <a:pt x="290064" y="582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nl-NL" sz="800" kern="1200"/>
        </a:p>
      </dsp:txBody>
      <dsp:txXfrm>
        <a:off x="4482306" y="4733478"/>
        <a:ext cx="0" cy="0"/>
      </dsp:txXfrm>
    </dsp:sp>
    <dsp:sp modelId="{2A02F76E-44CB-485E-B9A9-478E59D14509}">
      <dsp:nvSpPr>
        <dsp:cNvPr id="0" name=""/>
        <dsp:cNvSpPr/>
      </dsp:nvSpPr>
      <dsp:spPr>
        <a:xfrm>
          <a:off x="4616799" y="4776960"/>
          <a:ext cx="2947371" cy="3426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nl-NL" sz="800" kern="1200"/>
            <a:t>Responding to EU directives and regulation</a:t>
          </a:r>
        </a:p>
      </dsp:txBody>
      <dsp:txXfrm>
        <a:off x="4626834" y="4786995"/>
        <a:ext cx="2927301" cy="32256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B7C207-3312-4B5C-B7B4-86A9B452D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14824</Words>
  <Characters>81537</Characters>
  <Application>Microsoft Office Word</Application>
  <DocSecurity>0</DocSecurity>
  <Lines>679</Lines>
  <Paragraphs>192</Paragraphs>
  <ScaleCrop>false</ScaleCrop>
  <HeadingPairs>
    <vt:vector size="4" baseType="variant">
      <vt:variant>
        <vt:lpstr>Titel</vt:lpstr>
      </vt:variant>
      <vt:variant>
        <vt:i4>1</vt:i4>
      </vt:variant>
      <vt:variant>
        <vt:lpstr>Koppen</vt:lpstr>
      </vt:variant>
      <vt:variant>
        <vt:i4>30</vt:i4>
      </vt:variant>
    </vt:vector>
  </HeadingPairs>
  <TitlesOfParts>
    <vt:vector size="31" baseType="lpstr">
      <vt:lpstr>Europa?!</vt:lpstr>
      <vt:lpstr>Abstract </vt:lpstr>
      <vt:lpstr>Inleiding</vt:lpstr>
      <vt:lpstr>Theorie</vt:lpstr>
      <vt:lpstr>    2.1 Europeanisering bij gemeenten</vt:lpstr>
      <vt:lpstr>    2.2 Ontvangst EU-gelden</vt:lpstr>
      <vt:lpstr>    2.3 Inwoneraantal</vt:lpstr>
      <vt:lpstr>    2.4 Grensgemeenten</vt:lpstr>
      <vt:lpstr>    2.5 Opstelling  gemeentebestuur</vt:lpstr>
      <vt:lpstr>    2.6 Aandacht EU voorgaande raadsperiode</vt:lpstr>
      <vt:lpstr>Methoden</vt:lpstr>
      <vt:lpstr>    3.1 Onderzoeksmethodiek </vt:lpstr>
      <vt:lpstr>    3.2 Operationalisatie &amp; dataverzameling </vt:lpstr>
      <vt:lpstr>    3.3 Selectie onderzoekseenheden   </vt:lpstr>
      <vt:lpstr>    3.4 Data-analyse</vt:lpstr>
      <vt:lpstr>    3.5 Validiteit en betrouwbaarheid</vt:lpstr>
      <vt:lpstr>Resultaten </vt:lpstr>
      <vt:lpstr>    4.1 Beschrijvende statistiek </vt:lpstr>
      <vt:lpstr>    4.2 Binaire logistische regressie</vt:lpstr>
      <vt:lpstr>    4.3 Multinomiale logistische regressie   				</vt:lpstr>
      <vt:lpstr>        4.3.1. Ontvangst EU-gelden	</vt:lpstr>
      <vt:lpstr>        4.3.2. Inwoneraantal</vt:lpstr>
      <vt:lpstr>        4.3.3. Grensgemeenten</vt:lpstr>
      <vt:lpstr>        4.3.4. Opstelling gemeentebestuur</vt:lpstr>
      <vt:lpstr>        4.3.5. Controlevariabelen</vt:lpstr>
      <vt:lpstr>Conclusie &amp; discussie</vt:lpstr>
      <vt:lpstr>Referenties</vt:lpstr>
      <vt:lpstr>Bijlage I: codeerschema ‘Politiek-bestuurlijke Europeanisering gemeenten’</vt:lpstr>
      <vt:lpstr>    </vt:lpstr>
      <vt:lpstr>Bijlage II: indeling Nederlandse politieke partijen ten aanzien van de EU</vt:lpstr>
      <vt:lpstr>Appendix</vt:lpstr>
    </vt:vector>
  </TitlesOfParts>
  <Company/>
  <LinksUpToDate>false</LinksUpToDate>
  <CharactersWithSpaces>96169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Europa: dichtbij of ver-van-mijn-bed-show?</dc:title>
  <dc:subject>Een toetsend onderzoek naar politiek-bestuurlijke Europeanisering bij Nederlandse gemeenten</dc:subject>
  <dc:creator>Sander Elemans</dc:creator>
  <cp:keywords/>
  <dc:description/>
  <cp:lastModifiedBy>Born, E.G.J. (Evelien)</cp:lastModifiedBy>
  <cp:revision>2</cp:revision>
  <dcterms:created xsi:type="dcterms:W3CDTF">2023-02-17T12:54:00Z</dcterms:created>
  <dcterms:modified xsi:type="dcterms:W3CDTF">2023-02-17T12:54:00Z</dcterms:modified>
</cp:coreProperties>
</file>