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5F9E47" w14:textId="5E109EAF" w:rsidR="00931BA8" w:rsidRDefault="005E5882" w:rsidP="5ED61326">
      <w:pPr>
        <w:pStyle w:val="Titel"/>
        <w:jc w:val="center"/>
      </w:pPr>
      <w:r>
        <w:rPr>
          <w:noProof/>
        </w:rPr>
        <w:drawing>
          <wp:anchor distT="0" distB="0" distL="114300" distR="114300" simplePos="0" relativeHeight="251658240" behindDoc="1" locked="0" layoutInCell="1" allowOverlap="1" wp14:anchorId="000F6166" wp14:editId="6B6A0105">
            <wp:simplePos x="0" y="0"/>
            <wp:positionH relativeFrom="page">
              <wp:posOffset>-711200</wp:posOffset>
            </wp:positionH>
            <wp:positionV relativeFrom="paragraph">
              <wp:posOffset>469900</wp:posOffset>
            </wp:positionV>
            <wp:extent cx="8508365" cy="6896100"/>
            <wp:effectExtent l="0" t="0" r="6985" b="0"/>
            <wp:wrapNone/>
            <wp:docPr id="1906521965" name="Picture 1906521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alphaModFix amt="35000"/>
                      <a:extLst>
                        <a:ext uri="{28A0092B-C50C-407E-A947-70E740481C1C}">
                          <a14:useLocalDpi xmlns:a14="http://schemas.microsoft.com/office/drawing/2010/main" val="0"/>
                        </a:ext>
                      </a:extLst>
                    </a:blip>
                    <a:stretch>
                      <a:fillRect/>
                    </a:stretch>
                  </pic:blipFill>
                  <pic:spPr>
                    <a:xfrm>
                      <a:off x="0" y="0"/>
                      <a:ext cx="8518614" cy="690440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58245" behindDoc="0" locked="0" layoutInCell="1" allowOverlap="1" wp14:anchorId="306E0DAB" wp14:editId="4D77761C">
                <wp:simplePos x="0" y="0"/>
                <wp:positionH relativeFrom="page">
                  <wp:align>right</wp:align>
                </wp:positionH>
                <wp:positionV relativeFrom="paragraph">
                  <wp:posOffset>444500</wp:posOffset>
                </wp:positionV>
                <wp:extent cx="7531100" cy="1404620"/>
                <wp:effectExtent l="0" t="0" r="0" b="5715"/>
                <wp:wrapSquare wrapText="bothSides"/>
                <wp:docPr id="205577246"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1100" cy="1404620"/>
                        </a:xfrm>
                        <a:prstGeom prst="rect">
                          <a:avLst/>
                        </a:prstGeom>
                        <a:noFill/>
                        <a:ln w="9525">
                          <a:noFill/>
                          <a:miter lim="800000"/>
                          <a:headEnd/>
                          <a:tailEnd/>
                        </a:ln>
                      </wps:spPr>
                      <wps:txbx>
                        <w:txbxContent>
                          <w:p w14:paraId="2085A1E4" w14:textId="11F820D5" w:rsidR="005E5882" w:rsidRDefault="005E5882" w:rsidP="005E5882">
                            <w:pPr>
                              <w:pStyle w:val="Titel"/>
                              <w:jc w:val="center"/>
                            </w:pPr>
                            <w:r>
                              <w:t>Op weg naar succesvol innoveren</w:t>
                            </w:r>
                          </w:p>
                          <w:p w14:paraId="41A06AE4" w14:textId="77777777" w:rsidR="005E5882" w:rsidRDefault="005E5882" w:rsidP="005E5882">
                            <w:pPr>
                              <w:pStyle w:val="Ondertitel"/>
                              <w:jc w:val="center"/>
                            </w:pPr>
                            <w:r>
                              <w:t>Een kwalitatief onderzoek naar het versterken van het innovatievermogen van de PPO-dienst binnen Rijkswaterstaat</w:t>
                            </w:r>
                          </w:p>
                          <w:p w14:paraId="2A75552C" w14:textId="7C6A3820" w:rsidR="005E5882" w:rsidRDefault="005E5882"/>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06E0DAB" id="_x0000_t202" coordsize="21600,21600" o:spt="202" path="m,l,21600r21600,l21600,xe">
                <v:stroke joinstyle="miter"/>
                <v:path gradientshapeok="t" o:connecttype="rect"/>
              </v:shapetype>
              <v:shape id="Tekstvak 2" o:spid="_x0000_s1026" type="#_x0000_t202" style="position:absolute;left:0;text-align:left;margin-left:541.8pt;margin-top:35pt;width:593pt;height:110.6pt;z-index:251658245;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" filled="f" stroked="f">
                <v:textbox style="mso-fit-shape-to-text:t">
                  <w:txbxContent>
                    <w:p w14:paraId="2085A1E4" w14:textId="11F820D5" w:rsidR="005E5882" w:rsidRDefault="005E5882" w:rsidP="005E5882">
                      <w:pPr>
                        <w:pStyle w:val="Titel"/>
                        <w:jc w:val="center"/>
                      </w:pPr>
                      <w:r>
                        <w:t>Op weg naar succesvol innoveren</w:t>
                      </w:r>
                    </w:p>
                    <w:p w14:paraId="41A06AE4" w14:textId="77777777" w:rsidR="005E5882" w:rsidRDefault="005E5882" w:rsidP="005E5882">
                      <w:pPr>
                        <w:pStyle w:val="Ondertitel"/>
                        <w:jc w:val="center"/>
                      </w:pPr>
                      <w:r>
                        <w:t>Een kwalitatief onderzoek naar het versterken van het innovatievermogen van de PPO-dienst binnen Rijkswaterstaat</w:t>
                      </w:r>
                    </w:p>
                    <w:p w14:paraId="2A75552C" w14:textId="7C6A3820" w:rsidR="005E5882" w:rsidRDefault="005E5882"/>
                  </w:txbxContent>
                </v:textbox>
                <w10:wrap type="square" anchorx="page"/>
              </v:shape>
            </w:pict>
          </mc:Fallback>
        </mc:AlternateContent>
      </w:r>
      <w:r w:rsidR="00931BA8">
        <w:rPr>
          <w:noProof/>
        </w:rPr>
        <w:drawing>
          <wp:anchor distT="0" distB="0" distL="114300" distR="114300" simplePos="0" relativeHeight="251658243" behindDoc="1" locked="0" layoutInCell="1" allowOverlap="1" wp14:anchorId="7FD07DBA" wp14:editId="5D3C99F6">
            <wp:simplePos x="0" y="0"/>
            <wp:positionH relativeFrom="column">
              <wp:posOffset>4267200</wp:posOffset>
            </wp:positionH>
            <wp:positionV relativeFrom="paragraph">
              <wp:posOffset>-812800</wp:posOffset>
            </wp:positionV>
            <wp:extent cx="2005965" cy="1444625"/>
            <wp:effectExtent l="0" t="0" r="0" b="3175"/>
            <wp:wrapNone/>
            <wp:docPr id="1243174509" name="Afbeelding 4" descr="Afbeelding met logo, symbool, Lettertype,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174509" name="Afbeelding 4" descr="Afbeelding met logo, symbool, Lettertype, ontwerp&#10;&#10;Automatisch gegenereerde beschrijvi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05965" cy="1444625"/>
                    </a:xfrm>
                    <a:prstGeom prst="rect">
                      <a:avLst/>
                    </a:prstGeom>
                    <a:noFill/>
                  </pic:spPr>
                </pic:pic>
              </a:graphicData>
            </a:graphic>
          </wp:anchor>
        </w:drawing>
      </w:r>
    </w:p>
    <w:p w14:paraId="2CAB0375" w14:textId="0593D52F" w:rsidR="00931BA8" w:rsidRDefault="00931BA8" w:rsidP="5ED61326">
      <w:pPr>
        <w:pStyle w:val="Titel"/>
        <w:jc w:val="center"/>
      </w:pPr>
    </w:p>
    <w:p w14:paraId="08A4B136" w14:textId="5995ACBC" w:rsidR="00931BA8" w:rsidRDefault="00931BA8" w:rsidP="5ED61326">
      <w:pPr>
        <w:pStyle w:val="Titel"/>
        <w:jc w:val="center"/>
      </w:pPr>
    </w:p>
    <w:p w14:paraId="1211D696" w14:textId="2972FC68" w:rsidR="5ED61326" w:rsidRDefault="5ED61326" w:rsidP="5ED61326"/>
    <w:p w14:paraId="6265CAE2" w14:textId="562293A3" w:rsidR="5ED61326" w:rsidRDefault="5ED61326" w:rsidP="5ED61326"/>
    <w:p w14:paraId="6A6C28A1" w14:textId="1DE30DB0" w:rsidR="5ED61326" w:rsidRDefault="5ED61326" w:rsidP="5ED61326"/>
    <w:p w14:paraId="12941930" w14:textId="7B14B8EE" w:rsidR="5ED61326" w:rsidRDefault="5ED61326" w:rsidP="5ED61326"/>
    <w:p w14:paraId="6BC59D01" w14:textId="762EDF4D" w:rsidR="5ED61326" w:rsidRDefault="5ED61326" w:rsidP="5ED61326"/>
    <w:p w14:paraId="5EC2EBFC" w14:textId="09997260" w:rsidR="5ED61326" w:rsidRDefault="5ED61326" w:rsidP="5ED61326"/>
    <w:p w14:paraId="32C4C0C7" w14:textId="57543C8A" w:rsidR="5ED61326" w:rsidRDefault="5ED61326" w:rsidP="5ED61326"/>
    <w:p w14:paraId="5C5E77E2" w14:textId="77777777" w:rsidR="0013584F" w:rsidRDefault="00E357BB" w:rsidP="0013584F">
      <w:pPr>
        <w:pStyle w:val="Kop1"/>
      </w:pPr>
      <w:bookmarkStart w:id="0" w:name="_Toc171411024"/>
      <w:r>
        <w:rPr>
          <w:noProof/>
        </w:rPr>
        <mc:AlternateContent>
          <mc:Choice Requires="wps">
            <w:drawing>
              <wp:anchor distT="45720" distB="45720" distL="114300" distR="114300" simplePos="0" relativeHeight="251657216" behindDoc="0" locked="0" layoutInCell="1" allowOverlap="1" wp14:anchorId="246E2095" wp14:editId="38D3FB73">
                <wp:simplePos x="0" y="0"/>
                <wp:positionH relativeFrom="page">
                  <wp:align>left</wp:align>
                </wp:positionH>
                <wp:positionV relativeFrom="paragraph">
                  <wp:posOffset>2237740</wp:posOffset>
                </wp:positionV>
                <wp:extent cx="7524750" cy="1514475"/>
                <wp:effectExtent l="0" t="0" r="0" b="9525"/>
                <wp:wrapSquare wrapText="bothSides"/>
                <wp:docPr id="195901197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0" cy="1514475"/>
                        </a:xfrm>
                        <a:prstGeom prst="rect">
                          <a:avLst/>
                        </a:prstGeom>
                        <a:solidFill>
                          <a:srgbClr val="FFFFFF"/>
                        </a:solidFill>
                        <a:ln w="9525">
                          <a:noFill/>
                          <a:prstDash val="solid"/>
                          <a:miter lim="800000"/>
                          <a:headEnd/>
                          <a:tailEnd/>
                        </a:ln>
                      </wps:spPr>
                      <wps:txbx>
                        <w:txbxContent>
                          <w:p w14:paraId="77CE32B9" w14:textId="3AECBF6A" w:rsidR="00B352C0" w:rsidRDefault="005808FC">
                            <w:r>
                              <w:t>Britney Gijsbertsen</w:t>
                            </w:r>
                            <w:r w:rsidR="008F64F8">
                              <w:br/>
                            </w:r>
                            <w:r w:rsidR="00342A9C">
                              <w:t>Radboud Universiteit Nijmegen</w:t>
                            </w:r>
                            <w:r w:rsidR="00342A9C">
                              <w:br/>
                              <w:t>Faculteit der Managementwetenschappen</w:t>
                            </w:r>
                            <w:r w:rsidR="00B352C0">
                              <w:br/>
                            </w:r>
                            <w:r w:rsidR="00C83EA6">
                              <w:t>Opleiding Bestuurskunde</w:t>
                            </w:r>
                            <w:r w:rsidR="007A7A5F">
                              <w:t>- Specialisatie Beleidsadvisering</w:t>
                            </w:r>
                            <w:r w:rsidR="00C83EA6">
                              <w:br/>
                              <w:t>Master</w:t>
                            </w:r>
                            <w:r w:rsidR="00E357BB">
                              <w:t xml:space="preserve"> </w:t>
                            </w:r>
                            <w:r w:rsidR="00C83EA6">
                              <w:t>thesis</w:t>
                            </w:r>
                            <w:r w:rsidR="0055160F">
                              <w:br/>
                            </w:r>
                            <w:r w:rsidR="009A1CF5" w:rsidRPr="00A40BFC">
                              <w:t>J</w:t>
                            </w:r>
                            <w:r w:rsidR="0055160F" w:rsidRPr="00A40BFC">
                              <w:t>u</w:t>
                            </w:r>
                            <w:r w:rsidR="00D126E8" w:rsidRPr="00A40BFC">
                              <w:t>l</w:t>
                            </w:r>
                            <w:r w:rsidR="00D12B29" w:rsidRPr="00A40BFC">
                              <w:t>i</w:t>
                            </w:r>
                            <w:r w:rsidR="0055160F" w:rsidRPr="00A40BFC">
                              <w:t xml:space="preserve"> 2024</w:t>
                            </w:r>
                            <w:r w:rsidR="0055160F">
                              <w:br/>
                              <w:t xml:space="preserve">Begeleider: </w:t>
                            </w:r>
                            <w:r w:rsidR="00BC3C90" w:rsidRPr="00BC3C90">
                              <w:t>dr. J.H.M.M. Tholen (Berry)</w:t>
                            </w:r>
                            <w:r w:rsidR="008F64F8">
                              <w:t xml:space="preserve"> </w:t>
                            </w:r>
                          </w:p>
                          <w:p w14:paraId="7EE53306" w14:textId="77777777" w:rsidR="008D31B8" w:rsidRDefault="008D31B8"/>
                          <w:p w14:paraId="4C9BE107" w14:textId="77777777" w:rsidR="008D31B8" w:rsidRDefault="008D31B8"/>
                          <w:p w14:paraId="7943BC42" w14:textId="77777777" w:rsidR="008F64F8" w:rsidRDefault="008F64F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E2095" id="_x0000_s1027" type="#_x0000_t202" style="position:absolute;margin-left:0;margin-top:176.2pt;width:592.5pt;height:119.25pt;z-index:251657216;visibility:visible;mso-wrap-style:square;mso-width-percent:0;mso-height-percent:0;mso-wrap-distance-left:9pt;mso-wrap-distance-top:3.6pt;mso-wrap-distance-right:9pt;mso-wrap-distance-bottom:3.6pt;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" stroked="f">
                <v:textbox>
                  <w:txbxContent>
                    <w:p w14:paraId="77CE32B9" w14:textId="3AECBF6A" w:rsidR="00B352C0" w:rsidRDefault="005808FC">
                      <w:r>
                        <w:t>Britney Gijsbertsen</w:t>
                      </w:r>
                      <w:r w:rsidR="008F64F8">
                        <w:br/>
                      </w:r>
                      <w:r w:rsidR="00342A9C">
                        <w:t>Radboud Universiteit Nijmegen</w:t>
                      </w:r>
                      <w:r w:rsidR="00342A9C">
                        <w:br/>
                        <w:t>Faculteit der Managementwetenschappen</w:t>
                      </w:r>
                      <w:r w:rsidR="00B352C0">
                        <w:br/>
                      </w:r>
                      <w:r w:rsidR="00C83EA6">
                        <w:t>Opleiding Bestuurskunde</w:t>
                      </w:r>
                      <w:r w:rsidR="007A7A5F">
                        <w:t>- Specialisatie Beleidsadvisering</w:t>
                      </w:r>
                      <w:r w:rsidR="00C83EA6">
                        <w:br/>
                        <w:t>Master</w:t>
                      </w:r>
                      <w:r w:rsidR="00E357BB">
                        <w:t xml:space="preserve"> </w:t>
                      </w:r>
                      <w:r w:rsidR="00C83EA6">
                        <w:t>thesis</w:t>
                      </w:r>
                      <w:r w:rsidR="0055160F">
                        <w:br/>
                      </w:r>
                      <w:r w:rsidR="009A1CF5" w:rsidRPr="00A40BFC">
                        <w:t>J</w:t>
                      </w:r>
                      <w:r w:rsidR="0055160F" w:rsidRPr="00A40BFC">
                        <w:t>u</w:t>
                      </w:r>
                      <w:r w:rsidR="00D126E8" w:rsidRPr="00A40BFC">
                        <w:t>l</w:t>
                      </w:r>
                      <w:r w:rsidR="00D12B29" w:rsidRPr="00A40BFC">
                        <w:t>i</w:t>
                      </w:r>
                      <w:r w:rsidR="0055160F" w:rsidRPr="00A40BFC">
                        <w:t xml:space="preserve"> 2024</w:t>
                      </w:r>
                      <w:r w:rsidR="0055160F">
                        <w:br/>
                        <w:t xml:space="preserve">Begeleider: </w:t>
                      </w:r>
                      <w:r w:rsidR="00BC3C90" w:rsidRPr="00BC3C90">
                        <w:t>dr. J.H.M.M. Tholen (Berry)</w:t>
                      </w:r>
                      <w:r w:rsidR="008F64F8">
                        <w:t xml:space="preserve"> </w:t>
                      </w:r>
                    </w:p>
                    <w:p w14:paraId="7EE53306" w14:textId="77777777" w:rsidR="008D31B8" w:rsidRDefault="008D31B8"/>
                    <w:p w14:paraId="4C9BE107" w14:textId="77777777" w:rsidR="008D31B8" w:rsidRDefault="008D31B8"/>
                    <w:p w14:paraId="7943BC42" w14:textId="77777777" w:rsidR="008F64F8" w:rsidRDefault="008F64F8"/>
                  </w:txbxContent>
                </v:textbox>
                <w10:wrap type="square" anchorx="page"/>
              </v:shape>
            </w:pict>
          </mc:Fallback>
        </mc:AlternateContent>
      </w:r>
      <w:r w:rsidR="005E5882">
        <w:rPr>
          <w:noProof/>
        </w:rPr>
        <mc:AlternateContent>
          <mc:Choice Requires="wps">
            <w:drawing>
              <wp:anchor distT="0" distB="0" distL="114300" distR="114300" simplePos="0" relativeHeight="251663360" behindDoc="0" locked="0" layoutInCell="1" allowOverlap="1" wp14:anchorId="7033B9D2" wp14:editId="4E853C0A">
                <wp:simplePos x="0" y="0"/>
                <wp:positionH relativeFrom="column">
                  <wp:posOffset>-914400</wp:posOffset>
                </wp:positionH>
                <wp:positionV relativeFrom="paragraph">
                  <wp:posOffset>2240915</wp:posOffset>
                </wp:positionV>
                <wp:extent cx="7543800" cy="12700"/>
                <wp:effectExtent l="0" t="0" r="19050" b="25400"/>
                <wp:wrapNone/>
                <wp:docPr id="2144283832" name="Rechte verbindingslijn 11"/>
                <wp:cNvGraphicFramePr/>
                <a:graphic xmlns:a="http://schemas.openxmlformats.org/drawingml/2006/main">
                  <a:graphicData uri="http://schemas.microsoft.com/office/word/2010/wordprocessingShape">
                    <wps:wsp>
                      <wps:cNvCnPr/>
                      <wps:spPr>
                        <a:xfrm>
                          <a:off x="0" y="0"/>
                          <a:ext cx="7543800" cy="1270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xmlns:a14="http://schemas.microsoft.com/office/drawing/2010/main" xmlns:pic="http://schemas.openxmlformats.org/drawingml/2006/picture" xmlns:a="http://schemas.openxmlformats.org/drawingml/2006/main">
            <w:pict w14:anchorId="2617590A">
              <v:line id="Rechte verbindingslijn 11" style="position:absolute;z-index:25166336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1pt" from="-1in,176.45pt" to="522pt,177.45pt" w14:anchorId="55870C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">
                <v:stroke joinstyle="miter"/>
              </v:line>
            </w:pict>
          </mc:Fallback>
        </mc:AlternateContent>
      </w:r>
      <w:r w:rsidR="005E5882">
        <w:rPr>
          <w:noProof/>
        </w:rPr>
        <mc:AlternateContent>
          <mc:Choice Requires="wps">
            <w:drawing>
              <wp:anchor distT="45720" distB="45720" distL="114300" distR="114300" simplePos="0" relativeHeight="251654144" behindDoc="0" locked="0" layoutInCell="1" allowOverlap="1" wp14:anchorId="1846ACD4" wp14:editId="2E61B0C8">
                <wp:simplePos x="0" y="0"/>
                <wp:positionH relativeFrom="page">
                  <wp:align>left</wp:align>
                </wp:positionH>
                <wp:positionV relativeFrom="paragraph">
                  <wp:posOffset>1765300</wp:posOffset>
                </wp:positionV>
                <wp:extent cx="2360930" cy="1404620"/>
                <wp:effectExtent l="0" t="0" r="0" b="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F225F52" w14:textId="623CBC0A" w:rsidR="00F662C9" w:rsidRPr="00FF1D2E" w:rsidRDefault="00206037">
                            <w:pPr>
                              <w:rPr>
                                <w:sz w:val="18"/>
                                <w:szCs w:val="18"/>
                              </w:rPr>
                            </w:pPr>
                            <w:r w:rsidRPr="00FF1D2E">
                              <w:rPr>
                                <w:sz w:val="18"/>
                                <w:szCs w:val="18"/>
                              </w:rPr>
                              <w:t xml:space="preserve">Bron afbeelding: </w:t>
                            </w:r>
                            <w:r w:rsidR="00CC6E1D" w:rsidRPr="00FF1D2E">
                              <w:rPr>
                                <w:sz w:val="18"/>
                                <w:szCs w:val="18"/>
                              </w:rPr>
                              <w:t>(</w:t>
                            </w:r>
                            <w:r w:rsidR="00FF1D2E" w:rsidRPr="00FF1D2E">
                              <w:rPr>
                                <w:sz w:val="18"/>
                                <w:szCs w:val="18"/>
                              </w:rPr>
                              <w:t>iS</w:t>
                            </w:r>
                            <w:r w:rsidR="00B33B0C" w:rsidRPr="00FF1D2E">
                              <w:rPr>
                                <w:sz w:val="18"/>
                                <w:szCs w:val="18"/>
                              </w:rPr>
                              <w:t>tock</w:t>
                            </w:r>
                            <w:r w:rsidR="00CC6E1D" w:rsidRPr="00FF1D2E">
                              <w:rPr>
                                <w:sz w:val="18"/>
                                <w:szCs w:val="18"/>
                              </w:rPr>
                              <w:t xml:space="preserve">, </w:t>
                            </w:r>
                            <w:r w:rsidR="00B33B0C" w:rsidRPr="00FF1D2E">
                              <w:rPr>
                                <w:sz w:val="18"/>
                                <w:szCs w:val="18"/>
                              </w:rPr>
                              <w:t>2020)</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846ACD4" id="_x0000_s1028" type="#_x0000_t202" style="position:absolute;margin-left:0;margin-top:139pt;width:185.9pt;height:110.6pt;z-index:251654144;visibility:visible;mso-wrap-style:square;mso-width-percent:400;mso-height-percent:200;mso-wrap-distance-left:9pt;mso-wrap-distance-top:3.6pt;mso-wrap-distance-right:9pt;mso-wrap-distance-bottom:3.6pt;mso-position-horizontal:left;mso-position-horizontal-relative:page;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" filled="f" stroked="f">
                <v:textbox style="mso-fit-shape-to-text:t">
                  <w:txbxContent>
                    <w:p w14:paraId="4F225F52" w14:textId="623CBC0A" w:rsidR="00F662C9" w:rsidRPr="00FF1D2E" w:rsidRDefault="00206037">
                      <w:pPr>
                        <w:rPr>
                          <w:sz w:val="18"/>
                          <w:szCs w:val="18"/>
                        </w:rPr>
                      </w:pPr>
                      <w:r w:rsidRPr="00FF1D2E">
                        <w:rPr>
                          <w:sz w:val="18"/>
                          <w:szCs w:val="18"/>
                        </w:rPr>
                        <w:t xml:space="preserve">Bron afbeelding: </w:t>
                      </w:r>
                      <w:r w:rsidR="00CC6E1D" w:rsidRPr="00FF1D2E">
                        <w:rPr>
                          <w:sz w:val="18"/>
                          <w:szCs w:val="18"/>
                        </w:rPr>
                        <w:t>(</w:t>
                      </w:r>
                      <w:r w:rsidR="00FF1D2E" w:rsidRPr="00FF1D2E">
                        <w:rPr>
                          <w:sz w:val="18"/>
                          <w:szCs w:val="18"/>
                        </w:rPr>
                        <w:t>iS</w:t>
                      </w:r>
                      <w:r w:rsidR="00B33B0C" w:rsidRPr="00FF1D2E">
                        <w:rPr>
                          <w:sz w:val="18"/>
                          <w:szCs w:val="18"/>
                        </w:rPr>
                        <w:t>tock</w:t>
                      </w:r>
                      <w:r w:rsidR="00CC6E1D" w:rsidRPr="00FF1D2E">
                        <w:rPr>
                          <w:sz w:val="18"/>
                          <w:szCs w:val="18"/>
                        </w:rPr>
                        <w:t xml:space="preserve">, </w:t>
                      </w:r>
                      <w:r w:rsidR="00B33B0C" w:rsidRPr="00FF1D2E">
                        <w:rPr>
                          <w:sz w:val="18"/>
                          <w:szCs w:val="18"/>
                        </w:rPr>
                        <w:t>2020)</w:t>
                      </w:r>
                    </w:p>
                  </w:txbxContent>
                </v:textbox>
                <w10:wrap type="square" anchorx="page"/>
              </v:shape>
            </w:pict>
          </mc:Fallback>
        </mc:AlternateContent>
      </w:r>
      <w:r w:rsidR="005E5882">
        <w:rPr>
          <w:noProof/>
        </w:rPr>
        <w:drawing>
          <wp:anchor distT="0" distB="0" distL="114300" distR="114300" simplePos="0" relativeHeight="251660288" behindDoc="0" locked="0" layoutInCell="1" allowOverlap="1" wp14:anchorId="2A84DB80" wp14:editId="6DDC8FD4">
            <wp:simplePos x="0" y="0"/>
            <wp:positionH relativeFrom="column">
              <wp:posOffset>4152900</wp:posOffset>
            </wp:positionH>
            <wp:positionV relativeFrom="paragraph">
              <wp:posOffset>2195195</wp:posOffset>
            </wp:positionV>
            <wp:extent cx="1333500" cy="1333500"/>
            <wp:effectExtent l="0" t="0" r="0" b="0"/>
            <wp:wrapNone/>
            <wp:docPr id="792600963"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33500" cy="1333500"/>
                    </a:xfrm>
                    <a:prstGeom prst="rect">
                      <a:avLst/>
                    </a:prstGeom>
                    <a:noFill/>
                  </pic:spPr>
                </pic:pic>
              </a:graphicData>
            </a:graphic>
            <wp14:sizeRelH relativeFrom="margin">
              <wp14:pctWidth>0</wp14:pctWidth>
            </wp14:sizeRelH>
            <wp14:sizeRelV relativeFrom="margin">
              <wp14:pctHeight>0</wp14:pctHeight>
            </wp14:sizeRelV>
          </wp:anchor>
        </w:drawing>
      </w:r>
      <w:r w:rsidR="670F6F82">
        <w:br w:type="page"/>
      </w:r>
      <w:r w:rsidR="0013584F">
        <w:lastRenderedPageBreak/>
        <w:t>Voorwoord</w:t>
      </w:r>
      <w:bookmarkEnd w:id="0"/>
      <w:r w:rsidR="0013584F">
        <w:t xml:space="preserve"> </w:t>
      </w:r>
    </w:p>
    <w:p w14:paraId="112DA92A" w14:textId="77777777" w:rsidR="004B303F" w:rsidRDefault="004B303F" w:rsidP="0013584F">
      <w:r>
        <w:t xml:space="preserve">Beste lezer, </w:t>
      </w:r>
    </w:p>
    <w:p w14:paraId="3EF5FBCF" w14:textId="77777777" w:rsidR="001548AB" w:rsidRDefault="009E62C9" w:rsidP="0013584F">
      <w:r>
        <w:t>Voor u ligt de masterthesis ‘Op weg naar succesvol innoveren’</w:t>
      </w:r>
      <w:r w:rsidR="003105FD">
        <w:t>. Deze thesis is geschreven ter afronding van de master Bestuurskunde,</w:t>
      </w:r>
      <w:r w:rsidR="007A7A5F">
        <w:t xml:space="preserve"> </w:t>
      </w:r>
      <w:r w:rsidR="003105FD">
        <w:t xml:space="preserve">specialisatie Beleidsadvisering. </w:t>
      </w:r>
      <w:r w:rsidR="00B92EC5">
        <w:t xml:space="preserve">Het onderzoek is uitgevoerd </w:t>
      </w:r>
      <w:r w:rsidR="00B41AE3">
        <w:t xml:space="preserve">in opdracht van Rijkswaterstaat, waar ik in de periode 1 maart </w:t>
      </w:r>
      <w:r w:rsidR="00373D02">
        <w:t xml:space="preserve">2024 </w:t>
      </w:r>
      <w:r w:rsidR="00B41AE3">
        <w:t>tot en met 1 augustus</w:t>
      </w:r>
      <w:r w:rsidR="00373D02">
        <w:t xml:space="preserve"> 2024</w:t>
      </w:r>
      <w:r w:rsidR="00B41AE3">
        <w:t xml:space="preserve"> mijn stage </w:t>
      </w:r>
      <w:r w:rsidR="00373D02">
        <w:t xml:space="preserve">heb gelopen en deze thesis heb geschreven. </w:t>
      </w:r>
      <w:r w:rsidR="00095068">
        <w:t>In</w:t>
      </w:r>
      <w:r w:rsidR="009E0472">
        <w:t xml:space="preserve"> deze </w:t>
      </w:r>
      <w:r w:rsidR="00095068">
        <w:t>stageperiode</w:t>
      </w:r>
      <w:r w:rsidR="0068527C">
        <w:t xml:space="preserve"> heb ik de kans gekregen om mijn </w:t>
      </w:r>
      <w:r w:rsidR="00440010">
        <w:t xml:space="preserve">opgedane kennis </w:t>
      </w:r>
      <w:r w:rsidR="00F14340">
        <w:t xml:space="preserve">over een politiek-bestuurlijke context </w:t>
      </w:r>
      <w:r w:rsidR="00095068">
        <w:t xml:space="preserve">te verbreden door </w:t>
      </w:r>
      <w:r w:rsidR="00CE237F">
        <w:t>actief bezig te zi</w:t>
      </w:r>
      <w:r w:rsidR="008C573E">
        <w:t>jn in een organisatie die acteert in zo</w:t>
      </w:r>
      <w:r w:rsidR="00227863">
        <w:t>’n</w:t>
      </w:r>
      <w:r w:rsidR="008C573E">
        <w:t xml:space="preserve"> omgeving. </w:t>
      </w:r>
    </w:p>
    <w:p w14:paraId="40AD104C" w14:textId="77777777" w:rsidR="00A5439F" w:rsidRDefault="001548AB" w:rsidP="0013584F">
      <w:r>
        <w:t xml:space="preserve">Graag wil ik even stilstaan bij het uiten van mijn dank </w:t>
      </w:r>
      <w:r w:rsidR="006C5AE6">
        <w:t xml:space="preserve">aan een aantal mensen die mij hebben geholpen en gesteund tijdens het schrijven van deze masterthesis. </w:t>
      </w:r>
      <w:r w:rsidR="006D3B84">
        <w:t>Allereerst wil ik dr. Berry Tholen bedanken voor de fijne begeleiding</w:t>
      </w:r>
      <w:r w:rsidR="00C87B19">
        <w:t xml:space="preserve">, het bieden van een luisterend oor waar nodig en het geven van kritische feedback. </w:t>
      </w:r>
      <w:r w:rsidR="00984597">
        <w:t xml:space="preserve">In de tweede plaats wil ik mijn stagebegeleider Judith Lazet- de Bruin </w:t>
      </w:r>
      <w:r w:rsidR="005928CA">
        <w:t xml:space="preserve">vanuit Rijkswaterstaat bedanken voor de begeleiding tijdens dit traject. </w:t>
      </w:r>
      <w:r w:rsidR="00CA31A7">
        <w:t xml:space="preserve">Ik wil </w:t>
      </w:r>
      <w:r w:rsidR="000333FA">
        <w:t xml:space="preserve">Judith bedanken </w:t>
      </w:r>
      <w:r w:rsidR="007F27F1">
        <w:t xml:space="preserve">voor </w:t>
      </w:r>
      <w:r w:rsidR="00284C27">
        <w:t>de mogelijkheid</w:t>
      </w:r>
      <w:r w:rsidR="00C52D74">
        <w:t xml:space="preserve"> om </w:t>
      </w:r>
      <w:r w:rsidR="00F34E97">
        <w:t xml:space="preserve">kennis te maken met </w:t>
      </w:r>
      <w:r w:rsidR="00B0545F">
        <w:t>de organisatie Rijkswaterstaat</w:t>
      </w:r>
      <w:r w:rsidR="007F27F1">
        <w:t xml:space="preserve">, maar </w:t>
      </w:r>
      <w:r w:rsidR="00050F3D">
        <w:t xml:space="preserve">daarnaast ook voor het uitbreiden van mijn kennis over de context waarin de organisatie opereert. </w:t>
      </w:r>
      <w:r w:rsidR="00B0545F">
        <w:t xml:space="preserve">Daarnaast wil ik graag mijn dank uitspreken aan alle </w:t>
      </w:r>
      <w:r w:rsidR="005B1F72">
        <w:t xml:space="preserve">drieëntwintig respondenten die mee hebben gewerkt aan dit onderzoek. </w:t>
      </w:r>
      <w:r w:rsidR="00204F5B">
        <w:t xml:space="preserve">Zij zijn met hun openheid en bereidwilligheid onmisbaar </w:t>
      </w:r>
      <w:r w:rsidR="002B0BBF">
        <w:t xml:space="preserve">geweest voor het voltooien van deze thesis. </w:t>
      </w:r>
    </w:p>
    <w:p w14:paraId="1D735AF5" w14:textId="104E4113" w:rsidR="00F922AD" w:rsidRDefault="00A5439F" w:rsidP="0013584F">
      <w:r>
        <w:t>Tot slot wil ik graag mijn familie en v</w:t>
      </w:r>
      <w:r w:rsidR="00437F10">
        <w:t>rienden</w:t>
      </w:r>
      <w:r w:rsidR="00AA4BA6">
        <w:t xml:space="preserve"> (specifiek Julia Evers</w:t>
      </w:r>
      <w:r w:rsidR="005A4783">
        <w:t>, Maaike Blom</w:t>
      </w:r>
      <w:r w:rsidR="002137AE">
        <w:t xml:space="preserve">, </w:t>
      </w:r>
      <w:r w:rsidR="005A4783">
        <w:t>Dorien van Beveren</w:t>
      </w:r>
      <w:r w:rsidR="002137AE">
        <w:t xml:space="preserve"> en Ilse Roelofs</w:t>
      </w:r>
      <w:r w:rsidR="005A4783">
        <w:t>)</w:t>
      </w:r>
      <w:r w:rsidR="00437F10">
        <w:t xml:space="preserve"> bedanken voor hun steun gedurende dit proces. </w:t>
      </w:r>
      <w:r w:rsidR="00FA79C0">
        <w:t xml:space="preserve">Door hen heb ik de kracht en motivatie gekregen om steeds op moeilijke momenten door te zetten. </w:t>
      </w:r>
      <w:r w:rsidR="00352016">
        <w:t>Bovendien wil ik nog een aantal personen specifiek in het zonnetje zetten, namelijk</w:t>
      </w:r>
      <w:r w:rsidR="001C7BA4">
        <w:t>: Ella Kwakkelaar, Eva van Heumen</w:t>
      </w:r>
      <w:r w:rsidR="0075448E">
        <w:t xml:space="preserve"> en Dorien van Beveren. </w:t>
      </w:r>
      <w:r w:rsidR="00B84C79">
        <w:t xml:space="preserve">Ik wil jullie mijn dank uiten voor het doorlezen van verschillende hoofdstukken om te </w:t>
      </w:r>
      <w:r w:rsidR="00654B9D">
        <w:t xml:space="preserve">controleren op redactie en taal. Tot slot wil ik ook specifiek </w:t>
      </w:r>
      <w:r w:rsidR="00300184">
        <w:t>medestudent</w:t>
      </w:r>
      <w:r w:rsidR="002B47CD">
        <w:t>,</w:t>
      </w:r>
      <w:r w:rsidR="00654B9D">
        <w:t xml:space="preserve"> en inmiddels vriendin</w:t>
      </w:r>
      <w:r w:rsidR="002B47CD">
        <w:t>,</w:t>
      </w:r>
      <w:r w:rsidR="00654B9D">
        <w:t xml:space="preserve"> Francien Gaasenbeek bedanken voor de rol als </w:t>
      </w:r>
      <w:r w:rsidR="00300184">
        <w:t xml:space="preserve">sparringpartner en </w:t>
      </w:r>
      <w:r w:rsidR="00300184" w:rsidRPr="00300184">
        <w:rPr>
          <w:i/>
          <w:iCs/>
        </w:rPr>
        <w:t>‘motivational speaker’</w:t>
      </w:r>
      <w:r w:rsidR="00300184">
        <w:t xml:space="preserve">. </w:t>
      </w:r>
    </w:p>
    <w:p w14:paraId="4BDA19F8" w14:textId="77777777" w:rsidR="00D126E8" w:rsidRDefault="00F922AD" w:rsidP="0013584F">
      <w:r>
        <w:t xml:space="preserve">Ik wens u veel leesplezier toe. </w:t>
      </w:r>
    </w:p>
    <w:p w14:paraId="2454B24C" w14:textId="44D669DD" w:rsidR="00AC2632" w:rsidRPr="00824AB0" w:rsidRDefault="0AB624A7" w:rsidP="0013584F">
      <w:r>
        <w:t>Britney Gijsbertsen</w:t>
      </w:r>
      <w:r w:rsidR="00D126E8">
        <w:br/>
      </w:r>
      <w:r>
        <w:t>Arnhem, juli 2024</w:t>
      </w:r>
    </w:p>
    <w:p w14:paraId="0EFDDDF9" w14:textId="7FF82729" w:rsidR="00AC2632" w:rsidRPr="00824AB0" w:rsidRDefault="00D126E8" w:rsidP="0013584F">
      <w:r>
        <w:br w:type="page"/>
      </w:r>
    </w:p>
    <w:p w14:paraId="4B916219" w14:textId="0876A1F9" w:rsidR="00AC2632" w:rsidRPr="00824AB0" w:rsidRDefault="0AB624A7" w:rsidP="0AB624A7">
      <w:pPr>
        <w:rPr>
          <w:rStyle w:val="Kop1Char"/>
        </w:rPr>
      </w:pPr>
      <w:bookmarkStart w:id="1" w:name="_Toc171411025"/>
      <w:r w:rsidRPr="0AB624A7">
        <w:rPr>
          <w:rStyle w:val="Kop1Char"/>
        </w:rPr>
        <w:lastRenderedPageBreak/>
        <w:t>Managementsamenvatting</w:t>
      </w:r>
      <w:bookmarkEnd w:id="1"/>
    </w:p>
    <w:p w14:paraId="3AC147D8" w14:textId="24532033" w:rsidR="0AB624A7" w:rsidRDefault="6B9CB4C1" w:rsidP="0AB624A7">
      <w:r>
        <w:t xml:space="preserve">Rijkswaterstaat (RWS) staat voor grote uitdagingen zoals de vervanging- en renovatieopgave, opgaves in klimaatadaptatie en transities in het ruimtelijk domein en digitale speelveld. Met het oog hierop heeft RWS in het KompasRWS uitgesproken dat het versterken van het innovatieprofiel- en vermogen onder andere een belangrijk actiepunt is. Dit onderzoek richt zich specifiek op de PPO-dienst (Projecten, Programma's en Onderhoud) binnen RWS, waarbij is onderzocht hoe de PPO-dienst haar innovatievermogen kan versterken. Met het ontwikkelen van de IUP-werkwijze, is hiertoe in 2019 al een stap gezet. Met het oog hierop was het relevant om te evalueren in hoeverre de IUP-werkwijze een bijdrage levert of kan leveren om het innovatievermogen van de organisatie te versterken. Echter, enkel het werken met de IUP-werkwijze is niet voldoende stelt de organisatie. Het gaat daarnaast ook om het aanpassen van systemen, processen en houding en gedrag in de organisatie. Dit onderzoek moet dan ook antwoord geven op de volgende centrale vraag: </w:t>
      </w:r>
    </w:p>
    <w:p w14:paraId="79191CCC" w14:textId="3637EFE7" w:rsidR="0AB624A7" w:rsidRDefault="0AB624A7" w:rsidP="0AB624A7">
      <w:pPr>
        <w:rPr>
          <w:rFonts w:eastAsiaTheme="minorEastAsia"/>
          <w:color w:val="000000" w:themeColor="text1"/>
        </w:rPr>
      </w:pPr>
      <w:r w:rsidRPr="0AB624A7">
        <w:rPr>
          <w:rFonts w:eastAsiaTheme="minorEastAsia"/>
          <w:i/>
          <w:iCs/>
          <w:color w:val="000000" w:themeColor="text1"/>
        </w:rPr>
        <w:t>‘Welke factoren zijn noodzakelijk om het innovatievermogen van een organisatie als Rijkswaterstaat te versterken en in welke mate zijn deze aanwezig bij de PPO-dienst van Rijkswaterstaat?’</w:t>
      </w:r>
    </w:p>
    <w:p w14:paraId="7AF023E2" w14:textId="08D07FB0" w:rsidR="0AB624A7" w:rsidRDefault="6B9CB4C1" w:rsidP="0AB624A7">
      <w:r>
        <w:t xml:space="preserve">Voorafgaand aan het empirisch onderzoek in de organisatie, is allereerst door middel van literatuuronderzoek in beeld gebracht welke factoren bijdragen aan het versterken van het innovatievermogen van een organisatie. Uit dit onderzoek kwam naar voren dat een gestructureerd innovatieproces in een procesbeschrijving of tool een belangrijke succesfactor is. Deze succesfactor is dan ook gebruikt om de IUP-werkwijze te evalueren. Vervolgens omschreef de literatuur daarnaast twee organisatiegerelateerde voorspellers voor het succesvol innoveren in organisaties, namelijk de lerende organisatie en innovatiemanagement. Deze twee literatuurlijnen hebben de organisatiegerelateerde succesfactoren opgeleverd die in dit onderzoek zijn onderzocht. Het empirische onderzoek heeft plaatsgevonden door een tweetal aan dataverzamelingsmethoden, namelijk documentanalyse en interviews. De documentanalyse is ingezet voor het evalueren van documenten over de IUP-werkwijze. De interviews zijn drieledig ingezet, namelijk open controle-interviews aan het begin van het onderzoek voor de afbakening, semigestructureerde interviews over het praktisch gebruik van de IUP-werkwijze voor de evaluatie, en tot slot semigestructureerde interviews voor het onderzoek naar de invulling van de organisatiegerelateerde succesfactoren. </w:t>
      </w:r>
    </w:p>
    <w:p w14:paraId="36EA31D7" w14:textId="4B25579D" w:rsidR="0AB624A7" w:rsidRDefault="0AB624A7" w:rsidP="0AB624A7">
      <w:r>
        <w:t xml:space="preserve">Uit dit onderzoek komen een aantal relevante </w:t>
      </w:r>
      <w:r w:rsidR="006B2004">
        <w:t>resultaten</w:t>
      </w:r>
      <w:r>
        <w:t xml:space="preserve"> naar voren, namelijk: </w:t>
      </w:r>
    </w:p>
    <w:p w14:paraId="2CBC7E68" w14:textId="787BF430" w:rsidR="0AB624A7" w:rsidRDefault="6B9CB4C1" w:rsidP="0AB624A7">
      <w:pPr>
        <w:pStyle w:val="Lijstalinea"/>
        <w:numPr>
          <w:ilvl w:val="0"/>
          <w:numId w:val="2"/>
        </w:numPr>
      </w:pPr>
      <w:r>
        <w:t>Bijna alle innovatieprocesgerelateerde succesfactoren zijn aanwezig bij de IUP-werkwijze, behalve de volgende drie cruciale factoren: ‘het checken of er al een bestaande oplossing is elders in de organisatie’, ‘het rapporteren van de hoofdlijnen in een projectdossier’ en ‘het uitvoeren van een eindevaluatie (en deze vervolgens ook rapporteren in het projectdossier)’.</w:t>
      </w:r>
    </w:p>
    <w:p w14:paraId="793599AC" w14:textId="3DDCBE3E" w:rsidR="0AB624A7" w:rsidRDefault="6B9CB4C1" w:rsidP="0AB624A7">
      <w:pPr>
        <w:pStyle w:val="Lijstalinea"/>
        <w:numPr>
          <w:ilvl w:val="0"/>
          <w:numId w:val="2"/>
        </w:numPr>
      </w:pPr>
      <w:r>
        <w:t xml:space="preserve">De IUP-werkwijze zit in de I-fase van de werkwijze. Er dienen nog stappen gezet te worden voordat tot implementatie kan worden overgegaan. Dit zijn stappen omtrent de ‘hoe-vraag’, de inrichting van de governance wat betreft de faseovergangen en tot slot het bepalen wie opdrachtgever mag zijn van een innovatie. </w:t>
      </w:r>
    </w:p>
    <w:p w14:paraId="169EF43A" w14:textId="11E1A20B" w:rsidR="0AB624A7" w:rsidRDefault="6B9CB4C1" w:rsidP="0AB624A7">
      <w:pPr>
        <w:pStyle w:val="Lijstalinea"/>
        <w:numPr>
          <w:ilvl w:val="0"/>
          <w:numId w:val="2"/>
        </w:numPr>
      </w:pPr>
      <w:r>
        <w:t xml:space="preserve">Wat betreft de organisatiegerelateerde succesfactoren zijn de meeste stappen te zetten op organisatiebeleid- en strategie, sturing op succesvol innoveren (leiderschap) en het collectief delen van leerervaringen vanuit innovaties. </w:t>
      </w:r>
    </w:p>
    <w:p w14:paraId="4D54B62C" w14:textId="532B4229" w:rsidR="0AB624A7" w:rsidRDefault="0AB624A7" w:rsidP="0AB624A7">
      <w:r>
        <w:t xml:space="preserve">Op basis van deze bevindingen zijn de volgende </w:t>
      </w:r>
      <w:r w:rsidR="00933317">
        <w:t xml:space="preserve">vier </w:t>
      </w:r>
      <w:r>
        <w:t xml:space="preserve">aanbevelingen te formuleren: </w:t>
      </w:r>
    </w:p>
    <w:p w14:paraId="35195143" w14:textId="373873AD" w:rsidR="001064CE" w:rsidRDefault="001064CE" w:rsidP="00933317">
      <w:pPr>
        <w:pStyle w:val="Lijstalinea"/>
        <w:numPr>
          <w:ilvl w:val="0"/>
          <w:numId w:val="14"/>
        </w:numPr>
      </w:pPr>
      <w:r w:rsidRPr="001064CE">
        <w:t>Zorg ervoor dat op korte termijn stappen gezet worden met de IUP-werkwijze, zodat kan worden overgegaan tot implementatie van de werkwijze</w:t>
      </w:r>
      <w:r w:rsidR="00B22990">
        <w:t>.</w:t>
      </w:r>
    </w:p>
    <w:p w14:paraId="66797272" w14:textId="2B72FD96" w:rsidR="00D052A3" w:rsidRDefault="00D052A3" w:rsidP="00933317">
      <w:pPr>
        <w:pStyle w:val="Lijstalinea"/>
        <w:numPr>
          <w:ilvl w:val="0"/>
          <w:numId w:val="14"/>
        </w:numPr>
      </w:pPr>
      <w:r w:rsidRPr="00D052A3">
        <w:lastRenderedPageBreak/>
        <w:t xml:space="preserve">Ga als organisatie aan de slag met het initiëren </w:t>
      </w:r>
      <w:r w:rsidR="00B22990">
        <w:t xml:space="preserve">van </w:t>
      </w:r>
      <w:r w:rsidRPr="00D052A3">
        <w:t>een visie en beleid op het gebied van innovatie</w:t>
      </w:r>
      <w:r>
        <w:t>.</w:t>
      </w:r>
    </w:p>
    <w:p w14:paraId="78B07543" w14:textId="53568493" w:rsidR="00D052A3" w:rsidRDefault="008A15D1" w:rsidP="00933317">
      <w:pPr>
        <w:pStyle w:val="Lijstalinea"/>
        <w:numPr>
          <w:ilvl w:val="0"/>
          <w:numId w:val="14"/>
        </w:numPr>
      </w:pPr>
      <w:r>
        <w:t xml:space="preserve">Ga </w:t>
      </w:r>
      <w:r w:rsidR="00D052A3" w:rsidRPr="00D052A3">
        <w:t xml:space="preserve">als PPO-dienst zelf </w:t>
      </w:r>
      <w:r>
        <w:t>aan de slag met de sturing op succesvol innoveren</w:t>
      </w:r>
      <w:r w:rsidR="00933317">
        <w:t xml:space="preserve">. </w:t>
      </w:r>
    </w:p>
    <w:p w14:paraId="3AF3A09B" w14:textId="6EA567CC" w:rsidR="005D42E9" w:rsidRDefault="00933317" w:rsidP="00933317">
      <w:pPr>
        <w:pStyle w:val="Lijstalinea"/>
        <w:numPr>
          <w:ilvl w:val="0"/>
          <w:numId w:val="14"/>
        </w:numPr>
      </w:pPr>
      <w:r w:rsidRPr="00933317">
        <w:t>Zorg met het initiëren van een centraal kennispunt en het organiseren van bijeenkomsten op het gebied van innovatie voor minder verspilling van leerervaringen</w:t>
      </w:r>
      <w:r>
        <w:t xml:space="preserve">. </w:t>
      </w:r>
    </w:p>
    <w:p w14:paraId="25280437" w14:textId="2EE7C01D" w:rsidR="0AB624A7" w:rsidRDefault="005D42E9" w:rsidP="005D42E9">
      <w:r>
        <w:br w:type="page"/>
      </w:r>
    </w:p>
    <w:sdt>
      <w:sdtPr>
        <w:rPr>
          <w:rFonts w:asciiTheme="minorHAnsi" w:eastAsiaTheme="minorEastAsia" w:hAnsiTheme="minorHAnsi" w:cstheme="minorBidi"/>
          <w:color w:val="auto"/>
          <w:sz w:val="22"/>
          <w:szCs w:val="22"/>
          <w:lang w:eastAsia="en-US"/>
        </w:rPr>
        <w:id w:val="627727115"/>
        <w:docPartObj>
          <w:docPartGallery w:val="Table of Contents"/>
          <w:docPartUnique/>
        </w:docPartObj>
      </w:sdtPr>
      <w:sdtEndPr/>
      <w:sdtContent>
        <w:p w14:paraId="294F75DB" w14:textId="145701E3" w:rsidR="00AC2632" w:rsidRPr="008D31B8" w:rsidRDefault="0AB624A7" w:rsidP="0AB624A7">
          <w:pPr>
            <w:pStyle w:val="Kopvaninhoudsopgave"/>
            <w:rPr>
              <w:rFonts w:asciiTheme="minorHAnsi" w:eastAsiaTheme="minorEastAsia" w:hAnsiTheme="minorHAnsi" w:cstheme="minorBidi"/>
              <w:color w:val="auto"/>
              <w:sz w:val="22"/>
              <w:szCs w:val="22"/>
              <w:lang w:eastAsia="en-US"/>
            </w:rPr>
          </w:pPr>
          <w:r>
            <w:t>Inhoudsopgave</w:t>
          </w:r>
        </w:p>
        <w:p w14:paraId="489B7D82" w14:textId="14D9A068" w:rsidR="00EF5E0A" w:rsidRDefault="0AB624A7">
          <w:pPr>
            <w:pStyle w:val="Inhopg1"/>
            <w:tabs>
              <w:tab w:val="right" w:leader="dot" w:pos="9016"/>
            </w:tabs>
            <w:rPr>
              <w:rFonts w:eastAsiaTheme="minorEastAsia"/>
              <w:noProof/>
              <w:kern w:val="2"/>
              <w:sz w:val="24"/>
              <w:szCs w:val="24"/>
              <w:lang w:eastAsia="nl-NL"/>
              <w14:ligatures w14:val="standardContextual"/>
            </w:rPr>
          </w:pPr>
          <w:r>
            <w:fldChar w:fldCharType="begin"/>
          </w:r>
          <w:r w:rsidR="2A6270C9">
            <w:instrText>TOC \o "1-3" \z \u \h</w:instrText>
          </w:r>
          <w:r>
            <w:fldChar w:fldCharType="separate"/>
          </w:r>
          <w:hyperlink w:anchor="_Toc171411024" w:history="1">
            <w:r w:rsidR="00EF5E0A" w:rsidRPr="000132A6">
              <w:rPr>
                <w:rStyle w:val="Hyperlink"/>
                <w:noProof/>
              </w:rPr>
              <w:t>Voorwoord</w:t>
            </w:r>
            <w:r w:rsidR="00EF5E0A">
              <w:rPr>
                <w:noProof/>
                <w:webHidden/>
              </w:rPr>
              <w:tab/>
            </w:r>
            <w:r w:rsidR="00EF5E0A">
              <w:rPr>
                <w:noProof/>
                <w:webHidden/>
              </w:rPr>
              <w:fldChar w:fldCharType="begin"/>
            </w:r>
            <w:r w:rsidR="00EF5E0A">
              <w:rPr>
                <w:noProof/>
                <w:webHidden/>
              </w:rPr>
              <w:instrText xml:space="preserve"> PAGEREF _Toc171411024 \h </w:instrText>
            </w:r>
            <w:r w:rsidR="00EF5E0A">
              <w:rPr>
                <w:noProof/>
                <w:webHidden/>
              </w:rPr>
            </w:r>
            <w:r w:rsidR="00EF5E0A">
              <w:rPr>
                <w:noProof/>
                <w:webHidden/>
              </w:rPr>
              <w:fldChar w:fldCharType="separate"/>
            </w:r>
            <w:r w:rsidR="00EF5E0A">
              <w:rPr>
                <w:noProof/>
                <w:webHidden/>
              </w:rPr>
              <w:t>1</w:t>
            </w:r>
            <w:r w:rsidR="00EF5E0A">
              <w:rPr>
                <w:noProof/>
                <w:webHidden/>
              </w:rPr>
              <w:fldChar w:fldCharType="end"/>
            </w:r>
          </w:hyperlink>
        </w:p>
        <w:p w14:paraId="102ACB55" w14:textId="141A5928" w:rsidR="00EF5E0A" w:rsidRDefault="00E921D0">
          <w:pPr>
            <w:pStyle w:val="Inhopg1"/>
            <w:tabs>
              <w:tab w:val="right" w:leader="dot" w:pos="9016"/>
            </w:tabs>
            <w:rPr>
              <w:rFonts w:eastAsiaTheme="minorEastAsia"/>
              <w:noProof/>
              <w:kern w:val="2"/>
              <w:sz w:val="24"/>
              <w:szCs w:val="24"/>
              <w:lang w:eastAsia="nl-NL"/>
              <w14:ligatures w14:val="standardContextual"/>
            </w:rPr>
          </w:pPr>
          <w:hyperlink w:anchor="_Toc171411025" w:history="1">
            <w:r w:rsidR="00EF5E0A" w:rsidRPr="000132A6">
              <w:rPr>
                <w:rStyle w:val="Hyperlink"/>
                <w:noProof/>
              </w:rPr>
              <w:t>Managementsamenvatting</w:t>
            </w:r>
            <w:r w:rsidR="00EF5E0A">
              <w:rPr>
                <w:noProof/>
                <w:webHidden/>
              </w:rPr>
              <w:tab/>
            </w:r>
            <w:r w:rsidR="00EF5E0A">
              <w:rPr>
                <w:noProof/>
                <w:webHidden/>
              </w:rPr>
              <w:fldChar w:fldCharType="begin"/>
            </w:r>
            <w:r w:rsidR="00EF5E0A">
              <w:rPr>
                <w:noProof/>
                <w:webHidden/>
              </w:rPr>
              <w:instrText xml:space="preserve"> PAGEREF _Toc171411025 \h </w:instrText>
            </w:r>
            <w:r w:rsidR="00EF5E0A">
              <w:rPr>
                <w:noProof/>
                <w:webHidden/>
              </w:rPr>
            </w:r>
            <w:r w:rsidR="00EF5E0A">
              <w:rPr>
                <w:noProof/>
                <w:webHidden/>
              </w:rPr>
              <w:fldChar w:fldCharType="separate"/>
            </w:r>
            <w:r w:rsidR="00EF5E0A">
              <w:rPr>
                <w:noProof/>
                <w:webHidden/>
              </w:rPr>
              <w:t>3</w:t>
            </w:r>
            <w:r w:rsidR="00EF5E0A">
              <w:rPr>
                <w:noProof/>
                <w:webHidden/>
              </w:rPr>
              <w:fldChar w:fldCharType="end"/>
            </w:r>
          </w:hyperlink>
        </w:p>
        <w:p w14:paraId="54C72CF5" w14:textId="5B9FDE46" w:rsidR="00EF5E0A" w:rsidRDefault="00E921D0">
          <w:pPr>
            <w:pStyle w:val="Inhopg1"/>
            <w:tabs>
              <w:tab w:val="right" w:leader="dot" w:pos="9016"/>
            </w:tabs>
            <w:rPr>
              <w:rFonts w:eastAsiaTheme="minorEastAsia"/>
              <w:noProof/>
              <w:kern w:val="2"/>
              <w:sz w:val="24"/>
              <w:szCs w:val="24"/>
              <w:lang w:eastAsia="nl-NL"/>
              <w14:ligatures w14:val="standardContextual"/>
            </w:rPr>
          </w:pPr>
          <w:hyperlink w:anchor="_Toc171411026" w:history="1">
            <w:r w:rsidR="00EF5E0A" w:rsidRPr="000132A6">
              <w:rPr>
                <w:rStyle w:val="Hyperlink"/>
                <w:noProof/>
              </w:rPr>
              <w:t>Hoofdstuk 1: Inleiding</w:t>
            </w:r>
            <w:r w:rsidR="00EF5E0A">
              <w:rPr>
                <w:noProof/>
                <w:webHidden/>
              </w:rPr>
              <w:tab/>
            </w:r>
            <w:r w:rsidR="00EF5E0A">
              <w:rPr>
                <w:noProof/>
                <w:webHidden/>
              </w:rPr>
              <w:fldChar w:fldCharType="begin"/>
            </w:r>
            <w:r w:rsidR="00EF5E0A">
              <w:rPr>
                <w:noProof/>
                <w:webHidden/>
              </w:rPr>
              <w:instrText xml:space="preserve"> PAGEREF _Toc171411026 \h </w:instrText>
            </w:r>
            <w:r w:rsidR="00EF5E0A">
              <w:rPr>
                <w:noProof/>
                <w:webHidden/>
              </w:rPr>
            </w:r>
            <w:r w:rsidR="00EF5E0A">
              <w:rPr>
                <w:noProof/>
                <w:webHidden/>
              </w:rPr>
              <w:fldChar w:fldCharType="separate"/>
            </w:r>
            <w:r w:rsidR="00EF5E0A">
              <w:rPr>
                <w:noProof/>
                <w:webHidden/>
              </w:rPr>
              <w:t>6</w:t>
            </w:r>
            <w:r w:rsidR="00EF5E0A">
              <w:rPr>
                <w:noProof/>
                <w:webHidden/>
              </w:rPr>
              <w:fldChar w:fldCharType="end"/>
            </w:r>
          </w:hyperlink>
        </w:p>
        <w:p w14:paraId="78148BDE" w14:textId="0736E015"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27" w:history="1">
            <w:r w:rsidR="00EF5E0A" w:rsidRPr="000132A6">
              <w:rPr>
                <w:rStyle w:val="Hyperlink"/>
                <w:noProof/>
              </w:rPr>
              <w:t>1.1 Aanleiding</w:t>
            </w:r>
            <w:r w:rsidR="00EF5E0A">
              <w:rPr>
                <w:noProof/>
                <w:webHidden/>
              </w:rPr>
              <w:tab/>
            </w:r>
            <w:r w:rsidR="00EF5E0A">
              <w:rPr>
                <w:noProof/>
                <w:webHidden/>
              </w:rPr>
              <w:fldChar w:fldCharType="begin"/>
            </w:r>
            <w:r w:rsidR="00EF5E0A">
              <w:rPr>
                <w:noProof/>
                <w:webHidden/>
              </w:rPr>
              <w:instrText xml:space="preserve"> PAGEREF _Toc171411027 \h </w:instrText>
            </w:r>
            <w:r w:rsidR="00EF5E0A">
              <w:rPr>
                <w:noProof/>
                <w:webHidden/>
              </w:rPr>
            </w:r>
            <w:r w:rsidR="00EF5E0A">
              <w:rPr>
                <w:noProof/>
                <w:webHidden/>
              </w:rPr>
              <w:fldChar w:fldCharType="separate"/>
            </w:r>
            <w:r w:rsidR="00EF5E0A">
              <w:rPr>
                <w:noProof/>
                <w:webHidden/>
              </w:rPr>
              <w:t>6</w:t>
            </w:r>
            <w:r w:rsidR="00EF5E0A">
              <w:rPr>
                <w:noProof/>
                <w:webHidden/>
              </w:rPr>
              <w:fldChar w:fldCharType="end"/>
            </w:r>
          </w:hyperlink>
        </w:p>
        <w:p w14:paraId="4746ADD2" w14:textId="15FD63D0"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28" w:history="1">
            <w:r w:rsidR="00EF5E0A" w:rsidRPr="000132A6">
              <w:rPr>
                <w:rStyle w:val="Hyperlink"/>
                <w:noProof/>
              </w:rPr>
              <w:t>1.2 Probleemstelling</w:t>
            </w:r>
            <w:r w:rsidR="00EF5E0A">
              <w:rPr>
                <w:noProof/>
                <w:webHidden/>
              </w:rPr>
              <w:tab/>
            </w:r>
            <w:r w:rsidR="00EF5E0A">
              <w:rPr>
                <w:noProof/>
                <w:webHidden/>
              </w:rPr>
              <w:fldChar w:fldCharType="begin"/>
            </w:r>
            <w:r w:rsidR="00EF5E0A">
              <w:rPr>
                <w:noProof/>
                <w:webHidden/>
              </w:rPr>
              <w:instrText xml:space="preserve"> PAGEREF _Toc171411028 \h </w:instrText>
            </w:r>
            <w:r w:rsidR="00EF5E0A">
              <w:rPr>
                <w:noProof/>
                <w:webHidden/>
              </w:rPr>
            </w:r>
            <w:r w:rsidR="00EF5E0A">
              <w:rPr>
                <w:noProof/>
                <w:webHidden/>
              </w:rPr>
              <w:fldChar w:fldCharType="separate"/>
            </w:r>
            <w:r w:rsidR="00EF5E0A">
              <w:rPr>
                <w:noProof/>
                <w:webHidden/>
              </w:rPr>
              <w:t>7</w:t>
            </w:r>
            <w:r w:rsidR="00EF5E0A">
              <w:rPr>
                <w:noProof/>
                <w:webHidden/>
              </w:rPr>
              <w:fldChar w:fldCharType="end"/>
            </w:r>
          </w:hyperlink>
        </w:p>
        <w:p w14:paraId="7D8739F6" w14:textId="325575F5"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29" w:history="1">
            <w:r w:rsidR="00EF5E0A" w:rsidRPr="000132A6">
              <w:rPr>
                <w:rStyle w:val="Hyperlink"/>
                <w:noProof/>
              </w:rPr>
              <w:t>1.3 Vooruitblik Theoretisch Kader</w:t>
            </w:r>
            <w:r w:rsidR="00EF5E0A">
              <w:rPr>
                <w:noProof/>
                <w:webHidden/>
              </w:rPr>
              <w:tab/>
            </w:r>
            <w:r w:rsidR="00EF5E0A">
              <w:rPr>
                <w:noProof/>
                <w:webHidden/>
              </w:rPr>
              <w:fldChar w:fldCharType="begin"/>
            </w:r>
            <w:r w:rsidR="00EF5E0A">
              <w:rPr>
                <w:noProof/>
                <w:webHidden/>
              </w:rPr>
              <w:instrText xml:space="preserve"> PAGEREF _Toc171411029 \h </w:instrText>
            </w:r>
            <w:r w:rsidR="00EF5E0A">
              <w:rPr>
                <w:noProof/>
                <w:webHidden/>
              </w:rPr>
            </w:r>
            <w:r w:rsidR="00EF5E0A">
              <w:rPr>
                <w:noProof/>
                <w:webHidden/>
              </w:rPr>
              <w:fldChar w:fldCharType="separate"/>
            </w:r>
            <w:r w:rsidR="00EF5E0A">
              <w:rPr>
                <w:noProof/>
                <w:webHidden/>
              </w:rPr>
              <w:t>7</w:t>
            </w:r>
            <w:r w:rsidR="00EF5E0A">
              <w:rPr>
                <w:noProof/>
                <w:webHidden/>
              </w:rPr>
              <w:fldChar w:fldCharType="end"/>
            </w:r>
          </w:hyperlink>
        </w:p>
        <w:p w14:paraId="47C7890E" w14:textId="3EA6A18A"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30" w:history="1">
            <w:r w:rsidR="00EF5E0A" w:rsidRPr="000132A6">
              <w:rPr>
                <w:rStyle w:val="Hyperlink"/>
                <w:noProof/>
              </w:rPr>
              <w:t>1.4 Vooruitblik Methodologisch Kader</w:t>
            </w:r>
            <w:r w:rsidR="00EF5E0A">
              <w:rPr>
                <w:noProof/>
                <w:webHidden/>
              </w:rPr>
              <w:tab/>
            </w:r>
            <w:r w:rsidR="00EF5E0A">
              <w:rPr>
                <w:noProof/>
                <w:webHidden/>
              </w:rPr>
              <w:fldChar w:fldCharType="begin"/>
            </w:r>
            <w:r w:rsidR="00EF5E0A">
              <w:rPr>
                <w:noProof/>
                <w:webHidden/>
              </w:rPr>
              <w:instrText xml:space="preserve"> PAGEREF _Toc171411030 \h </w:instrText>
            </w:r>
            <w:r w:rsidR="00EF5E0A">
              <w:rPr>
                <w:noProof/>
                <w:webHidden/>
              </w:rPr>
            </w:r>
            <w:r w:rsidR="00EF5E0A">
              <w:rPr>
                <w:noProof/>
                <w:webHidden/>
              </w:rPr>
              <w:fldChar w:fldCharType="separate"/>
            </w:r>
            <w:r w:rsidR="00EF5E0A">
              <w:rPr>
                <w:noProof/>
                <w:webHidden/>
              </w:rPr>
              <w:t>8</w:t>
            </w:r>
            <w:r w:rsidR="00EF5E0A">
              <w:rPr>
                <w:noProof/>
                <w:webHidden/>
              </w:rPr>
              <w:fldChar w:fldCharType="end"/>
            </w:r>
          </w:hyperlink>
        </w:p>
        <w:p w14:paraId="4CE1AD23" w14:textId="430AADED"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31" w:history="1">
            <w:r w:rsidR="00EF5E0A" w:rsidRPr="000132A6">
              <w:rPr>
                <w:rStyle w:val="Hyperlink"/>
                <w:noProof/>
              </w:rPr>
              <w:t>1.5 Wetenschappelijke relevantie</w:t>
            </w:r>
            <w:r w:rsidR="00EF5E0A">
              <w:rPr>
                <w:noProof/>
                <w:webHidden/>
              </w:rPr>
              <w:tab/>
            </w:r>
            <w:r w:rsidR="00EF5E0A">
              <w:rPr>
                <w:noProof/>
                <w:webHidden/>
              </w:rPr>
              <w:fldChar w:fldCharType="begin"/>
            </w:r>
            <w:r w:rsidR="00EF5E0A">
              <w:rPr>
                <w:noProof/>
                <w:webHidden/>
              </w:rPr>
              <w:instrText xml:space="preserve"> PAGEREF _Toc171411031 \h </w:instrText>
            </w:r>
            <w:r w:rsidR="00EF5E0A">
              <w:rPr>
                <w:noProof/>
                <w:webHidden/>
              </w:rPr>
            </w:r>
            <w:r w:rsidR="00EF5E0A">
              <w:rPr>
                <w:noProof/>
                <w:webHidden/>
              </w:rPr>
              <w:fldChar w:fldCharType="separate"/>
            </w:r>
            <w:r w:rsidR="00EF5E0A">
              <w:rPr>
                <w:noProof/>
                <w:webHidden/>
              </w:rPr>
              <w:t>8</w:t>
            </w:r>
            <w:r w:rsidR="00EF5E0A">
              <w:rPr>
                <w:noProof/>
                <w:webHidden/>
              </w:rPr>
              <w:fldChar w:fldCharType="end"/>
            </w:r>
          </w:hyperlink>
        </w:p>
        <w:p w14:paraId="08BBE365" w14:textId="40413728"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32" w:history="1">
            <w:r w:rsidR="00EF5E0A" w:rsidRPr="000132A6">
              <w:rPr>
                <w:rStyle w:val="Hyperlink"/>
                <w:noProof/>
              </w:rPr>
              <w:t>1.6 Maatschappelijke relevantie</w:t>
            </w:r>
            <w:r w:rsidR="00EF5E0A">
              <w:rPr>
                <w:noProof/>
                <w:webHidden/>
              </w:rPr>
              <w:tab/>
            </w:r>
            <w:r w:rsidR="00EF5E0A">
              <w:rPr>
                <w:noProof/>
                <w:webHidden/>
              </w:rPr>
              <w:fldChar w:fldCharType="begin"/>
            </w:r>
            <w:r w:rsidR="00EF5E0A">
              <w:rPr>
                <w:noProof/>
                <w:webHidden/>
              </w:rPr>
              <w:instrText xml:space="preserve"> PAGEREF _Toc171411032 \h </w:instrText>
            </w:r>
            <w:r w:rsidR="00EF5E0A">
              <w:rPr>
                <w:noProof/>
                <w:webHidden/>
              </w:rPr>
            </w:r>
            <w:r w:rsidR="00EF5E0A">
              <w:rPr>
                <w:noProof/>
                <w:webHidden/>
              </w:rPr>
              <w:fldChar w:fldCharType="separate"/>
            </w:r>
            <w:r w:rsidR="00EF5E0A">
              <w:rPr>
                <w:noProof/>
                <w:webHidden/>
              </w:rPr>
              <w:t>9</w:t>
            </w:r>
            <w:r w:rsidR="00EF5E0A">
              <w:rPr>
                <w:noProof/>
                <w:webHidden/>
              </w:rPr>
              <w:fldChar w:fldCharType="end"/>
            </w:r>
          </w:hyperlink>
        </w:p>
        <w:p w14:paraId="2B0F5EB4" w14:textId="5C1554BD"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33" w:history="1">
            <w:r w:rsidR="00EF5E0A" w:rsidRPr="000132A6">
              <w:rPr>
                <w:rStyle w:val="Hyperlink"/>
                <w:noProof/>
              </w:rPr>
              <w:t>1.7 Leeswijzer</w:t>
            </w:r>
            <w:r w:rsidR="00EF5E0A">
              <w:rPr>
                <w:noProof/>
                <w:webHidden/>
              </w:rPr>
              <w:tab/>
            </w:r>
            <w:r w:rsidR="00EF5E0A">
              <w:rPr>
                <w:noProof/>
                <w:webHidden/>
              </w:rPr>
              <w:fldChar w:fldCharType="begin"/>
            </w:r>
            <w:r w:rsidR="00EF5E0A">
              <w:rPr>
                <w:noProof/>
                <w:webHidden/>
              </w:rPr>
              <w:instrText xml:space="preserve"> PAGEREF _Toc171411033 \h </w:instrText>
            </w:r>
            <w:r w:rsidR="00EF5E0A">
              <w:rPr>
                <w:noProof/>
                <w:webHidden/>
              </w:rPr>
            </w:r>
            <w:r w:rsidR="00EF5E0A">
              <w:rPr>
                <w:noProof/>
                <w:webHidden/>
              </w:rPr>
              <w:fldChar w:fldCharType="separate"/>
            </w:r>
            <w:r w:rsidR="00EF5E0A">
              <w:rPr>
                <w:noProof/>
                <w:webHidden/>
              </w:rPr>
              <w:t>9</w:t>
            </w:r>
            <w:r w:rsidR="00EF5E0A">
              <w:rPr>
                <w:noProof/>
                <w:webHidden/>
              </w:rPr>
              <w:fldChar w:fldCharType="end"/>
            </w:r>
          </w:hyperlink>
        </w:p>
        <w:p w14:paraId="07B0DE09" w14:textId="4E8522FB" w:rsidR="00EF5E0A" w:rsidRDefault="00E921D0">
          <w:pPr>
            <w:pStyle w:val="Inhopg1"/>
            <w:tabs>
              <w:tab w:val="right" w:leader="dot" w:pos="9016"/>
            </w:tabs>
            <w:rPr>
              <w:rFonts w:eastAsiaTheme="minorEastAsia"/>
              <w:noProof/>
              <w:kern w:val="2"/>
              <w:sz w:val="24"/>
              <w:szCs w:val="24"/>
              <w:lang w:eastAsia="nl-NL"/>
              <w14:ligatures w14:val="standardContextual"/>
            </w:rPr>
          </w:pPr>
          <w:hyperlink w:anchor="_Toc171411034" w:history="1">
            <w:r w:rsidR="00EF5E0A" w:rsidRPr="000132A6">
              <w:rPr>
                <w:rStyle w:val="Hyperlink"/>
                <w:noProof/>
              </w:rPr>
              <w:t>Hoofdstuk 2: Theoretisch kader</w:t>
            </w:r>
            <w:r w:rsidR="00EF5E0A">
              <w:rPr>
                <w:noProof/>
                <w:webHidden/>
              </w:rPr>
              <w:tab/>
            </w:r>
            <w:r w:rsidR="00EF5E0A">
              <w:rPr>
                <w:noProof/>
                <w:webHidden/>
              </w:rPr>
              <w:fldChar w:fldCharType="begin"/>
            </w:r>
            <w:r w:rsidR="00EF5E0A">
              <w:rPr>
                <w:noProof/>
                <w:webHidden/>
              </w:rPr>
              <w:instrText xml:space="preserve"> PAGEREF _Toc171411034 \h </w:instrText>
            </w:r>
            <w:r w:rsidR="00EF5E0A">
              <w:rPr>
                <w:noProof/>
                <w:webHidden/>
              </w:rPr>
            </w:r>
            <w:r w:rsidR="00EF5E0A">
              <w:rPr>
                <w:noProof/>
                <w:webHidden/>
              </w:rPr>
              <w:fldChar w:fldCharType="separate"/>
            </w:r>
            <w:r w:rsidR="00EF5E0A">
              <w:rPr>
                <w:noProof/>
                <w:webHidden/>
              </w:rPr>
              <w:t>10</w:t>
            </w:r>
            <w:r w:rsidR="00EF5E0A">
              <w:rPr>
                <w:noProof/>
                <w:webHidden/>
              </w:rPr>
              <w:fldChar w:fldCharType="end"/>
            </w:r>
          </w:hyperlink>
        </w:p>
        <w:p w14:paraId="2742AD0D" w14:textId="48DCA2C8"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35" w:history="1">
            <w:r w:rsidR="00EF5E0A" w:rsidRPr="000132A6">
              <w:rPr>
                <w:rStyle w:val="Hyperlink"/>
                <w:noProof/>
              </w:rPr>
              <w:t>2.1 Definiëren begrip innovatie</w:t>
            </w:r>
            <w:r w:rsidR="00EF5E0A">
              <w:rPr>
                <w:noProof/>
                <w:webHidden/>
              </w:rPr>
              <w:tab/>
            </w:r>
            <w:r w:rsidR="00EF5E0A">
              <w:rPr>
                <w:noProof/>
                <w:webHidden/>
              </w:rPr>
              <w:fldChar w:fldCharType="begin"/>
            </w:r>
            <w:r w:rsidR="00EF5E0A">
              <w:rPr>
                <w:noProof/>
                <w:webHidden/>
              </w:rPr>
              <w:instrText xml:space="preserve"> PAGEREF _Toc171411035 \h </w:instrText>
            </w:r>
            <w:r w:rsidR="00EF5E0A">
              <w:rPr>
                <w:noProof/>
                <w:webHidden/>
              </w:rPr>
            </w:r>
            <w:r w:rsidR="00EF5E0A">
              <w:rPr>
                <w:noProof/>
                <w:webHidden/>
              </w:rPr>
              <w:fldChar w:fldCharType="separate"/>
            </w:r>
            <w:r w:rsidR="00EF5E0A">
              <w:rPr>
                <w:noProof/>
                <w:webHidden/>
              </w:rPr>
              <w:t>10</w:t>
            </w:r>
            <w:r w:rsidR="00EF5E0A">
              <w:rPr>
                <w:noProof/>
                <w:webHidden/>
              </w:rPr>
              <w:fldChar w:fldCharType="end"/>
            </w:r>
          </w:hyperlink>
        </w:p>
        <w:p w14:paraId="43F5A4E3" w14:textId="4D3C03F6"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36" w:history="1">
            <w:r w:rsidR="00EF5E0A" w:rsidRPr="000132A6">
              <w:rPr>
                <w:rStyle w:val="Hyperlink"/>
                <w:noProof/>
              </w:rPr>
              <w:t>2.2 Succesfactoren vanuit de literatuur over innovatieprocessen</w:t>
            </w:r>
            <w:r w:rsidR="00EF5E0A">
              <w:rPr>
                <w:noProof/>
                <w:webHidden/>
              </w:rPr>
              <w:tab/>
            </w:r>
            <w:r w:rsidR="00EF5E0A">
              <w:rPr>
                <w:noProof/>
                <w:webHidden/>
              </w:rPr>
              <w:fldChar w:fldCharType="begin"/>
            </w:r>
            <w:r w:rsidR="00EF5E0A">
              <w:rPr>
                <w:noProof/>
                <w:webHidden/>
              </w:rPr>
              <w:instrText xml:space="preserve"> PAGEREF _Toc171411036 \h </w:instrText>
            </w:r>
            <w:r w:rsidR="00EF5E0A">
              <w:rPr>
                <w:noProof/>
                <w:webHidden/>
              </w:rPr>
            </w:r>
            <w:r w:rsidR="00EF5E0A">
              <w:rPr>
                <w:noProof/>
                <w:webHidden/>
              </w:rPr>
              <w:fldChar w:fldCharType="separate"/>
            </w:r>
            <w:r w:rsidR="00EF5E0A">
              <w:rPr>
                <w:noProof/>
                <w:webHidden/>
              </w:rPr>
              <w:t>10</w:t>
            </w:r>
            <w:r w:rsidR="00EF5E0A">
              <w:rPr>
                <w:noProof/>
                <w:webHidden/>
              </w:rPr>
              <w:fldChar w:fldCharType="end"/>
            </w:r>
          </w:hyperlink>
        </w:p>
        <w:p w14:paraId="41C37826" w14:textId="0D950E11"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37" w:history="1">
            <w:r w:rsidR="00EF5E0A" w:rsidRPr="000132A6">
              <w:rPr>
                <w:rStyle w:val="Hyperlink"/>
                <w:noProof/>
              </w:rPr>
              <w:t>2.3 Organisatiegerelateerde succesfactoren voor innovatie</w:t>
            </w:r>
            <w:r w:rsidR="00EF5E0A">
              <w:rPr>
                <w:noProof/>
                <w:webHidden/>
              </w:rPr>
              <w:tab/>
            </w:r>
            <w:r w:rsidR="00EF5E0A">
              <w:rPr>
                <w:noProof/>
                <w:webHidden/>
              </w:rPr>
              <w:fldChar w:fldCharType="begin"/>
            </w:r>
            <w:r w:rsidR="00EF5E0A">
              <w:rPr>
                <w:noProof/>
                <w:webHidden/>
              </w:rPr>
              <w:instrText xml:space="preserve"> PAGEREF _Toc171411037 \h </w:instrText>
            </w:r>
            <w:r w:rsidR="00EF5E0A">
              <w:rPr>
                <w:noProof/>
                <w:webHidden/>
              </w:rPr>
            </w:r>
            <w:r w:rsidR="00EF5E0A">
              <w:rPr>
                <w:noProof/>
                <w:webHidden/>
              </w:rPr>
              <w:fldChar w:fldCharType="separate"/>
            </w:r>
            <w:r w:rsidR="00EF5E0A">
              <w:rPr>
                <w:noProof/>
                <w:webHidden/>
              </w:rPr>
              <w:t>13</w:t>
            </w:r>
            <w:r w:rsidR="00EF5E0A">
              <w:rPr>
                <w:noProof/>
                <w:webHidden/>
              </w:rPr>
              <w:fldChar w:fldCharType="end"/>
            </w:r>
          </w:hyperlink>
        </w:p>
        <w:p w14:paraId="2FD5D6F1" w14:textId="5A33FBAB"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40" w:history="1">
            <w:r w:rsidR="00EF5E0A" w:rsidRPr="000132A6">
              <w:rPr>
                <w:rStyle w:val="Hyperlink"/>
                <w:noProof/>
              </w:rPr>
              <w:t>2.4 De focus van dit onderzoek</w:t>
            </w:r>
            <w:r w:rsidR="00EF5E0A">
              <w:rPr>
                <w:noProof/>
                <w:webHidden/>
              </w:rPr>
              <w:tab/>
            </w:r>
            <w:r w:rsidR="00EF5E0A">
              <w:rPr>
                <w:noProof/>
                <w:webHidden/>
              </w:rPr>
              <w:fldChar w:fldCharType="begin"/>
            </w:r>
            <w:r w:rsidR="00EF5E0A">
              <w:rPr>
                <w:noProof/>
                <w:webHidden/>
              </w:rPr>
              <w:instrText xml:space="preserve"> PAGEREF _Toc171411040 \h </w:instrText>
            </w:r>
            <w:r w:rsidR="00EF5E0A">
              <w:rPr>
                <w:noProof/>
                <w:webHidden/>
              </w:rPr>
            </w:r>
            <w:r w:rsidR="00EF5E0A">
              <w:rPr>
                <w:noProof/>
                <w:webHidden/>
              </w:rPr>
              <w:fldChar w:fldCharType="separate"/>
            </w:r>
            <w:r w:rsidR="00EF5E0A">
              <w:rPr>
                <w:noProof/>
                <w:webHidden/>
              </w:rPr>
              <w:t>20</w:t>
            </w:r>
            <w:r w:rsidR="00EF5E0A">
              <w:rPr>
                <w:noProof/>
                <w:webHidden/>
              </w:rPr>
              <w:fldChar w:fldCharType="end"/>
            </w:r>
          </w:hyperlink>
        </w:p>
        <w:p w14:paraId="39A3B82A" w14:textId="25CDBC37" w:rsidR="00EF5E0A" w:rsidRDefault="00E921D0">
          <w:pPr>
            <w:pStyle w:val="Inhopg1"/>
            <w:tabs>
              <w:tab w:val="right" w:leader="dot" w:pos="9016"/>
            </w:tabs>
            <w:rPr>
              <w:rFonts w:eastAsiaTheme="minorEastAsia"/>
              <w:noProof/>
              <w:kern w:val="2"/>
              <w:sz w:val="24"/>
              <w:szCs w:val="24"/>
              <w:lang w:eastAsia="nl-NL"/>
              <w14:ligatures w14:val="standardContextual"/>
            </w:rPr>
          </w:pPr>
          <w:hyperlink w:anchor="_Toc171411041" w:history="1">
            <w:r w:rsidR="00EF5E0A" w:rsidRPr="000132A6">
              <w:rPr>
                <w:rStyle w:val="Hyperlink"/>
                <w:noProof/>
              </w:rPr>
              <w:t>Hoofdstuk 3: Methodologisch Kader</w:t>
            </w:r>
            <w:r w:rsidR="00EF5E0A">
              <w:rPr>
                <w:noProof/>
                <w:webHidden/>
              </w:rPr>
              <w:tab/>
            </w:r>
            <w:r w:rsidR="00EF5E0A">
              <w:rPr>
                <w:noProof/>
                <w:webHidden/>
              </w:rPr>
              <w:fldChar w:fldCharType="begin"/>
            </w:r>
            <w:r w:rsidR="00EF5E0A">
              <w:rPr>
                <w:noProof/>
                <w:webHidden/>
              </w:rPr>
              <w:instrText xml:space="preserve"> PAGEREF _Toc171411041 \h </w:instrText>
            </w:r>
            <w:r w:rsidR="00EF5E0A">
              <w:rPr>
                <w:noProof/>
                <w:webHidden/>
              </w:rPr>
            </w:r>
            <w:r w:rsidR="00EF5E0A">
              <w:rPr>
                <w:noProof/>
                <w:webHidden/>
              </w:rPr>
              <w:fldChar w:fldCharType="separate"/>
            </w:r>
            <w:r w:rsidR="00EF5E0A">
              <w:rPr>
                <w:noProof/>
                <w:webHidden/>
              </w:rPr>
              <w:t>22</w:t>
            </w:r>
            <w:r w:rsidR="00EF5E0A">
              <w:rPr>
                <w:noProof/>
                <w:webHidden/>
              </w:rPr>
              <w:fldChar w:fldCharType="end"/>
            </w:r>
          </w:hyperlink>
        </w:p>
        <w:p w14:paraId="58DCEA37" w14:textId="6578304B"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42" w:history="1">
            <w:r w:rsidR="00EF5E0A" w:rsidRPr="000132A6">
              <w:rPr>
                <w:rStyle w:val="Hyperlink"/>
                <w:noProof/>
              </w:rPr>
              <w:t>3.1 Onderzoeksmethode</w:t>
            </w:r>
            <w:r w:rsidR="00EF5E0A">
              <w:rPr>
                <w:noProof/>
                <w:webHidden/>
              </w:rPr>
              <w:tab/>
            </w:r>
            <w:r w:rsidR="00EF5E0A">
              <w:rPr>
                <w:noProof/>
                <w:webHidden/>
              </w:rPr>
              <w:fldChar w:fldCharType="begin"/>
            </w:r>
            <w:r w:rsidR="00EF5E0A">
              <w:rPr>
                <w:noProof/>
                <w:webHidden/>
              </w:rPr>
              <w:instrText xml:space="preserve"> PAGEREF _Toc171411042 \h </w:instrText>
            </w:r>
            <w:r w:rsidR="00EF5E0A">
              <w:rPr>
                <w:noProof/>
                <w:webHidden/>
              </w:rPr>
            </w:r>
            <w:r w:rsidR="00EF5E0A">
              <w:rPr>
                <w:noProof/>
                <w:webHidden/>
              </w:rPr>
              <w:fldChar w:fldCharType="separate"/>
            </w:r>
            <w:r w:rsidR="00EF5E0A">
              <w:rPr>
                <w:noProof/>
                <w:webHidden/>
              </w:rPr>
              <w:t>22</w:t>
            </w:r>
            <w:r w:rsidR="00EF5E0A">
              <w:rPr>
                <w:noProof/>
                <w:webHidden/>
              </w:rPr>
              <w:fldChar w:fldCharType="end"/>
            </w:r>
          </w:hyperlink>
        </w:p>
        <w:p w14:paraId="2E121A58" w14:textId="3EC8947D"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43" w:history="1">
            <w:r w:rsidR="00EF5E0A" w:rsidRPr="000132A6">
              <w:rPr>
                <w:rStyle w:val="Hyperlink"/>
                <w:noProof/>
              </w:rPr>
              <w:t>3.2 Casusselectie</w:t>
            </w:r>
            <w:r w:rsidR="00EF5E0A">
              <w:rPr>
                <w:noProof/>
                <w:webHidden/>
              </w:rPr>
              <w:tab/>
            </w:r>
            <w:r w:rsidR="00EF5E0A">
              <w:rPr>
                <w:noProof/>
                <w:webHidden/>
              </w:rPr>
              <w:fldChar w:fldCharType="begin"/>
            </w:r>
            <w:r w:rsidR="00EF5E0A">
              <w:rPr>
                <w:noProof/>
                <w:webHidden/>
              </w:rPr>
              <w:instrText xml:space="preserve"> PAGEREF _Toc171411043 \h </w:instrText>
            </w:r>
            <w:r w:rsidR="00EF5E0A">
              <w:rPr>
                <w:noProof/>
                <w:webHidden/>
              </w:rPr>
            </w:r>
            <w:r w:rsidR="00EF5E0A">
              <w:rPr>
                <w:noProof/>
                <w:webHidden/>
              </w:rPr>
              <w:fldChar w:fldCharType="separate"/>
            </w:r>
            <w:r w:rsidR="00EF5E0A">
              <w:rPr>
                <w:noProof/>
                <w:webHidden/>
              </w:rPr>
              <w:t>22</w:t>
            </w:r>
            <w:r w:rsidR="00EF5E0A">
              <w:rPr>
                <w:noProof/>
                <w:webHidden/>
              </w:rPr>
              <w:fldChar w:fldCharType="end"/>
            </w:r>
          </w:hyperlink>
        </w:p>
        <w:p w14:paraId="07897E0F" w14:textId="73C0EEA9"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44" w:history="1">
            <w:r w:rsidR="00EF5E0A" w:rsidRPr="000132A6">
              <w:rPr>
                <w:rStyle w:val="Hyperlink"/>
                <w:noProof/>
              </w:rPr>
              <w:t>3.3 Methoden van dataverzameling</w:t>
            </w:r>
            <w:r w:rsidR="00EF5E0A">
              <w:rPr>
                <w:noProof/>
                <w:webHidden/>
              </w:rPr>
              <w:tab/>
            </w:r>
            <w:r w:rsidR="00EF5E0A">
              <w:rPr>
                <w:noProof/>
                <w:webHidden/>
              </w:rPr>
              <w:fldChar w:fldCharType="begin"/>
            </w:r>
            <w:r w:rsidR="00EF5E0A">
              <w:rPr>
                <w:noProof/>
                <w:webHidden/>
              </w:rPr>
              <w:instrText xml:space="preserve"> PAGEREF _Toc171411044 \h </w:instrText>
            </w:r>
            <w:r w:rsidR="00EF5E0A">
              <w:rPr>
                <w:noProof/>
                <w:webHidden/>
              </w:rPr>
            </w:r>
            <w:r w:rsidR="00EF5E0A">
              <w:rPr>
                <w:noProof/>
                <w:webHidden/>
              </w:rPr>
              <w:fldChar w:fldCharType="separate"/>
            </w:r>
            <w:r w:rsidR="00EF5E0A">
              <w:rPr>
                <w:noProof/>
                <w:webHidden/>
              </w:rPr>
              <w:t>23</w:t>
            </w:r>
            <w:r w:rsidR="00EF5E0A">
              <w:rPr>
                <w:noProof/>
                <w:webHidden/>
              </w:rPr>
              <w:fldChar w:fldCharType="end"/>
            </w:r>
          </w:hyperlink>
        </w:p>
        <w:p w14:paraId="0724C4BB" w14:textId="089EF1DB"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47" w:history="1">
            <w:r w:rsidR="00EF5E0A" w:rsidRPr="000132A6">
              <w:rPr>
                <w:rStyle w:val="Hyperlink"/>
                <w:noProof/>
              </w:rPr>
              <w:t>3.4 Operationalisatie</w:t>
            </w:r>
            <w:r w:rsidR="00EF5E0A">
              <w:rPr>
                <w:noProof/>
                <w:webHidden/>
              </w:rPr>
              <w:tab/>
            </w:r>
            <w:r w:rsidR="00EF5E0A">
              <w:rPr>
                <w:noProof/>
                <w:webHidden/>
              </w:rPr>
              <w:fldChar w:fldCharType="begin"/>
            </w:r>
            <w:r w:rsidR="00EF5E0A">
              <w:rPr>
                <w:noProof/>
                <w:webHidden/>
              </w:rPr>
              <w:instrText xml:space="preserve"> PAGEREF _Toc171411047 \h </w:instrText>
            </w:r>
            <w:r w:rsidR="00EF5E0A">
              <w:rPr>
                <w:noProof/>
                <w:webHidden/>
              </w:rPr>
            </w:r>
            <w:r w:rsidR="00EF5E0A">
              <w:rPr>
                <w:noProof/>
                <w:webHidden/>
              </w:rPr>
              <w:fldChar w:fldCharType="separate"/>
            </w:r>
            <w:r w:rsidR="00EF5E0A">
              <w:rPr>
                <w:noProof/>
                <w:webHidden/>
              </w:rPr>
              <w:t>28</w:t>
            </w:r>
            <w:r w:rsidR="00EF5E0A">
              <w:rPr>
                <w:noProof/>
                <w:webHidden/>
              </w:rPr>
              <w:fldChar w:fldCharType="end"/>
            </w:r>
          </w:hyperlink>
        </w:p>
        <w:p w14:paraId="3FC27A15" w14:textId="27F3D61B"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51" w:history="1">
            <w:r w:rsidR="00EF5E0A" w:rsidRPr="000132A6">
              <w:rPr>
                <w:rStyle w:val="Hyperlink"/>
                <w:noProof/>
              </w:rPr>
              <w:t>3.5 Methode van data-analyse</w:t>
            </w:r>
            <w:r w:rsidR="00EF5E0A">
              <w:rPr>
                <w:noProof/>
                <w:webHidden/>
              </w:rPr>
              <w:tab/>
            </w:r>
            <w:r w:rsidR="00EF5E0A">
              <w:rPr>
                <w:noProof/>
                <w:webHidden/>
              </w:rPr>
              <w:fldChar w:fldCharType="begin"/>
            </w:r>
            <w:r w:rsidR="00EF5E0A">
              <w:rPr>
                <w:noProof/>
                <w:webHidden/>
              </w:rPr>
              <w:instrText xml:space="preserve"> PAGEREF _Toc171411051 \h </w:instrText>
            </w:r>
            <w:r w:rsidR="00EF5E0A">
              <w:rPr>
                <w:noProof/>
                <w:webHidden/>
              </w:rPr>
            </w:r>
            <w:r w:rsidR="00EF5E0A">
              <w:rPr>
                <w:noProof/>
                <w:webHidden/>
              </w:rPr>
              <w:fldChar w:fldCharType="separate"/>
            </w:r>
            <w:r w:rsidR="00EF5E0A">
              <w:rPr>
                <w:noProof/>
                <w:webHidden/>
              </w:rPr>
              <w:t>34</w:t>
            </w:r>
            <w:r w:rsidR="00EF5E0A">
              <w:rPr>
                <w:noProof/>
                <w:webHidden/>
              </w:rPr>
              <w:fldChar w:fldCharType="end"/>
            </w:r>
          </w:hyperlink>
        </w:p>
        <w:p w14:paraId="22D245EE" w14:textId="7F75CBF3" w:rsidR="00EF5E0A" w:rsidRDefault="00E921D0">
          <w:pPr>
            <w:pStyle w:val="Inhopg1"/>
            <w:tabs>
              <w:tab w:val="right" w:leader="dot" w:pos="9016"/>
            </w:tabs>
            <w:rPr>
              <w:rFonts w:eastAsiaTheme="minorEastAsia"/>
              <w:noProof/>
              <w:kern w:val="2"/>
              <w:sz w:val="24"/>
              <w:szCs w:val="24"/>
              <w:lang w:eastAsia="nl-NL"/>
              <w14:ligatures w14:val="standardContextual"/>
            </w:rPr>
          </w:pPr>
          <w:hyperlink w:anchor="_Toc171411052" w:history="1">
            <w:r w:rsidR="00EF5E0A" w:rsidRPr="000132A6">
              <w:rPr>
                <w:rStyle w:val="Hyperlink"/>
                <w:noProof/>
              </w:rPr>
              <w:t>Hoofdstuk 4: Resultaten en Analyse</w:t>
            </w:r>
            <w:r w:rsidR="00EF5E0A">
              <w:rPr>
                <w:noProof/>
                <w:webHidden/>
              </w:rPr>
              <w:tab/>
            </w:r>
            <w:r w:rsidR="00EF5E0A">
              <w:rPr>
                <w:noProof/>
                <w:webHidden/>
              </w:rPr>
              <w:fldChar w:fldCharType="begin"/>
            </w:r>
            <w:r w:rsidR="00EF5E0A">
              <w:rPr>
                <w:noProof/>
                <w:webHidden/>
              </w:rPr>
              <w:instrText xml:space="preserve"> PAGEREF _Toc171411052 \h </w:instrText>
            </w:r>
            <w:r w:rsidR="00EF5E0A">
              <w:rPr>
                <w:noProof/>
                <w:webHidden/>
              </w:rPr>
            </w:r>
            <w:r w:rsidR="00EF5E0A">
              <w:rPr>
                <w:noProof/>
                <w:webHidden/>
              </w:rPr>
              <w:fldChar w:fldCharType="separate"/>
            </w:r>
            <w:r w:rsidR="00EF5E0A">
              <w:rPr>
                <w:noProof/>
                <w:webHidden/>
              </w:rPr>
              <w:t>35</w:t>
            </w:r>
            <w:r w:rsidR="00EF5E0A">
              <w:rPr>
                <w:noProof/>
                <w:webHidden/>
              </w:rPr>
              <w:fldChar w:fldCharType="end"/>
            </w:r>
          </w:hyperlink>
        </w:p>
        <w:p w14:paraId="77D18E2E" w14:textId="4E0DE954"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53" w:history="1">
            <w:r w:rsidR="00EF5E0A" w:rsidRPr="000132A6">
              <w:rPr>
                <w:rStyle w:val="Hyperlink"/>
                <w:noProof/>
              </w:rPr>
              <w:t>4.1 Algemeen beeld over het innovatievermogen van PPO Rijkswaterstaat</w:t>
            </w:r>
            <w:r w:rsidR="00EF5E0A">
              <w:rPr>
                <w:noProof/>
                <w:webHidden/>
              </w:rPr>
              <w:tab/>
            </w:r>
            <w:r w:rsidR="00EF5E0A">
              <w:rPr>
                <w:noProof/>
                <w:webHidden/>
              </w:rPr>
              <w:fldChar w:fldCharType="begin"/>
            </w:r>
            <w:r w:rsidR="00EF5E0A">
              <w:rPr>
                <w:noProof/>
                <w:webHidden/>
              </w:rPr>
              <w:instrText xml:space="preserve"> PAGEREF _Toc171411053 \h </w:instrText>
            </w:r>
            <w:r w:rsidR="00EF5E0A">
              <w:rPr>
                <w:noProof/>
                <w:webHidden/>
              </w:rPr>
            </w:r>
            <w:r w:rsidR="00EF5E0A">
              <w:rPr>
                <w:noProof/>
                <w:webHidden/>
              </w:rPr>
              <w:fldChar w:fldCharType="separate"/>
            </w:r>
            <w:r w:rsidR="00EF5E0A">
              <w:rPr>
                <w:noProof/>
                <w:webHidden/>
              </w:rPr>
              <w:t>35</w:t>
            </w:r>
            <w:r w:rsidR="00EF5E0A">
              <w:rPr>
                <w:noProof/>
                <w:webHidden/>
              </w:rPr>
              <w:fldChar w:fldCharType="end"/>
            </w:r>
          </w:hyperlink>
        </w:p>
        <w:p w14:paraId="3D4868EE" w14:textId="1F872E9F"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54" w:history="1">
            <w:r w:rsidR="00EF5E0A" w:rsidRPr="000132A6">
              <w:rPr>
                <w:rStyle w:val="Hyperlink"/>
                <w:noProof/>
              </w:rPr>
              <w:t>4.2 Het structureren van het innovatieproces in een procesbeschrijving of tool</w:t>
            </w:r>
            <w:r w:rsidR="00EF5E0A">
              <w:rPr>
                <w:noProof/>
                <w:webHidden/>
              </w:rPr>
              <w:tab/>
            </w:r>
            <w:r w:rsidR="00EF5E0A">
              <w:rPr>
                <w:noProof/>
                <w:webHidden/>
              </w:rPr>
              <w:fldChar w:fldCharType="begin"/>
            </w:r>
            <w:r w:rsidR="00EF5E0A">
              <w:rPr>
                <w:noProof/>
                <w:webHidden/>
              </w:rPr>
              <w:instrText xml:space="preserve"> PAGEREF _Toc171411054 \h </w:instrText>
            </w:r>
            <w:r w:rsidR="00EF5E0A">
              <w:rPr>
                <w:noProof/>
                <w:webHidden/>
              </w:rPr>
            </w:r>
            <w:r w:rsidR="00EF5E0A">
              <w:rPr>
                <w:noProof/>
                <w:webHidden/>
              </w:rPr>
              <w:fldChar w:fldCharType="separate"/>
            </w:r>
            <w:r w:rsidR="00EF5E0A">
              <w:rPr>
                <w:noProof/>
                <w:webHidden/>
              </w:rPr>
              <w:t>37</w:t>
            </w:r>
            <w:r w:rsidR="00EF5E0A">
              <w:rPr>
                <w:noProof/>
                <w:webHidden/>
              </w:rPr>
              <w:fldChar w:fldCharType="end"/>
            </w:r>
          </w:hyperlink>
        </w:p>
        <w:p w14:paraId="4637AB66" w14:textId="43F3F988"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57" w:history="1">
            <w:r w:rsidR="00EF5E0A" w:rsidRPr="000132A6">
              <w:rPr>
                <w:rStyle w:val="Hyperlink"/>
                <w:noProof/>
              </w:rPr>
              <w:t>4.3 Organisatiegerelateerde succesfactoren voor innovatie</w:t>
            </w:r>
            <w:r w:rsidR="00EF5E0A">
              <w:rPr>
                <w:noProof/>
                <w:webHidden/>
              </w:rPr>
              <w:tab/>
            </w:r>
            <w:r w:rsidR="00EF5E0A">
              <w:rPr>
                <w:noProof/>
                <w:webHidden/>
              </w:rPr>
              <w:fldChar w:fldCharType="begin"/>
            </w:r>
            <w:r w:rsidR="00EF5E0A">
              <w:rPr>
                <w:noProof/>
                <w:webHidden/>
              </w:rPr>
              <w:instrText xml:space="preserve"> PAGEREF _Toc171411057 \h </w:instrText>
            </w:r>
            <w:r w:rsidR="00EF5E0A">
              <w:rPr>
                <w:noProof/>
                <w:webHidden/>
              </w:rPr>
            </w:r>
            <w:r w:rsidR="00EF5E0A">
              <w:rPr>
                <w:noProof/>
                <w:webHidden/>
              </w:rPr>
              <w:fldChar w:fldCharType="separate"/>
            </w:r>
            <w:r w:rsidR="00EF5E0A">
              <w:rPr>
                <w:noProof/>
                <w:webHidden/>
              </w:rPr>
              <w:t>40</w:t>
            </w:r>
            <w:r w:rsidR="00EF5E0A">
              <w:rPr>
                <w:noProof/>
                <w:webHidden/>
              </w:rPr>
              <w:fldChar w:fldCharType="end"/>
            </w:r>
          </w:hyperlink>
        </w:p>
        <w:p w14:paraId="444946EF" w14:textId="22E9EE1B"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60" w:history="1">
            <w:r w:rsidR="00EF5E0A" w:rsidRPr="000132A6">
              <w:rPr>
                <w:rStyle w:val="Hyperlink"/>
                <w:noProof/>
              </w:rPr>
              <w:t>4.4 Subconclusie van dit hoofdstuk</w:t>
            </w:r>
            <w:r w:rsidR="00EF5E0A">
              <w:rPr>
                <w:noProof/>
                <w:webHidden/>
              </w:rPr>
              <w:tab/>
            </w:r>
            <w:r w:rsidR="00EF5E0A">
              <w:rPr>
                <w:noProof/>
                <w:webHidden/>
              </w:rPr>
              <w:fldChar w:fldCharType="begin"/>
            </w:r>
            <w:r w:rsidR="00EF5E0A">
              <w:rPr>
                <w:noProof/>
                <w:webHidden/>
              </w:rPr>
              <w:instrText xml:space="preserve"> PAGEREF _Toc171411060 \h </w:instrText>
            </w:r>
            <w:r w:rsidR="00EF5E0A">
              <w:rPr>
                <w:noProof/>
                <w:webHidden/>
              </w:rPr>
            </w:r>
            <w:r w:rsidR="00EF5E0A">
              <w:rPr>
                <w:noProof/>
                <w:webHidden/>
              </w:rPr>
              <w:fldChar w:fldCharType="separate"/>
            </w:r>
            <w:r w:rsidR="00EF5E0A">
              <w:rPr>
                <w:noProof/>
                <w:webHidden/>
              </w:rPr>
              <w:t>48</w:t>
            </w:r>
            <w:r w:rsidR="00EF5E0A">
              <w:rPr>
                <w:noProof/>
                <w:webHidden/>
              </w:rPr>
              <w:fldChar w:fldCharType="end"/>
            </w:r>
          </w:hyperlink>
        </w:p>
        <w:p w14:paraId="4A331B5C" w14:textId="21E840A6" w:rsidR="00EF5E0A" w:rsidRDefault="00E921D0">
          <w:pPr>
            <w:pStyle w:val="Inhopg1"/>
            <w:tabs>
              <w:tab w:val="right" w:leader="dot" w:pos="9016"/>
            </w:tabs>
            <w:rPr>
              <w:rFonts w:eastAsiaTheme="minorEastAsia"/>
              <w:noProof/>
              <w:kern w:val="2"/>
              <w:sz w:val="24"/>
              <w:szCs w:val="24"/>
              <w:lang w:eastAsia="nl-NL"/>
              <w14:ligatures w14:val="standardContextual"/>
            </w:rPr>
          </w:pPr>
          <w:hyperlink w:anchor="_Toc171411061" w:history="1">
            <w:r w:rsidR="00EF5E0A" w:rsidRPr="000132A6">
              <w:rPr>
                <w:rStyle w:val="Hyperlink"/>
                <w:noProof/>
              </w:rPr>
              <w:t>Hoofdstuk 5: Conclusie en Discussie</w:t>
            </w:r>
            <w:r w:rsidR="00EF5E0A">
              <w:rPr>
                <w:noProof/>
                <w:webHidden/>
              </w:rPr>
              <w:tab/>
            </w:r>
            <w:r w:rsidR="00EF5E0A">
              <w:rPr>
                <w:noProof/>
                <w:webHidden/>
              </w:rPr>
              <w:fldChar w:fldCharType="begin"/>
            </w:r>
            <w:r w:rsidR="00EF5E0A">
              <w:rPr>
                <w:noProof/>
                <w:webHidden/>
              </w:rPr>
              <w:instrText xml:space="preserve"> PAGEREF _Toc171411061 \h </w:instrText>
            </w:r>
            <w:r w:rsidR="00EF5E0A">
              <w:rPr>
                <w:noProof/>
                <w:webHidden/>
              </w:rPr>
            </w:r>
            <w:r w:rsidR="00EF5E0A">
              <w:rPr>
                <w:noProof/>
                <w:webHidden/>
              </w:rPr>
              <w:fldChar w:fldCharType="separate"/>
            </w:r>
            <w:r w:rsidR="00EF5E0A">
              <w:rPr>
                <w:noProof/>
                <w:webHidden/>
              </w:rPr>
              <w:t>50</w:t>
            </w:r>
            <w:r w:rsidR="00EF5E0A">
              <w:rPr>
                <w:noProof/>
                <w:webHidden/>
              </w:rPr>
              <w:fldChar w:fldCharType="end"/>
            </w:r>
          </w:hyperlink>
        </w:p>
        <w:p w14:paraId="25AD7EC7" w14:textId="61F2B4B0"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62" w:history="1">
            <w:r w:rsidR="00EF5E0A" w:rsidRPr="000132A6">
              <w:rPr>
                <w:rStyle w:val="Hyperlink"/>
                <w:noProof/>
              </w:rPr>
              <w:t>5.1 Het beantwoorden van de onderzoeksvragen</w:t>
            </w:r>
            <w:r w:rsidR="00EF5E0A">
              <w:rPr>
                <w:noProof/>
                <w:webHidden/>
              </w:rPr>
              <w:tab/>
            </w:r>
            <w:r w:rsidR="00EF5E0A">
              <w:rPr>
                <w:noProof/>
                <w:webHidden/>
              </w:rPr>
              <w:fldChar w:fldCharType="begin"/>
            </w:r>
            <w:r w:rsidR="00EF5E0A">
              <w:rPr>
                <w:noProof/>
                <w:webHidden/>
              </w:rPr>
              <w:instrText xml:space="preserve"> PAGEREF _Toc171411062 \h </w:instrText>
            </w:r>
            <w:r w:rsidR="00EF5E0A">
              <w:rPr>
                <w:noProof/>
                <w:webHidden/>
              </w:rPr>
            </w:r>
            <w:r w:rsidR="00EF5E0A">
              <w:rPr>
                <w:noProof/>
                <w:webHidden/>
              </w:rPr>
              <w:fldChar w:fldCharType="separate"/>
            </w:r>
            <w:r w:rsidR="00EF5E0A">
              <w:rPr>
                <w:noProof/>
                <w:webHidden/>
              </w:rPr>
              <w:t>50</w:t>
            </w:r>
            <w:r w:rsidR="00EF5E0A">
              <w:rPr>
                <w:noProof/>
                <w:webHidden/>
              </w:rPr>
              <w:fldChar w:fldCharType="end"/>
            </w:r>
          </w:hyperlink>
        </w:p>
        <w:p w14:paraId="30B40B18" w14:textId="31D1793C"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66" w:history="1">
            <w:r w:rsidR="00EF5E0A" w:rsidRPr="000132A6">
              <w:rPr>
                <w:rStyle w:val="Hyperlink"/>
                <w:noProof/>
              </w:rPr>
              <w:t>5.2 Implicaties van dit onderzoek</w:t>
            </w:r>
            <w:r w:rsidR="00EF5E0A">
              <w:rPr>
                <w:noProof/>
                <w:webHidden/>
              </w:rPr>
              <w:tab/>
            </w:r>
            <w:r w:rsidR="00EF5E0A">
              <w:rPr>
                <w:noProof/>
                <w:webHidden/>
              </w:rPr>
              <w:fldChar w:fldCharType="begin"/>
            </w:r>
            <w:r w:rsidR="00EF5E0A">
              <w:rPr>
                <w:noProof/>
                <w:webHidden/>
              </w:rPr>
              <w:instrText xml:space="preserve"> PAGEREF _Toc171411066 \h </w:instrText>
            </w:r>
            <w:r w:rsidR="00EF5E0A">
              <w:rPr>
                <w:noProof/>
                <w:webHidden/>
              </w:rPr>
            </w:r>
            <w:r w:rsidR="00EF5E0A">
              <w:rPr>
                <w:noProof/>
                <w:webHidden/>
              </w:rPr>
              <w:fldChar w:fldCharType="separate"/>
            </w:r>
            <w:r w:rsidR="00EF5E0A">
              <w:rPr>
                <w:noProof/>
                <w:webHidden/>
              </w:rPr>
              <w:t>52</w:t>
            </w:r>
            <w:r w:rsidR="00EF5E0A">
              <w:rPr>
                <w:noProof/>
                <w:webHidden/>
              </w:rPr>
              <w:fldChar w:fldCharType="end"/>
            </w:r>
          </w:hyperlink>
        </w:p>
        <w:p w14:paraId="061A7648" w14:textId="3AE81998"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67" w:history="1">
            <w:r w:rsidR="00EF5E0A" w:rsidRPr="000132A6">
              <w:rPr>
                <w:rStyle w:val="Hyperlink"/>
                <w:noProof/>
              </w:rPr>
              <w:t>5.3 Beperkingen</w:t>
            </w:r>
            <w:r w:rsidR="00EF5E0A">
              <w:rPr>
                <w:noProof/>
                <w:webHidden/>
              </w:rPr>
              <w:tab/>
            </w:r>
            <w:r w:rsidR="00EF5E0A">
              <w:rPr>
                <w:noProof/>
                <w:webHidden/>
              </w:rPr>
              <w:fldChar w:fldCharType="begin"/>
            </w:r>
            <w:r w:rsidR="00EF5E0A">
              <w:rPr>
                <w:noProof/>
                <w:webHidden/>
              </w:rPr>
              <w:instrText xml:space="preserve"> PAGEREF _Toc171411067 \h </w:instrText>
            </w:r>
            <w:r w:rsidR="00EF5E0A">
              <w:rPr>
                <w:noProof/>
                <w:webHidden/>
              </w:rPr>
            </w:r>
            <w:r w:rsidR="00EF5E0A">
              <w:rPr>
                <w:noProof/>
                <w:webHidden/>
              </w:rPr>
              <w:fldChar w:fldCharType="separate"/>
            </w:r>
            <w:r w:rsidR="00EF5E0A">
              <w:rPr>
                <w:noProof/>
                <w:webHidden/>
              </w:rPr>
              <w:t>53</w:t>
            </w:r>
            <w:r w:rsidR="00EF5E0A">
              <w:rPr>
                <w:noProof/>
                <w:webHidden/>
              </w:rPr>
              <w:fldChar w:fldCharType="end"/>
            </w:r>
          </w:hyperlink>
        </w:p>
        <w:p w14:paraId="40386479" w14:textId="0218B4D1"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68" w:history="1">
            <w:r w:rsidR="00EF5E0A" w:rsidRPr="000132A6">
              <w:rPr>
                <w:rStyle w:val="Hyperlink"/>
                <w:noProof/>
              </w:rPr>
              <w:t>5.4 Aanbevelingen</w:t>
            </w:r>
            <w:r w:rsidR="00EF5E0A">
              <w:rPr>
                <w:noProof/>
                <w:webHidden/>
              </w:rPr>
              <w:tab/>
            </w:r>
            <w:r w:rsidR="00EF5E0A">
              <w:rPr>
                <w:noProof/>
                <w:webHidden/>
              </w:rPr>
              <w:fldChar w:fldCharType="begin"/>
            </w:r>
            <w:r w:rsidR="00EF5E0A">
              <w:rPr>
                <w:noProof/>
                <w:webHidden/>
              </w:rPr>
              <w:instrText xml:space="preserve"> PAGEREF _Toc171411068 \h </w:instrText>
            </w:r>
            <w:r w:rsidR="00EF5E0A">
              <w:rPr>
                <w:noProof/>
                <w:webHidden/>
              </w:rPr>
            </w:r>
            <w:r w:rsidR="00EF5E0A">
              <w:rPr>
                <w:noProof/>
                <w:webHidden/>
              </w:rPr>
              <w:fldChar w:fldCharType="separate"/>
            </w:r>
            <w:r w:rsidR="00EF5E0A">
              <w:rPr>
                <w:noProof/>
                <w:webHidden/>
              </w:rPr>
              <w:t>53</w:t>
            </w:r>
            <w:r w:rsidR="00EF5E0A">
              <w:rPr>
                <w:noProof/>
                <w:webHidden/>
              </w:rPr>
              <w:fldChar w:fldCharType="end"/>
            </w:r>
          </w:hyperlink>
        </w:p>
        <w:p w14:paraId="4E735843" w14:textId="2F8378B7" w:rsidR="00EF5E0A" w:rsidRDefault="00E921D0">
          <w:pPr>
            <w:pStyle w:val="Inhopg1"/>
            <w:tabs>
              <w:tab w:val="right" w:leader="dot" w:pos="9016"/>
            </w:tabs>
            <w:rPr>
              <w:rFonts w:eastAsiaTheme="minorEastAsia"/>
              <w:noProof/>
              <w:kern w:val="2"/>
              <w:sz w:val="24"/>
              <w:szCs w:val="24"/>
              <w:lang w:eastAsia="nl-NL"/>
              <w14:ligatures w14:val="standardContextual"/>
            </w:rPr>
          </w:pPr>
          <w:hyperlink w:anchor="_Toc171411069" w:history="1">
            <w:r w:rsidR="00EF5E0A" w:rsidRPr="000132A6">
              <w:rPr>
                <w:rStyle w:val="Hyperlink"/>
                <w:noProof/>
              </w:rPr>
              <w:t>Literatuurlijst</w:t>
            </w:r>
            <w:r w:rsidR="00EF5E0A">
              <w:rPr>
                <w:noProof/>
                <w:webHidden/>
              </w:rPr>
              <w:tab/>
            </w:r>
            <w:r w:rsidR="00EF5E0A">
              <w:rPr>
                <w:noProof/>
                <w:webHidden/>
              </w:rPr>
              <w:fldChar w:fldCharType="begin"/>
            </w:r>
            <w:r w:rsidR="00EF5E0A">
              <w:rPr>
                <w:noProof/>
                <w:webHidden/>
              </w:rPr>
              <w:instrText xml:space="preserve"> PAGEREF _Toc171411069 \h </w:instrText>
            </w:r>
            <w:r w:rsidR="00EF5E0A">
              <w:rPr>
                <w:noProof/>
                <w:webHidden/>
              </w:rPr>
            </w:r>
            <w:r w:rsidR="00EF5E0A">
              <w:rPr>
                <w:noProof/>
                <w:webHidden/>
              </w:rPr>
              <w:fldChar w:fldCharType="separate"/>
            </w:r>
            <w:r w:rsidR="00EF5E0A">
              <w:rPr>
                <w:noProof/>
                <w:webHidden/>
              </w:rPr>
              <w:t>55</w:t>
            </w:r>
            <w:r w:rsidR="00EF5E0A">
              <w:rPr>
                <w:noProof/>
                <w:webHidden/>
              </w:rPr>
              <w:fldChar w:fldCharType="end"/>
            </w:r>
          </w:hyperlink>
        </w:p>
        <w:p w14:paraId="3A0DE82B" w14:textId="5942C1BC" w:rsidR="00EF5E0A" w:rsidRDefault="00E921D0">
          <w:pPr>
            <w:pStyle w:val="Inhopg1"/>
            <w:tabs>
              <w:tab w:val="right" w:leader="dot" w:pos="9016"/>
            </w:tabs>
            <w:rPr>
              <w:rFonts w:eastAsiaTheme="minorEastAsia"/>
              <w:noProof/>
              <w:kern w:val="2"/>
              <w:sz w:val="24"/>
              <w:szCs w:val="24"/>
              <w:lang w:eastAsia="nl-NL"/>
              <w14:ligatures w14:val="standardContextual"/>
            </w:rPr>
          </w:pPr>
          <w:hyperlink w:anchor="_Toc171411070" w:history="1">
            <w:r w:rsidR="00EF5E0A" w:rsidRPr="000132A6">
              <w:rPr>
                <w:rStyle w:val="Hyperlink"/>
                <w:noProof/>
              </w:rPr>
              <w:t>Bijlagen</w:t>
            </w:r>
            <w:r w:rsidR="00EF5E0A">
              <w:rPr>
                <w:noProof/>
                <w:webHidden/>
              </w:rPr>
              <w:tab/>
            </w:r>
            <w:r w:rsidR="00EF5E0A">
              <w:rPr>
                <w:noProof/>
                <w:webHidden/>
              </w:rPr>
              <w:fldChar w:fldCharType="begin"/>
            </w:r>
            <w:r w:rsidR="00EF5E0A">
              <w:rPr>
                <w:noProof/>
                <w:webHidden/>
              </w:rPr>
              <w:instrText xml:space="preserve"> PAGEREF _Toc171411070 \h </w:instrText>
            </w:r>
            <w:r w:rsidR="00EF5E0A">
              <w:rPr>
                <w:noProof/>
                <w:webHidden/>
              </w:rPr>
            </w:r>
            <w:r w:rsidR="00EF5E0A">
              <w:rPr>
                <w:noProof/>
                <w:webHidden/>
              </w:rPr>
              <w:fldChar w:fldCharType="separate"/>
            </w:r>
            <w:r w:rsidR="00EF5E0A">
              <w:rPr>
                <w:noProof/>
                <w:webHidden/>
              </w:rPr>
              <w:t>60</w:t>
            </w:r>
            <w:r w:rsidR="00EF5E0A">
              <w:rPr>
                <w:noProof/>
                <w:webHidden/>
              </w:rPr>
              <w:fldChar w:fldCharType="end"/>
            </w:r>
          </w:hyperlink>
        </w:p>
        <w:p w14:paraId="42908DB1" w14:textId="6F1C8C5B"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71" w:history="1">
            <w:r w:rsidR="00EF5E0A" w:rsidRPr="000132A6">
              <w:rPr>
                <w:rStyle w:val="Hyperlink"/>
                <w:noProof/>
              </w:rPr>
              <w:t>Bijlage 1 Interviewguide interview IUP-werkwijze</w:t>
            </w:r>
            <w:r w:rsidR="00EF5E0A">
              <w:rPr>
                <w:noProof/>
                <w:webHidden/>
              </w:rPr>
              <w:tab/>
            </w:r>
            <w:r w:rsidR="00EF5E0A">
              <w:rPr>
                <w:noProof/>
                <w:webHidden/>
              </w:rPr>
              <w:fldChar w:fldCharType="begin"/>
            </w:r>
            <w:r w:rsidR="00EF5E0A">
              <w:rPr>
                <w:noProof/>
                <w:webHidden/>
              </w:rPr>
              <w:instrText xml:space="preserve"> PAGEREF _Toc171411071 \h </w:instrText>
            </w:r>
            <w:r w:rsidR="00EF5E0A">
              <w:rPr>
                <w:noProof/>
                <w:webHidden/>
              </w:rPr>
            </w:r>
            <w:r w:rsidR="00EF5E0A">
              <w:rPr>
                <w:noProof/>
                <w:webHidden/>
              </w:rPr>
              <w:fldChar w:fldCharType="separate"/>
            </w:r>
            <w:r w:rsidR="00EF5E0A">
              <w:rPr>
                <w:noProof/>
                <w:webHidden/>
              </w:rPr>
              <w:t>60</w:t>
            </w:r>
            <w:r w:rsidR="00EF5E0A">
              <w:rPr>
                <w:noProof/>
                <w:webHidden/>
              </w:rPr>
              <w:fldChar w:fldCharType="end"/>
            </w:r>
          </w:hyperlink>
        </w:p>
        <w:p w14:paraId="3E98917F" w14:textId="2A159D9C" w:rsidR="00EF5E0A" w:rsidRDefault="00E921D0">
          <w:pPr>
            <w:pStyle w:val="Inhopg2"/>
            <w:tabs>
              <w:tab w:val="right" w:leader="dot" w:pos="9016"/>
            </w:tabs>
            <w:rPr>
              <w:rFonts w:eastAsiaTheme="minorEastAsia"/>
              <w:noProof/>
              <w:kern w:val="2"/>
              <w:sz w:val="24"/>
              <w:szCs w:val="24"/>
              <w:lang w:eastAsia="nl-NL"/>
              <w14:ligatures w14:val="standardContextual"/>
            </w:rPr>
          </w:pPr>
          <w:hyperlink w:anchor="_Toc171411072" w:history="1">
            <w:r w:rsidR="00EF5E0A" w:rsidRPr="000132A6">
              <w:rPr>
                <w:rStyle w:val="Hyperlink"/>
                <w:noProof/>
              </w:rPr>
              <w:t>Bijlage 2 Interviewguide interview organisatiegerelateerde succesfactoren</w:t>
            </w:r>
            <w:r w:rsidR="00EF5E0A">
              <w:rPr>
                <w:noProof/>
                <w:webHidden/>
              </w:rPr>
              <w:tab/>
            </w:r>
            <w:r w:rsidR="00EF5E0A">
              <w:rPr>
                <w:noProof/>
                <w:webHidden/>
              </w:rPr>
              <w:fldChar w:fldCharType="begin"/>
            </w:r>
            <w:r w:rsidR="00EF5E0A">
              <w:rPr>
                <w:noProof/>
                <w:webHidden/>
              </w:rPr>
              <w:instrText xml:space="preserve"> PAGEREF _Toc171411072 \h </w:instrText>
            </w:r>
            <w:r w:rsidR="00EF5E0A">
              <w:rPr>
                <w:noProof/>
                <w:webHidden/>
              </w:rPr>
            </w:r>
            <w:r w:rsidR="00EF5E0A">
              <w:rPr>
                <w:noProof/>
                <w:webHidden/>
              </w:rPr>
              <w:fldChar w:fldCharType="separate"/>
            </w:r>
            <w:r w:rsidR="00EF5E0A">
              <w:rPr>
                <w:noProof/>
                <w:webHidden/>
              </w:rPr>
              <w:t>62</w:t>
            </w:r>
            <w:r w:rsidR="00EF5E0A">
              <w:rPr>
                <w:noProof/>
                <w:webHidden/>
              </w:rPr>
              <w:fldChar w:fldCharType="end"/>
            </w:r>
          </w:hyperlink>
        </w:p>
        <w:p w14:paraId="2EBAC2F8" w14:textId="545B77DC" w:rsidR="00AD405C" w:rsidRPr="00EF5E0A" w:rsidRDefault="0AB624A7" w:rsidP="00EF5E0A">
          <w:pPr>
            <w:pStyle w:val="Inhopg2"/>
            <w:tabs>
              <w:tab w:val="right" w:leader="dot" w:pos="9015"/>
            </w:tabs>
            <w:ind w:left="0"/>
            <w:rPr>
              <w:color w:val="0563C1" w:themeColor="hyperlink"/>
              <w:u w:val="single"/>
            </w:rPr>
            <w:sectPr w:rsidR="00AD405C" w:rsidRPr="00EF5E0A">
              <w:footerReference w:type="default" r:id="rId11"/>
              <w:pgSz w:w="11906" w:h="16838"/>
              <w:pgMar w:top="1440" w:right="1440" w:bottom="1440" w:left="1440" w:header="708" w:footer="708" w:gutter="0"/>
              <w:cols w:space="708"/>
              <w:docGrid w:linePitch="360"/>
            </w:sectPr>
          </w:pPr>
          <w:r>
            <w:fldChar w:fldCharType="end"/>
          </w:r>
        </w:p>
      </w:sdtContent>
    </w:sdt>
    <w:p w14:paraId="7CBA82D3" w14:textId="4C4A9C0F" w:rsidR="33DD619B" w:rsidRPr="00EF5E0A" w:rsidRDefault="0AB624A7" w:rsidP="0AB624A7">
      <w:pPr>
        <w:pStyle w:val="Kop1"/>
        <w:rPr>
          <w:rFonts w:eastAsiaTheme="minorEastAsia" w:cstheme="majorHAnsi"/>
        </w:rPr>
      </w:pPr>
      <w:bookmarkStart w:id="2" w:name="_Toc171411026"/>
      <w:r w:rsidRPr="00EF5E0A">
        <w:rPr>
          <w:rFonts w:eastAsiaTheme="minorEastAsia" w:cstheme="majorHAnsi"/>
        </w:rPr>
        <w:lastRenderedPageBreak/>
        <w:t>Hoofdstuk 1: Inleiding</w:t>
      </w:r>
      <w:bookmarkEnd w:id="2"/>
    </w:p>
    <w:p w14:paraId="04EE61E9" w14:textId="09480A8D" w:rsidR="33DD619B" w:rsidRDefault="6B9CB4C1" w:rsidP="6B9CB4C1">
      <w:pPr>
        <w:rPr>
          <w:rFonts w:eastAsiaTheme="minorEastAsia"/>
          <w:color w:val="000000" w:themeColor="text1"/>
        </w:rPr>
      </w:pPr>
      <w:r w:rsidRPr="6B9CB4C1">
        <w:rPr>
          <w:rFonts w:eastAsiaTheme="minorEastAsia"/>
          <w:color w:val="000000" w:themeColor="text1"/>
        </w:rPr>
        <w:t>Momenteel leven wij in een tijd waarin een organisatiefocus gericht op voorspelbaarheid en stabiliteit niet meer aan de orde is voor veel organisaties (Van Alphen et al., 2020). De nieuwe complexe vraagstukken volgen elkaar in een stroomversnelling op</w:t>
      </w:r>
      <w:r w:rsidR="00204580">
        <w:rPr>
          <w:rFonts w:eastAsiaTheme="minorEastAsia"/>
          <w:color w:val="000000" w:themeColor="text1"/>
        </w:rPr>
        <w:t>,</w:t>
      </w:r>
      <w:r w:rsidRPr="6B9CB4C1">
        <w:rPr>
          <w:rFonts w:eastAsiaTheme="minorEastAsia"/>
          <w:color w:val="000000" w:themeColor="text1"/>
        </w:rPr>
        <w:t xml:space="preserve"> en organisaties krijgen steeds meer te maken met een web aan belanghebbenden. Met andere woorden, organisaties moeten steeds vaker in een dynamische omgeving opereren. Dit geldt ook voor de organisatie Rijkswaterstaat (RWS).  RWS is het uitvoerende agentschap van het Ministerie van Infrastructuur en Waterstaat dat verantwoordelijk is voor het ontwerp, de bouw, het beheer en het onderhoud van de infrastructuurfaciliteiten met betrekking tot het waterwegennetwerk, hoofdwegennetwerk en watersystemen (RWS, 2018). </w:t>
      </w:r>
    </w:p>
    <w:p w14:paraId="001DA9A3" w14:textId="421AEB15" w:rsidR="33DD619B" w:rsidRPr="00EF5E0A" w:rsidRDefault="0AB624A7" w:rsidP="0AB624A7">
      <w:pPr>
        <w:pStyle w:val="Kop2"/>
        <w:rPr>
          <w:rFonts w:eastAsiaTheme="minorEastAsia" w:cstheme="majorHAnsi"/>
          <w:color w:val="000000" w:themeColor="text1"/>
          <w:sz w:val="22"/>
          <w:szCs w:val="22"/>
        </w:rPr>
      </w:pPr>
      <w:bookmarkStart w:id="3" w:name="_Toc171411027"/>
      <w:r w:rsidRPr="00EF5E0A">
        <w:rPr>
          <w:rFonts w:eastAsiaTheme="minorEastAsia" w:cstheme="majorHAnsi"/>
        </w:rPr>
        <w:t>1.1 Aanleiding</w:t>
      </w:r>
      <w:bookmarkEnd w:id="3"/>
    </w:p>
    <w:p w14:paraId="7850FE61" w14:textId="4653BB6A" w:rsidR="33DD619B" w:rsidRDefault="6B9CB4C1" w:rsidP="6B9CB4C1">
      <w:pPr>
        <w:rPr>
          <w:rFonts w:eastAsiaTheme="minorEastAsia"/>
          <w:color w:val="000000" w:themeColor="text1"/>
        </w:rPr>
      </w:pPr>
      <w:r w:rsidRPr="6B9CB4C1">
        <w:rPr>
          <w:rFonts w:eastAsiaTheme="minorEastAsia"/>
          <w:color w:val="000000" w:themeColor="text1"/>
        </w:rPr>
        <w:t xml:space="preserve">Zoals gezegd, krijgt de organisatie Rijkswaterstaat ook steeds meer te maken met een dynamische omgeving waarin de complexe vraagstukken elkaar in een stroomversnelling opvolgen. Met het oog hierop heeft de organisatie uitgesproken dat onder andere het versterken van het innovatieprofiel- en vermogen een belangrijk actiepunt is voor de toekomst (RWS, 2022a, p. 30). Om dit te realiseren, is er een innovatieagenda opgesteld met daarin vijf innovatieopgaven waarop de organisatie zich in de toekomst wil focussen. Deze innovatieopgaven zijn als volgt (RWS, 2023):  </w:t>
      </w:r>
    </w:p>
    <w:p w14:paraId="0328D0B2" w14:textId="210CFF2F" w:rsidR="33DD619B" w:rsidRDefault="23783DFD" w:rsidP="00F2659E">
      <w:pPr>
        <w:pStyle w:val="Lijstalinea"/>
        <w:numPr>
          <w:ilvl w:val="0"/>
          <w:numId w:val="10"/>
        </w:numPr>
        <w:rPr>
          <w:rFonts w:eastAsiaTheme="minorEastAsia"/>
          <w:color w:val="000000" w:themeColor="text1"/>
        </w:rPr>
      </w:pPr>
      <w:r w:rsidRPr="23783DFD">
        <w:rPr>
          <w:rFonts w:eastAsiaTheme="minorEastAsia"/>
          <w:color w:val="000000" w:themeColor="text1"/>
        </w:rPr>
        <w:t xml:space="preserve">Vervanging en Renovatie </w:t>
      </w:r>
    </w:p>
    <w:p w14:paraId="042AED84" w14:textId="3BD46E0D" w:rsidR="33DD619B" w:rsidRDefault="23783DFD" w:rsidP="00F2659E">
      <w:pPr>
        <w:pStyle w:val="Lijstalinea"/>
        <w:numPr>
          <w:ilvl w:val="0"/>
          <w:numId w:val="10"/>
        </w:numPr>
        <w:rPr>
          <w:rFonts w:eastAsiaTheme="minorEastAsia"/>
          <w:color w:val="000000" w:themeColor="text1"/>
        </w:rPr>
      </w:pPr>
      <w:r w:rsidRPr="23783DFD">
        <w:rPr>
          <w:rFonts w:eastAsiaTheme="minorEastAsia"/>
          <w:color w:val="000000" w:themeColor="text1"/>
        </w:rPr>
        <w:t>Klimaatadaptatie</w:t>
      </w:r>
    </w:p>
    <w:p w14:paraId="20730C0B" w14:textId="52293995" w:rsidR="33DD619B" w:rsidRDefault="23783DFD" w:rsidP="00F2659E">
      <w:pPr>
        <w:pStyle w:val="Lijstalinea"/>
        <w:numPr>
          <w:ilvl w:val="0"/>
          <w:numId w:val="10"/>
        </w:numPr>
        <w:rPr>
          <w:rFonts w:eastAsiaTheme="minorEastAsia"/>
          <w:color w:val="000000" w:themeColor="text1"/>
        </w:rPr>
      </w:pPr>
      <w:r w:rsidRPr="23783DFD">
        <w:rPr>
          <w:rFonts w:eastAsiaTheme="minorEastAsia"/>
          <w:color w:val="000000" w:themeColor="text1"/>
        </w:rPr>
        <w:t xml:space="preserve">Duurzame infrastructuur </w:t>
      </w:r>
    </w:p>
    <w:p w14:paraId="0C313D87" w14:textId="0AB76B20" w:rsidR="33DD619B" w:rsidRDefault="23783DFD" w:rsidP="00F2659E">
      <w:pPr>
        <w:pStyle w:val="Lijstalinea"/>
        <w:numPr>
          <w:ilvl w:val="0"/>
          <w:numId w:val="10"/>
        </w:numPr>
        <w:rPr>
          <w:rFonts w:eastAsiaTheme="minorEastAsia"/>
          <w:color w:val="000000" w:themeColor="text1"/>
        </w:rPr>
      </w:pPr>
      <w:r w:rsidRPr="23783DFD">
        <w:rPr>
          <w:rFonts w:eastAsiaTheme="minorEastAsia"/>
          <w:color w:val="000000" w:themeColor="text1"/>
        </w:rPr>
        <w:t>Data</w:t>
      </w:r>
      <w:r w:rsidR="0057409A">
        <w:rPr>
          <w:rFonts w:eastAsiaTheme="minorEastAsia"/>
          <w:color w:val="000000" w:themeColor="text1"/>
        </w:rPr>
        <w:t>-</w:t>
      </w:r>
      <w:r w:rsidRPr="23783DFD">
        <w:rPr>
          <w:rFonts w:eastAsiaTheme="minorEastAsia"/>
          <w:color w:val="000000" w:themeColor="text1"/>
        </w:rPr>
        <w:t xml:space="preserve"> en informatievoorziening</w:t>
      </w:r>
    </w:p>
    <w:p w14:paraId="3A3E58D8" w14:textId="4A180A9D" w:rsidR="33DD619B" w:rsidRDefault="23783DFD" w:rsidP="00F2659E">
      <w:pPr>
        <w:pStyle w:val="Lijstalinea"/>
        <w:numPr>
          <w:ilvl w:val="0"/>
          <w:numId w:val="10"/>
        </w:numPr>
        <w:rPr>
          <w:rFonts w:eastAsiaTheme="minorEastAsia"/>
          <w:i/>
          <w:iCs/>
          <w:color w:val="000000" w:themeColor="text1"/>
        </w:rPr>
      </w:pPr>
      <w:r w:rsidRPr="23783DFD">
        <w:rPr>
          <w:rFonts w:eastAsiaTheme="minorEastAsia"/>
          <w:i/>
          <w:iCs/>
          <w:color w:val="000000" w:themeColor="text1"/>
        </w:rPr>
        <w:t>Smart Mobility</w:t>
      </w:r>
    </w:p>
    <w:p w14:paraId="4CCB3734" w14:textId="096F0BBC" w:rsidR="33DD619B" w:rsidRDefault="6B9CB4C1" w:rsidP="6B9CB4C1">
      <w:pPr>
        <w:rPr>
          <w:rFonts w:eastAsiaTheme="minorEastAsia"/>
          <w:color w:val="000000" w:themeColor="text1"/>
        </w:rPr>
      </w:pPr>
      <w:r w:rsidRPr="6B9CB4C1">
        <w:rPr>
          <w:rFonts w:eastAsiaTheme="minorEastAsia"/>
          <w:color w:val="000000" w:themeColor="text1"/>
        </w:rPr>
        <w:t xml:space="preserve">In de genoemde innovatieagenda is er, naast de specifieke opgaven, aandacht voor het opschalen van innovaties binnen de organisatie </w:t>
      </w:r>
      <w:bookmarkStart w:id="4" w:name="_Hlk170815212"/>
      <w:r w:rsidRPr="6B9CB4C1">
        <w:rPr>
          <w:rFonts w:eastAsiaTheme="minorEastAsia"/>
          <w:color w:val="000000" w:themeColor="text1"/>
        </w:rPr>
        <w:t>(RWS, 2023, p. 36)</w:t>
      </w:r>
      <w:bookmarkEnd w:id="4"/>
      <w:r w:rsidRPr="6B9CB4C1">
        <w:rPr>
          <w:rFonts w:eastAsiaTheme="minorEastAsia"/>
          <w:color w:val="000000" w:themeColor="text1"/>
        </w:rPr>
        <w:t xml:space="preserve">. Uit deze innovatieagenda blijkt dat de laatste jaren zijn gebruikt om het innovatieproces, met name de opschaling en implementatie, duidelijker in te richten. Het innovatieproces van Rijkswaterstaat bestaat uit drie fases, namelijk: innoveren- uniformeren- produceren (I-U-P) (RWS, 2023, p. 36). In de innovatiefase wordt verkend, ontwikkeld en beproefd. Vervolgens wordt in de uniformeringsfase in kaart gebracht welke aanpassingen noodzakelijk zijn in de werkwijzen- en processen van RWS en de markt om de innovatie te kunnen accommoderen. In de productiefase wordt de innovatie breed in de organisatie toegepast. Op basis van kennis uit de laatste jaren blijkt echter dat het opschalen en breed implementeren van innovaties in de organisatie een knelpunt is (RWS, 2023, p. 35).  Om deze knelpunten aan te pakken, is een stap gezet in de vorm van de IUP-werkwijze (RWS, 2023, p. 36). Deze IUP-werkwijze is een tool waarin per fase staat aangegeven wat de aandachtspunten zijn om zo innovaties sneller en effectiever richting de praktijk te brengen en te implementeren in de breedte van de organisatie (RWS, 2023, p. 36). </w:t>
      </w:r>
    </w:p>
    <w:p w14:paraId="592F86C3" w14:textId="2251B5BE" w:rsidR="33DD619B" w:rsidRDefault="050109F2" w:rsidP="050109F2">
      <w:pPr>
        <w:rPr>
          <w:rFonts w:eastAsiaTheme="minorEastAsia"/>
          <w:color w:val="000000" w:themeColor="text1"/>
        </w:rPr>
      </w:pPr>
      <w:r w:rsidRPr="050109F2">
        <w:rPr>
          <w:rFonts w:eastAsiaTheme="minorEastAsia"/>
          <w:color w:val="000000" w:themeColor="text1"/>
        </w:rPr>
        <w:t xml:space="preserve">Met het oog op het versterken van het innovatieprofiel- en vermogen is het relevant om te onderzoeken in hoeverre de IUP-werkwijze </w:t>
      </w:r>
      <w:r w:rsidR="00993402">
        <w:rPr>
          <w:rFonts w:eastAsiaTheme="minorEastAsia"/>
          <w:color w:val="000000" w:themeColor="text1"/>
        </w:rPr>
        <w:t xml:space="preserve">bijdraagt aan het versterken van het innovatievermogen. </w:t>
      </w:r>
      <w:r w:rsidRPr="050109F2">
        <w:rPr>
          <w:rFonts w:eastAsiaTheme="minorEastAsia"/>
          <w:color w:val="000000" w:themeColor="text1"/>
        </w:rPr>
        <w:t>Welke aspecten/onderdelen van deze tool</w:t>
      </w:r>
      <w:r w:rsidR="00993402">
        <w:rPr>
          <w:rFonts w:eastAsiaTheme="minorEastAsia"/>
          <w:color w:val="000000" w:themeColor="text1"/>
        </w:rPr>
        <w:t xml:space="preserve"> dragen hieraan bij</w:t>
      </w:r>
      <w:r w:rsidRPr="050109F2">
        <w:rPr>
          <w:rFonts w:eastAsiaTheme="minorEastAsia"/>
          <w:color w:val="000000" w:themeColor="text1"/>
        </w:rPr>
        <w:t>? Echter</w:t>
      </w:r>
      <w:r w:rsidR="0070090F">
        <w:rPr>
          <w:rFonts w:eastAsiaTheme="minorEastAsia"/>
          <w:color w:val="000000" w:themeColor="text1"/>
        </w:rPr>
        <w:t>,</w:t>
      </w:r>
      <w:r w:rsidRPr="050109F2">
        <w:rPr>
          <w:rFonts w:eastAsiaTheme="minorEastAsia"/>
          <w:color w:val="000000" w:themeColor="text1"/>
        </w:rPr>
        <w:t xml:space="preserve"> </w:t>
      </w:r>
      <w:r w:rsidR="00264CEB">
        <w:rPr>
          <w:rFonts w:eastAsiaTheme="minorEastAsia"/>
          <w:color w:val="000000" w:themeColor="text1"/>
        </w:rPr>
        <w:t xml:space="preserve">het toepassen </w:t>
      </w:r>
      <w:r w:rsidR="0070090F">
        <w:rPr>
          <w:rFonts w:eastAsiaTheme="minorEastAsia"/>
          <w:color w:val="000000" w:themeColor="text1"/>
        </w:rPr>
        <w:t xml:space="preserve">van de </w:t>
      </w:r>
      <w:r w:rsidRPr="050109F2">
        <w:rPr>
          <w:rFonts w:eastAsiaTheme="minorEastAsia"/>
          <w:color w:val="000000" w:themeColor="text1"/>
        </w:rPr>
        <w:t xml:space="preserve">IUP-werkwijze </w:t>
      </w:r>
      <w:r w:rsidR="00474778">
        <w:rPr>
          <w:rFonts w:eastAsiaTheme="minorEastAsia"/>
          <w:color w:val="000000" w:themeColor="text1"/>
        </w:rPr>
        <w:t xml:space="preserve">is </w:t>
      </w:r>
      <w:r w:rsidRPr="050109F2">
        <w:rPr>
          <w:rFonts w:eastAsiaTheme="minorEastAsia"/>
          <w:color w:val="000000" w:themeColor="text1"/>
        </w:rPr>
        <w:t>niet voldoende om tot succesvolle innovatie</w:t>
      </w:r>
      <w:r w:rsidR="00807118">
        <w:rPr>
          <w:rFonts w:eastAsiaTheme="minorEastAsia"/>
          <w:color w:val="000000" w:themeColor="text1"/>
        </w:rPr>
        <w:t>s</w:t>
      </w:r>
      <w:r w:rsidRPr="050109F2">
        <w:rPr>
          <w:rFonts w:eastAsiaTheme="minorEastAsia"/>
          <w:color w:val="000000" w:themeColor="text1"/>
        </w:rPr>
        <w:t xml:space="preserve"> te komen</w:t>
      </w:r>
      <w:r w:rsidR="002921B7">
        <w:rPr>
          <w:rFonts w:eastAsiaTheme="minorEastAsia"/>
          <w:color w:val="000000" w:themeColor="text1"/>
        </w:rPr>
        <w:t>,</w:t>
      </w:r>
      <w:r w:rsidR="0070090F">
        <w:rPr>
          <w:rFonts w:eastAsiaTheme="minorEastAsia"/>
          <w:color w:val="000000" w:themeColor="text1"/>
        </w:rPr>
        <w:t xml:space="preserve"> stelt ook de organisatie zelf </w:t>
      </w:r>
      <w:r w:rsidR="0070090F" w:rsidRPr="050109F2">
        <w:rPr>
          <w:rFonts w:eastAsiaTheme="minorEastAsia"/>
          <w:color w:val="000000" w:themeColor="text1"/>
        </w:rPr>
        <w:t>(RWS, 2023, p. 37)</w:t>
      </w:r>
      <w:r w:rsidRPr="050109F2">
        <w:rPr>
          <w:rFonts w:eastAsiaTheme="minorEastAsia"/>
          <w:color w:val="000000" w:themeColor="text1"/>
        </w:rPr>
        <w:t>. Naast het aanpassen van systemen en processen</w:t>
      </w:r>
      <w:r w:rsidR="002921B7">
        <w:rPr>
          <w:rFonts w:eastAsiaTheme="minorEastAsia"/>
          <w:color w:val="000000" w:themeColor="text1"/>
        </w:rPr>
        <w:t xml:space="preserve"> </w:t>
      </w:r>
      <w:r w:rsidRPr="050109F2">
        <w:rPr>
          <w:rFonts w:eastAsiaTheme="minorEastAsia"/>
          <w:color w:val="000000" w:themeColor="text1"/>
        </w:rPr>
        <w:t xml:space="preserve">zijn ook competenties, vaardigheden, houding en gedrag evenredig relevant (RWS, 2023, p. 37). </w:t>
      </w:r>
      <w:r w:rsidR="000555EF">
        <w:rPr>
          <w:rFonts w:eastAsiaTheme="minorEastAsia"/>
          <w:color w:val="000000" w:themeColor="text1"/>
        </w:rPr>
        <w:t>Ofwel</w:t>
      </w:r>
      <w:r w:rsidR="00390A58">
        <w:rPr>
          <w:rFonts w:eastAsiaTheme="minorEastAsia"/>
          <w:color w:val="000000" w:themeColor="text1"/>
        </w:rPr>
        <w:t>;</w:t>
      </w:r>
      <w:r w:rsidR="000555EF">
        <w:rPr>
          <w:rFonts w:eastAsiaTheme="minorEastAsia"/>
          <w:color w:val="000000" w:themeColor="text1"/>
        </w:rPr>
        <w:t xml:space="preserve"> </w:t>
      </w:r>
      <w:r w:rsidRPr="050109F2">
        <w:rPr>
          <w:rFonts w:eastAsiaTheme="minorEastAsia"/>
          <w:color w:val="000000" w:themeColor="text1"/>
        </w:rPr>
        <w:t xml:space="preserve">in hoeverre </w:t>
      </w:r>
      <w:r w:rsidR="000555EF">
        <w:rPr>
          <w:rFonts w:eastAsiaTheme="minorEastAsia"/>
          <w:color w:val="000000" w:themeColor="text1"/>
        </w:rPr>
        <w:t xml:space="preserve">is </w:t>
      </w:r>
      <w:r w:rsidRPr="050109F2">
        <w:rPr>
          <w:rFonts w:eastAsiaTheme="minorEastAsia"/>
          <w:color w:val="000000" w:themeColor="text1"/>
        </w:rPr>
        <w:t xml:space="preserve">de organisatie </w:t>
      </w:r>
      <w:r w:rsidR="000555EF">
        <w:rPr>
          <w:rFonts w:eastAsiaTheme="minorEastAsia"/>
          <w:color w:val="000000" w:themeColor="text1"/>
        </w:rPr>
        <w:t xml:space="preserve">er </w:t>
      </w:r>
      <w:r w:rsidRPr="050109F2">
        <w:rPr>
          <w:rFonts w:eastAsiaTheme="minorEastAsia"/>
          <w:color w:val="000000" w:themeColor="text1"/>
        </w:rPr>
        <w:t xml:space="preserve">klaar </w:t>
      </w:r>
      <w:r w:rsidR="000555EF">
        <w:rPr>
          <w:rFonts w:eastAsiaTheme="minorEastAsia"/>
          <w:color w:val="000000" w:themeColor="text1"/>
        </w:rPr>
        <w:t xml:space="preserve">voor </w:t>
      </w:r>
      <w:r w:rsidRPr="050109F2">
        <w:rPr>
          <w:rFonts w:eastAsiaTheme="minorEastAsia"/>
          <w:color w:val="000000" w:themeColor="text1"/>
        </w:rPr>
        <w:t xml:space="preserve">om succesvol te innoveren? Naast het onderzoeken in hoeverre de </w:t>
      </w:r>
      <w:r w:rsidRPr="050109F2">
        <w:rPr>
          <w:rFonts w:eastAsiaTheme="minorEastAsia"/>
          <w:color w:val="000000" w:themeColor="text1"/>
        </w:rPr>
        <w:lastRenderedPageBreak/>
        <w:t>ontworpen tool werkt, is het dus ook van belang om te onderzoeken in welke mate de organisatie in staat</w:t>
      </w:r>
      <w:r w:rsidR="00D64828">
        <w:rPr>
          <w:rFonts w:eastAsiaTheme="minorEastAsia"/>
          <w:color w:val="000000" w:themeColor="text1"/>
        </w:rPr>
        <w:t xml:space="preserve"> is</w:t>
      </w:r>
      <w:r w:rsidRPr="050109F2">
        <w:rPr>
          <w:rFonts w:eastAsiaTheme="minorEastAsia"/>
          <w:color w:val="000000" w:themeColor="text1"/>
        </w:rPr>
        <w:t xml:space="preserve"> om dat innovatievermogen te versterken</w:t>
      </w:r>
      <w:r w:rsidR="004A2977">
        <w:rPr>
          <w:rFonts w:eastAsiaTheme="minorEastAsia"/>
          <w:color w:val="000000" w:themeColor="text1"/>
        </w:rPr>
        <w:t xml:space="preserve">. </w:t>
      </w:r>
    </w:p>
    <w:p w14:paraId="53635EE3" w14:textId="59B171B1" w:rsidR="33DD619B" w:rsidRDefault="0AB624A7" w:rsidP="0AB624A7">
      <w:pPr>
        <w:rPr>
          <w:rFonts w:eastAsiaTheme="minorEastAsia"/>
          <w:color w:val="000000" w:themeColor="text1"/>
        </w:rPr>
      </w:pPr>
      <w:bookmarkStart w:id="5" w:name="_Toc171411028"/>
      <w:r w:rsidRPr="00EF5E0A">
        <w:rPr>
          <w:rStyle w:val="Kop2Char"/>
          <w:rFonts w:eastAsiaTheme="minorEastAsia" w:cstheme="majorHAnsi"/>
        </w:rPr>
        <w:t>1.2 Probleemstelling</w:t>
      </w:r>
      <w:bookmarkEnd w:id="5"/>
      <w:r w:rsidRPr="0AB624A7">
        <w:rPr>
          <w:rStyle w:val="Kop2Char"/>
          <w:rFonts w:asciiTheme="minorHAnsi" w:eastAsiaTheme="minorEastAsia" w:hAnsiTheme="minorHAnsi" w:cstheme="minorBidi"/>
        </w:rPr>
        <w:t xml:space="preserve"> </w:t>
      </w:r>
      <w:r w:rsidR="2A6270C9">
        <w:br/>
      </w:r>
      <w:r w:rsidR="00564D74">
        <w:rPr>
          <w:rFonts w:eastAsiaTheme="minorEastAsia"/>
          <w:color w:val="000000" w:themeColor="text1"/>
        </w:rPr>
        <w:t xml:space="preserve">In </w:t>
      </w:r>
      <w:r w:rsidRPr="0AB624A7">
        <w:rPr>
          <w:rFonts w:eastAsiaTheme="minorEastAsia"/>
          <w:color w:val="000000" w:themeColor="text1"/>
        </w:rPr>
        <w:t xml:space="preserve">dit onderzoek </w:t>
      </w:r>
      <w:r w:rsidR="00564D74">
        <w:rPr>
          <w:rFonts w:eastAsiaTheme="minorEastAsia"/>
          <w:color w:val="000000" w:themeColor="text1"/>
        </w:rPr>
        <w:t>staat het</w:t>
      </w:r>
      <w:r w:rsidR="00A2459F">
        <w:rPr>
          <w:rFonts w:eastAsiaTheme="minorEastAsia"/>
          <w:color w:val="000000" w:themeColor="text1"/>
        </w:rPr>
        <w:t xml:space="preserve"> </w:t>
      </w:r>
      <w:r w:rsidR="003368C1">
        <w:rPr>
          <w:rFonts w:eastAsiaTheme="minorEastAsia"/>
          <w:color w:val="000000" w:themeColor="text1"/>
        </w:rPr>
        <w:t>succes van innovatieproce</w:t>
      </w:r>
      <w:r w:rsidR="00D36468">
        <w:rPr>
          <w:rFonts w:eastAsiaTheme="minorEastAsia"/>
          <w:color w:val="000000" w:themeColor="text1"/>
        </w:rPr>
        <w:t>s</w:t>
      </w:r>
      <w:r w:rsidR="003368C1">
        <w:rPr>
          <w:rFonts w:eastAsiaTheme="minorEastAsia"/>
          <w:color w:val="000000" w:themeColor="text1"/>
        </w:rPr>
        <w:t>sen</w:t>
      </w:r>
      <w:r w:rsidR="00564D74">
        <w:rPr>
          <w:rFonts w:eastAsiaTheme="minorEastAsia"/>
          <w:color w:val="000000" w:themeColor="text1"/>
        </w:rPr>
        <w:t xml:space="preserve"> centraal</w:t>
      </w:r>
      <w:r w:rsidRPr="0AB624A7">
        <w:rPr>
          <w:rFonts w:eastAsiaTheme="minorEastAsia"/>
          <w:color w:val="000000" w:themeColor="text1"/>
        </w:rPr>
        <w:t xml:space="preserve">. </w:t>
      </w:r>
      <w:r w:rsidR="004A655D">
        <w:rPr>
          <w:rFonts w:eastAsiaTheme="minorEastAsia"/>
          <w:color w:val="000000" w:themeColor="text1"/>
        </w:rPr>
        <w:t xml:space="preserve">Het </w:t>
      </w:r>
      <w:r w:rsidRPr="0AB624A7">
        <w:rPr>
          <w:rFonts w:eastAsiaTheme="minorEastAsia"/>
          <w:color w:val="000000" w:themeColor="text1"/>
        </w:rPr>
        <w:t xml:space="preserve">doel van </w:t>
      </w:r>
      <w:r w:rsidR="004A655D">
        <w:rPr>
          <w:rFonts w:eastAsiaTheme="minorEastAsia"/>
          <w:color w:val="000000" w:themeColor="text1"/>
        </w:rPr>
        <w:t xml:space="preserve">dit onderzoek is </w:t>
      </w:r>
      <w:r w:rsidRPr="0AB624A7">
        <w:rPr>
          <w:rFonts w:eastAsiaTheme="minorEastAsia"/>
          <w:color w:val="000000" w:themeColor="text1"/>
        </w:rPr>
        <w:t>om</w:t>
      </w:r>
      <w:r w:rsidR="003C3F43">
        <w:rPr>
          <w:rFonts w:eastAsiaTheme="minorEastAsia"/>
          <w:color w:val="000000" w:themeColor="text1"/>
        </w:rPr>
        <w:t xml:space="preserve"> Rijkswaterstaat te adviseren over hoe het innovatievermogen van de organisatie versterkt kan worden</w:t>
      </w:r>
      <w:r w:rsidR="005A3F27">
        <w:rPr>
          <w:rFonts w:eastAsiaTheme="minorEastAsia"/>
          <w:color w:val="000000" w:themeColor="text1"/>
        </w:rPr>
        <w:t xml:space="preserve">, </w:t>
      </w:r>
      <w:r w:rsidRPr="0AB624A7">
        <w:rPr>
          <w:rFonts w:eastAsiaTheme="minorEastAsia"/>
          <w:color w:val="000000" w:themeColor="text1"/>
        </w:rPr>
        <w:t xml:space="preserve">zodat de organisatie beter om kan gaan met de complexe opgaven van de toekomst. De </w:t>
      </w:r>
      <w:r w:rsidR="001F41A8">
        <w:rPr>
          <w:rFonts w:eastAsiaTheme="minorEastAsia"/>
          <w:color w:val="000000" w:themeColor="text1"/>
        </w:rPr>
        <w:t xml:space="preserve">onderzoeksvraag die in dit onderzoek centraal staat is als volgt: </w:t>
      </w:r>
    </w:p>
    <w:p w14:paraId="40895A82" w14:textId="3637EFE7" w:rsidR="33DD619B" w:rsidRDefault="0E1F15A6" w:rsidP="0E1F15A6">
      <w:pPr>
        <w:rPr>
          <w:rFonts w:eastAsiaTheme="minorEastAsia"/>
          <w:color w:val="000000" w:themeColor="text1"/>
        </w:rPr>
      </w:pPr>
      <w:r w:rsidRPr="0E1F15A6">
        <w:rPr>
          <w:rFonts w:eastAsiaTheme="minorEastAsia"/>
          <w:i/>
          <w:iCs/>
          <w:color w:val="000000" w:themeColor="text1"/>
        </w:rPr>
        <w:t>‘Welke factoren zijn noodzakelijk om het innovatievermogen van een organisatie als Rijkswaterstaat te versterken en in welke mate zijn deze aanwezig bij de PPO-dienst van Rijkswaterstaat?’</w:t>
      </w:r>
    </w:p>
    <w:p w14:paraId="5E3AFAA5" w14:textId="4672712C" w:rsidR="33DD619B" w:rsidRDefault="008318AA" w:rsidP="23783DFD">
      <w:pPr>
        <w:rPr>
          <w:rFonts w:eastAsiaTheme="minorEastAsia"/>
          <w:color w:val="000000" w:themeColor="text1"/>
        </w:rPr>
      </w:pPr>
      <w:r>
        <w:rPr>
          <w:rFonts w:eastAsiaTheme="minorEastAsia"/>
          <w:color w:val="000000" w:themeColor="text1"/>
        </w:rPr>
        <w:t>Om deze onderzoeksvraag te kunnen beantwoorden zijn de volgende d</w:t>
      </w:r>
      <w:r w:rsidR="23783DFD" w:rsidRPr="23783DFD">
        <w:rPr>
          <w:rFonts w:eastAsiaTheme="minorEastAsia"/>
          <w:color w:val="000000" w:themeColor="text1"/>
        </w:rPr>
        <w:t>eelvragen</w:t>
      </w:r>
      <w:r>
        <w:rPr>
          <w:rFonts w:eastAsiaTheme="minorEastAsia"/>
          <w:color w:val="000000" w:themeColor="text1"/>
        </w:rPr>
        <w:t xml:space="preserve"> opgesteld</w:t>
      </w:r>
      <w:r w:rsidR="23783DFD" w:rsidRPr="23783DFD">
        <w:rPr>
          <w:rFonts w:eastAsiaTheme="minorEastAsia"/>
          <w:color w:val="000000" w:themeColor="text1"/>
        </w:rPr>
        <w:t xml:space="preserve">: </w:t>
      </w:r>
    </w:p>
    <w:p w14:paraId="3B30251E" w14:textId="43529182" w:rsidR="6B9CB4C1" w:rsidRDefault="6B9CB4C1" w:rsidP="6B9CB4C1">
      <w:pPr>
        <w:pStyle w:val="Lijstalinea"/>
        <w:numPr>
          <w:ilvl w:val="0"/>
          <w:numId w:val="9"/>
        </w:numPr>
        <w:rPr>
          <w:rFonts w:eastAsiaTheme="minorEastAsia"/>
          <w:color w:val="000000" w:themeColor="text1"/>
        </w:rPr>
      </w:pPr>
      <w:r w:rsidRPr="6B9CB4C1">
        <w:rPr>
          <w:rFonts w:eastAsiaTheme="minorEastAsia"/>
          <w:color w:val="000000" w:themeColor="text1"/>
        </w:rPr>
        <w:t>Wat zijn volgens de theorie factoren die bijdragen aan het versterken van een innovatievermogen van een organisatie?</w:t>
      </w:r>
    </w:p>
    <w:p w14:paraId="1AE171A1" w14:textId="7956E68B" w:rsidR="33DD619B" w:rsidRDefault="4FE52EB8" w:rsidP="00F2659E">
      <w:pPr>
        <w:pStyle w:val="Lijstalinea"/>
        <w:numPr>
          <w:ilvl w:val="0"/>
          <w:numId w:val="9"/>
        </w:numPr>
        <w:rPr>
          <w:rFonts w:eastAsiaTheme="minorEastAsia"/>
          <w:color w:val="000000" w:themeColor="text1"/>
        </w:rPr>
      </w:pPr>
      <w:r w:rsidRPr="4FE52EB8">
        <w:rPr>
          <w:rFonts w:eastAsiaTheme="minorEastAsia"/>
          <w:color w:val="000000" w:themeColor="text1"/>
        </w:rPr>
        <w:t xml:space="preserve">Welke succesfactoren zijn al opgenomen in de IUP-werkwijze van Rijkswaterstaat? </w:t>
      </w:r>
    </w:p>
    <w:p w14:paraId="5467A437" w14:textId="2640E12C" w:rsidR="33DD619B" w:rsidRDefault="6B9CB4C1" w:rsidP="00F2659E">
      <w:pPr>
        <w:pStyle w:val="Lijstalinea"/>
        <w:numPr>
          <w:ilvl w:val="0"/>
          <w:numId w:val="9"/>
        </w:numPr>
        <w:rPr>
          <w:rFonts w:eastAsiaTheme="minorEastAsia"/>
          <w:color w:val="000000" w:themeColor="text1"/>
        </w:rPr>
      </w:pPr>
      <w:r w:rsidRPr="6B9CB4C1">
        <w:rPr>
          <w:rFonts w:eastAsiaTheme="minorEastAsia"/>
          <w:color w:val="000000" w:themeColor="text1"/>
        </w:rPr>
        <w:t>Welke succesfactoren zijn nog niet voldoende ingericht voor succesvolle innovaties bij PPO Rijkswaterstaat?</w:t>
      </w:r>
    </w:p>
    <w:p w14:paraId="3B70F63A" w14:textId="3B0A8517" w:rsidR="6B9CB4C1" w:rsidRDefault="6B9CB4C1" w:rsidP="6B9CB4C1">
      <w:pPr>
        <w:rPr>
          <w:rFonts w:eastAsiaTheme="minorEastAsia"/>
          <w:color w:val="000000" w:themeColor="text1"/>
        </w:rPr>
      </w:pPr>
      <w:r w:rsidRPr="6B9CB4C1">
        <w:rPr>
          <w:rFonts w:eastAsiaTheme="minorEastAsia"/>
          <w:color w:val="000000" w:themeColor="text1"/>
        </w:rPr>
        <w:t xml:space="preserve">Het antwoord op de eerste deelvraag dient een overzicht te genereren van welke factoren er volgens de literatuur bijdragen aan het versterken van het innovatievermogen. Met deze succesfactoren wordt vervolgens naar de empirie gekeken. In deze empirie is het noodzakelijk om een onderscheid te behouden tussen wat de IUP-werkwijze in de huidige situatie al aan succesfactoren afvinkt, om vervolgens nader in te gaan op wat er wellicht nog onvoldoende wordt ingevuld in zowel de organisatie als in deze IUP-werkwijze. Het doel hiervan is om duidelijk in beeld te brengen op welke manier de IUP-werkwijze op dit moment al dan niet een bijdrage kan leveren aan het versterken van het innovatievermogen, en welke stappen verder nodig zijn in de IUP-werkwijze en organisatie om het innovatievermogen te versterken. Dit resulteert dus vervolgens in twee empirische deelvragen, bovenstaand deelvraag 2 en 3, die samen met deelvraag 1 uiteindelijk een antwoord moeten geven op de centrale vraag in dit onderzoek. </w:t>
      </w:r>
    </w:p>
    <w:p w14:paraId="5318E45E" w14:textId="561C86FC" w:rsidR="33DD619B" w:rsidRDefault="6B9CB4C1" w:rsidP="6B9CB4C1">
      <w:pPr>
        <w:rPr>
          <w:rFonts w:eastAsiaTheme="minorEastAsia"/>
          <w:color w:val="000000" w:themeColor="text1"/>
        </w:rPr>
      </w:pPr>
      <w:bookmarkStart w:id="6" w:name="_Toc171411029"/>
      <w:r w:rsidRPr="00EF5E0A">
        <w:rPr>
          <w:rStyle w:val="Kop2Char"/>
          <w:rFonts w:eastAsiaTheme="minorEastAsia" w:cstheme="majorHAnsi"/>
        </w:rPr>
        <w:t>1.3 Vooruitblik Theoretisch Kader</w:t>
      </w:r>
      <w:bookmarkEnd w:id="6"/>
      <w:r w:rsidR="0AB624A7">
        <w:br/>
      </w:r>
      <w:r w:rsidRPr="6B9CB4C1">
        <w:rPr>
          <w:rFonts w:eastAsiaTheme="minorEastAsia"/>
          <w:color w:val="000000" w:themeColor="text1"/>
        </w:rPr>
        <w:t>In dit onderzoek dient allereerst inzicht te worden verkregen in wat innovatie is en wat innovatieprocessen in zijn geheel zijn. De literatuur van Van Leeuwen en Hörnig (2024), Huizingh (2019) en Meijer (2023) k</w:t>
      </w:r>
      <w:r w:rsidR="00656520">
        <w:rPr>
          <w:rFonts w:eastAsiaTheme="minorEastAsia"/>
          <w:color w:val="000000" w:themeColor="text1"/>
        </w:rPr>
        <w:t>an</w:t>
      </w:r>
      <w:r w:rsidRPr="6B9CB4C1">
        <w:rPr>
          <w:rFonts w:eastAsiaTheme="minorEastAsia"/>
          <w:color w:val="000000" w:themeColor="text1"/>
        </w:rPr>
        <w:t xml:space="preserve"> helpen om de stappen/fases van een innovatieproces te onderscheiden en daarin succesfactoren te identificeren. De volgende stap is om in de literatuur vast te stellen welke factoren </w:t>
      </w:r>
      <w:r w:rsidR="0096330B">
        <w:rPr>
          <w:rFonts w:eastAsiaTheme="minorEastAsia"/>
          <w:color w:val="000000" w:themeColor="text1"/>
        </w:rPr>
        <w:t xml:space="preserve">bijdragen </w:t>
      </w:r>
      <w:r w:rsidRPr="6B9CB4C1">
        <w:rPr>
          <w:rFonts w:eastAsiaTheme="minorEastAsia"/>
          <w:color w:val="000000" w:themeColor="text1"/>
        </w:rPr>
        <w:t>aan het versterken van het innovatievermogen</w:t>
      </w:r>
      <w:r w:rsidR="0096330B">
        <w:rPr>
          <w:rFonts w:eastAsiaTheme="minorEastAsia"/>
          <w:color w:val="000000" w:themeColor="text1"/>
        </w:rPr>
        <w:t xml:space="preserve"> van een organisatie</w:t>
      </w:r>
      <w:r w:rsidRPr="6B9CB4C1">
        <w:rPr>
          <w:rFonts w:eastAsiaTheme="minorEastAsia"/>
          <w:color w:val="000000" w:themeColor="text1"/>
        </w:rPr>
        <w:t>. De literatuur van Gie</w:t>
      </w:r>
      <w:r w:rsidR="00656520">
        <w:rPr>
          <w:rFonts w:eastAsiaTheme="minorEastAsia"/>
          <w:color w:val="000000" w:themeColor="text1"/>
        </w:rPr>
        <w:t>sk</w:t>
      </w:r>
      <w:r w:rsidRPr="6B9CB4C1">
        <w:rPr>
          <w:rFonts w:eastAsiaTheme="minorEastAsia"/>
          <w:color w:val="000000" w:themeColor="text1"/>
        </w:rPr>
        <w:t xml:space="preserve">e (2019) stelt dat de lerende organisatie één van de belangrijkste voorspellers is voor een sterk innovatievermogen van een organisatie. Binnen dit hoofdconcept van een lerende organisatie zijn diverse succesfactoren te onderscheiden.  De literatuur die kan helpen om deze factoren uit te werken, is onder andere Wierdsma en Swieringa (2011), Senge (1990), Goh (1998), Hornung en Rousseau (2007) en Hill (1996).  Vervolgens beschrijft de literatuur innovatiemanagement als de andere belangrijkste voorspeller voor innovatiesucces in een organisatie (Tidd &amp; Bessant, 2020; Van der Cruijsen &amp; Schaafsma, 2011). Deze literatuur en de literatuur van Huizingh (2019) en Shepherd en Ahmed (2000) kunnen helpen om de factoren van innovatiemanagement te onderscheiden. </w:t>
      </w:r>
    </w:p>
    <w:p w14:paraId="3566FBBF" w14:textId="51721CBC" w:rsidR="00F6377E" w:rsidRDefault="00F6377E" w:rsidP="00F6377E">
      <w:pPr>
        <w:rPr>
          <w:rFonts w:eastAsiaTheme="minorEastAsia"/>
          <w:color w:val="000000" w:themeColor="text1"/>
        </w:rPr>
      </w:pPr>
      <w:r w:rsidRPr="7A54C965">
        <w:rPr>
          <w:rFonts w:eastAsiaTheme="minorEastAsia"/>
          <w:color w:val="000000" w:themeColor="text1"/>
        </w:rPr>
        <w:t xml:space="preserve">De succesfactoren gerelateerd aan de lerende organisatie, en de aanwezigheid daarvan binnen PPO Rijkswaterstaat, zijn al eerder onderzocht in een onderzoek van Gerritz (2021). Het interne onderzoek van Gerritz (2021) wijst uit dat er op een aantal factoren van de lerende organisatie nog </w:t>
      </w:r>
      <w:r w:rsidRPr="7A54C965">
        <w:rPr>
          <w:rFonts w:eastAsiaTheme="minorEastAsia"/>
          <w:color w:val="000000" w:themeColor="text1"/>
        </w:rPr>
        <w:lastRenderedPageBreak/>
        <w:t>stappen te zetten zijn binnen PPO Rijkswaterstaat. Deze bevindingen van Gerritz (2021) geven dan ook ruimte op om voort te borduren in relatie tot innovatiesucces. Daarnaast zal dit onderzoek zich richten op succesfactoren gerelateerd aan</w:t>
      </w:r>
      <w:r w:rsidR="00397D25">
        <w:rPr>
          <w:rFonts w:eastAsiaTheme="minorEastAsia"/>
          <w:color w:val="000000" w:themeColor="text1"/>
        </w:rPr>
        <w:t xml:space="preserve"> innovatieprocessen en</w:t>
      </w:r>
      <w:r w:rsidRPr="7A54C965">
        <w:rPr>
          <w:rFonts w:eastAsiaTheme="minorEastAsia"/>
          <w:color w:val="000000" w:themeColor="text1"/>
        </w:rPr>
        <w:t xml:space="preserve"> innovatiemanagement. De mate van aanwezigheid van deze factoren is niet eerder onderzocht in de organisatie, dus is het van belang om dit te onderzoeken met het oog op het versterken van het innovatievermogen van de organisatie. </w:t>
      </w:r>
    </w:p>
    <w:p w14:paraId="434D97FD" w14:textId="018EC854" w:rsidR="33DD619B" w:rsidRDefault="6B9CB4C1" w:rsidP="6B9CB4C1">
      <w:pPr>
        <w:rPr>
          <w:rFonts w:eastAsiaTheme="minorEastAsia"/>
          <w:color w:val="000000" w:themeColor="text1"/>
        </w:rPr>
      </w:pPr>
      <w:bookmarkStart w:id="7" w:name="_Toc171411030"/>
      <w:r w:rsidRPr="00EF5E0A">
        <w:rPr>
          <w:rStyle w:val="Kop2Char"/>
          <w:rFonts w:eastAsiaTheme="minorEastAsia" w:cstheme="majorHAnsi"/>
        </w:rPr>
        <w:t>1.4 Vooruitblik Methodologisch Kader</w:t>
      </w:r>
      <w:bookmarkEnd w:id="7"/>
      <w:r w:rsidR="0AB624A7">
        <w:br/>
      </w:r>
      <w:r w:rsidRPr="6B9CB4C1">
        <w:rPr>
          <w:rFonts w:eastAsiaTheme="minorEastAsia"/>
          <w:color w:val="000000" w:themeColor="text1"/>
        </w:rPr>
        <w:t>Dit onderzoek heeft als doel om Rijkswaterstaat te adviseren over hoe het innovatievermogen van de organisatie versterkt kan worden. Om dit te kunnen doen, is het noodzakelijk om diepgaande kennis te genereren over de processen, systemen en ervaringen rondom innovatie volgens medewerkers spelen in de organisatie. Kwalitatief onderzoek biedt deze mogelijkheid, waardoor er</w:t>
      </w:r>
      <w:r w:rsidR="00ED096D">
        <w:rPr>
          <w:rFonts w:eastAsiaTheme="minorEastAsia"/>
          <w:color w:val="000000" w:themeColor="text1"/>
        </w:rPr>
        <w:t xml:space="preserve"> is</w:t>
      </w:r>
      <w:r w:rsidRPr="6B9CB4C1">
        <w:rPr>
          <w:rFonts w:eastAsiaTheme="minorEastAsia"/>
          <w:color w:val="000000" w:themeColor="text1"/>
        </w:rPr>
        <w:t xml:space="preserve"> gekozen</w:t>
      </w:r>
      <w:r w:rsidR="00ED096D">
        <w:rPr>
          <w:rFonts w:eastAsiaTheme="minorEastAsia"/>
          <w:color w:val="000000" w:themeColor="text1"/>
        </w:rPr>
        <w:t xml:space="preserve"> </w:t>
      </w:r>
      <w:r w:rsidRPr="6B9CB4C1">
        <w:rPr>
          <w:rFonts w:eastAsiaTheme="minorEastAsia"/>
          <w:color w:val="000000" w:themeColor="text1"/>
        </w:rPr>
        <w:t xml:space="preserve">voor dit type onderzoek. Dit onderzoek richt zich daarbij specifiek op het adviseren van de PPO-dienst (vanaf nu PPO) van Rijkswaterstaat, omdat hiermee specifieke adviezen kunnen worden gegeven </w:t>
      </w:r>
      <w:r w:rsidR="007173ED">
        <w:rPr>
          <w:rFonts w:eastAsiaTheme="minorEastAsia"/>
          <w:color w:val="000000" w:themeColor="text1"/>
        </w:rPr>
        <w:t xml:space="preserve">over </w:t>
      </w:r>
      <w:r w:rsidRPr="6B9CB4C1">
        <w:rPr>
          <w:rFonts w:eastAsiaTheme="minorEastAsia"/>
          <w:color w:val="000000" w:themeColor="text1"/>
        </w:rPr>
        <w:t xml:space="preserve">hoe dit organisatieonderdeel het innovatievermogen kan versterken. Om PPO te adviseren op basis van een zo betrouwbaar mogelijk beeld over de invulling van de succesfactoren, is er gekozen voor een meervoudige casestudy. In deze meervoudige casestudy wordt gedetailleerd ingezoomd op de vier directies binnen PPO om op deze manier iets te kunnen zeggen over PPO als geheel. Hierin wordt gekeken welke succesfactoren al dan niet aanwezig zijn in het praktisch gebruik van de IUP-werkwijze en de invulling van welke factoren hedendaags nog belemmerend werken voor het innovatiesucces binnen PPO. Op basis hiervan is te stellen dat dit onderzoek zowel evaluerend als explorerend van aard is. Het evaluerende deel heeft als doel te onderzoeken welke succesfactoren al aanwezig zijn in de IUP-werkwijze, dus kort gezegd; welke succesfactoren vinkt de IUP-werkwijze aan? Dit kunnen procesgerelateerde factoren zijn, maar ook organisatiegerelateerde factoren die worden gewaarborgd in deze werkwijze. Het explorerende deel heeft juist als doel te kijken welke succesfactoren nog onvoldoende worden ingevuld in de IUP-werkwijze of in de organisatie om het innovatievermogen te versterken. </w:t>
      </w:r>
    </w:p>
    <w:p w14:paraId="02852189" w14:textId="36E6289D" w:rsidR="33DD619B" w:rsidRDefault="6B9CB4C1" w:rsidP="6B9CB4C1">
      <w:pPr>
        <w:rPr>
          <w:rFonts w:eastAsiaTheme="minorEastAsia"/>
          <w:color w:val="000000" w:themeColor="text1"/>
        </w:rPr>
      </w:pPr>
      <w:r w:rsidRPr="6B9CB4C1">
        <w:rPr>
          <w:rFonts w:eastAsiaTheme="minorEastAsia"/>
          <w:color w:val="000000" w:themeColor="text1"/>
        </w:rPr>
        <w:t xml:space="preserve">Uit het literatuuronderzoek komt een overzicht van succesfactoren naar voren, die als achtergrondinformatie dienen voor het verdiepende empirische onderzoek. De literatuur dient hier niet als input voor toetsing, maar geeft meer richting aan het onderzoek in de praktijk. Het verdiepend onderzoeken in de empirie zal plaatsvinden aan de hand van twee verschillende dataverzamelingsmethoden, namelijk documentanalyse en diepte-interviews. De tekstuele data die voortkomen uit de interne documenten en de interviews worden geanalyseerd door middel van de factoren uit de literatuur als uitgangspunt te nemen bij het coderen, maar daarbij open te staan voor nieuwe bevindingen. Dit betreft dus een combinatie van een deductieve- en inductieve analysemethode.   </w:t>
      </w:r>
    </w:p>
    <w:p w14:paraId="1C697022" w14:textId="48921ECA" w:rsidR="00875FC7" w:rsidRDefault="0AB624A7" w:rsidP="0AB624A7">
      <w:pPr>
        <w:rPr>
          <w:rFonts w:eastAsiaTheme="minorEastAsia"/>
          <w:color w:val="000000" w:themeColor="text1"/>
        </w:rPr>
      </w:pPr>
      <w:bookmarkStart w:id="8" w:name="_Toc171411031"/>
      <w:r w:rsidRPr="00EF5E0A">
        <w:rPr>
          <w:rStyle w:val="Kop2Char"/>
          <w:rFonts w:eastAsiaTheme="minorEastAsia" w:cstheme="majorHAnsi"/>
        </w:rPr>
        <w:t>1.5 Wetenschappelijke</w:t>
      </w:r>
      <w:r w:rsidR="00FA3034" w:rsidRPr="00EF5E0A">
        <w:rPr>
          <w:rStyle w:val="Kop2Char"/>
          <w:rFonts w:eastAsiaTheme="minorEastAsia" w:cstheme="majorHAnsi"/>
        </w:rPr>
        <w:t xml:space="preserve"> </w:t>
      </w:r>
      <w:r w:rsidRPr="00EF5E0A">
        <w:rPr>
          <w:rStyle w:val="Kop2Char"/>
          <w:rFonts w:eastAsiaTheme="minorEastAsia" w:cstheme="majorHAnsi"/>
        </w:rPr>
        <w:t>relevantie</w:t>
      </w:r>
      <w:bookmarkEnd w:id="8"/>
      <w:r w:rsidR="5ED61326">
        <w:br/>
      </w:r>
      <w:r w:rsidR="001F6F15">
        <w:rPr>
          <w:rFonts w:eastAsiaTheme="minorEastAsia"/>
          <w:color w:val="000000" w:themeColor="text1"/>
        </w:rPr>
        <w:t xml:space="preserve">Dit onderzoek levert een bijdrage aan de </w:t>
      </w:r>
      <w:r w:rsidR="00616718">
        <w:rPr>
          <w:rFonts w:eastAsiaTheme="minorEastAsia"/>
          <w:color w:val="000000" w:themeColor="text1"/>
        </w:rPr>
        <w:t>wetenschappelijke literatuur d</w:t>
      </w:r>
      <w:r w:rsidR="007A3A2A">
        <w:rPr>
          <w:rFonts w:eastAsiaTheme="minorEastAsia"/>
          <w:color w:val="000000" w:themeColor="text1"/>
        </w:rPr>
        <w:t xml:space="preserve">oor tekortkomingen van bestaande literatuur </w:t>
      </w:r>
      <w:r w:rsidR="0050396F">
        <w:rPr>
          <w:rFonts w:eastAsiaTheme="minorEastAsia"/>
          <w:color w:val="000000" w:themeColor="text1"/>
        </w:rPr>
        <w:t>aan te vullen</w:t>
      </w:r>
      <w:r w:rsidR="00616718">
        <w:rPr>
          <w:rFonts w:eastAsiaTheme="minorEastAsia"/>
          <w:color w:val="000000" w:themeColor="text1"/>
        </w:rPr>
        <w:t xml:space="preserve">. </w:t>
      </w:r>
      <w:r w:rsidR="00CB38F8">
        <w:rPr>
          <w:rFonts w:eastAsiaTheme="minorEastAsia"/>
          <w:color w:val="000000" w:themeColor="text1"/>
        </w:rPr>
        <w:t>D</w:t>
      </w:r>
      <w:r w:rsidR="00875FC7">
        <w:rPr>
          <w:rFonts w:eastAsiaTheme="minorEastAsia"/>
          <w:color w:val="000000" w:themeColor="text1"/>
        </w:rPr>
        <w:t>e</w:t>
      </w:r>
      <w:r w:rsidR="002701CC">
        <w:rPr>
          <w:rFonts w:eastAsiaTheme="minorEastAsia"/>
          <w:color w:val="000000" w:themeColor="text1"/>
        </w:rPr>
        <w:t xml:space="preserve"> bestaande</w:t>
      </w:r>
      <w:r w:rsidR="00616718">
        <w:rPr>
          <w:rFonts w:eastAsiaTheme="minorEastAsia"/>
          <w:color w:val="000000" w:themeColor="text1"/>
        </w:rPr>
        <w:t xml:space="preserve"> wetenschappelijke</w:t>
      </w:r>
      <w:r w:rsidR="00875FC7">
        <w:rPr>
          <w:rFonts w:eastAsiaTheme="minorEastAsia"/>
          <w:color w:val="000000" w:themeColor="text1"/>
        </w:rPr>
        <w:t xml:space="preserve"> literatuur</w:t>
      </w:r>
      <w:r w:rsidR="00CB38F8">
        <w:rPr>
          <w:rFonts w:eastAsiaTheme="minorEastAsia"/>
          <w:color w:val="000000" w:themeColor="text1"/>
        </w:rPr>
        <w:t xml:space="preserve"> biedt ee</w:t>
      </w:r>
      <w:r w:rsidR="007464D6">
        <w:rPr>
          <w:rFonts w:eastAsiaTheme="minorEastAsia"/>
          <w:color w:val="000000" w:themeColor="text1"/>
        </w:rPr>
        <w:t>n overzicht van factoren</w:t>
      </w:r>
      <w:r w:rsidR="00CB38F8">
        <w:rPr>
          <w:rFonts w:eastAsiaTheme="minorEastAsia"/>
          <w:color w:val="000000" w:themeColor="text1"/>
        </w:rPr>
        <w:t xml:space="preserve"> die</w:t>
      </w:r>
      <w:r w:rsidR="0050396F">
        <w:rPr>
          <w:rFonts w:eastAsiaTheme="minorEastAsia"/>
          <w:color w:val="000000" w:themeColor="text1"/>
        </w:rPr>
        <w:t xml:space="preserve"> binnen private organisaties</w:t>
      </w:r>
      <w:r w:rsidR="007464D6">
        <w:rPr>
          <w:rFonts w:eastAsiaTheme="minorEastAsia"/>
          <w:color w:val="000000" w:themeColor="text1"/>
        </w:rPr>
        <w:t xml:space="preserve"> bijdragen aan het innovatievermoge</w:t>
      </w:r>
      <w:r w:rsidR="0050396F">
        <w:rPr>
          <w:rFonts w:eastAsiaTheme="minorEastAsia"/>
          <w:color w:val="000000" w:themeColor="text1"/>
        </w:rPr>
        <w:t>n</w:t>
      </w:r>
      <w:r w:rsidR="00E948B1">
        <w:rPr>
          <w:rFonts w:eastAsiaTheme="minorEastAsia"/>
          <w:color w:val="000000" w:themeColor="text1"/>
        </w:rPr>
        <w:t xml:space="preserve"> (</w:t>
      </w:r>
      <w:r w:rsidR="001A068C">
        <w:rPr>
          <w:rFonts w:eastAsiaTheme="minorEastAsia"/>
          <w:color w:val="000000" w:themeColor="text1"/>
        </w:rPr>
        <w:t>Zie bijvoorbeeld Huizingh (2019)</w:t>
      </w:r>
      <w:r w:rsidR="00307724">
        <w:rPr>
          <w:rFonts w:eastAsiaTheme="minorEastAsia"/>
          <w:color w:val="000000" w:themeColor="text1"/>
        </w:rPr>
        <w:t>)</w:t>
      </w:r>
      <w:r w:rsidR="007464D6">
        <w:rPr>
          <w:rFonts w:eastAsiaTheme="minorEastAsia"/>
          <w:color w:val="000000" w:themeColor="text1"/>
        </w:rPr>
        <w:t xml:space="preserve">. Ook </w:t>
      </w:r>
      <w:r w:rsidR="00561076">
        <w:rPr>
          <w:rFonts w:eastAsiaTheme="minorEastAsia"/>
          <w:color w:val="000000" w:themeColor="text1"/>
        </w:rPr>
        <w:t>zijn</w:t>
      </w:r>
      <w:r w:rsidR="007464D6">
        <w:rPr>
          <w:rFonts w:eastAsiaTheme="minorEastAsia"/>
          <w:color w:val="000000" w:themeColor="text1"/>
        </w:rPr>
        <w:t xml:space="preserve"> er in de literatuur </w:t>
      </w:r>
      <w:r w:rsidR="00561076">
        <w:rPr>
          <w:rFonts w:eastAsiaTheme="minorEastAsia"/>
          <w:color w:val="000000" w:themeColor="text1"/>
        </w:rPr>
        <w:t>onderzoeken te vinden die in het algemeen beschrijven wat</w:t>
      </w:r>
      <w:r w:rsidR="00D452EE">
        <w:rPr>
          <w:rFonts w:eastAsiaTheme="minorEastAsia"/>
          <w:color w:val="000000" w:themeColor="text1"/>
        </w:rPr>
        <w:t xml:space="preserve"> een</w:t>
      </w:r>
      <w:r w:rsidR="00561076">
        <w:rPr>
          <w:rFonts w:eastAsiaTheme="minorEastAsia"/>
          <w:color w:val="000000" w:themeColor="text1"/>
        </w:rPr>
        <w:t xml:space="preserve"> publieke organisatie meestal belemmert om innovatief te zijn. </w:t>
      </w:r>
      <w:r w:rsidR="00A60514">
        <w:rPr>
          <w:rFonts w:eastAsiaTheme="minorEastAsia"/>
          <w:color w:val="000000" w:themeColor="text1"/>
        </w:rPr>
        <w:t xml:space="preserve">Dit onderzoek zet een stap verder door te kijken hoe de succesfactoren, die voornamelijk in private organisaties zijn onderzocht, </w:t>
      </w:r>
      <w:r w:rsidR="00FF5D50">
        <w:rPr>
          <w:rFonts w:eastAsiaTheme="minorEastAsia"/>
          <w:color w:val="000000" w:themeColor="text1"/>
        </w:rPr>
        <w:t xml:space="preserve">tot uiting komen in een publieke organisatie zoals Rijkswaterstaat. </w:t>
      </w:r>
      <w:r w:rsidR="003C3D16" w:rsidRPr="003C3D16">
        <w:rPr>
          <w:rFonts w:eastAsiaTheme="minorEastAsia"/>
          <w:color w:val="000000" w:themeColor="text1"/>
        </w:rPr>
        <w:t>De vraag is dan of deze factoren daadwerkelijk een bijdrage leveren aan het innovatievermogen van dit type organisatie en of er misschien aanvullingen nodig zijn op de literatuur die specifiek van toepassing is op publieke organisaties.</w:t>
      </w:r>
    </w:p>
    <w:p w14:paraId="4FF86F3E" w14:textId="77777777" w:rsidR="00875FC7" w:rsidRDefault="00875FC7" w:rsidP="0AB624A7">
      <w:pPr>
        <w:rPr>
          <w:rFonts w:eastAsiaTheme="minorEastAsia"/>
          <w:color w:val="000000" w:themeColor="text1"/>
        </w:rPr>
      </w:pPr>
    </w:p>
    <w:p w14:paraId="37BAFFAD" w14:textId="51D05DF4" w:rsidR="00FA3034" w:rsidRDefault="00FA3034" w:rsidP="00FA3034">
      <w:pPr>
        <w:pStyle w:val="Kop2"/>
      </w:pPr>
      <w:bookmarkStart w:id="9" w:name="_Toc171411032"/>
      <w:r>
        <w:t>1.6 Maatschappelijke relevantie</w:t>
      </w:r>
      <w:bookmarkEnd w:id="9"/>
    </w:p>
    <w:p w14:paraId="6C7976D6" w14:textId="2B3286DC" w:rsidR="33DD619B" w:rsidRDefault="0AB624A7" w:rsidP="0AB624A7">
      <w:pPr>
        <w:rPr>
          <w:rFonts w:eastAsiaTheme="minorEastAsia"/>
          <w:color w:val="000000" w:themeColor="text1"/>
        </w:rPr>
      </w:pPr>
      <w:r w:rsidRPr="0AB624A7">
        <w:rPr>
          <w:rFonts w:eastAsiaTheme="minorEastAsia"/>
          <w:color w:val="000000" w:themeColor="text1"/>
        </w:rPr>
        <w:t xml:space="preserve">Rijkswaterstaat is de infrastructuurbeheerder van Nederland met dus een cruciale pioniersrol in het netwerk van beheerder en externe partners (Rijkswaterstaat, z.d.). Uit literatuur blijkt dat deze netwerken complexe uitdagingen tegemoetgaan wat betreft de klimaatverandering, nieuwe mobiliteitstechnologieën, energietransitie en vervanging en onderhoud van ouder wordende infrastructuur (De Groot, 2023). Met het oog op deze grote uitdagingen is het van belang dat Rijkswaterstaat als organisatie klaar is voor de complexe opgaven van </w:t>
      </w:r>
      <w:r w:rsidR="0018414D">
        <w:rPr>
          <w:rFonts w:eastAsiaTheme="minorEastAsia"/>
          <w:color w:val="000000" w:themeColor="text1"/>
        </w:rPr>
        <w:t>de toekomst</w:t>
      </w:r>
      <w:r w:rsidRPr="0AB624A7">
        <w:rPr>
          <w:rFonts w:eastAsiaTheme="minorEastAsia"/>
          <w:color w:val="000000" w:themeColor="text1"/>
        </w:rPr>
        <w:t xml:space="preserve">. Innovatie heeft bij het klaar zijn voor de complexe opgaven van </w:t>
      </w:r>
      <w:r w:rsidR="00D91D72">
        <w:rPr>
          <w:rFonts w:eastAsiaTheme="minorEastAsia"/>
          <w:color w:val="000000" w:themeColor="text1"/>
        </w:rPr>
        <w:t>de toekomst</w:t>
      </w:r>
      <w:r w:rsidRPr="0AB624A7">
        <w:rPr>
          <w:rFonts w:eastAsiaTheme="minorEastAsia"/>
          <w:color w:val="000000" w:themeColor="text1"/>
        </w:rPr>
        <w:t xml:space="preserve"> een cruciale rol, dus is het ook van belang dat de organisatie voldoende invulling geeft aan factoren die van belang zijn voor succesvolle innovaties (Digitale overheid, z.d.A).</w:t>
      </w:r>
      <w:r w:rsidR="00EB20FE">
        <w:rPr>
          <w:rFonts w:eastAsiaTheme="minorEastAsia"/>
          <w:color w:val="000000" w:themeColor="text1"/>
        </w:rPr>
        <w:t xml:space="preserve"> </w:t>
      </w:r>
      <w:r w:rsidR="00D91D72">
        <w:rPr>
          <w:rFonts w:eastAsiaTheme="minorEastAsia"/>
          <w:color w:val="000000" w:themeColor="text1"/>
        </w:rPr>
        <w:t xml:space="preserve">Met dit onderzoek wordt getracht een bijdrage te doen </w:t>
      </w:r>
      <w:r w:rsidR="00853D8E">
        <w:rPr>
          <w:rFonts w:eastAsiaTheme="minorEastAsia"/>
          <w:color w:val="000000" w:themeColor="text1"/>
        </w:rPr>
        <w:t xml:space="preserve">aan het optimaliseren van de invulling van de succesfactoren binnen Rijkswaterstaat, wat dit onderzoek maatschappelijk relevant maakt. </w:t>
      </w:r>
    </w:p>
    <w:p w14:paraId="3EB074AC" w14:textId="1C241145" w:rsidR="33DD619B" w:rsidRPr="00EF5E0A" w:rsidRDefault="0AB624A7" w:rsidP="0AB624A7">
      <w:pPr>
        <w:pStyle w:val="Kop2"/>
        <w:rPr>
          <w:rFonts w:eastAsiaTheme="minorEastAsia" w:cstheme="majorHAnsi"/>
          <w:color w:val="000000" w:themeColor="text1"/>
          <w:sz w:val="22"/>
          <w:szCs w:val="22"/>
        </w:rPr>
      </w:pPr>
      <w:bookmarkStart w:id="10" w:name="_Toc171411033"/>
      <w:r w:rsidRPr="00EF5E0A">
        <w:rPr>
          <w:rFonts w:eastAsiaTheme="minorEastAsia" w:cstheme="majorHAnsi"/>
        </w:rPr>
        <w:t>1.</w:t>
      </w:r>
      <w:r w:rsidR="00FA3034" w:rsidRPr="00EF5E0A">
        <w:rPr>
          <w:rFonts w:eastAsiaTheme="minorEastAsia" w:cstheme="majorHAnsi"/>
        </w:rPr>
        <w:t>7</w:t>
      </w:r>
      <w:r w:rsidRPr="00EF5E0A">
        <w:rPr>
          <w:rFonts w:eastAsiaTheme="minorEastAsia" w:cstheme="majorHAnsi"/>
        </w:rPr>
        <w:t xml:space="preserve"> Leeswijzer</w:t>
      </w:r>
      <w:bookmarkEnd w:id="10"/>
    </w:p>
    <w:p w14:paraId="19F63E45" w14:textId="08DD2D79" w:rsidR="33DD619B" w:rsidRDefault="004148B4" w:rsidP="5ED61326">
      <w:pPr>
        <w:rPr>
          <w:rFonts w:eastAsiaTheme="minorEastAsia"/>
        </w:rPr>
      </w:pPr>
      <w:r>
        <w:rPr>
          <w:rFonts w:eastAsiaTheme="minorEastAsia"/>
        </w:rPr>
        <w:t xml:space="preserve">Dit onderzoek </w:t>
      </w:r>
      <w:r w:rsidR="007758F8">
        <w:rPr>
          <w:rFonts w:eastAsiaTheme="minorEastAsia"/>
        </w:rPr>
        <w:t xml:space="preserve">is </w:t>
      </w:r>
      <w:r>
        <w:rPr>
          <w:rFonts w:eastAsiaTheme="minorEastAsia"/>
        </w:rPr>
        <w:t>als volgt opge</w:t>
      </w:r>
      <w:r w:rsidR="009538BA">
        <w:rPr>
          <w:rFonts w:eastAsiaTheme="minorEastAsia"/>
        </w:rPr>
        <w:t xml:space="preserve">bouwd. Na deze inleiding volgt allereerst het Theoretisch Kader. </w:t>
      </w:r>
      <w:r w:rsidR="5ED61326" w:rsidRPr="5ED61326">
        <w:rPr>
          <w:rFonts w:eastAsiaTheme="minorEastAsia"/>
        </w:rPr>
        <w:t xml:space="preserve">In </w:t>
      </w:r>
      <w:r w:rsidR="00CF36B6">
        <w:rPr>
          <w:rFonts w:eastAsiaTheme="minorEastAsia"/>
        </w:rPr>
        <w:t xml:space="preserve">dit hoofdstuk zal </w:t>
      </w:r>
      <w:r w:rsidR="5ED61326" w:rsidRPr="5ED61326">
        <w:rPr>
          <w:rFonts w:eastAsiaTheme="minorEastAsia"/>
        </w:rPr>
        <w:t xml:space="preserve">worden </w:t>
      </w:r>
      <w:r w:rsidR="00CF36B6">
        <w:rPr>
          <w:rFonts w:eastAsiaTheme="minorEastAsia"/>
        </w:rPr>
        <w:t>in</w:t>
      </w:r>
      <w:r w:rsidR="5ED61326" w:rsidRPr="5ED61326">
        <w:rPr>
          <w:rFonts w:eastAsiaTheme="minorEastAsia"/>
        </w:rPr>
        <w:t>gegaan op de theorie die nodig is om dit onderzoek uit te voeren. Deze theorie dient als wetenschappelijk fundament voor dit onderzoek. In dit hoofdstuk zullen de succesfactoren voor het versterken van het innovatievermogen van een organisatie uiteen worden gezet. Het derde hoofdstuk</w:t>
      </w:r>
      <w:r w:rsidR="00CF36B6">
        <w:rPr>
          <w:rFonts w:eastAsiaTheme="minorEastAsia"/>
        </w:rPr>
        <w:t xml:space="preserve">, het </w:t>
      </w:r>
      <w:r w:rsidR="5ED61326" w:rsidRPr="5ED61326">
        <w:rPr>
          <w:rFonts w:eastAsiaTheme="minorEastAsia"/>
        </w:rPr>
        <w:t xml:space="preserve">Methodologisch </w:t>
      </w:r>
      <w:r w:rsidR="00CF36B6">
        <w:rPr>
          <w:rFonts w:eastAsiaTheme="minorEastAsia"/>
        </w:rPr>
        <w:t>K</w:t>
      </w:r>
      <w:r w:rsidR="5ED61326" w:rsidRPr="5ED61326">
        <w:rPr>
          <w:rFonts w:eastAsiaTheme="minorEastAsia"/>
        </w:rPr>
        <w:t>ader</w:t>
      </w:r>
      <w:r w:rsidR="00CF36B6">
        <w:rPr>
          <w:rFonts w:eastAsiaTheme="minorEastAsia"/>
        </w:rPr>
        <w:t>,</w:t>
      </w:r>
      <w:r w:rsidR="5ED61326" w:rsidRPr="5ED61326">
        <w:rPr>
          <w:rFonts w:eastAsiaTheme="minorEastAsia"/>
        </w:rPr>
        <w:t xml:space="preserve"> staat stil bij de methodologische keuzes van dit onderzoek. In dit hoofdstuk wordt uiteengezet welke werkwijze is gekozen, hoe de onderzoekspopulatie is geselecteerd en hoe de kwaliteit van het onderzoek is gewaarborgd. In dit hoofdstuk wordt tot slot ook stilgestaan bij de operationalisatie van de begrippen en factoren uit dit onderzoek. Vervolgens volgt in het vierde hoofdstuk</w:t>
      </w:r>
      <w:r w:rsidR="00E402F5">
        <w:rPr>
          <w:rFonts w:eastAsiaTheme="minorEastAsia"/>
        </w:rPr>
        <w:t xml:space="preserve">, </w:t>
      </w:r>
      <w:r w:rsidR="5ED61326" w:rsidRPr="5ED61326">
        <w:rPr>
          <w:rFonts w:eastAsiaTheme="minorEastAsia"/>
        </w:rPr>
        <w:t xml:space="preserve">Resultaten en </w:t>
      </w:r>
      <w:r w:rsidR="00E402F5">
        <w:rPr>
          <w:rFonts w:eastAsiaTheme="minorEastAsia"/>
        </w:rPr>
        <w:t>A</w:t>
      </w:r>
      <w:r w:rsidR="5ED61326" w:rsidRPr="5ED61326">
        <w:rPr>
          <w:rFonts w:eastAsiaTheme="minorEastAsia"/>
        </w:rPr>
        <w:t>nalyse</w:t>
      </w:r>
      <w:r w:rsidR="00E402F5">
        <w:rPr>
          <w:rFonts w:eastAsiaTheme="minorEastAsia"/>
        </w:rPr>
        <w:t>,</w:t>
      </w:r>
      <w:r w:rsidR="5ED61326" w:rsidRPr="5ED61326">
        <w:rPr>
          <w:rFonts w:eastAsiaTheme="minorEastAsia"/>
        </w:rPr>
        <w:t xml:space="preserve"> een beschrijving en analyse van de resultaten uit de documentanalyse en afgenomen interviews. In hoofdstuk vijf, de </w:t>
      </w:r>
      <w:r w:rsidR="00E402F5">
        <w:rPr>
          <w:rFonts w:eastAsiaTheme="minorEastAsia"/>
        </w:rPr>
        <w:t>C</w:t>
      </w:r>
      <w:r w:rsidR="5ED61326" w:rsidRPr="5ED61326">
        <w:rPr>
          <w:rFonts w:eastAsiaTheme="minorEastAsia"/>
        </w:rPr>
        <w:t xml:space="preserve">onclusie en </w:t>
      </w:r>
      <w:r w:rsidR="00E402F5">
        <w:rPr>
          <w:rFonts w:eastAsiaTheme="minorEastAsia"/>
        </w:rPr>
        <w:t>D</w:t>
      </w:r>
      <w:r w:rsidR="5ED61326" w:rsidRPr="5ED61326">
        <w:rPr>
          <w:rFonts w:eastAsiaTheme="minorEastAsia"/>
        </w:rPr>
        <w:t>iscussie</w:t>
      </w:r>
      <w:r w:rsidR="00E402F5">
        <w:rPr>
          <w:rFonts w:eastAsiaTheme="minorEastAsia"/>
        </w:rPr>
        <w:t>,</w:t>
      </w:r>
      <w:r w:rsidR="5ED61326" w:rsidRPr="5ED61326">
        <w:rPr>
          <w:rFonts w:eastAsiaTheme="minorEastAsia"/>
        </w:rPr>
        <w:t xml:space="preserve"> wordt antwoord gegeven op de geformuleerde vragen van dit onderzoek en wordt er vervolgens ook gereflecteerd op het uitgevoerde onderzoek. Tot slot is er ook een referentielijst met de geraadpleegde bronnen opgenomen, en heeft dit rapport twee bijlagen met daarin de interviewguides voor de interviews. </w:t>
      </w:r>
    </w:p>
    <w:p w14:paraId="5D6C82A2" w14:textId="133AE6D6" w:rsidR="5ED61326" w:rsidRDefault="5ED61326" w:rsidP="5ED61326">
      <w:pPr>
        <w:rPr>
          <w:rFonts w:eastAsiaTheme="minorEastAsia"/>
        </w:rPr>
      </w:pPr>
    </w:p>
    <w:p w14:paraId="15915A99" w14:textId="740F843F" w:rsidR="33DD619B" w:rsidRDefault="33DD619B" w:rsidP="23783DFD">
      <w:pPr>
        <w:rPr>
          <w:rFonts w:eastAsiaTheme="minorEastAsia"/>
        </w:rPr>
      </w:pPr>
    </w:p>
    <w:p w14:paraId="4701AC25" w14:textId="00D7271C" w:rsidR="33DD619B" w:rsidRDefault="33DD619B" w:rsidP="23783DFD">
      <w:pPr>
        <w:rPr>
          <w:rFonts w:eastAsiaTheme="minorEastAsia"/>
        </w:rPr>
      </w:pPr>
    </w:p>
    <w:p w14:paraId="3273B6FC" w14:textId="0C966F64" w:rsidR="33DD619B" w:rsidRDefault="33DD619B" w:rsidP="23783DFD"/>
    <w:p w14:paraId="318E67C7" w14:textId="4B6BF112" w:rsidR="0FEACCAC" w:rsidRDefault="0FEACCAC">
      <w:r>
        <w:br w:type="page"/>
      </w:r>
    </w:p>
    <w:p w14:paraId="5D770AF0" w14:textId="1B349DDC" w:rsidR="33DD619B" w:rsidRPr="00EF5E0A" w:rsidRDefault="0AB624A7" w:rsidP="0AB624A7">
      <w:pPr>
        <w:pStyle w:val="Kop1"/>
        <w:rPr>
          <w:rFonts w:eastAsiaTheme="minorEastAsia" w:cstheme="majorHAnsi"/>
        </w:rPr>
      </w:pPr>
      <w:bookmarkStart w:id="11" w:name="_Toc171411034"/>
      <w:r w:rsidRPr="00EF5E0A">
        <w:rPr>
          <w:rFonts w:eastAsiaTheme="minorEastAsia" w:cstheme="majorHAnsi"/>
        </w:rPr>
        <w:lastRenderedPageBreak/>
        <w:t>Hoofdstuk 2: Theoretisch kader</w:t>
      </w:r>
      <w:bookmarkEnd w:id="11"/>
    </w:p>
    <w:p w14:paraId="3E6E63E3" w14:textId="704F74FE" w:rsidR="5EF35A37" w:rsidRDefault="6B9CB4C1" w:rsidP="6B9CB4C1">
      <w:pPr>
        <w:rPr>
          <w:rFonts w:eastAsiaTheme="minorEastAsia"/>
        </w:rPr>
      </w:pPr>
      <w:r w:rsidRPr="6B9CB4C1">
        <w:rPr>
          <w:rFonts w:eastAsiaTheme="minorEastAsia"/>
        </w:rPr>
        <w:t xml:space="preserve">In dit hoofdstuk wordt allereerst aandacht besteed aan het definiëren van het concept innovatie en wordt uitgewerkt hoe een innovatieproces eruitziet volgens de theorie. Vervolgens richt dit hoofdstuk zich op het identificeren van succesfactoren vanuit drie literatuurlijnen, namelijk innovatieprocessen, de lerende organisatie en innovatiemanagement. Dit hoofdstuk sluit af met een overzicht van de succesfactoren, die in het empirisch onderzoek zullen worden meegenomen. </w:t>
      </w:r>
    </w:p>
    <w:p w14:paraId="3530D265" w14:textId="11D77F9A" w:rsidR="33DD619B" w:rsidRPr="00EF5E0A" w:rsidRDefault="0AB624A7" w:rsidP="0AB624A7">
      <w:pPr>
        <w:pStyle w:val="Kop2"/>
        <w:rPr>
          <w:rFonts w:eastAsiaTheme="minorEastAsia" w:cstheme="majorHAnsi"/>
        </w:rPr>
      </w:pPr>
      <w:bookmarkStart w:id="12" w:name="_Toc171411035"/>
      <w:r w:rsidRPr="00EF5E0A">
        <w:rPr>
          <w:rFonts w:eastAsiaTheme="minorEastAsia" w:cstheme="majorHAnsi"/>
        </w:rPr>
        <w:t>2.1 Definiëren begrip innovatie</w:t>
      </w:r>
      <w:bookmarkEnd w:id="12"/>
    </w:p>
    <w:p w14:paraId="23271755" w14:textId="21DCE142" w:rsidR="532F1467" w:rsidRDefault="6B9CB4C1" w:rsidP="532F1467">
      <w:r w:rsidRPr="6B9CB4C1">
        <w:rPr>
          <w:rFonts w:eastAsiaTheme="minorEastAsia"/>
        </w:rPr>
        <w:t>Het begrip innovatie kan worden gedefinieerd als het proces van het creëren, ontwikkelen en verfijnen van nieuwe ideeën, en het vervolgens implementeren ervan binnen een organisatie, met als doel het verbeteren van het functioneren en de prestaties van die organisatie (Bourn, 2006, p. 4). De definitie van Damanpour (1988, p. 546) ligt in lijn met de definitie van Bourn (2006), maar beschrijft het als de adoptie van een bepaald idee of gedrag dat nieuw is voor de adopterende organisatie. Gieske (2019, p. 11) voegt aan deze definities de invalshoek van de publieke sector toe. In deze definitie gaat innoveren over het bedenken van iets vernieuwends dat het presteren van de publieke sector substantieel verbetert</w:t>
      </w:r>
      <w:r w:rsidR="00D8697D">
        <w:rPr>
          <w:rFonts w:eastAsiaTheme="minorEastAsia"/>
        </w:rPr>
        <w:t>,</w:t>
      </w:r>
      <w:r w:rsidRPr="6B9CB4C1">
        <w:rPr>
          <w:rFonts w:eastAsiaTheme="minorEastAsia"/>
        </w:rPr>
        <w:t xml:space="preserve"> waardoor publieke waarde wordt gecreëerd. Dit onderzoek hanteert de definitie van Bourn (2006), waarbij de toevoeging van Gieske (2019) over de publieke sector wordt meegenomen in deze gehanteerde definitie. </w:t>
      </w:r>
    </w:p>
    <w:p w14:paraId="5C6802FA" w14:textId="0055721B" w:rsidR="532F1467" w:rsidRDefault="532F1467" w:rsidP="532F1467">
      <w:r w:rsidRPr="532F1467">
        <w:rPr>
          <w:rFonts w:eastAsiaTheme="minorEastAsia"/>
        </w:rPr>
        <w:t>Als aanvulling hierop is het belangrijk om te benoemen dat de literatuur vaak drie hoofdtypen van innovatie onderscheidt, namelijk procesinnovatie, product- en/of dienstinnovatie en organisatorische innovatie (Lekkerkerk, 2012, p. 246). In de praktijk resulteert dit meestal in innovatieprojecten waarbij een combinatie van de drie hoofdtypen nodig is. Een nieuw product of dienst kan bijvoorbeeld niet los van een organisatie worden gezien; het heeft vrijwel altijd effect op de processen en werkwijzen binnen de organisatie, waardoor ook een nieuwe manier van werken moet worden gerealiseerd.</w:t>
      </w:r>
      <w:r w:rsidR="00FE1DAD">
        <w:rPr>
          <w:rFonts w:eastAsiaTheme="minorEastAsia"/>
        </w:rPr>
        <w:t xml:space="preserve"> </w:t>
      </w:r>
      <w:r w:rsidR="00953690">
        <w:rPr>
          <w:rFonts w:eastAsiaTheme="minorEastAsia"/>
        </w:rPr>
        <w:t xml:space="preserve">Dit </w:t>
      </w:r>
      <w:r w:rsidR="001A76C5">
        <w:rPr>
          <w:rFonts w:eastAsiaTheme="minorEastAsia"/>
        </w:rPr>
        <w:t xml:space="preserve">bevestigt het beeld dat is geschetst in </w:t>
      </w:r>
      <w:r w:rsidR="00060210">
        <w:rPr>
          <w:rFonts w:eastAsiaTheme="minorEastAsia"/>
        </w:rPr>
        <w:t xml:space="preserve">Hoofdstuk 1, </w:t>
      </w:r>
      <w:r w:rsidR="001A76C5">
        <w:rPr>
          <w:rFonts w:eastAsiaTheme="minorEastAsia"/>
        </w:rPr>
        <w:t>namelijk dat het implementeren van een innovatie meer vereist da</w:t>
      </w:r>
      <w:r w:rsidR="00E7095B">
        <w:rPr>
          <w:rFonts w:eastAsiaTheme="minorEastAsia"/>
        </w:rPr>
        <w:t xml:space="preserve">n enkel kijken naar een innovatieproces. De organisatie moet ertoe in staat zijn om </w:t>
      </w:r>
      <w:r w:rsidR="00112BD0">
        <w:rPr>
          <w:rFonts w:eastAsiaTheme="minorEastAsia"/>
        </w:rPr>
        <w:t xml:space="preserve">meerdere schakels te veranderen op het moment dat er een innovatie geïmplementeerd gaat worden. </w:t>
      </w:r>
    </w:p>
    <w:p w14:paraId="633D4658" w14:textId="3E27A47E" w:rsidR="33DD619B" w:rsidRPr="00EF5E0A" w:rsidRDefault="0AB624A7" w:rsidP="0AB624A7">
      <w:pPr>
        <w:pStyle w:val="Kop2"/>
        <w:rPr>
          <w:rFonts w:eastAsiaTheme="minorEastAsia" w:cstheme="majorHAnsi"/>
        </w:rPr>
      </w:pPr>
      <w:bookmarkStart w:id="13" w:name="_Toc171411036"/>
      <w:r w:rsidRPr="00EF5E0A">
        <w:rPr>
          <w:rFonts w:eastAsiaTheme="minorEastAsia" w:cstheme="majorHAnsi"/>
        </w:rPr>
        <w:t>2.2 Succesfactoren vanuit de literatuur over innovatieprocessen</w:t>
      </w:r>
      <w:bookmarkEnd w:id="13"/>
    </w:p>
    <w:p w14:paraId="7CCD2F6C" w14:textId="03562AA5" w:rsidR="33DD619B" w:rsidRDefault="6B9CB4C1" w:rsidP="6B9CB4C1">
      <w:pPr>
        <w:rPr>
          <w:rFonts w:eastAsiaTheme="minorEastAsia"/>
        </w:rPr>
      </w:pPr>
      <w:r w:rsidRPr="6B9CB4C1">
        <w:rPr>
          <w:rFonts w:eastAsiaTheme="minorEastAsia"/>
        </w:rPr>
        <w:t xml:space="preserve">Het omzetten van een nieuw idee of gedrag in effectieve acties vraagt om innovatievermogen van een organisatie (De Spiegelaere et al., 2014, p. 140). Dit innovatievermogen verwijst naar de mate waarin een organisatie erin slaagt regelmatig betere werkwijzen of producten te bedenken, ontwikkelen en in te voeren (Huizingh, 2019, p. 5). Caluwé en Vermaak (2006, p. 110) voegen hier de focus op leden van een organisatie aan toe die de mogelijkheid moeten hebben om intern of extern aan vernieuwing te werken. </w:t>
      </w:r>
    </w:p>
    <w:p w14:paraId="4A5D2958" w14:textId="368E3849" w:rsidR="3C227DDB" w:rsidRDefault="6B9CB4C1" w:rsidP="6B9CB4C1">
      <w:pPr>
        <w:rPr>
          <w:rFonts w:eastAsiaTheme="minorEastAsia"/>
        </w:rPr>
      </w:pPr>
      <w:r w:rsidRPr="6B9CB4C1">
        <w:rPr>
          <w:rFonts w:eastAsiaTheme="minorEastAsia"/>
        </w:rPr>
        <w:t>Zoals Spiegelaere et al. (2014) formuleren, is innovatie niet enkel het bedenken van een nieuw idee. Echter, er</w:t>
      </w:r>
      <w:r w:rsidR="00BC7367">
        <w:rPr>
          <w:rFonts w:eastAsiaTheme="minorEastAsia"/>
        </w:rPr>
        <w:t xml:space="preserve"> is</w:t>
      </w:r>
      <w:r w:rsidRPr="6B9CB4C1">
        <w:rPr>
          <w:rFonts w:eastAsiaTheme="minorEastAsia"/>
        </w:rPr>
        <w:t xml:space="preserve"> pas sprake van innovatie als deze ook is opgenomen in reguliere processen en handelen van de organisatie (Spiegelaere et al., 2014; Gieske, 2019, p.11). De literatuur spreekt bij innovaties daarom vaak over een innovatieproces. Het gaat om het proces van bedenken, ontwikkelen en invoeren van betere werkwijzen en producten (Huizingh, 2019). Een innovatie bestaat uit verschillende stappen, waarbij het goed structureren van deze stappen bijdraagt aan het versterken van het innovatievermogen van een organisatie (Huizingh, 2019, p.27). Dit structureren van innovatieprocessen is dus een belangrijke succesfactor, waarbij het behulpzaam kan zijn om het proces uit te werken in een procesbeschrijving of tool. Van Leeuwen en Hörnig (2024) laten zien dat een innovatieproces doorgaans uit drie fasen bestaat: exploreren, experimenteren en </w:t>
      </w:r>
      <w:r w:rsidRPr="6B9CB4C1">
        <w:rPr>
          <w:rFonts w:eastAsiaTheme="minorEastAsia"/>
        </w:rPr>
        <w:lastRenderedPageBreak/>
        <w:t xml:space="preserve">implementeren. Huizingh (2019) voegt aan deze drie fases een extra fase toe, namelijk de evaluatiefase. Kortom, de theorie onderscheidt vier fases in het innovatieproces. </w:t>
      </w:r>
    </w:p>
    <w:p w14:paraId="4BEC169B" w14:textId="325F4169" w:rsidR="3C227DDB" w:rsidRDefault="6B9CB4C1" w:rsidP="6B9CB4C1">
      <w:pPr>
        <w:rPr>
          <w:rFonts w:eastAsiaTheme="minorEastAsia"/>
        </w:rPr>
      </w:pPr>
      <w:r w:rsidRPr="6B9CB4C1">
        <w:rPr>
          <w:rFonts w:eastAsiaTheme="minorEastAsia"/>
        </w:rPr>
        <w:t xml:space="preserve">Naar aanleiding van de kennis over de fases van een innovatieproces is het ook relevant om deze fases wat verder te duiden. Wat moet er per fase geregeld zijn om te spreken van een gestructureerd innovatieproces? Hieronder wordt per fase aangegeven wat hierover bekend is in de theorie: </w:t>
      </w:r>
    </w:p>
    <w:p w14:paraId="2A539F48" w14:textId="57E02A01" w:rsidR="3C227DDB" w:rsidRDefault="6B9CB4C1" w:rsidP="23783DFD">
      <w:r w:rsidRPr="6B9CB4C1">
        <w:rPr>
          <w:rFonts w:eastAsiaTheme="minorEastAsia"/>
          <w:b/>
          <w:bCs/>
        </w:rPr>
        <w:t>Exploreerfase</w:t>
      </w:r>
      <w:r w:rsidR="2346C3D9">
        <w:br/>
      </w:r>
      <w:r>
        <w:t>De exploreerfase van Van Leeuwen en Hörnig (2024) wordt beschouwd als cruciaal voor het uiteindelijke succes van innovatie, omdat je hier eigenlijk al goed moet weten of je een kansrijke oplossing hebt voor een probleem. Dit doe je onder andere door in kaart te brengen wie de stakeholders zijn en in hoeverre zij de oplossing valideren (Dessing &amp; de Haas, 2017, pp. 15-16). Het is belangrijk om aan de voorkant een goed idee te hebben van mogelijke problemen in deze omgeving die later de implementatie kunnen belemmeren. Van Leeuwen en Hörnig (2024, p. 8) voegen hieraan toe dat het in deze fase belangrijk is om vijf stappen te doorlopen: begrijpen, zoeken en adapteren, ideevorming, prototyping en valideren. De kern van deze stappen is dat je moet kunnen aantonen dat er een probleem is en dat je een wenselijke en haalbare oplossing hebt d</w:t>
      </w:r>
      <w:r w:rsidR="00B71538">
        <w:t>ie</w:t>
      </w:r>
      <w:r>
        <w:t xml:space="preserve"> past bij de organisatiedoelen. Het is dus belangrijk om je af te vragen waarom en voor wie iets een probleem is, wat precies het doel van de innovatie is, of er niet al bestaande oplossingen elders in de organisatie zijn, en of de aannames in de bedachte oplossingen wel zijn gevalideerd. Dit valideren is volgens Van Leeuwen en Hörnig (2024, p. 19) een belangrijk aspect van deze fase. Dit doe je door de oplossing te testen en feedback op te halen bij de stakeholders en eindgebruikers. Indien op basis van deze test aanpassingen nodig zijn, ga je terug naar stap 1 om je oplossing aan te passen. Aan het einde van deze fase is het volgens Van Leeuwen en Hörnig (2024, p. 20) van belang dat je probleem en oplossing grotendeels zijn gevalideerd, dat je een duidelijk beeld hebt van de eindgebruikers en stakeholders, en dat je draagvlak hebt bij deze twee groepen. Zodra je deze stappen hebt doorlopen, ga je met een gevalideerd concept door naar de experimenteerfase.</w:t>
      </w:r>
    </w:p>
    <w:p w14:paraId="477A4450" w14:textId="1625DF5A" w:rsidR="3C227DDB" w:rsidRDefault="6B9CB4C1" w:rsidP="6B9CB4C1">
      <w:pPr>
        <w:rPr>
          <w:rFonts w:eastAsiaTheme="minorEastAsia"/>
          <w:b/>
          <w:bCs/>
        </w:rPr>
      </w:pPr>
      <w:r w:rsidRPr="6B9CB4C1">
        <w:rPr>
          <w:rFonts w:eastAsiaTheme="minorEastAsia"/>
          <w:b/>
          <w:bCs/>
        </w:rPr>
        <w:t>Experimenteerfase</w:t>
      </w:r>
      <w:r w:rsidR="006D287E">
        <w:br/>
      </w:r>
      <w:r w:rsidRPr="6B9CB4C1">
        <w:rPr>
          <w:rFonts w:eastAsiaTheme="minorEastAsia"/>
        </w:rPr>
        <w:t xml:space="preserve">In de experimenteerfase wordt het idee omgezet in een nieuw product, dienst of proces en dient het ontwerp op haalbaarheid getest te worden (Huizingh, 2019, p, 27). Volgens Van Leeuwen en Hörnig (2024, p.22) richt je je in deze fase op de haalbaarheid en betaalbaarheid van de oplossing. Dit doe je door vier stappen te doorlopen, namelijk planning, bouwen-meten-leren, </w:t>
      </w:r>
      <w:r w:rsidRPr="6B9CB4C1">
        <w:rPr>
          <w:rFonts w:eastAsiaTheme="minorEastAsia"/>
          <w:i/>
          <w:iCs/>
        </w:rPr>
        <w:t>businesscase</w:t>
      </w:r>
      <w:r w:rsidRPr="6B9CB4C1">
        <w:rPr>
          <w:rFonts w:eastAsiaTheme="minorEastAsia"/>
        </w:rPr>
        <w:t xml:space="preserve"> bouwen en overdragen. De kern van deze vier stappen is dat de kansrijke oplossing de innovatiedoelen kan halen, de oplossing ook daadwerkelijk maatschappelijk en economisch nut heeft, er een gevalideerd product/proces/dienst is d</w:t>
      </w:r>
      <w:r w:rsidR="005D7AB8">
        <w:rPr>
          <w:rFonts w:eastAsiaTheme="minorEastAsia"/>
        </w:rPr>
        <w:t>at</w:t>
      </w:r>
      <w:r w:rsidRPr="6B9CB4C1">
        <w:rPr>
          <w:rFonts w:eastAsiaTheme="minorEastAsia"/>
        </w:rPr>
        <w:t xml:space="preserve"> direct geïmplementeerd kan worden in de organisatie en je alles dusdanig hebt vastgelegd in een overdrachtsplan dat het klaar is om te worden opgeschaald in de organisatie (Van Leeuwen &amp; Hörnig, 2024, pp. 22-28). Om te kunnen stellen dat je te maken hebt met een product, proces of dienst dat gelijk geïmplementeerd kan worden, wordt in deze fase gewerkt met een </w:t>
      </w:r>
      <w:r w:rsidRPr="6B9CB4C1">
        <w:rPr>
          <w:rFonts w:eastAsiaTheme="minorEastAsia"/>
          <w:i/>
          <w:iCs/>
        </w:rPr>
        <w:t xml:space="preserve">minimum viable product (MVP). </w:t>
      </w:r>
      <w:r w:rsidRPr="6B9CB4C1">
        <w:rPr>
          <w:rFonts w:eastAsiaTheme="minorEastAsia"/>
        </w:rPr>
        <w:t>Dit houdt in dat het product alle kenmerken vertoont van de eindversie en deze vervolgens wordt getest op de eindgebruikers. Daarover worden vervolgens data verzameld om uiteindelijk naar een eindversie te werken. In dit hele proces is het noodzakelijk om gegevens te verzamelen in een projectdossier, om daarmee de kennis en verantwoordelijkheid voor de realisatie en het beheer van de innovatie over te kunnen dragen aan andere actoren in de organisatie.</w:t>
      </w:r>
    </w:p>
    <w:p w14:paraId="0F143B96" w14:textId="77777777" w:rsidR="00DF6750" w:rsidRDefault="00DF6750">
      <w:pPr>
        <w:rPr>
          <w:rFonts w:eastAsiaTheme="minorEastAsia"/>
          <w:b/>
          <w:bCs/>
        </w:rPr>
      </w:pPr>
      <w:r>
        <w:rPr>
          <w:rFonts w:eastAsiaTheme="minorEastAsia"/>
          <w:b/>
          <w:bCs/>
        </w:rPr>
        <w:br w:type="page"/>
      </w:r>
    </w:p>
    <w:p w14:paraId="32F42F4A" w14:textId="71019F5A" w:rsidR="3C227DDB" w:rsidRDefault="6B9CB4C1" w:rsidP="6B9CB4C1">
      <w:pPr>
        <w:rPr>
          <w:rFonts w:eastAsiaTheme="minorEastAsia"/>
        </w:rPr>
      </w:pPr>
      <w:r w:rsidRPr="6B9CB4C1">
        <w:rPr>
          <w:rFonts w:eastAsiaTheme="minorEastAsia"/>
          <w:b/>
          <w:bCs/>
        </w:rPr>
        <w:lastRenderedPageBreak/>
        <w:t xml:space="preserve">Implementeerfase </w:t>
      </w:r>
      <w:r w:rsidR="2A2D67F7">
        <w:br/>
      </w:r>
      <w:r w:rsidRPr="6B9CB4C1">
        <w:rPr>
          <w:rFonts w:eastAsiaTheme="minorEastAsia"/>
        </w:rPr>
        <w:t xml:space="preserve">Op het moment dat je een gevalideerd eindproduct hebt, gaat het innovatieproces over in de diffusie- of verspreidingsfase (Huizingh, 2019, p. 27). In deze fase dient de innovatie op grote schaal in de organisatie te worden ingevoerd.  Het is daarbij volgens Van Leeuwen en Hörnig (2024, p.28) van belang dat je aansluit op bestaande, of aan te passen, implementatieprocessen. In deze fase is het noodzakelijk om het innovatieproject los te laten en de oplossing te laten adopteren. Daartoe is het dus wel van belang dat je in de vorige fase al contact hebt gezocht met andere afdelingen in de organisatie, die mogelijk baat zouden hebben bij de ontwikkelde oplossing. Soms kan het verstandig zijn om leden van het innovatieteam tijdelijk onderdeel te laten zijn van de afdeling waar de innovatie geïmplementeerd dient te worden. </w:t>
      </w:r>
    </w:p>
    <w:p w14:paraId="5D899602" w14:textId="7690189B" w:rsidR="4E66CEE1" w:rsidRDefault="4FE52EB8" w:rsidP="23783DFD">
      <w:pPr>
        <w:rPr>
          <w:rFonts w:eastAsiaTheme="minorEastAsia"/>
        </w:rPr>
      </w:pPr>
      <w:r w:rsidRPr="4FE52EB8">
        <w:rPr>
          <w:rFonts w:eastAsiaTheme="minorEastAsia"/>
        </w:rPr>
        <w:t xml:space="preserve">Ondanks dat dit een vrij overzichtelijke fase lijkt te zijn, blijkt deze fase in de praktijk vaak moeilijkheden met zich mee te brengen (Van Leeuwen &amp; Hörnig, 2024, p. 33). Met name het opschalen van de innovatie in de organisatie lijkt nog regelmatig een probleem te zijn. Met het oog hierop benoemt Meijer (2023) </w:t>
      </w:r>
      <w:r w:rsidR="00CC172B">
        <w:rPr>
          <w:rFonts w:eastAsiaTheme="minorEastAsia"/>
        </w:rPr>
        <w:t>twee</w:t>
      </w:r>
      <w:r w:rsidRPr="4FE52EB8">
        <w:rPr>
          <w:rFonts w:eastAsiaTheme="minorEastAsia"/>
        </w:rPr>
        <w:t xml:space="preserve"> succesfactoren die eraan kunnen bijdragen dat het opschalen in een organisatie succesvoller verloopt, namelijk opschalingscapaciteit</w:t>
      </w:r>
      <w:r w:rsidR="00CC172B">
        <w:rPr>
          <w:rFonts w:eastAsiaTheme="minorEastAsia"/>
        </w:rPr>
        <w:t xml:space="preserve"> </w:t>
      </w:r>
      <w:r w:rsidRPr="4FE52EB8">
        <w:rPr>
          <w:rFonts w:eastAsiaTheme="minorEastAsia"/>
        </w:rPr>
        <w:t>en een opschalingsstrategie. Met opschalingscapaciteit wordt bedoeld dat je binnen de organisatie tijd en geld moet vrijmaken voor het opschalingsproces en expertise over opschalen moet opbouwen.</w:t>
      </w:r>
      <w:r w:rsidR="00D112AC">
        <w:rPr>
          <w:rFonts w:eastAsiaTheme="minorEastAsia"/>
        </w:rPr>
        <w:t xml:space="preserve"> </w:t>
      </w:r>
      <w:r w:rsidR="00E97D28">
        <w:rPr>
          <w:rFonts w:eastAsiaTheme="minorEastAsia"/>
        </w:rPr>
        <w:t xml:space="preserve">Met de </w:t>
      </w:r>
      <w:r w:rsidRPr="4FE52EB8">
        <w:rPr>
          <w:rFonts w:eastAsiaTheme="minorEastAsia"/>
        </w:rPr>
        <w:t>opschalingsstrategie</w:t>
      </w:r>
      <w:r w:rsidR="00E97D28">
        <w:rPr>
          <w:rFonts w:eastAsiaTheme="minorEastAsia"/>
        </w:rPr>
        <w:t xml:space="preserve"> bedoelt Meijer (2023) </w:t>
      </w:r>
      <w:r w:rsidR="00FD662E">
        <w:rPr>
          <w:rFonts w:eastAsiaTheme="minorEastAsia"/>
        </w:rPr>
        <w:t>dat je moet kiezen voor</w:t>
      </w:r>
      <w:r w:rsidRPr="4FE52EB8">
        <w:rPr>
          <w:rFonts w:eastAsiaTheme="minorEastAsia"/>
        </w:rPr>
        <w:t xml:space="preserve"> welke soort opschaling </w:t>
      </w:r>
      <w:r w:rsidR="00FD662E">
        <w:rPr>
          <w:rFonts w:eastAsiaTheme="minorEastAsia"/>
        </w:rPr>
        <w:t>je wil</w:t>
      </w:r>
      <w:r w:rsidR="002A53FA">
        <w:rPr>
          <w:rFonts w:eastAsiaTheme="minorEastAsia"/>
        </w:rPr>
        <w:t>t</w:t>
      </w:r>
      <w:r w:rsidR="00FD662E">
        <w:rPr>
          <w:rFonts w:eastAsiaTheme="minorEastAsia"/>
        </w:rPr>
        <w:t xml:space="preserve"> gaan als innovat</w:t>
      </w:r>
      <w:r w:rsidR="00E95C1A">
        <w:rPr>
          <w:rFonts w:eastAsiaTheme="minorEastAsia"/>
        </w:rPr>
        <w:t xml:space="preserve">ietraject </w:t>
      </w:r>
      <w:r w:rsidRPr="4FE52EB8">
        <w:rPr>
          <w:rFonts w:eastAsiaTheme="minorEastAsia"/>
        </w:rPr>
        <w:t xml:space="preserve">en welke acties </w:t>
      </w:r>
      <w:r w:rsidR="00E95C1A">
        <w:rPr>
          <w:rFonts w:eastAsiaTheme="minorEastAsia"/>
        </w:rPr>
        <w:t xml:space="preserve">daarbij horen. </w:t>
      </w:r>
    </w:p>
    <w:p w14:paraId="3353DC50" w14:textId="616B0C2B" w:rsidR="5EF35A37" w:rsidRDefault="23783DFD" w:rsidP="23783DFD">
      <w:pPr>
        <w:rPr>
          <w:rFonts w:eastAsiaTheme="minorEastAsia"/>
          <w:b/>
          <w:bCs/>
        </w:rPr>
      </w:pPr>
      <w:r w:rsidRPr="23783DFD">
        <w:rPr>
          <w:rFonts w:eastAsiaTheme="minorEastAsia"/>
          <w:b/>
          <w:bCs/>
        </w:rPr>
        <w:t>Evaluatiefase</w:t>
      </w:r>
      <w:r w:rsidR="5EF35A37">
        <w:br/>
      </w:r>
      <w:r w:rsidRPr="23783DFD">
        <w:rPr>
          <w:rFonts w:eastAsiaTheme="minorEastAsia"/>
        </w:rPr>
        <w:t>Tot slot is de laatste fase, evaluatie, een cruciale fase voor een succesvol innovatieproces van een organisatie (Huizingh, 2019, pp. 27-28). Het is van belang om de kwaliteit van het innovatieproces en de opbrengsten van de innovatie continu te monitoren en</w:t>
      </w:r>
      <w:r w:rsidR="007D2B24">
        <w:rPr>
          <w:rFonts w:eastAsiaTheme="minorEastAsia"/>
        </w:rPr>
        <w:t xml:space="preserve"> te</w:t>
      </w:r>
      <w:r w:rsidRPr="23783DFD">
        <w:rPr>
          <w:rFonts w:eastAsiaTheme="minorEastAsia"/>
        </w:rPr>
        <w:t xml:space="preserve"> evalueren (Digitale Overheid, z.d.B).</w:t>
      </w:r>
      <w:r w:rsidR="00167B6E">
        <w:rPr>
          <w:rFonts w:eastAsiaTheme="minorEastAsia"/>
        </w:rPr>
        <w:t xml:space="preserve"> </w:t>
      </w:r>
      <w:r w:rsidRPr="23783DFD">
        <w:rPr>
          <w:rFonts w:eastAsiaTheme="minorEastAsia"/>
        </w:rPr>
        <w:t xml:space="preserve">Deze fase maakt het leren mogelijk, waardoor toekomstige, maar ook huidige, innovatieprocessen kunnen worden verbeterd en het innovatievermogen van de organisatie wordt versterkt. </w:t>
      </w:r>
    </w:p>
    <w:p w14:paraId="18DD3740" w14:textId="3F54CAA8" w:rsidR="5EF35A37" w:rsidRDefault="6B9CB4C1" w:rsidP="6B9CB4C1">
      <w:pPr>
        <w:rPr>
          <w:rFonts w:eastAsiaTheme="minorEastAsia"/>
        </w:rPr>
      </w:pPr>
      <w:r w:rsidRPr="6B9CB4C1">
        <w:rPr>
          <w:rFonts w:eastAsiaTheme="minorEastAsia"/>
        </w:rPr>
        <w:t>Het evalueren en monitoren in innovatieprocessen kan je doen door aandacht te besteden aan drie factoren</w:t>
      </w:r>
      <w:r w:rsidR="007D2B24">
        <w:rPr>
          <w:rFonts w:eastAsiaTheme="minorEastAsia"/>
        </w:rPr>
        <w:t>, n</w:t>
      </w:r>
      <w:r w:rsidRPr="6B9CB4C1">
        <w:rPr>
          <w:rFonts w:eastAsiaTheme="minorEastAsia"/>
        </w:rPr>
        <w:t xml:space="preserve">amelijk maak monitoring onderdeel van het ontwikkelproces, bouw correctiemogelijkheden in en beschouw een evaluatie niet als een eindpunt. In het eerste geval gaat het om monitoring, waarbij het cruciaal is om voortdurend tijdens het proces te evalueren of de innovatie publieke waarde toevoegt. Het is daarnaast essentieel om continu feedbackmomenten te integreren, zodat indien nodig nog kleine aanpassingen kunnen worden gemaakt. Dit laatste komt ook terug in de tweede factor, namelijk dat het van belang is om correctiemogelijkheden in te bouwen waardoor je gemaakte fouten snel kan corrigeren. Met tot slot de derde factor wordt bedoeld dat je evaluatie niet als eindpunt moet zien, maar als onderdeel van een cyclus. Het evalueren doe je inderdaad aan het einde van een innovatieproces om daar lessen uit te trekken voor nieuwe innovatieprojecten, maar daarnaast is evaluatie vooral een rode draad die door het innovatieproces heen loopt. Het is van belang om gedurende een proces continu te reflecteren en aanpassingen te maken waar noodzakelijk. </w:t>
      </w:r>
    </w:p>
    <w:p w14:paraId="4B16F856" w14:textId="1C3CE43D" w:rsidR="5EF35A37" w:rsidRDefault="6B9CB4C1" w:rsidP="6B9CB4C1">
      <w:pPr>
        <w:rPr>
          <w:rFonts w:eastAsiaTheme="minorEastAsia"/>
        </w:rPr>
      </w:pPr>
      <w:r w:rsidRPr="6B9CB4C1">
        <w:rPr>
          <w:rFonts w:eastAsiaTheme="minorEastAsia"/>
        </w:rPr>
        <w:t>Kortom, het innovatieproces kan dus worden gezien als een keten d</w:t>
      </w:r>
      <w:r w:rsidR="00786722">
        <w:rPr>
          <w:rFonts w:eastAsiaTheme="minorEastAsia"/>
        </w:rPr>
        <w:t>ie</w:t>
      </w:r>
      <w:r w:rsidRPr="6B9CB4C1">
        <w:rPr>
          <w:rFonts w:eastAsiaTheme="minorEastAsia"/>
        </w:rPr>
        <w:t xml:space="preserve"> bestaat uit meerdere schakels. Hierdoor kun je volgens Huizingh (2019, p. 27) stellen dat het innovatievermogen van een organisatie zo sterk is als de zwakste schakel binnen deze keten. Het is daarom voor het innovatiesucces van de organisatie van belang</w:t>
      </w:r>
      <w:r w:rsidR="00500B19">
        <w:rPr>
          <w:rFonts w:eastAsiaTheme="minorEastAsia"/>
        </w:rPr>
        <w:t xml:space="preserve"> </w:t>
      </w:r>
      <w:r w:rsidRPr="6B9CB4C1">
        <w:rPr>
          <w:rFonts w:eastAsiaTheme="minorEastAsia"/>
        </w:rPr>
        <w:t>de verschillende schakels goed te structureren en</w:t>
      </w:r>
      <w:r w:rsidR="00867B6C">
        <w:rPr>
          <w:rFonts w:eastAsiaTheme="minorEastAsia"/>
        </w:rPr>
        <w:t xml:space="preserve"> te</w:t>
      </w:r>
      <w:r w:rsidRPr="6B9CB4C1">
        <w:rPr>
          <w:rFonts w:eastAsiaTheme="minorEastAsia"/>
        </w:rPr>
        <w:t xml:space="preserve"> ontwikkelen. In de onderstaande Figuur 1 wordt door een schematische weergave samengevat uit welke fases, en cruciale elementen daarin, een innovatieproces moet bestaan volgens de theorie: </w:t>
      </w:r>
    </w:p>
    <w:p w14:paraId="06EB2652" w14:textId="035A4C3C" w:rsidR="00EA116B" w:rsidRPr="0036046B" w:rsidRDefault="009C7800" w:rsidP="23783DFD">
      <w:pPr>
        <w:rPr>
          <w:rFonts w:eastAsiaTheme="minorEastAsia"/>
        </w:rPr>
      </w:pPr>
      <w:r w:rsidRPr="009C7800">
        <w:rPr>
          <w:rFonts w:eastAsiaTheme="minorEastAsia"/>
          <w:noProof/>
        </w:rPr>
        <w:drawing>
          <wp:inline distT="0" distB="0" distL="0" distR="0" wp14:anchorId="33569B33" wp14:editId="5DE680E4">
            <wp:extent cx="5243014" cy="4381880"/>
            <wp:effectExtent l="0" t="0" r="0" b="0"/>
            <wp:docPr id="1520779043" name="Afbeelding 1" descr="Afbeelding met tekst, schermopname, Lettertype, Afdrukke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779043" name="Afbeelding 1" descr="Afbeelding met tekst, schermopname, Lettertype, Afdrukken&#10;&#10;Automatisch gegenereerde beschrijving"/>
                    <pic:cNvPicPr/>
                  </pic:nvPicPr>
                  <pic:blipFill>
                    <a:blip r:embed="rId12"/>
                    <a:stretch>
                      <a:fillRect/>
                    </a:stretch>
                  </pic:blipFill>
                  <pic:spPr>
                    <a:xfrm>
                      <a:off x="0" y="0"/>
                      <a:ext cx="5243014" cy="4381880"/>
                    </a:xfrm>
                    <a:prstGeom prst="rect">
                      <a:avLst/>
                    </a:prstGeom>
                  </pic:spPr>
                </pic:pic>
              </a:graphicData>
            </a:graphic>
          </wp:inline>
        </w:drawing>
      </w:r>
      <w:r>
        <w:rPr>
          <w:rFonts w:eastAsiaTheme="minorEastAsia"/>
        </w:rPr>
        <w:br/>
      </w:r>
      <w:r w:rsidR="00EA116B" w:rsidRPr="00A42C5D">
        <w:rPr>
          <w:rFonts w:eastAsiaTheme="minorEastAsia"/>
          <w:i/>
          <w:iCs/>
          <w:sz w:val="20"/>
          <w:szCs w:val="20"/>
          <w:u w:val="single"/>
        </w:rPr>
        <w:t xml:space="preserve">Figuur 1: Schematische weergave </w:t>
      </w:r>
      <w:r w:rsidR="00606CB0" w:rsidRPr="00A42C5D">
        <w:rPr>
          <w:rFonts w:eastAsiaTheme="minorEastAsia"/>
          <w:i/>
          <w:iCs/>
          <w:sz w:val="20"/>
          <w:szCs w:val="20"/>
          <w:u w:val="single"/>
        </w:rPr>
        <w:t>van</w:t>
      </w:r>
      <w:r w:rsidR="00A42C5D">
        <w:rPr>
          <w:rFonts w:eastAsiaTheme="minorEastAsia"/>
          <w:i/>
          <w:iCs/>
          <w:sz w:val="20"/>
          <w:szCs w:val="20"/>
          <w:u w:val="single"/>
        </w:rPr>
        <w:t xml:space="preserve"> de belangrijkste schakels in een</w:t>
      </w:r>
      <w:r w:rsidR="00606CB0" w:rsidRPr="00A42C5D">
        <w:rPr>
          <w:rFonts w:eastAsiaTheme="minorEastAsia"/>
          <w:i/>
          <w:iCs/>
          <w:sz w:val="20"/>
          <w:szCs w:val="20"/>
          <w:u w:val="single"/>
        </w:rPr>
        <w:t xml:space="preserve"> innovatieproces</w:t>
      </w:r>
    </w:p>
    <w:p w14:paraId="26D23673" w14:textId="48FBE998" w:rsidR="33DD619B" w:rsidRPr="00EF5E0A" w:rsidRDefault="0AB624A7" w:rsidP="0AB624A7">
      <w:pPr>
        <w:pStyle w:val="Kop2"/>
        <w:rPr>
          <w:rFonts w:eastAsiaTheme="minorEastAsia" w:cstheme="majorHAnsi"/>
          <w:highlight w:val="yellow"/>
        </w:rPr>
      </w:pPr>
      <w:bookmarkStart w:id="14" w:name="_Toc171411037"/>
      <w:r w:rsidRPr="00EF5E0A">
        <w:rPr>
          <w:rFonts w:eastAsiaTheme="minorEastAsia" w:cstheme="majorHAnsi"/>
        </w:rPr>
        <w:t>2.3 Organisatiegerelateerde succesfactoren voor innovatie</w:t>
      </w:r>
      <w:bookmarkEnd w:id="14"/>
    </w:p>
    <w:p w14:paraId="08D44216" w14:textId="05A0B92F" w:rsidR="5CE9E455" w:rsidRDefault="7A54C965" w:rsidP="7A54C965">
      <w:pPr>
        <w:rPr>
          <w:rFonts w:eastAsiaTheme="minorEastAsia"/>
        </w:rPr>
      </w:pPr>
      <w:r w:rsidRPr="7A54C965">
        <w:rPr>
          <w:rFonts w:eastAsiaTheme="minorEastAsia"/>
        </w:rPr>
        <w:t xml:space="preserve">De literatuur </w:t>
      </w:r>
      <w:r w:rsidR="004C2DB4">
        <w:rPr>
          <w:rFonts w:eastAsiaTheme="minorEastAsia"/>
        </w:rPr>
        <w:t>van Huizingh (</w:t>
      </w:r>
      <w:r w:rsidR="00522A99">
        <w:rPr>
          <w:rFonts w:eastAsiaTheme="minorEastAsia"/>
        </w:rPr>
        <w:t xml:space="preserve">2019, p. 28) </w:t>
      </w:r>
      <w:r w:rsidRPr="7A54C965">
        <w:rPr>
          <w:rFonts w:eastAsiaTheme="minorEastAsia"/>
        </w:rPr>
        <w:t>stelt dat alleen het op orde hebben van het innovatieproces niet voldoende is voor een sterk innovatievermogen</w:t>
      </w:r>
      <w:r w:rsidR="004C2DB4">
        <w:rPr>
          <w:rFonts w:eastAsiaTheme="minorEastAsia"/>
        </w:rPr>
        <w:t>.</w:t>
      </w:r>
      <w:r w:rsidRPr="7A54C965">
        <w:rPr>
          <w:rFonts w:eastAsiaTheme="minorEastAsia"/>
        </w:rPr>
        <w:t xml:space="preserve"> </w:t>
      </w:r>
      <w:r w:rsidR="004C2DB4">
        <w:rPr>
          <w:rFonts w:eastAsiaTheme="minorEastAsia"/>
        </w:rPr>
        <w:t>D</w:t>
      </w:r>
      <w:r w:rsidRPr="7A54C965">
        <w:rPr>
          <w:rFonts w:eastAsiaTheme="minorEastAsia"/>
        </w:rPr>
        <w:t>e organisatie moet er ook klaar voor zijn</w:t>
      </w:r>
      <w:r w:rsidR="0063000F">
        <w:rPr>
          <w:rFonts w:eastAsiaTheme="minorEastAsia"/>
        </w:rPr>
        <w:t xml:space="preserve"> (Huizingh, 2019, p. </w:t>
      </w:r>
      <w:r w:rsidR="005621AE">
        <w:rPr>
          <w:rFonts w:eastAsiaTheme="minorEastAsia"/>
        </w:rPr>
        <w:t>28)</w:t>
      </w:r>
      <w:r w:rsidRPr="7A54C965">
        <w:rPr>
          <w:rFonts w:eastAsiaTheme="minorEastAsia"/>
        </w:rPr>
        <w:t xml:space="preserve">. Daarom is het cruciaal om ook te focussen op de organisatorische aspecten. Het is relevant om een overzicht te geven van wat de </w:t>
      </w:r>
      <w:r w:rsidR="00AC5BF9">
        <w:rPr>
          <w:rFonts w:eastAsiaTheme="minorEastAsia"/>
        </w:rPr>
        <w:t>theorie</w:t>
      </w:r>
      <w:r w:rsidRPr="7A54C965">
        <w:rPr>
          <w:rFonts w:eastAsiaTheme="minorEastAsia"/>
        </w:rPr>
        <w:t xml:space="preserve"> zegt over hoe</w:t>
      </w:r>
      <w:r w:rsidR="00346FBE">
        <w:rPr>
          <w:rFonts w:eastAsiaTheme="minorEastAsia"/>
        </w:rPr>
        <w:t xml:space="preserve"> organisaties om moeten gaan met innovaties</w:t>
      </w:r>
      <w:r w:rsidRPr="7A54C965">
        <w:rPr>
          <w:rFonts w:eastAsiaTheme="minorEastAsia"/>
        </w:rPr>
        <w:t xml:space="preserve">. Een groeiend aantal studies wijzen erop dat innovatie in dergelijke bureaucratische publieke organisaties een apart onderzoeksgebied vormt (Bekkers et al., 2011). Deze studies benadrukken vaak de barrières voor </w:t>
      </w:r>
      <w:r w:rsidR="000F02E7">
        <w:rPr>
          <w:rFonts w:eastAsiaTheme="minorEastAsia"/>
        </w:rPr>
        <w:t>succesvol innoveren</w:t>
      </w:r>
      <w:r w:rsidRPr="7A54C965">
        <w:rPr>
          <w:rFonts w:eastAsiaTheme="minorEastAsia"/>
        </w:rPr>
        <w:t xml:space="preserve"> in dit type organisati</w:t>
      </w:r>
      <w:r w:rsidR="00346FBE">
        <w:rPr>
          <w:rFonts w:eastAsiaTheme="minorEastAsia"/>
        </w:rPr>
        <w:t>es</w:t>
      </w:r>
      <w:r w:rsidRPr="7A54C965">
        <w:rPr>
          <w:rFonts w:eastAsiaTheme="minorEastAsia"/>
        </w:rPr>
        <w:t xml:space="preserve">. Het is voor dit onderzoek daarom van belang om organisatiegerelateerde succesfactoren te identificeren, zodat deze, naast het goed structureren van het innovatieproces, als input kunnen dienen voor het explorerende empirisch onderzoek naar de mate waarin de succesfactoren aanwezig zijn binnen PPO Rijkswaterstaat.   </w:t>
      </w:r>
    </w:p>
    <w:p w14:paraId="73938B53" w14:textId="26926FC6" w:rsidR="5CE9E455" w:rsidRDefault="532F1467" w:rsidP="23783DFD">
      <w:pPr>
        <w:rPr>
          <w:rFonts w:eastAsiaTheme="minorEastAsia"/>
        </w:rPr>
      </w:pPr>
      <w:r w:rsidRPr="532F1467">
        <w:rPr>
          <w:rFonts w:eastAsiaTheme="minorEastAsia"/>
        </w:rPr>
        <w:t xml:space="preserve">Uit literatuuronderzoek blijkt dat een succesvolle integratie van de principes van de lerende organisatie (Gieske, 2019; Wierdsma &amp; Wieringa, 2011; Koopmans et al., 2023) en innovatiemanagement (Huizingh, 2019; Tidd &amp; Bessant, 2020; Van der Cruijsen &amp; Schaafsma, 2011) de voorspellers zijn voor een krachtig innovatievermogen binnen organisaties. Deze paragraaf richt zich op het in kaart brengen van deze twee literatuurlijnen. </w:t>
      </w:r>
    </w:p>
    <w:p w14:paraId="7DBD4404" w14:textId="036A6AB4" w:rsidR="5CE9E455" w:rsidRPr="00EF5E0A" w:rsidRDefault="0AB624A7" w:rsidP="0AB624A7">
      <w:pPr>
        <w:pStyle w:val="Kop3"/>
        <w:rPr>
          <w:rFonts w:eastAsiaTheme="minorEastAsia" w:cstheme="majorHAnsi"/>
        </w:rPr>
      </w:pPr>
      <w:bookmarkStart w:id="15" w:name="_Toc171411038"/>
      <w:r w:rsidRPr="00EF5E0A">
        <w:rPr>
          <w:rFonts w:eastAsiaTheme="minorEastAsia" w:cstheme="majorHAnsi"/>
        </w:rPr>
        <w:t>2.3.1 De lerende organisatie</w:t>
      </w:r>
      <w:bookmarkEnd w:id="15"/>
    </w:p>
    <w:p w14:paraId="307BF4FF" w14:textId="2E267B44" w:rsidR="5CE9E455" w:rsidRDefault="4FE52EB8" w:rsidP="4FE52EB8">
      <w:pPr>
        <w:rPr>
          <w:rFonts w:eastAsiaTheme="minorEastAsia"/>
        </w:rPr>
      </w:pPr>
      <w:r w:rsidRPr="4FE52EB8">
        <w:rPr>
          <w:rFonts w:eastAsiaTheme="minorEastAsia"/>
        </w:rPr>
        <w:t xml:space="preserve">Volgens Gieske (2019, p. 34) maakt de lerende organisatie organisaties klaar om innovaties succesvol te implementeren in de gehele organisatie en helpt de lerende organisatie bij het omgaan met veranderingen gerelateerd aan die innovaties. Het collectieve denken staat hierbij centraal, wat inhoudt dat er collectief kennis wordt gedeeld, in teams en overkoepelend wordt geleerd en </w:t>
      </w:r>
      <w:r w:rsidR="00B17347">
        <w:rPr>
          <w:rFonts w:eastAsiaTheme="minorEastAsia"/>
        </w:rPr>
        <w:t xml:space="preserve">dat </w:t>
      </w:r>
      <w:r w:rsidRPr="4FE52EB8">
        <w:rPr>
          <w:rFonts w:eastAsiaTheme="minorEastAsia"/>
        </w:rPr>
        <w:t xml:space="preserve">er vernieuwingen in het werk plaatsvinden op collectief niveau (Goh, 1998). </w:t>
      </w:r>
    </w:p>
    <w:p w14:paraId="27249768" w14:textId="5EF51B73" w:rsidR="5CE9E455" w:rsidRDefault="532F1467" w:rsidP="23783DFD">
      <w:pPr>
        <w:rPr>
          <w:rFonts w:eastAsiaTheme="minorEastAsia"/>
        </w:rPr>
      </w:pPr>
      <w:r w:rsidRPr="532F1467">
        <w:rPr>
          <w:rFonts w:eastAsiaTheme="minorEastAsia"/>
        </w:rPr>
        <w:t xml:space="preserve">Met dit collectieve denken kan een belangrijke stap worden gezet om een bekende barrière voor innovatie in publieke organisaties, het silo-effect, te minimaliseren (Wipulanusat et al. 2019, p. 19; Bommert, 2010, p.21). Dit silo-effect uit zich door de neiging van publieke organisaties om te opereren binnen afzonderlijke afdelingen en functiegebieden. Deze organisaties kenmerken zich door een diepgewortelde functionele differentiatie, waarbij individuen zich richten op hun eigen taken en verantwoordelijkheden binnen hun specifieke domein. Dit resulteert in een gebrek aan communicatie, samenwerking en informatie-uitwisseling tussen verschillende delen van de organisatie, waardoor innovaties moeilijk kunnen worden geïmplementeerd in de organisatie als geheel. Om de collectieve manier van denken mogelijk te maken en daardoor innovaties succesvol te implementeren, zijn er volgens de </w:t>
      </w:r>
      <w:r w:rsidR="000F40B1">
        <w:rPr>
          <w:rFonts w:eastAsiaTheme="minorEastAsia"/>
        </w:rPr>
        <w:t>theorie</w:t>
      </w:r>
      <w:r w:rsidRPr="532F1467">
        <w:rPr>
          <w:rFonts w:eastAsiaTheme="minorEastAsia"/>
        </w:rPr>
        <w:t xml:space="preserve"> een aantal onderliggende succesfactoren noodzakelijk in de organisatie. De </w:t>
      </w:r>
      <w:r w:rsidR="005864B1">
        <w:rPr>
          <w:rFonts w:eastAsiaTheme="minorEastAsia"/>
        </w:rPr>
        <w:t>volgende factoren worden genoemd</w:t>
      </w:r>
      <w:r w:rsidRPr="532F1467">
        <w:rPr>
          <w:rFonts w:eastAsiaTheme="minorEastAsia"/>
        </w:rPr>
        <w:t>:</w:t>
      </w:r>
    </w:p>
    <w:p w14:paraId="27723B6F" w14:textId="1FC77FA1" w:rsidR="5CE9E455" w:rsidRDefault="532F1467" w:rsidP="532F1467">
      <w:pPr>
        <w:rPr>
          <w:rFonts w:eastAsiaTheme="minorEastAsia"/>
        </w:rPr>
      </w:pPr>
      <w:r w:rsidRPr="532F1467">
        <w:rPr>
          <w:rFonts w:eastAsiaTheme="minorEastAsia"/>
          <w:b/>
          <w:bCs/>
          <w:i/>
          <w:iCs/>
        </w:rPr>
        <w:t>Transformationeel leiderschap</w:t>
      </w:r>
      <w:r w:rsidR="5CE9E455">
        <w:br/>
      </w:r>
      <w:r w:rsidRPr="532F1467">
        <w:rPr>
          <w:rFonts w:eastAsiaTheme="minorEastAsia"/>
        </w:rPr>
        <w:t xml:space="preserve">Volgens Goh (1998, p. 18) zijn de leidinggevenden de belangrijkste drijfveer voor het integreren van collectief denken in een organisatie. Veel auteurs pleiten voor het transformationeel leiderschap als belangrijkste leiderschapsstijl om de verandering van denken, en daarmee innovatieve veranderingen, mogelijk te maken (Bass, 1995; García-Morales., 2012; Pawar &amp; Eastman, 1997). Deze stijl van leidinggeven kan werknemers inspireren om veranderingen te omarmen door een gedeelde visie te formuleren en overtuigend te delen met de gehele organisatie, een kritische blik te werpen op huidige manier van werken, vervolgens zelf ook te experimenteren met nieuwe manieren van werken en betrokkenheid te tonen bij zijn of haar werknemers en daarin een stimulerende en coachende rol aan te nemen (Podsakoff et al., 1990, pp. 109-110; Bass, 1990; Goh, 1998, p.18; Tracey &amp; Hinkin, 1998, pp. 5-6). De kern van dit verhaal is dat de leidinggevende een voorbeeldrol moet aannemen wat betreft het collectieve denken en de connectie met zijn of haar werknemers dusdanig moet onderhouden dat er draagvlak en initiatief is voor toekomstige veranderingen en innovaties. </w:t>
      </w:r>
    </w:p>
    <w:p w14:paraId="095394BC" w14:textId="61B36938" w:rsidR="5CE9E455" w:rsidRDefault="532F1467" w:rsidP="4FE52EB8">
      <w:r w:rsidRPr="532F1467">
        <w:rPr>
          <w:rFonts w:eastAsiaTheme="minorEastAsia"/>
          <w:b/>
          <w:bCs/>
          <w:i/>
          <w:iCs/>
        </w:rPr>
        <w:t>Veranderbereidheid</w:t>
      </w:r>
      <w:r w:rsidR="5CE9E455">
        <w:br/>
      </w:r>
      <w:r>
        <w:t>Volgens Miller et al. (2009, p. 72) draagt veranderbereidheid eraan bij dat veranderingen en innovaties succesvol kunnen worden geïmplementeerd in de organisatie. Deze veranderbereidheid kan gestimuleerd worden door medewerkers te betrekken bij alle fasen van de verandering en hen voldoende informatie te verschaffen over de impact ervan (Goodstein &amp; Burke, 1991; Fernandez &amp; Rainey, 2006; Peus et al., 2009). Waar willen we naartoe met deze verandering? Waar moeten medewerkers allemaal aan denken? Waar heeft de verandering effect op? Hoe kunnen medewerkers omgaan met deze impact? De twee aspecten, informatievoorziening en mogelijkheid tot participatie, worden beschouwd als factoren die bijdragen aan de veranderbereidheid en zijn daarom essentieel voor de overgang naar collectief denken</w:t>
      </w:r>
      <w:r w:rsidR="00D318CF">
        <w:t xml:space="preserve"> (Goodstein &amp; Burke, 1991; Fernandez &amp; Rainey, 2006; Peus et al., 2009)</w:t>
      </w:r>
      <w:r>
        <w:t>. Het bewaken van deze aspecten is noodzakelijk voor het succesvol implementeren van innovaties.</w:t>
      </w:r>
    </w:p>
    <w:p w14:paraId="4862CCCF" w14:textId="1D8457E3" w:rsidR="5CE9E455" w:rsidRDefault="4FE52EB8" w:rsidP="4FE52EB8">
      <w:pPr>
        <w:rPr>
          <w:rFonts w:eastAsiaTheme="minorEastAsia"/>
          <w:i/>
          <w:iCs/>
        </w:rPr>
      </w:pPr>
      <w:r w:rsidRPr="4FE52EB8">
        <w:rPr>
          <w:rFonts w:eastAsiaTheme="minorEastAsia"/>
          <w:b/>
          <w:bCs/>
          <w:i/>
          <w:iCs/>
        </w:rPr>
        <w:t>Organisatieleercultuur</w:t>
      </w:r>
      <w:r w:rsidR="5CE9E455">
        <w:br/>
      </w:r>
      <w:r w:rsidRPr="4FE52EB8">
        <w:rPr>
          <w:rFonts w:eastAsiaTheme="minorEastAsia"/>
        </w:rPr>
        <w:t xml:space="preserve">De aanwezigheid van een organisatieleercultuur wordt in de </w:t>
      </w:r>
      <w:r w:rsidR="00BE1EE4">
        <w:rPr>
          <w:rFonts w:eastAsiaTheme="minorEastAsia"/>
        </w:rPr>
        <w:t xml:space="preserve">theorie </w:t>
      </w:r>
      <w:r w:rsidRPr="4FE52EB8">
        <w:rPr>
          <w:rFonts w:eastAsiaTheme="minorEastAsia"/>
        </w:rPr>
        <w:t>genoemd als een derde belangrijke factor in de overgang naar collectief denken binnen een organisatie</w:t>
      </w:r>
      <w:r w:rsidR="00BE1EE4" w:rsidRPr="532F1467">
        <w:rPr>
          <w:rFonts w:eastAsiaTheme="minorEastAsia"/>
        </w:rPr>
        <w:t xml:space="preserve"> (McGill &amp; Beaty, 2013; Hill, 1996)</w:t>
      </w:r>
      <w:r w:rsidRPr="4FE52EB8">
        <w:rPr>
          <w:rFonts w:eastAsiaTheme="minorEastAsia"/>
        </w:rPr>
        <w:t xml:space="preserve">. Binnen deze cultuur zijn twee essentiële elementen te identificeren: de kwaliteit van taken en de kwaliteit van sociale relaties. </w:t>
      </w:r>
    </w:p>
    <w:p w14:paraId="5F28326E" w14:textId="6A5AE4E5" w:rsidR="5CE9E455" w:rsidRDefault="6B9CB4C1" w:rsidP="6B9CB4C1">
      <w:pPr>
        <w:rPr>
          <w:rFonts w:eastAsiaTheme="minorEastAsia"/>
          <w:u w:val="single"/>
        </w:rPr>
      </w:pPr>
      <w:r w:rsidRPr="6B9CB4C1">
        <w:rPr>
          <w:rFonts w:eastAsiaTheme="minorEastAsia"/>
          <w:u w:val="single"/>
        </w:rPr>
        <w:t>Kwaliteit van taken</w:t>
      </w:r>
      <w:r w:rsidR="532F1467">
        <w:br/>
      </w:r>
      <w:r w:rsidRPr="6B9CB4C1">
        <w:rPr>
          <w:rFonts w:eastAsiaTheme="minorEastAsia"/>
        </w:rPr>
        <w:t>De kwaliteit van taken houdt in dat het doorlopen van de volledige leercyclus en daaropvolgende reflectie geïntegreerd moeten zijn in de dagelijkse werkzaamheden (McGill &amp; Beaty, 2013, p.245; Hill, 1996, p.21). Dit betekent dat de organisatie voortdurend moet reflecteren op zowel fouten als successen en de daaruit voortvloeiende acties moet incorporeren. Het is van belang dat fouten worden gezien als leerzaam en productief, omdat het delen van lessen uit deze fouten met de rest van de organisatie cruciaal kunnen zijn om te voorkomen dat dezelfde fouten zich elders in de organisatie op dezelfde manier voordoen. De literatuur van Huizingh (2019, p.138) onderstreept de connectie van reflecteren met het succesvol kunnen implementeren van innovaties. Huizingh (2019, pp.144-145) onderscheidt daartoe twee relevante leermethoden die essentieel zijn om succesvol te kunnen reflecteren en daardoor</w:t>
      </w:r>
      <w:r w:rsidR="004B56CA">
        <w:rPr>
          <w:rFonts w:eastAsiaTheme="minorEastAsia"/>
        </w:rPr>
        <w:t xml:space="preserve"> te</w:t>
      </w:r>
      <w:r w:rsidRPr="6B9CB4C1">
        <w:rPr>
          <w:rFonts w:eastAsiaTheme="minorEastAsia"/>
        </w:rPr>
        <w:t xml:space="preserve"> innoveren in een organisatie. De eerste leermethode komt overeen met wat McGill en Beaty (2013, p.245) en Hill (1996, p.21) omschreven als het belang van het leren van eigen successen en fouten (Huizingh, 2019, p.144). Het is volgens Huizingh (2019, p. 144) van belang om rondom innovaties een continue leercyclus te doorlopen, waarbij je je afvraagt wat je wil</w:t>
      </w:r>
      <w:r w:rsidR="00224AEB">
        <w:rPr>
          <w:rFonts w:eastAsiaTheme="minorEastAsia"/>
        </w:rPr>
        <w:t>t</w:t>
      </w:r>
      <w:r w:rsidRPr="6B9CB4C1">
        <w:rPr>
          <w:rFonts w:eastAsiaTheme="minorEastAsia"/>
        </w:rPr>
        <w:t xml:space="preserve"> bereiken, je bedenkt hoe je dat gaat doen, je de activiteiten uitvoert, vervolgens kijkt of je de doelen hebt bereikt en tot slot uitgebreid reflecteert wat je hebt geleerd. Dit principe komt overeen met wat Deming (1986) omschrijft als de PDCA-cyclus. </w:t>
      </w:r>
    </w:p>
    <w:p w14:paraId="0A5D9B6C" w14:textId="12A69F38" w:rsidR="5CE9E455" w:rsidRDefault="31E21C5F" w:rsidP="31E21C5F">
      <w:pPr>
        <w:rPr>
          <w:rFonts w:eastAsiaTheme="minorEastAsia"/>
        </w:rPr>
      </w:pPr>
      <w:r w:rsidRPr="31E21C5F">
        <w:rPr>
          <w:rFonts w:eastAsiaTheme="minorEastAsia"/>
        </w:rPr>
        <w:t xml:space="preserve">Met de tweede leermethode die door Huizingh (2019, p.144) wordt genoemd, experimenteren, wordt er een aanvulling gedaan op de theorieën van McGill </w:t>
      </w:r>
      <w:r w:rsidR="00B3063B">
        <w:rPr>
          <w:rFonts w:eastAsiaTheme="minorEastAsia"/>
        </w:rPr>
        <w:t>en</w:t>
      </w:r>
      <w:r w:rsidRPr="31E21C5F">
        <w:rPr>
          <w:rFonts w:eastAsiaTheme="minorEastAsia"/>
        </w:rPr>
        <w:t xml:space="preserve"> Beaty (2013) en Hill (1996) betref</w:t>
      </w:r>
      <w:r w:rsidR="0064160C">
        <w:rPr>
          <w:rFonts w:eastAsiaTheme="minorEastAsia"/>
        </w:rPr>
        <w:t>fende</w:t>
      </w:r>
      <w:r w:rsidRPr="31E21C5F">
        <w:rPr>
          <w:rFonts w:eastAsiaTheme="minorEastAsia"/>
        </w:rPr>
        <w:t xml:space="preserve"> het element kwaliteit van taken. Met experimenteren doe je bewust iets afwijkends om te kijken wat het effect is. Daaruit genereer je vervolgens kennis en leer je dus iets. Het is volgens Huizingh (2019, p.145) van belang om experimenteren, als onderdeel van innoveren, te zien als een leermethode. In publieke organisatie wordt dit regelmatig als lastig ervaren (Wipulanusat et al. 2019, p.18). Om deze leermethode toch te integreren in een organisatie is het van belang dat het management het experimenteren gaat belonen, waarbij mislukte experimenten moeten worden gezien als iets productiefs (Wipulanusat et al. 2019, p.18). </w:t>
      </w:r>
    </w:p>
    <w:p w14:paraId="555EFE02" w14:textId="2B7AF070" w:rsidR="5CE9E455" w:rsidRDefault="532F1467" w:rsidP="532F1467">
      <w:pPr>
        <w:rPr>
          <w:rFonts w:eastAsiaTheme="minorEastAsia"/>
        </w:rPr>
      </w:pPr>
      <w:r w:rsidRPr="532F1467">
        <w:rPr>
          <w:rFonts w:eastAsiaTheme="minorEastAsia"/>
        </w:rPr>
        <w:t>Het is tot slot van belang dat de lessen uit beide leermethoden uitgebreid worden gedeeld met de rest van de organisatie, zoals met de essentie van collectief leren bedoeld wordt (Huizingh, 2019, p. 145). Huizingh (2019) omschrijft fouten als een onvermijdelijk onderdeel van innoveren, waarbij het erom gaat dat je je realiseert wat goed en fout ging en die lessen deelt met anderen en gebruikt om</w:t>
      </w:r>
      <w:r w:rsidR="00D77189">
        <w:rPr>
          <w:rFonts w:eastAsiaTheme="minorEastAsia"/>
        </w:rPr>
        <w:t xml:space="preserve"> de</w:t>
      </w:r>
      <w:r w:rsidRPr="532F1467">
        <w:rPr>
          <w:rFonts w:eastAsiaTheme="minorEastAsia"/>
        </w:rPr>
        <w:t xml:space="preserve"> volgende stappen te zetten.</w:t>
      </w:r>
    </w:p>
    <w:p w14:paraId="2F05EF22" w14:textId="677EAFD6" w:rsidR="4FE52EB8" w:rsidRDefault="532F1467" w:rsidP="532F1467">
      <w:pPr>
        <w:rPr>
          <w:rFonts w:eastAsiaTheme="minorEastAsia"/>
          <w:u w:val="single"/>
        </w:rPr>
      </w:pPr>
      <w:r w:rsidRPr="532F1467">
        <w:rPr>
          <w:rFonts w:eastAsiaTheme="minorEastAsia"/>
          <w:u w:val="single"/>
        </w:rPr>
        <w:t>Kwaliteit van sociale relaties</w:t>
      </w:r>
      <w:r w:rsidR="4FE52EB8">
        <w:br/>
      </w:r>
      <w:r w:rsidRPr="532F1467">
        <w:rPr>
          <w:rFonts w:eastAsiaTheme="minorEastAsia"/>
        </w:rPr>
        <w:t>Het tweede essentiële element dat de literatuur voor een organisatieleercultuur noemt, is de kwaliteit van sociale relaties (Bauer et al., 2007, p.20). Een sterke vertrouwensband tussen collega's en leidinggevenden is volgens de literatuur essentieel om feedback te bevorderen. Zo'n feedbackcultuur is essentieel voor innovatie, omdat het nieuwe perspectieven kan bieden die anders over het hoofd werden gezien (Huizingh, p. 152). Deze nieuwe perspectieven kunnen helpen om de leercyclus, eerder in deze paragraaf genoemd, nog beter te doorlopen. Wat zegt een buitenstaander over de bijdrage van de innovatie aan de gestelde doelen</w:t>
      </w:r>
      <w:r w:rsidR="00240EBF">
        <w:rPr>
          <w:rFonts w:eastAsiaTheme="minorEastAsia"/>
        </w:rPr>
        <w:t xml:space="preserve">, </w:t>
      </w:r>
      <w:r w:rsidR="008862D8">
        <w:rPr>
          <w:rFonts w:eastAsiaTheme="minorEastAsia"/>
        </w:rPr>
        <w:t>w</w:t>
      </w:r>
      <w:r w:rsidRPr="532F1467">
        <w:rPr>
          <w:rFonts w:eastAsiaTheme="minorEastAsia"/>
        </w:rPr>
        <w:t>ordt nog wel gedaan wat we wilden doen</w:t>
      </w:r>
      <w:r w:rsidR="00240EBF">
        <w:rPr>
          <w:rFonts w:eastAsiaTheme="minorEastAsia"/>
        </w:rPr>
        <w:t xml:space="preserve"> en </w:t>
      </w:r>
      <w:r w:rsidRPr="532F1467">
        <w:rPr>
          <w:rFonts w:eastAsiaTheme="minorEastAsia"/>
        </w:rPr>
        <w:t xml:space="preserve">wat kunnen we precies leren van de experimenteerfase?  </w:t>
      </w:r>
    </w:p>
    <w:p w14:paraId="21508220" w14:textId="19CF433F" w:rsidR="4FE52EB8" w:rsidRDefault="6B9CB4C1" w:rsidP="6B9CB4C1">
      <w:pPr>
        <w:rPr>
          <w:rFonts w:eastAsiaTheme="minorEastAsia"/>
        </w:rPr>
      </w:pPr>
      <w:r w:rsidRPr="6B9CB4C1">
        <w:rPr>
          <w:rFonts w:eastAsiaTheme="minorEastAsia"/>
          <w:b/>
          <w:bCs/>
        </w:rPr>
        <w:t xml:space="preserve">Kennismanagement- en deling </w:t>
      </w:r>
      <w:r w:rsidR="31E21C5F">
        <w:br/>
      </w:r>
      <w:r w:rsidRPr="6B9CB4C1">
        <w:rPr>
          <w:rFonts w:eastAsiaTheme="minorEastAsia"/>
        </w:rPr>
        <w:t>Voor een lerende organisatie is het van cruciaal belang dat kennis door de organisatie circuleert en beschikbaar is voor iedereen die het nodig heeft (Davenport et al., 1998; Rowley, 1999). Kennismanagement speelt hierbij een cruciale rol. Het inrichten van een communicatiestructuur wordt hierbij omschreven als een succesfactor om het kennismanagement, rondom innovaties, goed te integreren in je organisatie (Huizingh, 2019, pp. 23-24; Kok et al., 2005, p.42; Shenhar, 2001, pp. 395-397; Thamhain, 2013, pp. 21-22). Deze communicatiestructuur is namelijk van cruciaal belang voor de kennisdeling rondom innovaties (Huizingh, 2019, pp. 23-24). De kennisdeling is noodzakelijk volgens Huizingh (2019), omdat innovatie een kennisintensief proces is, waarbij multidisciplinaire inzichten bijdragen aan het succes van een innovatie. Andere literatuur onderkent dit en beargumenteert dit vanuit de hoek van risico's beheersen (Shenhar, 2001, pp. 395-397; Thamhain, 2013, pp. 21-22). Op het moment dat er veel communicatie, en daardoor kennisdeling, plaatsvindt tussen verschillende werknemers met eigen expertise, ben je beter in staat om de risico's in te schatten en daarop te acteren. Op het moment dat je tijdig de risico's in kaart hebt gebracht en daarop acties hebt ondernomen, zullen innovaties uiteindelijk beter geïmplementeerd kunnen worden. Ook is de kennisdeling van cruciaal belang op het moment dat de innovatie eenmaal ontwikkeld is en breed in de organisatie geïmplementeerd moet gaan worden (Huizingh, 2019, p. 24; Gies</w:t>
      </w:r>
      <w:r w:rsidR="00A51D9B">
        <w:rPr>
          <w:rFonts w:eastAsiaTheme="minorEastAsia"/>
        </w:rPr>
        <w:t>k</w:t>
      </w:r>
      <w:r w:rsidRPr="6B9CB4C1">
        <w:rPr>
          <w:rFonts w:eastAsiaTheme="minorEastAsia"/>
        </w:rPr>
        <w:t xml:space="preserve">e, 2019). Wat kunnen andere afdelingen met deze innovatie en wat hebben we geleerd van dit innovatietraject? </w:t>
      </w:r>
    </w:p>
    <w:p w14:paraId="128EB613" w14:textId="33CC76D5" w:rsidR="4FE52EB8" w:rsidRDefault="4FE52EB8" w:rsidP="4FE52EB8">
      <w:pPr>
        <w:rPr>
          <w:rFonts w:eastAsiaTheme="minorEastAsia"/>
        </w:rPr>
      </w:pPr>
      <w:r w:rsidRPr="4FE52EB8">
        <w:rPr>
          <w:rFonts w:eastAsiaTheme="minorEastAsia"/>
        </w:rPr>
        <w:t>Volgens Huizingh (2019) is kennisdeling gebaat bij persoonlijke netwerken en informele communicatie, waarbij het van belang is dat werknemers in de interne organisatie zonder al te veel barrières contact met elkaar op kunnen nemen. Het werken met cross-functionele teams kan hier volgens Bloemendaal (2023) aan bijdragen, maar ook het organiseren van (in) formele bijeenkomsten waarin verschillende teams elkaar ontmoeten. In de cross-functionele teams werken werknemers uit verschillende disciplines of afdelingen in de organisatie samen aan een bepaald doel. Deze twee dingen dragen vervolgens bij aan de sociale relaties tussen werknemers in de organisatie, waardoor er meer communicatie over de afdelingen heen plaatsvindt. Het inrichten van een communicatiestructuur is dus een belangrijke succesfactor voor het integreren van kennismanagement rondom innovaties. Het draagt bij aan kennisdeling, waardoor risico's rondom innovaties beter kunnen worden ingeschat en innovaties beter kunnen landen in de organisatie als geheel</w:t>
      </w:r>
      <w:r w:rsidR="00995ADA">
        <w:rPr>
          <w:rFonts w:eastAsiaTheme="minorEastAsia"/>
        </w:rPr>
        <w:t xml:space="preserve"> (Huizingh, 2019; </w:t>
      </w:r>
      <w:r w:rsidR="00F81CAA">
        <w:rPr>
          <w:rFonts w:eastAsiaTheme="minorEastAsia"/>
        </w:rPr>
        <w:t>Bloemendaal, 2023)</w:t>
      </w:r>
      <w:r w:rsidRPr="4FE52EB8">
        <w:rPr>
          <w:rFonts w:eastAsiaTheme="minorEastAsia"/>
        </w:rPr>
        <w:t xml:space="preserve">. </w:t>
      </w:r>
    </w:p>
    <w:p w14:paraId="56A24103" w14:textId="275D0FB3" w:rsidR="5CE9E455" w:rsidRDefault="6B9CB4C1" w:rsidP="6B9CB4C1">
      <w:pPr>
        <w:rPr>
          <w:rFonts w:eastAsiaTheme="minorEastAsia"/>
        </w:rPr>
      </w:pPr>
      <w:r w:rsidRPr="6B9CB4C1">
        <w:rPr>
          <w:rFonts w:eastAsiaTheme="minorEastAsia"/>
          <w:b/>
          <w:bCs/>
          <w:i/>
          <w:iCs/>
        </w:rPr>
        <w:t>Autonomie</w:t>
      </w:r>
      <w:r w:rsidR="31E21C5F">
        <w:br/>
      </w:r>
      <w:r w:rsidRPr="6B9CB4C1">
        <w:rPr>
          <w:rFonts w:eastAsiaTheme="minorEastAsia"/>
        </w:rPr>
        <w:t>De literatuur beschrijft de hoge mate van autonomie van werknemers als laatste succesfactor voor succesvolle innovaties vanuit het concept lerende organisatie. Deze autonomie van werknemers zorgt er allereerst voor dat werknemers zelf veranderingen en innovaties kunnen initiëren in hun dagelijkse werkzaamheden, waardoor ze een hoge mate aan betrokkenheid ervaren bij de verandering (Espedal, p.157). Dit draagt dan, zoals hierboven besproken, weer bij aan de veranderbereidheid in de organisatie. Huizingh (2019, p. 157) benadrukt</w:t>
      </w:r>
      <w:r w:rsidR="00100A42">
        <w:rPr>
          <w:rFonts w:eastAsiaTheme="minorEastAsia"/>
        </w:rPr>
        <w:t xml:space="preserve"> daarnaast </w:t>
      </w:r>
      <w:r w:rsidRPr="6B9CB4C1">
        <w:rPr>
          <w:rFonts w:eastAsiaTheme="minorEastAsia"/>
        </w:rPr>
        <w:t>dat een sterk innovatievermogen creativiteit vereist, omdat creativiteit nodig is om krachtige oplossingen te bedenken. Het geven van autonomie aan werknemers levert volgens Hornung en Rousseau (2007) een bijdrage aan deze creativiteit. Als gevolg van de autonomie in de dagelijkse werkzaamheden van werknemers</w:t>
      </w:r>
      <w:r w:rsidR="00DD7904">
        <w:rPr>
          <w:rFonts w:eastAsiaTheme="minorEastAsia"/>
        </w:rPr>
        <w:t xml:space="preserve"> </w:t>
      </w:r>
      <w:r w:rsidRPr="6B9CB4C1">
        <w:rPr>
          <w:rFonts w:eastAsiaTheme="minorEastAsia"/>
        </w:rPr>
        <w:t xml:space="preserve">zijn deze werknemers namelijk in staat om op een creatieve manier gebruik te maken van nieuwe informatie en kennis waardoor ze beter in staat zijn om vraagstukken in hun werkzaamheden of van de organisatie op te lossen (Hornung &amp; Rousseau, 2007; Espedal, 2017, p.156). </w:t>
      </w:r>
    </w:p>
    <w:p w14:paraId="0EA6D672" w14:textId="1A5A1363" w:rsidR="31E21C5F" w:rsidRDefault="31E21C5F" w:rsidP="31E21C5F">
      <w:pPr>
        <w:rPr>
          <w:rFonts w:eastAsiaTheme="minorEastAsia"/>
        </w:rPr>
      </w:pPr>
      <w:r w:rsidRPr="31E21C5F">
        <w:rPr>
          <w:rFonts w:eastAsiaTheme="minorEastAsia"/>
        </w:rPr>
        <w:t xml:space="preserve">Een manier om deze vrijheid in te regelen is het stimuleren van de leermethode experimenteren in een regelluwe omgeving (RWS, 2022b). Op basis van literatuur over barrières voor innovaties in publieke organisaties, weten we dat deze organisaties vaak te maken hebben met een hoge mate aan hiërarchie en formalisatie (Wipulanusat et al. 2019, pp. 17-18; Koch &amp; Hauknes, 2005, p. 51). De regels en procedures hoeven niet per se een belemmering te zijn, deze kunnen namelijk ook structuur geven aan een innovatieproces. Deze organisaties moeten echter oppassen dat het niet doorslaat naar de zogenoemde red-tape, waardoor de creativiteit om te experimenteren wordt geremd. Dit kan een publieke organisatie dus voorkomen door de leermethode experimenteren te laten plaatsvinden in een regelluwe omgeving.  Zo’n regelluwe omgeving houdt in dat men experimenten kan uitvoeren binnen een setting waarin de normale regels, beperkingen of voorschriften tijdelijk worden geminimaliseerd (RWS, 2022b). Dit wordt vaak gedaan om meer vrijheid te bieden aan werknemers om nieuwe ideeën te verkennen zonder te worden belemmerd door de gebruikelijke beperkingen die vaak in een formele of sterk gereguleerde omgeving aanwezig zijn. </w:t>
      </w:r>
    </w:p>
    <w:p w14:paraId="5D59A442" w14:textId="6F768A7E" w:rsidR="5CE9E455" w:rsidRDefault="0AB624A7" w:rsidP="23783DFD">
      <w:r w:rsidRPr="0AB624A7">
        <w:rPr>
          <w:rFonts w:eastAsiaTheme="minorEastAsia"/>
        </w:rPr>
        <w:t xml:space="preserve">Om deze creativiteit bij medewerkers te bevorderen, is autonomie en vrijheid dus noodzakelijk. Echter, een te grote mate aan autonomie voor medewerkers kan volgens Zhou (2022, pp. 303-304) dan weer leiden tot contraproductief gedrag. Dit contraproductieve gedrag ontstaat wanneer medewerkers het gevoel hebben dat er geen consequenties zijn verbonden aan hun acties, waardoor ze zich uitsluitend richten op hun eigen belangen en taken zonder rekening te houden met de belangen van anderen en de organisatie als geheel. Zhou (2020, pp. 303-304) benadrukt daarom het belang van het vinden van een balans tussen de mate van sturing door managers en de autonomie van medewerkers. </w:t>
      </w:r>
    </w:p>
    <w:p w14:paraId="2A257621" w14:textId="751AB348" w:rsidR="5CE9E455" w:rsidRDefault="0AB624A7" w:rsidP="0AB624A7">
      <w:pPr>
        <w:rPr>
          <w:rFonts w:eastAsiaTheme="minorEastAsia"/>
        </w:rPr>
      </w:pPr>
      <w:bookmarkStart w:id="16" w:name="_Toc171411039"/>
      <w:r w:rsidRPr="0AB624A7">
        <w:rPr>
          <w:rStyle w:val="Kop3Char"/>
        </w:rPr>
        <w:t>2.3.2 Innovatiemanagement</w:t>
      </w:r>
      <w:bookmarkEnd w:id="16"/>
      <w:r w:rsidR="31E21C5F">
        <w:br/>
      </w:r>
      <w:r w:rsidRPr="0AB624A7">
        <w:rPr>
          <w:rFonts w:eastAsiaTheme="minorEastAsia"/>
        </w:rPr>
        <w:t xml:space="preserve">In de vorige subparagraaf is onderzocht welke factoren nodig zijn voor een organisatie om adaptief en flexibel te zijn ten opzichte van vernieuwingen en veranderingen. Deze factoren worden vaak samengevat als 'de lerende organisatie', waarbij collectief leren, denken en werken binnen de gehele organisatie centraal staan. Dit collectieve leer- en denkproces stelt organisaties in staat om flexibel te reageren op veranderingen en deze succesvol te integreren in de organisatie als geheel. Naast deze inzichten beschrijft de literatuur nog een andere cruciale factor die nodig is om het innovatievermogen te versterken, namelijk de inrichting van innovatiemanagement (Huizingh, 2019; Tidd &amp; Bessant, 2020; Van der Cruijsen &amp; Schaafsma, 2011). Het is als organisatie van belang dat je goed weet waar je heen wilt met innovaties, dat iedereen in de organisatie daarvan op de hoogte is, dat je keuzes maakt, en dat je managementsysteem zo is ingericht dat er ook daadwerkelijk geïnnoveerd kan worden. De </w:t>
      </w:r>
      <w:r w:rsidR="008A36C0">
        <w:rPr>
          <w:rFonts w:eastAsiaTheme="minorEastAsia"/>
        </w:rPr>
        <w:t>theorie</w:t>
      </w:r>
      <w:r w:rsidRPr="0AB624A7">
        <w:rPr>
          <w:rFonts w:eastAsiaTheme="minorEastAsia"/>
        </w:rPr>
        <w:t xml:space="preserve"> identificeert drie succesfactoren</w:t>
      </w:r>
      <w:r w:rsidR="00980DC4">
        <w:rPr>
          <w:rFonts w:eastAsiaTheme="minorEastAsia"/>
        </w:rPr>
        <w:t xml:space="preserve"> rondom innovatiemanagement</w:t>
      </w:r>
      <w:r w:rsidR="008A36C0">
        <w:rPr>
          <w:rFonts w:eastAsiaTheme="minorEastAsia"/>
        </w:rPr>
        <w:t>:</w:t>
      </w:r>
    </w:p>
    <w:p w14:paraId="375ADF8E" w14:textId="24B0B4EB" w:rsidR="0E1F15A6" w:rsidRDefault="6B9CB4C1" w:rsidP="6B9CB4C1">
      <w:pPr>
        <w:rPr>
          <w:rFonts w:eastAsiaTheme="minorEastAsia"/>
        </w:rPr>
      </w:pPr>
      <w:r w:rsidRPr="6B9CB4C1">
        <w:rPr>
          <w:rFonts w:eastAsiaTheme="minorEastAsia"/>
          <w:b/>
          <w:bCs/>
          <w:i/>
          <w:iCs/>
        </w:rPr>
        <w:t>Innovatiebeleid</w:t>
      </w:r>
      <w:r w:rsidR="31E21C5F">
        <w:br/>
      </w:r>
      <w:r w:rsidRPr="6B9CB4C1">
        <w:rPr>
          <w:rFonts w:eastAsiaTheme="minorEastAsia"/>
        </w:rPr>
        <w:t>Volgens Huizingh (2019) draagt het inbedden van innovatie, als kernwaarde om de strategische doelen van je organisatie te bereiken, bij aan het innovatieve vermogen van de organisatie. Het moet als het ware onderdeel zijn van je bedrijfsvoering, het moet zijn ingebed in je missie en visie. Met de visie bepaal je de richting waar je heen wil</w:t>
      </w:r>
      <w:r w:rsidR="006F5026">
        <w:rPr>
          <w:rFonts w:eastAsiaTheme="minorEastAsia"/>
        </w:rPr>
        <w:t>t</w:t>
      </w:r>
      <w:r w:rsidRPr="6B9CB4C1">
        <w:rPr>
          <w:rFonts w:eastAsiaTheme="minorEastAsia"/>
        </w:rPr>
        <w:t xml:space="preserve"> als organisatie, wat vervolgens resulteert in een strategie waarin de langetermijndoelstellingen van de organisatie zijn opgenomen (Huizingh, 2019, p.22). Het topmanagement is hierin allereerst belangrijk voor het communiceren van de opgestelde doelstellingen en de daaraan gekoppelde strategie op het gebied van innovatie. Het is cruciaal dat de leiding van de organisatie in woord en daad laat zien dat innovatie belangrijk is. Als een organisatie zichzelf ziet als vernieuwer, straalt dat uit op de rest van de organisatie. Volgens Wipulanusat et al. (2019, p. 17) is het van belang dat het topmanagement uitstraalt en vastlegt dat het bereid is om de risico's van experimenteren, binnen de opgestelde kaders van de strategie, te accepteren en dat er daartoe een regelluwe omgeving wordt gecreëerd om binnen deze gestelde kaders vrij te innoveren. Het is van belang dat het topmanagement haar beleid ook daadwerkelijk afstemt op deze gedachtegang en</w:t>
      </w:r>
      <w:r w:rsidR="00BB459F">
        <w:rPr>
          <w:rFonts w:eastAsiaTheme="minorEastAsia"/>
        </w:rPr>
        <w:t xml:space="preserve"> dat</w:t>
      </w:r>
      <w:r w:rsidRPr="6B9CB4C1">
        <w:rPr>
          <w:rFonts w:eastAsiaTheme="minorEastAsia"/>
        </w:rPr>
        <w:t xml:space="preserve"> de overige managementlagen in de organisatie zich hierin ook gesteund voelen om deze gedachtegang te hanteren (Huizingh, 2019, p. 23). </w:t>
      </w:r>
    </w:p>
    <w:p w14:paraId="73F757E3" w14:textId="3668108A" w:rsidR="0E1F15A6" w:rsidRDefault="6B9CB4C1" w:rsidP="6B9CB4C1">
      <w:pPr>
        <w:rPr>
          <w:rFonts w:eastAsiaTheme="minorEastAsia"/>
        </w:rPr>
      </w:pPr>
      <w:r w:rsidRPr="6B9CB4C1">
        <w:rPr>
          <w:rFonts w:eastAsiaTheme="minorEastAsia"/>
        </w:rPr>
        <w:t>Om deze gedachtegang waar te kunnen maken is het volgens Shepherd en Ahmed (2000) noodzakelijk om een specifieke innovatiestrategie op te stellen. Huizingh (2019, p. 23) omschrijft dit als innovatiebeleid. Het is hierbij van cruciaal belang dat in deze strategie bottom-up</w:t>
      </w:r>
      <w:r w:rsidR="00B238D2">
        <w:rPr>
          <w:rFonts w:eastAsiaTheme="minorEastAsia"/>
        </w:rPr>
        <w:t xml:space="preserve"> </w:t>
      </w:r>
      <w:r w:rsidRPr="6B9CB4C1">
        <w:rPr>
          <w:rFonts w:eastAsiaTheme="minorEastAsia"/>
        </w:rPr>
        <w:t>invloeden worden meegenomen om daarmee draagvlak te creëren voor de opgestelde strategie (Capgemini Consulting, 2017). In de innovatiestrategie staan de doelstellingen opgenomen die zijn opgesteld op basis van ontwikkelingen in de omgeving</w:t>
      </w:r>
      <w:r w:rsidR="006A5CF8">
        <w:rPr>
          <w:rFonts w:eastAsiaTheme="minorEastAsia"/>
        </w:rPr>
        <w:t>. Er</w:t>
      </w:r>
      <w:r w:rsidRPr="6B9CB4C1">
        <w:rPr>
          <w:rFonts w:eastAsiaTheme="minorEastAsia"/>
        </w:rPr>
        <w:t xml:space="preserve"> worden middelen voor innovatie vrijgemaakt en </w:t>
      </w:r>
      <w:r w:rsidR="006A5CF8">
        <w:rPr>
          <w:rFonts w:eastAsiaTheme="minorEastAsia"/>
        </w:rPr>
        <w:t xml:space="preserve">er </w:t>
      </w:r>
      <w:r w:rsidRPr="6B9CB4C1">
        <w:rPr>
          <w:rFonts w:eastAsiaTheme="minorEastAsia"/>
        </w:rPr>
        <w:t>worden plannen gemaakt om met de beschikbare middelen de doelstellingen te bereiken (Huizingh, 2019, p. 23). Ook is het van belang dat de gezamenlijk opgestelde innovatiedoelstellingen zorgen voor duidelijkheid bij de werknemers, die op basis daarvan keuzes kunnen maken welke innovaties bijdragen aan de opgestelde doelstellingen (S</w:t>
      </w:r>
      <w:r w:rsidR="006B6464">
        <w:rPr>
          <w:rFonts w:eastAsiaTheme="minorEastAsia"/>
        </w:rPr>
        <w:t>h</w:t>
      </w:r>
      <w:r w:rsidRPr="6B9CB4C1">
        <w:rPr>
          <w:rFonts w:eastAsiaTheme="minorEastAsia"/>
        </w:rPr>
        <w:t>epherd &amp; Ahmed, 2000; Huizingh, 2019). Hierbij gaat het ook om opdrachtgeverschap, waarbij de medewerker zich de vraag moet stellen of er daadwerkelijk wel opdracht is gegeven voor een bepaalde innovatie. Hoe verhoudt de innovatie zich tot de doelen van de organisatie?</w:t>
      </w:r>
    </w:p>
    <w:p w14:paraId="0817B3A2" w14:textId="7D455D5A" w:rsidR="0E1F15A6" w:rsidRDefault="6B9CB4C1" w:rsidP="6B9CB4C1">
      <w:pPr>
        <w:rPr>
          <w:rFonts w:eastAsiaTheme="minorEastAsia"/>
        </w:rPr>
      </w:pPr>
      <w:r w:rsidRPr="6B9CB4C1">
        <w:rPr>
          <w:rFonts w:eastAsiaTheme="minorEastAsia"/>
        </w:rPr>
        <w:t xml:space="preserve">Volgens Huizingh (2019, p. 196) is het opnemen van portfoliomanagement in het innovatiebeleid daarnaast van essentieel belang. In een portfolio worden alle innovatieprojecten verzameld, beoordeeld en geselecteerd met het oog op het maken van keuzes (Wipulanusat et al. 2019, p. 17; Koch &amp; Hauknes, 2005, p. 44). Door middel van het creëren van programma's kan de benodigde kennis, middelen en capaciteit gebundeld worden om de opgestelde doelen te bereiken. Op deze manier wordt de focus behouden en worden enkel innovaties geselecteerd die </w:t>
      </w:r>
      <w:r w:rsidR="00096B25">
        <w:rPr>
          <w:rFonts w:eastAsiaTheme="minorEastAsia"/>
        </w:rPr>
        <w:t>van</w:t>
      </w:r>
      <w:r w:rsidRPr="6B9CB4C1">
        <w:rPr>
          <w:rFonts w:eastAsiaTheme="minorEastAsia"/>
        </w:rPr>
        <w:t xml:space="preserve"> meerwaarde zijn voor de organisatie en wordt er niet op verschillende plekken dezelfde innovatie in gang gezet (Bessant et al., 2005, p.531). Zonder het integreren van portfoliomanagement in je innovatiebeleid, loop je het risico dat er overal in de organisatie innovaties plaatsvinden waarbij de middelen en capaciteit ontbreken om de innovatie zo te ontwikkelen dat het ook kan landen in de rest van de organisatie</w:t>
      </w:r>
      <w:r>
        <w:t xml:space="preserve"> (Huizingh, 2019; </w:t>
      </w:r>
      <w:r w:rsidRPr="6B9CB4C1">
        <w:rPr>
          <w:rFonts w:eastAsiaTheme="minorEastAsia"/>
        </w:rPr>
        <w:t xml:space="preserve">Wipulanusat et al. 2019; Koch &amp; Hauknes, 2005: Bessant et al., 2005). De organisatie creëert hiermee een organisatiebrede strategie, waarbij overzicht wordt gecreëerd in wat men overal doet in de organisatie en er dus één gedeelde missie is wat betreft innovaties. </w:t>
      </w:r>
    </w:p>
    <w:p w14:paraId="01019241" w14:textId="7384780A" w:rsidR="4FE52EB8" w:rsidRDefault="532F1467" w:rsidP="532F1467">
      <w:pPr>
        <w:rPr>
          <w:rFonts w:eastAsiaTheme="minorEastAsia"/>
        </w:rPr>
      </w:pPr>
      <w:r w:rsidRPr="532F1467">
        <w:rPr>
          <w:rFonts w:eastAsiaTheme="minorEastAsia"/>
          <w:b/>
          <w:bCs/>
          <w:i/>
          <w:iCs/>
        </w:rPr>
        <w:t>Leiderschap</w:t>
      </w:r>
      <w:r w:rsidR="4FE52EB8">
        <w:br/>
      </w:r>
      <w:r w:rsidR="001D757B">
        <w:rPr>
          <w:rFonts w:eastAsiaTheme="minorEastAsia"/>
        </w:rPr>
        <w:t>Ook d</w:t>
      </w:r>
      <w:r w:rsidRPr="532F1467">
        <w:rPr>
          <w:rFonts w:eastAsiaTheme="minorEastAsia"/>
        </w:rPr>
        <w:t xml:space="preserve">e factor leiderschap wordt in de </w:t>
      </w:r>
      <w:r w:rsidR="006706C1">
        <w:rPr>
          <w:rFonts w:eastAsiaTheme="minorEastAsia"/>
        </w:rPr>
        <w:t>theorie</w:t>
      </w:r>
      <w:r w:rsidRPr="532F1467">
        <w:rPr>
          <w:rFonts w:eastAsiaTheme="minorEastAsia"/>
        </w:rPr>
        <w:t xml:space="preserve"> als succesfactor voor innovatiemanagement genoemd (Huizingh, 2019; Wipulanusat et al. 2019, p. 17). Volgens Huizingh (2019, p. 22) is het topmanagement, zoals hierboven benoemd, allereerst belangrijk voor het communiceren van de opgestelde doelstellingen en de daaraan gekoppelde strategie op het gebied van innovatie. Met enkel een goed innovatiebeleid ben je er als organisatie echter niet, dit innovatiebeleid zal ook breed in de organisatie gedragen moeten worden. Het is van belang dat de managers in alle lagen van de organisatie creatief gedrag van werknemers stimuleren, waarbij het maken van fouten en het nemen van risico's wordt uitgedragen als een kans om te ontwikkelen (Huizingh, 2019, p. 182).  Het is van belang dat er geïnnoveerd en geëxperimenteerd wordt dat past bij de opgestelde doelen, maar dat de leiding daaromheen de regelluwe omgeving creëert die voorgenomen is in het innovatiebeleid. Volgens Wipulanusat et al. (2019, p. 17) is het daartoe van belang dat de organisatie zich een bepaalde leiderschapsstijl aanmeet, die het innoveren en experimenteren stimuleert en werknemers ondersteunt gedurende een innovatieproces. De transformationele leiderschapsstijl, die ook al terugkwam bij de succesfactoren voor een lerende organisatie, is hiertoe de aangewezen leiderschapsstijl. Deze stijl van leidinggeven communiceert visie, zorgt voor vertrouwen, moedigt aan om na te denken en met ideeën te komen, geeft persoonlijke aandacht, coacht en adviseert (Bass, 1990). Deze leiderschapsstijl is volgens </w:t>
      </w:r>
      <w:r w:rsidR="00233352">
        <w:rPr>
          <w:rFonts w:eastAsiaTheme="minorEastAsia"/>
        </w:rPr>
        <w:t>Anderson et al. (2014)</w:t>
      </w:r>
      <w:r w:rsidRPr="532F1467">
        <w:rPr>
          <w:rFonts w:eastAsiaTheme="minorEastAsia"/>
        </w:rPr>
        <w:t xml:space="preserve"> met name van belang in de ontwikkelingsfase van innoveren. </w:t>
      </w:r>
    </w:p>
    <w:p w14:paraId="018E8F5B" w14:textId="0923FDF0" w:rsidR="25F0F5BE" w:rsidRDefault="4FE52EB8" w:rsidP="4FE52EB8">
      <w:pPr>
        <w:rPr>
          <w:rFonts w:eastAsiaTheme="minorEastAsia"/>
        </w:rPr>
      </w:pPr>
      <w:r w:rsidRPr="4FE52EB8">
        <w:rPr>
          <w:rFonts w:eastAsiaTheme="minorEastAsia"/>
        </w:rPr>
        <w:t>Leiderschap speelt daarnaast ook nog een belangrijke rol in het minimaliseren van het silo-effect. Zoals eerder b</w:t>
      </w:r>
      <w:r w:rsidR="00BA2430">
        <w:rPr>
          <w:rFonts w:eastAsiaTheme="minorEastAsia"/>
        </w:rPr>
        <w:t>eschreven</w:t>
      </w:r>
      <w:r w:rsidRPr="4FE52EB8">
        <w:rPr>
          <w:rFonts w:eastAsiaTheme="minorEastAsia"/>
        </w:rPr>
        <w:t xml:space="preserve"> in dit hoofdstuk, is de autonomie van de professionals noodzakelijk om met innovatieve ideeën te komen. Deze autonomie kan echter ook doorslaan in contraproductief gedrag, waardoor er in de organisatie het </w:t>
      </w:r>
      <w:r w:rsidRPr="4FE52EB8">
        <w:rPr>
          <w:rFonts w:eastAsiaTheme="minorEastAsia"/>
          <w:i/>
          <w:iCs/>
        </w:rPr>
        <w:t>‘not invented here’</w:t>
      </w:r>
      <w:r w:rsidRPr="4FE52EB8">
        <w:rPr>
          <w:rFonts w:eastAsiaTheme="minorEastAsia"/>
        </w:rPr>
        <w:t>-syndroom kan optreden, waarbij de rest van de organisatie de resultaten van een innovatietraject afwijst</w:t>
      </w:r>
      <w:r w:rsidR="009E77A4">
        <w:rPr>
          <w:rFonts w:eastAsiaTheme="minorEastAsia"/>
        </w:rPr>
        <w:t>,</w:t>
      </w:r>
      <w:r w:rsidRPr="4FE52EB8">
        <w:rPr>
          <w:rFonts w:eastAsiaTheme="minorEastAsia"/>
        </w:rPr>
        <w:t xml:space="preserve"> omdat deze niet als eigen ervaren worden (DeFillippi &amp; Sydow, 2016, p.4). Kort gezegd kan een innovatie door de vergaande autonomie niet landen in de organisatie als geheel, omdat iedereen vanuit eigen doelen en leefwereld innoveert zonder daarbij rekening te houden met de rest van de organisatie. Het is daarom van belang om in de organisatie een balans te vinden tussen de sturing en autonomie in innovatietrajecten (Scarbrough et al., 2004; Sydow et al., 2004). Deze sturing moet gerealiseerd worden door een innovatiebeleid met kaders voor innovatiedoelen op te stellen en dit te verlengen naar de rest van de managementlagen. Om dit te kunnen doen is er volgens de literatuur nog een andere leiderschapsstijl relevant voor het versterken van het innovatievermogen van organisaties, namelijk transactioneel leiderschap (Anderson et al., 2014). De transactioneel leidinggevende wordt gekenmerkt door een sturende stijl van leidinggeven, waarbij goede en slechte prestaties worden beloond en gestraft. Ook wordt door deze leidinggevende gelet op afwijkingen en wordt hier vervolgens op gereageerd. Anderson et al. (2014) laten zien dat het hanteren van deze wat meer sturende leiderschapsstijl, met name effectief is in de implementatiefase van innovaties. Het sturen op algehele implementatie en opschaling in de organisatie zorgt ervoor dat dit ook vaker gebeurt. </w:t>
      </w:r>
    </w:p>
    <w:p w14:paraId="055B100B" w14:textId="2A6C4384" w:rsidR="0E1F15A6" w:rsidRDefault="0AB624A7" w:rsidP="0AB624A7">
      <w:pPr>
        <w:rPr>
          <w:rFonts w:eastAsiaTheme="minorEastAsia"/>
        </w:rPr>
      </w:pPr>
      <w:r w:rsidRPr="0AB624A7">
        <w:rPr>
          <w:rFonts w:eastAsiaTheme="minorEastAsia"/>
          <w:b/>
          <w:bCs/>
          <w:i/>
          <w:iCs/>
        </w:rPr>
        <w:t xml:space="preserve">Eigenaarschap </w:t>
      </w:r>
      <w:r w:rsidR="4FE52EB8">
        <w:br/>
      </w:r>
      <w:r w:rsidR="0077463E">
        <w:rPr>
          <w:rFonts w:eastAsiaTheme="minorEastAsia"/>
        </w:rPr>
        <w:t xml:space="preserve">Een </w:t>
      </w:r>
      <w:r w:rsidRPr="0AB624A7">
        <w:rPr>
          <w:rFonts w:eastAsiaTheme="minorEastAsia"/>
        </w:rPr>
        <w:t>laatste succesfactor</w:t>
      </w:r>
      <w:r w:rsidR="0077463E">
        <w:rPr>
          <w:rFonts w:eastAsiaTheme="minorEastAsia"/>
        </w:rPr>
        <w:t xml:space="preserve"> </w:t>
      </w:r>
      <w:r w:rsidRPr="0AB624A7">
        <w:rPr>
          <w:rFonts w:eastAsiaTheme="minorEastAsia"/>
        </w:rPr>
        <w:t xml:space="preserve">die wordt genoemd in de </w:t>
      </w:r>
      <w:r w:rsidR="0077463E">
        <w:rPr>
          <w:rFonts w:eastAsiaTheme="minorEastAsia"/>
        </w:rPr>
        <w:t>theorie</w:t>
      </w:r>
      <w:r w:rsidRPr="0AB624A7">
        <w:rPr>
          <w:rFonts w:eastAsiaTheme="minorEastAsia"/>
        </w:rPr>
        <w:t xml:space="preserve"> is eigenaarschap. You et al. (2022, pp. 3-4) verwijzen naar (psychologisch) eigenaarschap als versterkende factor in de relatie tussen een innovatief klimaat en het innovatieve gedrag van werknemers. Dus indien er een innovatief klimaat in de organisatie wordt gecreëerd door middel van de factoren beschreven in deze paragraaf 2.3, dan heeft eigenaarschap nog een versterkend effect in het stimuleren van innovatief gedrag. Met dit innovatieve gedrag wordt dan niet alleen het starten van een innovatie bedoeld, maar ook het succesvol implementeren van deze innovatie. Psychologisch eigenaarschap wordt volgens You et al. (2022, pp. 3-4) gekarakteriseerd door het gevoel van betrokkenheid en verantwoordelijkheid bij het innovatiesucces van de organisatie. Volgens Hart </w:t>
      </w:r>
      <w:r w:rsidR="00420325">
        <w:rPr>
          <w:rFonts w:eastAsiaTheme="minorEastAsia"/>
        </w:rPr>
        <w:t>en</w:t>
      </w:r>
      <w:r w:rsidRPr="0AB624A7">
        <w:rPr>
          <w:rFonts w:eastAsiaTheme="minorEastAsia"/>
        </w:rPr>
        <w:t xml:space="preserve"> Buiting (2012) bepaalt eigenaarschap vervolgens voor een groot deel hoeveel een individu bijdraagt aan het geheel. Het psychologisch eigenaarschap kan volgens You et al. (2022, p. 4) vanuit de organisatie worden gestimuleerd door het initiëren van een hoge mate aan </w:t>
      </w:r>
      <w:r w:rsidR="006B6464" w:rsidRPr="0AB624A7">
        <w:rPr>
          <w:rFonts w:eastAsiaTheme="minorEastAsia"/>
        </w:rPr>
        <w:t>taakonderlinge</w:t>
      </w:r>
      <w:r w:rsidRPr="0AB624A7">
        <w:rPr>
          <w:rFonts w:eastAsiaTheme="minorEastAsia"/>
        </w:rPr>
        <w:t xml:space="preserve"> afhankelijkheid. Dit verwijst naar de mate waarin taken binnen een organisatie van elkaar afhankelijk zijn voor succesvolle uitvoering. Door een hoge </w:t>
      </w:r>
      <w:r w:rsidR="006B6464" w:rsidRPr="0AB624A7">
        <w:rPr>
          <w:rFonts w:eastAsiaTheme="minorEastAsia"/>
        </w:rPr>
        <w:t>taakonderlinge</w:t>
      </w:r>
      <w:r w:rsidRPr="0AB624A7">
        <w:rPr>
          <w:rFonts w:eastAsiaTheme="minorEastAsia"/>
        </w:rPr>
        <w:t xml:space="preserve"> afhankelijkheid moeten werknemers interacteren en samenwerken om een taak te voltooien, waardoor de kwaliteit van de interpersoonlijke interactie wordt gestimuleerd en de vorming van het psychologisch eigenaarschap vergemakkelijkt wordt. Werknemers voelen daardoor een mate van saamhorigheid om gezamenlijke doelen te bereiken</w:t>
      </w:r>
      <w:r w:rsidR="006625FC">
        <w:rPr>
          <w:rFonts w:eastAsiaTheme="minorEastAsia"/>
        </w:rPr>
        <w:t xml:space="preserve"> (You et al.</w:t>
      </w:r>
      <w:r w:rsidR="00DC72FE">
        <w:rPr>
          <w:rFonts w:eastAsiaTheme="minorEastAsia"/>
        </w:rPr>
        <w:t>, 2022, p. 4)</w:t>
      </w:r>
      <w:r w:rsidRPr="0AB624A7">
        <w:rPr>
          <w:rFonts w:eastAsiaTheme="minorEastAsia"/>
        </w:rPr>
        <w:t>.</w:t>
      </w:r>
      <w:r w:rsidR="00DC72FE">
        <w:rPr>
          <w:rFonts w:eastAsiaTheme="minorEastAsia"/>
        </w:rPr>
        <w:t xml:space="preserve"> Indien de organisatie innovatiesucces als gezamenlijk doel ziet, kan </w:t>
      </w:r>
      <w:r w:rsidR="007F5C49">
        <w:rPr>
          <w:rFonts w:eastAsiaTheme="minorEastAsia"/>
        </w:rPr>
        <w:t xml:space="preserve">psychologisch eigenaarschap dus een bijdrage leveren om saamhorigheid te creëren in het bereiken van die gezamenlijke doelen. </w:t>
      </w:r>
      <w:r w:rsidRPr="0AB624A7">
        <w:rPr>
          <w:rFonts w:eastAsiaTheme="minorEastAsia"/>
        </w:rPr>
        <w:t xml:space="preserve"> </w:t>
      </w:r>
    </w:p>
    <w:p w14:paraId="0BFCAC81" w14:textId="64F2A758" w:rsidR="0E1F15A6" w:rsidRDefault="532F1467" w:rsidP="532F1467">
      <w:pPr>
        <w:rPr>
          <w:rFonts w:eastAsiaTheme="minorEastAsia"/>
        </w:rPr>
      </w:pPr>
      <w:r w:rsidRPr="532F1467">
        <w:rPr>
          <w:rFonts w:eastAsiaTheme="minorEastAsia"/>
        </w:rPr>
        <w:t xml:space="preserve">Als het gaat om echt specifieke innovatietrajecten speelt eigenaarschap, en ambassadeurschap, ook een nog directere rol in het niet alleen lokaal houden van innovaties(Blindenbach-Driessen &amp; </w:t>
      </w:r>
      <w:r w:rsidR="001069B0">
        <w:rPr>
          <w:rFonts w:eastAsiaTheme="minorEastAsia"/>
        </w:rPr>
        <w:t>V</w:t>
      </w:r>
      <w:r w:rsidRPr="532F1467">
        <w:rPr>
          <w:rFonts w:eastAsiaTheme="minorEastAsia"/>
        </w:rPr>
        <w:t>an den Ende, 2010). Het is als organisatie van belang om iemand verantwoordelijk te maken voor de implementatiefase van de innovatie. In de l</w:t>
      </w:r>
      <w:r w:rsidR="004E23AD">
        <w:rPr>
          <w:rFonts w:eastAsiaTheme="minorEastAsia"/>
        </w:rPr>
        <w:t xml:space="preserve">iteratuur van Blindenbach-Driessen en </w:t>
      </w:r>
      <w:r w:rsidR="00431921">
        <w:rPr>
          <w:rFonts w:eastAsiaTheme="minorEastAsia"/>
        </w:rPr>
        <w:t xml:space="preserve">Van den Ende (2010) </w:t>
      </w:r>
      <w:r w:rsidRPr="532F1467">
        <w:rPr>
          <w:rFonts w:eastAsiaTheme="minorEastAsia"/>
        </w:rPr>
        <w:t>wordt daar</w:t>
      </w:r>
      <w:r w:rsidR="00431921">
        <w:rPr>
          <w:rFonts w:eastAsiaTheme="minorEastAsia"/>
        </w:rPr>
        <w:t>bij</w:t>
      </w:r>
      <w:r w:rsidRPr="532F1467">
        <w:rPr>
          <w:rFonts w:eastAsiaTheme="minorEastAsia"/>
        </w:rPr>
        <w:t xml:space="preserve"> verwezen naar de projectleider die, mits hij of zij voldoende statuur heeft, een belangrijke ambassadeursrol kan spelen in de verspreiding van de innovatie naar andere onderdelen van de organisatie. In de praktijk kan dit ook iemand zijn met een andere rol, maar de verantwoordelijk</w:t>
      </w:r>
      <w:r w:rsidR="00CA7F3F">
        <w:rPr>
          <w:rFonts w:eastAsiaTheme="minorEastAsia"/>
        </w:rPr>
        <w:t>heid</w:t>
      </w:r>
      <w:r w:rsidRPr="532F1467">
        <w:rPr>
          <w:rFonts w:eastAsiaTheme="minorEastAsia"/>
        </w:rPr>
        <w:t xml:space="preserve"> neerleggen bij een werknemer wordt als cruciaal gezien</w:t>
      </w:r>
      <w:r w:rsidR="00D677E2">
        <w:rPr>
          <w:rFonts w:eastAsiaTheme="minorEastAsia"/>
        </w:rPr>
        <w:t xml:space="preserve"> (Blindenbach-Driessen &amp; Van den Ende (</w:t>
      </w:r>
      <w:r w:rsidR="003A51A7">
        <w:rPr>
          <w:rFonts w:eastAsiaTheme="minorEastAsia"/>
        </w:rPr>
        <w:t>2010)</w:t>
      </w:r>
      <w:r w:rsidRPr="532F1467">
        <w:rPr>
          <w:rFonts w:eastAsiaTheme="minorEastAsia"/>
        </w:rPr>
        <w:t xml:space="preserve">. </w:t>
      </w:r>
    </w:p>
    <w:p w14:paraId="000B242E" w14:textId="0CC2AC9D" w:rsidR="33DD619B" w:rsidRDefault="0AB624A7" w:rsidP="0AB624A7">
      <w:pPr>
        <w:pStyle w:val="Kop2"/>
        <w:rPr>
          <w:rFonts w:asciiTheme="minorHAnsi" w:eastAsiaTheme="minorEastAsia" w:hAnsiTheme="minorHAnsi" w:cstheme="minorBidi"/>
        </w:rPr>
      </w:pPr>
      <w:bookmarkStart w:id="17" w:name="_Toc171411040"/>
      <w:r>
        <w:t>2.4 De focus van dit onderzoek</w:t>
      </w:r>
      <w:bookmarkEnd w:id="17"/>
    </w:p>
    <w:p w14:paraId="6CD6A7F7" w14:textId="74CE24BF" w:rsidR="006F7DF1" w:rsidRDefault="003E650A" w:rsidP="4FE52EB8">
      <w:r>
        <w:t>O</w:t>
      </w:r>
      <w:r w:rsidR="00065A58">
        <w:t>p basis van het uitgevoerde literatuuronderzoek kan gesteld worden dat de theorie vanuit drie literatuurlijnen succesfactoren levert, die bijdrage</w:t>
      </w:r>
      <w:r w:rsidR="000A15C2">
        <w:t>n</w:t>
      </w:r>
      <w:r w:rsidR="00065A58">
        <w:t xml:space="preserve"> aan het versterken van het innovatievermogen van een organisatie. </w:t>
      </w:r>
      <w:r w:rsidR="007E48FF">
        <w:t xml:space="preserve">Deze literatuurlijnen en succesfactoren worden in de onderstaande Tabel 1 </w:t>
      </w:r>
      <w:r w:rsidR="00287345">
        <w:t>samengevat</w:t>
      </w:r>
      <w:r w:rsidR="00A162BB">
        <w:t>:</w:t>
      </w:r>
    </w:p>
    <w:tbl>
      <w:tblPr>
        <w:tblStyle w:val="Tabelraster"/>
        <w:tblW w:w="0" w:type="auto"/>
        <w:tblLayout w:type="fixed"/>
        <w:tblLook w:val="06A0" w:firstRow="1" w:lastRow="0" w:firstColumn="1" w:lastColumn="0" w:noHBand="1" w:noVBand="1"/>
      </w:tblPr>
      <w:tblGrid>
        <w:gridCol w:w="4508"/>
        <w:gridCol w:w="4508"/>
      </w:tblGrid>
      <w:tr w:rsidR="00287345" w14:paraId="38CAC55E" w14:textId="77777777" w:rsidTr="00954D64">
        <w:trPr>
          <w:trHeight w:val="300"/>
        </w:trPr>
        <w:tc>
          <w:tcPr>
            <w:tcW w:w="4508" w:type="dxa"/>
            <w:shd w:val="clear" w:color="auto" w:fill="4472C4" w:themeFill="accent1"/>
          </w:tcPr>
          <w:p w14:paraId="42CE366B" w14:textId="77777777" w:rsidR="00287345" w:rsidRDefault="00287345" w:rsidP="00954D64">
            <w:pPr>
              <w:rPr>
                <w:b/>
                <w:bCs/>
                <w:sz w:val="24"/>
                <w:szCs w:val="24"/>
              </w:rPr>
            </w:pPr>
            <w:r w:rsidRPr="532F1467">
              <w:rPr>
                <w:b/>
                <w:bCs/>
                <w:sz w:val="24"/>
                <w:szCs w:val="24"/>
              </w:rPr>
              <w:t>Literatuurlijn</w:t>
            </w:r>
          </w:p>
        </w:tc>
        <w:tc>
          <w:tcPr>
            <w:tcW w:w="4508" w:type="dxa"/>
            <w:shd w:val="clear" w:color="auto" w:fill="4472C4" w:themeFill="accent1"/>
          </w:tcPr>
          <w:p w14:paraId="7C0A78D7" w14:textId="77777777" w:rsidR="00287345" w:rsidRDefault="00287345" w:rsidP="00954D64">
            <w:pPr>
              <w:rPr>
                <w:b/>
                <w:bCs/>
                <w:sz w:val="24"/>
                <w:szCs w:val="24"/>
              </w:rPr>
            </w:pPr>
            <w:r w:rsidRPr="532F1467">
              <w:rPr>
                <w:b/>
                <w:bCs/>
                <w:sz w:val="24"/>
                <w:szCs w:val="24"/>
              </w:rPr>
              <w:t>Succesfactor</w:t>
            </w:r>
          </w:p>
        </w:tc>
      </w:tr>
      <w:tr w:rsidR="00287345" w14:paraId="56BEB16E" w14:textId="77777777" w:rsidTr="00954D64">
        <w:trPr>
          <w:trHeight w:val="300"/>
        </w:trPr>
        <w:tc>
          <w:tcPr>
            <w:tcW w:w="4508" w:type="dxa"/>
            <w:shd w:val="clear" w:color="auto" w:fill="9CC2E5" w:themeFill="accent5" w:themeFillTint="99"/>
          </w:tcPr>
          <w:p w14:paraId="56028B54" w14:textId="77777777" w:rsidR="00287345" w:rsidRDefault="00287345" w:rsidP="00954D64">
            <w:pPr>
              <w:rPr>
                <w:b/>
                <w:bCs/>
              </w:rPr>
            </w:pPr>
            <w:r w:rsidRPr="4FE52EB8">
              <w:rPr>
                <w:b/>
                <w:bCs/>
              </w:rPr>
              <w:t>Procesgerelateerde factoren</w:t>
            </w:r>
          </w:p>
        </w:tc>
        <w:tc>
          <w:tcPr>
            <w:tcW w:w="4508" w:type="dxa"/>
            <w:shd w:val="clear" w:color="auto" w:fill="9CC2E5" w:themeFill="accent5" w:themeFillTint="99"/>
          </w:tcPr>
          <w:p w14:paraId="3AA7E9BC" w14:textId="77777777" w:rsidR="00287345" w:rsidRDefault="00287345" w:rsidP="00954D64"/>
        </w:tc>
      </w:tr>
      <w:tr w:rsidR="00287345" w14:paraId="447D3C64" w14:textId="77777777" w:rsidTr="00954D64">
        <w:trPr>
          <w:trHeight w:val="300"/>
        </w:trPr>
        <w:tc>
          <w:tcPr>
            <w:tcW w:w="4508" w:type="dxa"/>
            <w:shd w:val="clear" w:color="auto" w:fill="D9E2F3" w:themeFill="accent1" w:themeFillTint="33"/>
          </w:tcPr>
          <w:p w14:paraId="6CA9A485" w14:textId="77777777" w:rsidR="00287345" w:rsidRDefault="00287345" w:rsidP="00954D64">
            <w:r w:rsidRPr="4FE52EB8">
              <w:t>Innovatieprocessen</w:t>
            </w:r>
          </w:p>
        </w:tc>
        <w:tc>
          <w:tcPr>
            <w:tcW w:w="4508" w:type="dxa"/>
            <w:shd w:val="clear" w:color="auto" w:fill="D9E2F3" w:themeFill="accent1" w:themeFillTint="33"/>
          </w:tcPr>
          <w:p w14:paraId="4319812C" w14:textId="77777777" w:rsidR="00287345" w:rsidRDefault="00287345" w:rsidP="00954D64">
            <w:r w:rsidRPr="4FE52EB8">
              <w:t>Het structureren van het innovatieproces in een procesbeschrijving of tool</w:t>
            </w:r>
          </w:p>
        </w:tc>
      </w:tr>
      <w:tr w:rsidR="00287345" w14:paraId="42C88BD7" w14:textId="77777777" w:rsidTr="00954D64">
        <w:trPr>
          <w:trHeight w:val="300"/>
        </w:trPr>
        <w:tc>
          <w:tcPr>
            <w:tcW w:w="4508" w:type="dxa"/>
            <w:shd w:val="clear" w:color="auto" w:fill="9CC2E5" w:themeFill="accent5" w:themeFillTint="99"/>
          </w:tcPr>
          <w:p w14:paraId="1382A624" w14:textId="77777777" w:rsidR="00287345" w:rsidRDefault="00287345" w:rsidP="00954D64">
            <w:pPr>
              <w:rPr>
                <w:b/>
                <w:bCs/>
              </w:rPr>
            </w:pPr>
            <w:r w:rsidRPr="4FE52EB8">
              <w:rPr>
                <w:b/>
                <w:bCs/>
              </w:rPr>
              <w:t>Organisatiegerelateerde factoren</w:t>
            </w:r>
          </w:p>
        </w:tc>
        <w:tc>
          <w:tcPr>
            <w:tcW w:w="4508" w:type="dxa"/>
            <w:shd w:val="clear" w:color="auto" w:fill="9CC2E5" w:themeFill="accent5" w:themeFillTint="99"/>
          </w:tcPr>
          <w:p w14:paraId="162C7671" w14:textId="77777777" w:rsidR="00287345" w:rsidRDefault="00287345" w:rsidP="00954D64"/>
        </w:tc>
      </w:tr>
      <w:tr w:rsidR="00287345" w14:paraId="7DC984DA" w14:textId="77777777" w:rsidTr="00954D64">
        <w:trPr>
          <w:trHeight w:val="300"/>
        </w:trPr>
        <w:tc>
          <w:tcPr>
            <w:tcW w:w="4508" w:type="dxa"/>
            <w:shd w:val="clear" w:color="auto" w:fill="D9E2F3" w:themeFill="accent1" w:themeFillTint="33"/>
          </w:tcPr>
          <w:p w14:paraId="22A99930" w14:textId="77777777" w:rsidR="00287345" w:rsidRDefault="00287345" w:rsidP="00954D64">
            <w:r w:rsidRPr="4FE52EB8">
              <w:t>Lerende organisatie</w:t>
            </w:r>
          </w:p>
        </w:tc>
        <w:tc>
          <w:tcPr>
            <w:tcW w:w="4508" w:type="dxa"/>
            <w:shd w:val="clear" w:color="auto" w:fill="D9E2F3" w:themeFill="accent1" w:themeFillTint="33"/>
          </w:tcPr>
          <w:p w14:paraId="5F66975C" w14:textId="2CE822B7" w:rsidR="00287345" w:rsidRDefault="006A0595" w:rsidP="00954D64">
            <w:r>
              <w:t>Transformationeel leiderschap</w:t>
            </w:r>
          </w:p>
        </w:tc>
      </w:tr>
      <w:tr w:rsidR="006A0595" w14:paraId="74E35F4B" w14:textId="77777777" w:rsidTr="00954D64">
        <w:trPr>
          <w:trHeight w:val="300"/>
        </w:trPr>
        <w:tc>
          <w:tcPr>
            <w:tcW w:w="4508" w:type="dxa"/>
            <w:shd w:val="clear" w:color="auto" w:fill="D9E2F3" w:themeFill="accent1" w:themeFillTint="33"/>
          </w:tcPr>
          <w:p w14:paraId="061FC8CF" w14:textId="77777777" w:rsidR="006A0595" w:rsidRPr="4FE52EB8" w:rsidRDefault="006A0595" w:rsidP="00954D64"/>
        </w:tc>
        <w:tc>
          <w:tcPr>
            <w:tcW w:w="4508" w:type="dxa"/>
            <w:shd w:val="clear" w:color="auto" w:fill="D9E2F3" w:themeFill="accent1" w:themeFillTint="33"/>
          </w:tcPr>
          <w:p w14:paraId="0C67603B" w14:textId="78591159" w:rsidR="006A0595" w:rsidRDefault="006A0595" w:rsidP="00954D64">
            <w:r>
              <w:t>Veranderbereidheid</w:t>
            </w:r>
          </w:p>
        </w:tc>
      </w:tr>
      <w:tr w:rsidR="006A0595" w14:paraId="4AF55E3B" w14:textId="77777777" w:rsidTr="00954D64">
        <w:trPr>
          <w:trHeight w:val="300"/>
        </w:trPr>
        <w:tc>
          <w:tcPr>
            <w:tcW w:w="4508" w:type="dxa"/>
            <w:shd w:val="clear" w:color="auto" w:fill="D9E2F3" w:themeFill="accent1" w:themeFillTint="33"/>
          </w:tcPr>
          <w:p w14:paraId="734F3449" w14:textId="77777777" w:rsidR="006A0595" w:rsidRPr="4FE52EB8" w:rsidRDefault="006A0595" w:rsidP="006A0595"/>
        </w:tc>
        <w:tc>
          <w:tcPr>
            <w:tcW w:w="4508" w:type="dxa"/>
            <w:shd w:val="clear" w:color="auto" w:fill="D9E2F3" w:themeFill="accent1" w:themeFillTint="33"/>
          </w:tcPr>
          <w:p w14:paraId="4095B960" w14:textId="0A8DD3A4" w:rsidR="006A0595" w:rsidRPr="532F1467" w:rsidRDefault="006A0595" w:rsidP="006A0595">
            <w:r>
              <w:t>Organisatiel</w:t>
            </w:r>
            <w:r w:rsidRPr="4FE52EB8">
              <w:t>eercultuur</w:t>
            </w:r>
          </w:p>
        </w:tc>
      </w:tr>
      <w:tr w:rsidR="006A0595" w14:paraId="0D3B5C7F" w14:textId="77777777" w:rsidTr="00954D64">
        <w:trPr>
          <w:trHeight w:val="300"/>
        </w:trPr>
        <w:tc>
          <w:tcPr>
            <w:tcW w:w="4508" w:type="dxa"/>
            <w:shd w:val="clear" w:color="auto" w:fill="D9E2F3" w:themeFill="accent1" w:themeFillTint="33"/>
          </w:tcPr>
          <w:p w14:paraId="36FA96A2" w14:textId="77777777" w:rsidR="006A0595" w:rsidRDefault="006A0595" w:rsidP="006A0595"/>
        </w:tc>
        <w:tc>
          <w:tcPr>
            <w:tcW w:w="4508" w:type="dxa"/>
            <w:shd w:val="clear" w:color="auto" w:fill="D9E2F3" w:themeFill="accent1" w:themeFillTint="33"/>
          </w:tcPr>
          <w:p w14:paraId="46718D02" w14:textId="77777777" w:rsidR="006A0595" w:rsidRDefault="006A0595" w:rsidP="006A0595">
            <w:r w:rsidRPr="4FE52EB8">
              <w:t>Kennismanagement- en deling</w:t>
            </w:r>
          </w:p>
        </w:tc>
      </w:tr>
      <w:tr w:rsidR="006A0595" w14:paraId="0449891F" w14:textId="77777777" w:rsidTr="00954D64">
        <w:trPr>
          <w:trHeight w:val="300"/>
        </w:trPr>
        <w:tc>
          <w:tcPr>
            <w:tcW w:w="4508" w:type="dxa"/>
            <w:shd w:val="clear" w:color="auto" w:fill="D9E2F3" w:themeFill="accent1" w:themeFillTint="33"/>
          </w:tcPr>
          <w:p w14:paraId="395834A7" w14:textId="77777777" w:rsidR="006A0595" w:rsidRDefault="006A0595" w:rsidP="006A0595"/>
        </w:tc>
        <w:tc>
          <w:tcPr>
            <w:tcW w:w="4508" w:type="dxa"/>
            <w:shd w:val="clear" w:color="auto" w:fill="D9E2F3" w:themeFill="accent1" w:themeFillTint="33"/>
          </w:tcPr>
          <w:p w14:paraId="07E8AD35" w14:textId="2BCBD141" w:rsidR="006A0595" w:rsidRDefault="006A0595" w:rsidP="006A0595">
            <w:r>
              <w:t>Autonomie</w:t>
            </w:r>
          </w:p>
        </w:tc>
      </w:tr>
      <w:tr w:rsidR="006A0595" w14:paraId="30476713" w14:textId="77777777" w:rsidTr="00954D64">
        <w:trPr>
          <w:trHeight w:val="300"/>
        </w:trPr>
        <w:tc>
          <w:tcPr>
            <w:tcW w:w="4508" w:type="dxa"/>
            <w:shd w:val="clear" w:color="auto" w:fill="D9E2F3" w:themeFill="accent1" w:themeFillTint="33"/>
          </w:tcPr>
          <w:p w14:paraId="141E2CF3" w14:textId="77777777" w:rsidR="006A0595" w:rsidRDefault="006A0595" w:rsidP="006A0595">
            <w:r w:rsidRPr="532F1467">
              <w:t>Innovatiemanagement</w:t>
            </w:r>
          </w:p>
        </w:tc>
        <w:tc>
          <w:tcPr>
            <w:tcW w:w="4508" w:type="dxa"/>
            <w:shd w:val="clear" w:color="auto" w:fill="D9E2F3" w:themeFill="accent1" w:themeFillTint="33"/>
          </w:tcPr>
          <w:p w14:paraId="64AF3314" w14:textId="77777777" w:rsidR="006A0595" w:rsidRDefault="006A0595" w:rsidP="006A0595">
            <w:r w:rsidRPr="31E21C5F">
              <w:t>Innovatiebeleid</w:t>
            </w:r>
          </w:p>
        </w:tc>
      </w:tr>
      <w:tr w:rsidR="006A0595" w14:paraId="37A156FC" w14:textId="77777777" w:rsidTr="00954D64">
        <w:trPr>
          <w:trHeight w:val="300"/>
        </w:trPr>
        <w:tc>
          <w:tcPr>
            <w:tcW w:w="4508" w:type="dxa"/>
            <w:shd w:val="clear" w:color="auto" w:fill="D9E2F3" w:themeFill="accent1" w:themeFillTint="33"/>
          </w:tcPr>
          <w:p w14:paraId="3E4A1174" w14:textId="77777777" w:rsidR="006A0595" w:rsidRDefault="006A0595" w:rsidP="006A0595"/>
        </w:tc>
        <w:tc>
          <w:tcPr>
            <w:tcW w:w="4508" w:type="dxa"/>
            <w:shd w:val="clear" w:color="auto" w:fill="D9E2F3" w:themeFill="accent1" w:themeFillTint="33"/>
          </w:tcPr>
          <w:p w14:paraId="3A8C68E8" w14:textId="77777777" w:rsidR="006A0595" w:rsidRDefault="006A0595" w:rsidP="006A0595">
            <w:r w:rsidRPr="532F1467">
              <w:t>Leiderschap</w:t>
            </w:r>
          </w:p>
        </w:tc>
      </w:tr>
      <w:tr w:rsidR="006A0595" w14:paraId="09722940" w14:textId="77777777" w:rsidTr="00954D64">
        <w:trPr>
          <w:trHeight w:val="300"/>
        </w:trPr>
        <w:tc>
          <w:tcPr>
            <w:tcW w:w="4508" w:type="dxa"/>
            <w:shd w:val="clear" w:color="auto" w:fill="D9E2F3" w:themeFill="accent1" w:themeFillTint="33"/>
          </w:tcPr>
          <w:p w14:paraId="4392DF0F" w14:textId="77777777" w:rsidR="006A0595" w:rsidRDefault="006A0595" w:rsidP="006A0595"/>
        </w:tc>
        <w:tc>
          <w:tcPr>
            <w:tcW w:w="4508" w:type="dxa"/>
            <w:shd w:val="clear" w:color="auto" w:fill="D9E2F3" w:themeFill="accent1" w:themeFillTint="33"/>
          </w:tcPr>
          <w:p w14:paraId="7484104C" w14:textId="77777777" w:rsidR="006A0595" w:rsidRDefault="006A0595" w:rsidP="006A0595">
            <w:r w:rsidRPr="532F1467">
              <w:t xml:space="preserve">Eigenaarschap </w:t>
            </w:r>
          </w:p>
        </w:tc>
      </w:tr>
    </w:tbl>
    <w:p w14:paraId="6BC6F8BD" w14:textId="48A1D06E" w:rsidR="00287345" w:rsidRPr="009E0586" w:rsidRDefault="006A0595" w:rsidP="4FE52EB8">
      <w:pPr>
        <w:rPr>
          <w:i/>
          <w:iCs/>
          <w:sz w:val="20"/>
          <w:szCs w:val="20"/>
          <w:u w:val="single"/>
        </w:rPr>
      </w:pPr>
      <w:r w:rsidRPr="009E0586">
        <w:rPr>
          <w:i/>
          <w:iCs/>
          <w:sz w:val="20"/>
          <w:szCs w:val="20"/>
          <w:u w:val="single"/>
        </w:rPr>
        <w:t xml:space="preserve">Tabel 1: </w:t>
      </w:r>
      <w:r w:rsidR="009E0586" w:rsidRPr="009E0586">
        <w:rPr>
          <w:i/>
          <w:iCs/>
          <w:sz w:val="20"/>
          <w:szCs w:val="20"/>
          <w:u w:val="single"/>
        </w:rPr>
        <w:t>Samenvatting van de succesfactoren voor het versterken van het innovatievermogen uit de theorie</w:t>
      </w:r>
    </w:p>
    <w:p w14:paraId="63879538" w14:textId="25527ECC" w:rsidR="000A15C2" w:rsidRDefault="6B9CB4C1" w:rsidP="532F1467">
      <w:r>
        <w:t>Vanuit de literatuur over innovatieprocessen komt naar voren dat het structureren van het innovatieproces een belangrijke succesfactor is. Per fase van dit proces dienen een aantal aspecten te gebeuren, voordat over kan worden gegaan tot de volgende fase. Om dit succesvol te kunnen doen, adviseert de literatuur om het innovatieproces uit te werken in een procesbeschrijving of tool. Vervolgens stelt de literatuur dat enkel het structureren van een innovatieproces in je organisatie niet voldoende is om het innovatievermogen te versterken. De organisatie moet er ook daadwerkelijk klaar voor zijn. Zoals in dit Theoretisch Kader beschreven, leveren twee literatuurlijnen succesfactoren om als organisatie hieraan te voldoen. De eerste literatuurlijn is de lerende organisatie. Deze literatuurlijn levert, zoals te zien in Tabel 1, een vijftal aan succesfactoren.</w:t>
      </w:r>
      <w:r w:rsidRPr="6B9CB4C1">
        <w:rPr>
          <w:rFonts w:eastAsiaTheme="minorEastAsia"/>
        </w:rPr>
        <w:t xml:space="preserve"> Tot slot levert de literatuurlijn innovatiemanagement nog een drietal succesfactoren (zie Tabel 1) die bijdragen aan het versterken van het innovatievermogen van een organisatie.</w:t>
      </w:r>
      <w:r>
        <w:t xml:space="preserve"> </w:t>
      </w:r>
    </w:p>
    <w:p w14:paraId="5C720D34" w14:textId="370AB1AB" w:rsidR="00FA5937" w:rsidRDefault="532F1467" w:rsidP="31E21C5F">
      <w:pPr>
        <w:rPr>
          <w:rFonts w:eastAsiaTheme="minorEastAsia"/>
        </w:rPr>
      </w:pPr>
      <w:r w:rsidRPr="532F1467">
        <w:rPr>
          <w:rFonts w:eastAsiaTheme="minorEastAsia"/>
        </w:rPr>
        <w:t xml:space="preserve">Zoals eerder </w:t>
      </w:r>
      <w:r w:rsidR="002C55A3">
        <w:rPr>
          <w:rFonts w:eastAsiaTheme="minorEastAsia"/>
        </w:rPr>
        <w:t>beschreven</w:t>
      </w:r>
      <w:r w:rsidRPr="532F1467">
        <w:rPr>
          <w:rFonts w:eastAsiaTheme="minorEastAsia"/>
        </w:rPr>
        <w:t xml:space="preserve">, is de aanwezigheid van de genoemde principes van een lerende organisatie al </w:t>
      </w:r>
      <w:r w:rsidR="00640192">
        <w:rPr>
          <w:rFonts w:eastAsiaTheme="minorEastAsia"/>
        </w:rPr>
        <w:t xml:space="preserve">eerder </w:t>
      </w:r>
      <w:r w:rsidRPr="532F1467">
        <w:rPr>
          <w:rFonts w:eastAsiaTheme="minorEastAsia"/>
        </w:rPr>
        <w:t>onderzocht binnen PPO Rijkswaterstaat (Gerritz, 2021). Dit onderzoek van Gerritz (2021) heeft geconstateerd dat op het gebied van kennismanagement- en deling en de leercultuur nog belangrijke stappen te zetten zijn. Wat betreft de succesfactor autonomie is op basis van het onderzoek van Gerritz (2021) te stellen dat er aanvullend onderzoek nodig is wat betreft de relatie met innovaties. Dit is nog niet onderzocht in het onderzoek van Gerritz (2021). Vanuit deze bevindingen en de extra check in controle interviews (Persoonlijke communicatie, 5 en 8 april 2024) aan het begin van dit onderzoek zijn deze drie succesfactoren dan ook geselecteerd om mee te nemen in het empirische gedeelte van dit onderzoek. In de controle</w:t>
      </w:r>
      <w:r w:rsidR="00B92967">
        <w:rPr>
          <w:rFonts w:eastAsiaTheme="minorEastAsia"/>
        </w:rPr>
        <w:t>-</w:t>
      </w:r>
      <w:r w:rsidRPr="532F1467">
        <w:rPr>
          <w:rFonts w:eastAsiaTheme="minorEastAsia"/>
        </w:rPr>
        <w:t xml:space="preserve">interviews is gevraagd of op de factoren uit het onderzoek van Gerritz (2021) inderdaad nog grote te stappen te zetten zijn of relevant zijn in relatie tot innovaties binnen PPO Rijkswaterstaat. </w:t>
      </w:r>
      <w:r w:rsidR="00F61599">
        <w:rPr>
          <w:rFonts w:eastAsiaTheme="minorEastAsia"/>
        </w:rPr>
        <w:t xml:space="preserve">Naar aanleiding van deze interviews </w:t>
      </w:r>
      <w:r w:rsidR="007E69F6">
        <w:rPr>
          <w:rFonts w:eastAsiaTheme="minorEastAsia"/>
        </w:rPr>
        <w:t>is ervoor gekozen dat dit onderzoek zich</w:t>
      </w:r>
      <w:r w:rsidR="0035164F">
        <w:rPr>
          <w:rFonts w:eastAsiaTheme="minorEastAsia"/>
        </w:rPr>
        <w:t xml:space="preserve">, vanuit de literatuurlijn lerende organisatie, focust op de drie succesfactoren </w:t>
      </w:r>
      <w:r w:rsidR="00D321F1">
        <w:rPr>
          <w:rFonts w:eastAsiaTheme="minorEastAsia"/>
        </w:rPr>
        <w:t xml:space="preserve">‘organisatieleercultuur’, ‘kennismanagement- en deling’ en </w:t>
      </w:r>
      <w:r w:rsidR="007F5897">
        <w:rPr>
          <w:rFonts w:eastAsiaTheme="minorEastAsia"/>
        </w:rPr>
        <w:t xml:space="preserve">‘autonomie’. </w:t>
      </w:r>
    </w:p>
    <w:p w14:paraId="1A0B55FC" w14:textId="6F9679C3" w:rsidR="4FE52EB8" w:rsidRPr="00EF5AF9" w:rsidRDefault="31E21C5F" w:rsidP="31E21C5F">
      <w:r w:rsidRPr="31E21C5F">
        <w:rPr>
          <w:rFonts w:eastAsiaTheme="minorEastAsia"/>
        </w:rPr>
        <w:t>In het empirisch onderzoek zal d</w:t>
      </w:r>
      <w:r w:rsidR="00EF5AF9">
        <w:rPr>
          <w:rFonts w:eastAsiaTheme="minorEastAsia"/>
        </w:rPr>
        <w:t>aarnaast de</w:t>
      </w:r>
      <w:r w:rsidRPr="31E21C5F">
        <w:rPr>
          <w:rFonts w:eastAsiaTheme="minorEastAsia"/>
        </w:rPr>
        <w:t xml:space="preserve"> mate van aanwezigheid van </w:t>
      </w:r>
      <w:r w:rsidR="00114457">
        <w:rPr>
          <w:rFonts w:eastAsiaTheme="minorEastAsia"/>
        </w:rPr>
        <w:t xml:space="preserve">de drie </w:t>
      </w:r>
      <w:r w:rsidRPr="31E21C5F">
        <w:rPr>
          <w:rFonts w:eastAsiaTheme="minorEastAsia"/>
        </w:rPr>
        <w:t>succesfactore</w:t>
      </w:r>
      <w:r w:rsidR="00114457">
        <w:rPr>
          <w:rFonts w:eastAsiaTheme="minorEastAsia"/>
        </w:rPr>
        <w:t>n</w:t>
      </w:r>
      <w:r w:rsidR="002008A1">
        <w:rPr>
          <w:rFonts w:eastAsiaTheme="minorEastAsia"/>
        </w:rPr>
        <w:t xml:space="preserve"> vanuit de literatuurlijn innovatiemanagement</w:t>
      </w:r>
      <w:r w:rsidRPr="31E21C5F">
        <w:rPr>
          <w:rFonts w:eastAsiaTheme="minorEastAsia"/>
        </w:rPr>
        <w:t xml:space="preserve"> onderzocht worden binnen PPO Rijkswaterstaat.</w:t>
      </w:r>
      <w:r w:rsidR="00FA5937">
        <w:rPr>
          <w:rFonts w:eastAsiaTheme="minorEastAsia"/>
        </w:rPr>
        <w:t xml:space="preserve"> Deze succesfactoren zijn namelijk nog niet eerder onderzocht binnen Rijkswaterstaat.</w:t>
      </w:r>
      <w:r w:rsidRPr="31E21C5F">
        <w:rPr>
          <w:rFonts w:eastAsiaTheme="minorEastAsia"/>
        </w:rPr>
        <w:t xml:space="preserve"> Daarbij is het </w:t>
      </w:r>
      <w:r w:rsidR="00FA5937">
        <w:rPr>
          <w:rFonts w:eastAsiaTheme="minorEastAsia"/>
        </w:rPr>
        <w:t xml:space="preserve">wel </w:t>
      </w:r>
      <w:r w:rsidRPr="31E21C5F">
        <w:rPr>
          <w:rFonts w:eastAsiaTheme="minorEastAsia"/>
        </w:rPr>
        <w:t xml:space="preserve">belangrijk om te vermelden dat vanuit deze literatuurlijn de transformationele leiderschapsstijl niet wordt meegenomen binnen de succesfactor leiderschap, omdat deze stijl van leidinggeven reeds is onderzocht in het onderzoek van Gerritz (2021). </w:t>
      </w:r>
      <w:r w:rsidR="00FA5937">
        <w:rPr>
          <w:rFonts w:eastAsiaTheme="minorEastAsia"/>
        </w:rPr>
        <w:t>Tot slot focust dit onderzoek zich ook op de succesfactor ‘</w:t>
      </w:r>
      <w:r w:rsidR="007F5897">
        <w:rPr>
          <w:rFonts w:eastAsiaTheme="minorEastAsia"/>
        </w:rPr>
        <w:t>h</w:t>
      </w:r>
      <w:r w:rsidR="00FA5937" w:rsidRPr="00FA5937">
        <w:rPr>
          <w:rFonts w:eastAsiaTheme="minorEastAsia"/>
        </w:rPr>
        <w:t>et structureren van het innovatieproces in een procesbeschrijving of tool</w:t>
      </w:r>
      <w:r w:rsidR="00FA5937">
        <w:rPr>
          <w:rFonts w:eastAsiaTheme="minorEastAsia"/>
        </w:rPr>
        <w:t>’</w:t>
      </w:r>
      <w:r w:rsidR="00DC676A">
        <w:rPr>
          <w:rFonts w:eastAsiaTheme="minorEastAsia"/>
        </w:rPr>
        <w:t xml:space="preserve"> vanuit de literatuur over innovatieprocessen. Ook de aanwezigheid van deze succesfactor is nog niet eerder onderzocht binnen Rijkswaterstaat. </w:t>
      </w:r>
    </w:p>
    <w:p w14:paraId="27627059" w14:textId="4AB597AA" w:rsidR="31E21C5F" w:rsidRDefault="050109F2" w:rsidP="31E21C5F">
      <w:r>
        <w:t xml:space="preserve">Op basis van de bovenstaande beschrijving geeft Tabel </w:t>
      </w:r>
      <w:r w:rsidR="007F5897">
        <w:t>2</w:t>
      </w:r>
      <w:r>
        <w:t xml:space="preserve"> hieronder een overzicht van de zeven succesfactoren voor het versterken van het innovatievermogen van een organisatie</w:t>
      </w:r>
      <w:r w:rsidR="006207CF">
        <w:t>,</w:t>
      </w:r>
      <w:r>
        <w:t xml:space="preserve"> die in dit onderzoek empirisch onderzocht zullen worden bij PPO Rijkswaterstaat:</w:t>
      </w:r>
    </w:p>
    <w:tbl>
      <w:tblPr>
        <w:tblStyle w:val="Tabelraster"/>
        <w:tblW w:w="0" w:type="auto"/>
        <w:tblLayout w:type="fixed"/>
        <w:tblLook w:val="06A0" w:firstRow="1" w:lastRow="0" w:firstColumn="1" w:lastColumn="0" w:noHBand="1" w:noVBand="1"/>
      </w:tblPr>
      <w:tblGrid>
        <w:gridCol w:w="4508"/>
        <w:gridCol w:w="4508"/>
      </w:tblGrid>
      <w:tr w:rsidR="4FE52EB8" w14:paraId="652540AC" w14:textId="77777777" w:rsidTr="31E21C5F">
        <w:trPr>
          <w:trHeight w:val="300"/>
        </w:trPr>
        <w:tc>
          <w:tcPr>
            <w:tcW w:w="4508" w:type="dxa"/>
            <w:shd w:val="clear" w:color="auto" w:fill="4472C4" w:themeFill="accent1"/>
          </w:tcPr>
          <w:p w14:paraId="2354C851" w14:textId="76CBD1B9" w:rsidR="4FE52EB8" w:rsidRDefault="532F1467" w:rsidP="532F1467">
            <w:pPr>
              <w:rPr>
                <w:b/>
                <w:bCs/>
                <w:sz w:val="24"/>
                <w:szCs w:val="24"/>
              </w:rPr>
            </w:pPr>
            <w:r w:rsidRPr="532F1467">
              <w:rPr>
                <w:b/>
                <w:bCs/>
                <w:sz w:val="24"/>
                <w:szCs w:val="24"/>
              </w:rPr>
              <w:t>Literatuurlijn</w:t>
            </w:r>
          </w:p>
        </w:tc>
        <w:tc>
          <w:tcPr>
            <w:tcW w:w="4508" w:type="dxa"/>
            <w:shd w:val="clear" w:color="auto" w:fill="4472C4" w:themeFill="accent1"/>
          </w:tcPr>
          <w:p w14:paraId="648D277E" w14:textId="4D313BC1" w:rsidR="4FE52EB8" w:rsidRDefault="532F1467" w:rsidP="532F1467">
            <w:pPr>
              <w:rPr>
                <w:b/>
                <w:bCs/>
                <w:sz w:val="24"/>
                <w:szCs w:val="24"/>
              </w:rPr>
            </w:pPr>
            <w:r w:rsidRPr="532F1467">
              <w:rPr>
                <w:b/>
                <w:bCs/>
                <w:sz w:val="24"/>
                <w:szCs w:val="24"/>
              </w:rPr>
              <w:t>Succesfactor</w:t>
            </w:r>
          </w:p>
        </w:tc>
      </w:tr>
      <w:tr w:rsidR="4FE52EB8" w14:paraId="038049F7" w14:textId="77777777" w:rsidTr="31E21C5F">
        <w:trPr>
          <w:trHeight w:val="300"/>
        </w:trPr>
        <w:tc>
          <w:tcPr>
            <w:tcW w:w="4508" w:type="dxa"/>
            <w:shd w:val="clear" w:color="auto" w:fill="9CC2E5" w:themeFill="accent5" w:themeFillTint="99"/>
          </w:tcPr>
          <w:p w14:paraId="5C17FC9C" w14:textId="62D17AE4" w:rsidR="4FE52EB8" w:rsidRDefault="4FE52EB8" w:rsidP="4FE52EB8">
            <w:pPr>
              <w:rPr>
                <w:b/>
                <w:bCs/>
              </w:rPr>
            </w:pPr>
            <w:r w:rsidRPr="4FE52EB8">
              <w:rPr>
                <w:b/>
                <w:bCs/>
              </w:rPr>
              <w:t>Procesgerelateerde factoren</w:t>
            </w:r>
          </w:p>
        </w:tc>
        <w:tc>
          <w:tcPr>
            <w:tcW w:w="4508" w:type="dxa"/>
            <w:shd w:val="clear" w:color="auto" w:fill="9CC2E5" w:themeFill="accent5" w:themeFillTint="99"/>
          </w:tcPr>
          <w:p w14:paraId="07069F9D" w14:textId="6EEF88AC" w:rsidR="4FE52EB8" w:rsidRDefault="4FE52EB8" w:rsidP="4FE52EB8"/>
        </w:tc>
      </w:tr>
      <w:tr w:rsidR="4FE52EB8" w14:paraId="4AA57096" w14:textId="77777777" w:rsidTr="31E21C5F">
        <w:trPr>
          <w:trHeight w:val="300"/>
        </w:trPr>
        <w:tc>
          <w:tcPr>
            <w:tcW w:w="4508" w:type="dxa"/>
            <w:shd w:val="clear" w:color="auto" w:fill="D9E2F3" w:themeFill="accent1" w:themeFillTint="33"/>
          </w:tcPr>
          <w:p w14:paraId="51600444" w14:textId="5CA89EC3" w:rsidR="4FE52EB8" w:rsidRDefault="4FE52EB8" w:rsidP="4FE52EB8">
            <w:r w:rsidRPr="4FE52EB8">
              <w:t>Innovatieprocessen</w:t>
            </w:r>
          </w:p>
        </w:tc>
        <w:tc>
          <w:tcPr>
            <w:tcW w:w="4508" w:type="dxa"/>
            <w:shd w:val="clear" w:color="auto" w:fill="D9E2F3" w:themeFill="accent1" w:themeFillTint="33"/>
          </w:tcPr>
          <w:p w14:paraId="54723E97" w14:textId="77ABF394" w:rsidR="4FE52EB8" w:rsidRDefault="4FE52EB8" w:rsidP="4FE52EB8">
            <w:r w:rsidRPr="4FE52EB8">
              <w:t>Het structureren van het innovatieproces in een procesbeschrijving of tool</w:t>
            </w:r>
          </w:p>
        </w:tc>
      </w:tr>
      <w:tr w:rsidR="4FE52EB8" w14:paraId="26B3B7BC" w14:textId="77777777" w:rsidTr="31E21C5F">
        <w:trPr>
          <w:trHeight w:val="300"/>
        </w:trPr>
        <w:tc>
          <w:tcPr>
            <w:tcW w:w="4508" w:type="dxa"/>
            <w:shd w:val="clear" w:color="auto" w:fill="9CC2E5" w:themeFill="accent5" w:themeFillTint="99"/>
          </w:tcPr>
          <w:p w14:paraId="5A260B5E" w14:textId="02C117D8" w:rsidR="4FE52EB8" w:rsidRDefault="4FE52EB8" w:rsidP="4FE52EB8">
            <w:pPr>
              <w:rPr>
                <w:b/>
                <w:bCs/>
              </w:rPr>
            </w:pPr>
            <w:r w:rsidRPr="4FE52EB8">
              <w:rPr>
                <w:b/>
                <w:bCs/>
              </w:rPr>
              <w:t>Organisatiegerelateerde factoren</w:t>
            </w:r>
          </w:p>
        </w:tc>
        <w:tc>
          <w:tcPr>
            <w:tcW w:w="4508" w:type="dxa"/>
            <w:shd w:val="clear" w:color="auto" w:fill="9CC2E5" w:themeFill="accent5" w:themeFillTint="99"/>
          </w:tcPr>
          <w:p w14:paraId="06D400FE" w14:textId="15B928FE" w:rsidR="4FE52EB8" w:rsidRDefault="4FE52EB8" w:rsidP="4FE52EB8"/>
        </w:tc>
      </w:tr>
      <w:tr w:rsidR="006A0595" w14:paraId="75BD5DB4" w14:textId="77777777" w:rsidTr="31E21C5F">
        <w:trPr>
          <w:trHeight w:val="300"/>
        </w:trPr>
        <w:tc>
          <w:tcPr>
            <w:tcW w:w="4508" w:type="dxa"/>
            <w:shd w:val="clear" w:color="auto" w:fill="D9E2F3" w:themeFill="accent1" w:themeFillTint="33"/>
          </w:tcPr>
          <w:p w14:paraId="33005A6C" w14:textId="067985FE" w:rsidR="006A0595" w:rsidRDefault="006A0595" w:rsidP="006A0595">
            <w:r w:rsidRPr="4FE52EB8">
              <w:t>Lerende organisatie</w:t>
            </w:r>
          </w:p>
        </w:tc>
        <w:tc>
          <w:tcPr>
            <w:tcW w:w="4508" w:type="dxa"/>
            <w:shd w:val="clear" w:color="auto" w:fill="D9E2F3" w:themeFill="accent1" w:themeFillTint="33"/>
          </w:tcPr>
          <w:p w14:paraId="55D29865" w14:textId="160F1E30" w:rsidR="006A0595" w:rsidRDefault="006A0595" w:rsidP="006A0595">
            <w:r>
              <w:t>Organisatiel</w:t>
            </w:r>
            <w:r w:rsidRPr="4FE52EB8">
              <w:t>eercultuur</w:t>
            </w:r>
          </w:p>
        </w:tc>
      </w:tr>
      <w:tr w:rsidR="006A0595" w14:paraId="27A08132" w14:textId="77777777" w:rsidTr="31E21C5F">
        <w:trPr>
          <w:trHeight w:val="300"/>
        </w:trPr>
        <w:tc>
          <w:tcPr>
            <w:tcW w:w="4508" w:type="dxa"/>
            <w:shd w:val="clear" w:color="auto" w:fill="D9E2F3" w:themeFill="accent1" w:themeFillTint="33"/>
          </w:tcPr>
          <w:p w14:paraId="7090322C" w14:textId="3EDD5EF0" w:rsidR="006A0595" w:rsidRDefault="006A0595" w:rsidP="006A0595"/>
        </w:tc>
        <w:tc>
          <w:tcPr>
            <w:tcW w:w="4508" w:type="dxa"/>
            <w:shd w:val="clear" w:color="auto" w:fill="D9E2F3" w:themeFill="accent1" w:themeFillTint="33"/>
          </w:tcPr>
          <w:p w14:paraId="5398AFEE" w14:textId="345E88F8" w:rsidR="006A0595" w:rsidRDefault="006A0595" w:rsidP="006A0595">
            <w:r w:rsidRPr="4FE52EB8">
              <w:t>Kennismanagement- en deling</w:t>
            </w:r>
          </w:p>
        </w:tc>
      </w:tr>
      <w:tr w:rsidR="006A0595" w14:paraId="2C750CFD" w14:textId="77777777" w:rsidTr="31E21C5F">
        <w:trPr>
          <w:trHeight w:val="300"/>
        </w:trPr>
        <w:tc>
          <w:tcPr>
            <w:tcW w:w="4508" w:type="dxa"/>
            <w:shd w:val="clear" w:color="auto" w:fill="D9E2F3" w:themeFill="accent1" w:themeFillTint="33"/>
          </w:tcPr>
          <w:p w14:paraId="675C3988" w14:textId="3EDD5EF0" w:rsidR="006A0595" w:rsidRDefault="006A0595" w:rsidP="006A0595"/>
        </w:tc>
        <w:tc>
          <w:tcPr>
            <w:tcW w:w="4508" w:type="dxa"/>
            <w:shd w:val="clear" w:color="auto" w:fill="D9E2F3" w:themeFill="accent1" w:themeFillTint="33"/>
          </w:tcPr>
          <w:p w14:paraId="1298EE4D" w14:textId="6C925D94" w:rsidR="006A0595" w:rsidRDefault="006A0595" w:rsidP="006A0595">
            <w:r>
              <w:t>Autonomie</w:t>
            </w:r>
          </w:p>
        </w:tc>
      </w:tr>
      <w:tr w:rsidR="006A0595" w14:paraId="709472D8" w14:textId="77777777" w:rsidTr="31E21C5F">
        <w:trPr>
          <w:trHeight w:val="300"/>
        </w:trPr>
        <w:tc>
          <w:tcPr>
            <w:tcW w:w="4508" w:type="dxa"/>
            <w:shd w:val="clear" w:color="auto" w:fill="D9E2F3" w:themeFill="accent1" w:themeFillTint="33"/>
          </w:tcPr>
          <w:p w14:paraId="12458941" w14:textId="5CA4D393" w:rsidR="006A0595" w:rsidRDefault="006A0595" w:rsidP="006A0595">
            <w:r w:rsidRPr="532F1467">
              <w:t>Innovatiemanagement</w:t>
            </w:r>
          </w:p>
        </w:tc>
        <w:tc>
          <w:tcPr>
            <w:tcW w:w="4508" w:type="dxa"/>
            <w:shd w:val="clear" w:color="auto" w:fill="D9E2F3" w:themeFill="accent1" w:themeFillTint="33"/>
          </w:tcPr>
          <w:p w14:paraId="73BCA50C" w14:textId="65B7E01F" w:rsidR="006A0595" w:rsidRDefault="006A0595" w:rsidP="006A0595">
            <w:r w:rsidRPr="31E21C5F">
              <w:t>Innovatiebeleid</w:t>
            </w:r>
          </w:p>
        </w:tc>
      </w:tr>
      <w:tr w:rsidR="006A0595" w14:paraId="15FF618B" w14:textId="77777777" w:rsidTr="31E21C5F">
        <w:trPr>
          <w:trHeight w:val="300"/>
        </w:trPr>
        <w:tc>
          <w:tcPr>
            <w:tcW w:w="4508" w:type="dxa"/>
            <w:shd w:val="clear" w:color="auto" w:fill="D9E2F3" w:themeFill="accent1" w:themeFillTint="33"/>
          </w:tcPr>
          <w:p w14:paraId="23D974E7" w14:textId="50235F3E" w:rsidR="006A0595" w:rsidRDefault="006A0595" w:rsidP="006A0595"/>
        </w:tc>
        <w:tc>
          <w:tcPr>
            <w:tcW w:w="4508" w:type="dxa"/>
            <w:shd w:val="clear" w:color="auto" w:fill="D9E2F3" w:themeFill="accent1" w:themeFillTint="33"/>
          </w:tcPr>
          <w:p w14:paraId="0A9C38C6" w14:textId="02CE4763" w:rsidR="006A0595" w:rsidRDefault="006A0595" w:rsidP="006A0595">
            <w:r w:rsidRPr="532F1467">
              <w:t>Leiderschap</w:t>
            </w:r>
          </w:p>
        </w:tc>
      </w:tr>
      <w:tr w:rsidR="006A0595" w14:paraId="5C84649B" w14:textId="77777777" w:rsidTr="31E21C5F">
        <w:trPr>
          <w:trHeight w:val="300"/>
        </w:trPr>
        <w:tc>
          <w:tcPr>
            <w:tcW w:w="4508" w:type="dxa"/>
            <w:shd w:val="clear" w:color="auto" w:fill="D9E2F3" w:themeFill="accent1" w:themeFillTint="33"/>
          </w:tcPr>
          <w:p w14:paraId="08121613" w14:textId="56C23704" w:rsidR="006A0595" w:rsidRDefault="006A0595" w:rsidP="006A0595"/>
        </w:tc>
        <w:tc>
          <w:tcPr>
            <w:tcW w:w="4508" w:type="dxa"/>
            <w:shd w:val="clear" w:color="auto" w:fill="D9E2F3" w:themeFill="accent1" w:themeFillTint="33"/>
          </w:tcPr>
          <w:p w14:paraId="2E526C24" w14:textId="62CEF615" w:rsidR="006A0595" w:rsidRDefault="006A0595" w:rsidP="006A0595">
            <w:r w:rsidRPr="532F1467">
              <w:t xml:space="preserve">Eigenaarschap </w:t>
            </w:r>
          </w:p>
        </w:tc>
      </w:tr>
    </w:tbl>
    <w:p w14:paraId="31213C01" w14:textId="12EDB93A" w:rsidR="041CA8C9" w:rsidRPr="0036046B" w:rsidRDefault="532F1467" w:rsidP="532F1467">
      <w:pPr>
        <w:rPr>
          <w:i/>
          <w:iCs/>
          <w:sz w:val="20"/>
          <w:szCs w:val="20"/>
          <w:u w:val="single"/>
        </w:rPr>
      </w:pPr>
      <w:r w:rsidRPr="532F1467">
        <w:rPr>
          <w:i/>
          <w:iCs/>
          <w:sz w:val="20"/>
          <w:szCs w:val="20"/>
          <w:u w:val="single"/>
        </w:rPr>
        <w:t xml:space="preserve">Tabel </w:t>
      </w:r>
      <w:r w:rsidR="007F5897">
        <w:rPr>
          <w:i/>
          <w:iCs/>
          <w:sz w:val="20"/>
          <w:szCs w:val="20"/>
          <w:u w:val="single"/>
        </w:rPr>
        <w:t>2</w:t>
      </w:r>
      <w:r w:rsidRPr="532F1467">
        <w:rPr>
          <w:i/>
          <w:iCs/>
          <w:sz w:val="20"/>
          <w:szCs w:val="20"/>
          <w:u w:val="single"/>
        </w:rPr>
        <w:t>: De zeven succesfactoren die in het empirische onderzoek worden meegenomen</w:t>
      </w:r>
    </w:p>
    <w:p w14:paraId="2EF3C016" w14:textId="77777777" w:rsidR="006F7DF1" w:rsidRDefault="006F7DF1">
      <w:pPr>
        <w:rPr>
          <w:rFonts w:asciiTheme="majorHAnsi" w:eastAsiaTheme="majorEastAsia" w:hAnsiTheme="majorHAnsi" w:cstheme="majorBidi"/>
          <w:color w:val="2F5496" w:themeColor="accent1" w:themeShade="BF"/>
          <w:sz w:val="32"/>
          <w:szCs w:val="32"/>
        </w:rPr>
      </w:pPr>
      <w:r>
        <w:br w:type="page"/>
      </w:r>
    </w:p>
    <w:p w14:paraId="1A72AB42" w14:textId="542873EA" w:rsidR="041CA8C9" w:rsidRDefault="0AB624A7" w:rsidP="041CA8C9">
      <w:pPr>
        <w:pStyle w:val="Kop1"/>
      </w:pPr>
      <w:bookmarkStart w:id="18" w:name="_Toc171411041"/>
      <w:r>
        <w:t>Hoofdstuk 3: Methodologisch Kader</w:t>
      </w:r>
      <w:bookmarkEnd w:id="18"/>
    </w:p>
    <w:p w14:paraId="3756D0D9" w14:textId="29BE484E" w:rsidR="041CA8C9" w:rsidRDefault="6B9CB4C1" w:rsidP="041CA8C9">
      <w:r>
        <w:t xml:space="preserve">In dit hoofdstuk wordt toegelicht en verantwoord hoe het empirische deel van het onderzoek tot stand is gekomen. Dit wordt gedaan door de onderzoeksmethode, casusselectie en methoden van dataverzameling- en analyse te bespreken. Vervolgens worden de variabelen uit het Theoretisch Kader in dit hoofdstuk geoperationaliseerd en wordt een toelichting gegeven op hoe het doorvragen in de interviews eruit heeft gezien. </w:t>
      </w:r>
      <w:r w:rsidR="00A51B1F">
        <w:t xml:space="preserve">Dit hoofdstuk sluit af met een paragraaf over de toelichting </w:t>
      </w:r>
      <w:r w:rsidR="004927E5">
        <w:t xml:space="preserve">op de methode van data-analyse. </w:t>
      </w:r>
      <w:r w:rsidR="00A84AA5" w:rsidRPr="00367761">
        <w:t xml:space="preserve">Tot slot is het relevant om te benoemen dat de argumentatie over de kwaliteit van dit onderzoek terug te vinden is in de verschillende paragrafen van dit hoofdstuk. </w:t>
      </w:r>
      <w:r w:rsidR="00D3425B" w:rsidRPr="00367761">
        <w:t>In deze paragrafen wordt wat betreft de kwaliteit van het onderzoek steeds gereflecteerd op de</w:t>
      </w:r>
      <w:r w:rsidR="00825D36" w:rsidRPr="00367761">
        <w:t xml:space="preserve"> gemaakte methodische keuzes, waarbij de keuzes moeten bijdragen aan </w:t>
      </w:r>
      <w:r w:rsidR="008F50E9" w:rsidRPr="00367761">
        <w:t xml:space="preserve">het borgen van de </w:t>
      </w:r>
      <w:r w:rsidR="00D3425B" w:rsidRPr="00367761">
        <w:t xml:space="preserve">criteria </w:t>
      </w:r>
      <w:r w:rsidR="00F3742E" w:rsidRPr="00367761">
        <w:t>validiteit, betrouwbaarheid en controleerbaarheid.</w:t>
      </w:r>
      <w:r w:rsidR="00F3742E">
        <w:t xml:space="preserve"> </w:t>
      </w:r>
    </w:p>
    <w:p w14:paraId="23905B2E" w14:textId="51886F48" w:rsidR="532F1467" w:rsidRDefault="0AB624A7" w:rsidP="532F1467">
      <w:pPr>
        <w:pStyle w:val="Kop2"/>
      </w:pPr>
      <w:bookmarkStart w:id="19" w:name="_Toc171411042"/>
      <w:r>
        <w:t>3.1 Onderzoeksmethode</w:t>
      </w:r>
      <w:bookmarkEnd w:id="19"/>
      <w:r>
        <w:t xml:space="preserve"> </w:t>
      </w:r>
    </w:p>
    <w:p w14:paraId="0F7A7EDA" w14:textId="4B58A1E7" w:rsidR="00D463D5" w:rsidRDefault="6B9CB4C1" w:rsidP="00D463D5">
      <w:r>
        <w:t xml:space="preserve">Dit onderzoek heeft als doel om Rijkswaterstaat te adviseren over hoe het innovatievermogen van de organisatie versterkt kan worden. Om dit te kunnen doen, was het noodzakelijk om diepgaande kennis te genereren over de processen, systemen en ervaringen rondom innovatie, die er volgens medewerkers spelen in de organisatie. Kwalitatief onderzoek biedt deze mogelijkheid, waardoor </w:t>
      </w:r>
      <w:r w:rsidR="006523CB">
        <w:t>is</w:t>
      </w:r>
      <w:r>
        <w:t xml:space="preserve"> gekozen voor dit type onderzoek. Dit onderzoek omvat twee soorten onderzoek, namelijk evaluerend- en explorerend onderzoek. Het evaluerende deel van dit onderzoek heeft gekeken naar de mate waarin de succesfactoren, voortkomend uit het literatuuronderzoek, aanwezig zijn in de IUP-werkwijze van Rijkswaterstaat. Hierbij is gekeken hoe de procesgerelateerde en organisatiegerelateerde succesfactoren zich verhouden tot de procesbeschrijving en het praktisch gebruik van de IUP-werkwijze. Het explorerende deel van dit onderzoek had juist als doel om op te sporen aan welke succesfactoren op dit moment nog onvoldoende invulling wordt gegeven, ofwel</w:t>
      </w:r>
      <w:r w:rsidR="00311E49">
        <w:t>;</w:t>
      </w:r>
      <w:r>
        <w:t xml:space="preserve"> wat op dit moment nog in de weg staat om het innovatievermogen van de organisatie te versterken. Hierbij is zowel gekeken naar de IUP-werkwijze als naar de organisatiecontext. Met de combinatie van deze twee soorten onderzoek is getracht aanbevelingen te kunnen doen over hoe de organisatie haar innovatievermogen kan versterken.</w:t>
      </w:r>
    </w:p>
    <w:p w14:paraId="6F7D5A0C" w14:textId="6D86E4F5" w:rsidR="532F1467" w:rsidRDefault="007B24B8" w:rsidP="532F1467">
      <w:r w:rsidRPr="007B24B8">
        <w:t xml:space="preserve">Dit onderzoek richt zich daarbij specifiek op het adviseren van de PPO Rijkswaterstaat, omdat hiermee </w:t>
      </w:r>
      <w:r w:rsidR="009C1507">
        <w:t xml:space="preserve">(in ieder geval voor een deel) </w:t>
      </w:r>
      <w:r w:rsidRPr="007B24B8">
        <w:t>specifieke adviezen kunnen worden gegeven</w:t>
      </w:r>
      <w:r w:rsidR="00736246">
        <w:t xml:space="preserve"> over</w:t>
      </w:r>
      <w:r w:rsidRPr="007B24B8">
        <w:t xml:space="preserve"> hoe dit organisatieonderdeel het innovatievermogen kan versterken. Om PPO te adviseren op basis van een zo betrouwbaar mogelijk beeld over de invulling van de succesfactoren, is gekozen voor een meervoudige casestudy. In deze meervoudige casestudy </w:t>
      </w:r>
      <w:r w:rsidR="003D19A2">
        <w:t>is</w:t>
      </w:r>
      <w:r w:rsidR="00EE40E1">
        <w:t xml:space="preserve"> </w:t>
      </w:r>
      <w:r w:rsidRPr="007B24B8">
        <w:t>gedetailleerd ingezoomd op de vier directies binnen PPO om op deze manier iets te kunnen zeggen over PPO als geheel.</w:t>
      </w:r>
      <w:r>
        <w:t xml:space="preserve"> </w:t>
      </w:r>
      <w:r w:rsidR="0F8EFB49">
        <w:t xml:space="preserve">Het onderzoek vertoont zowel kenmerken van een inductieve als deductieve </w:t>
      </w:r>
      <w:r w:rsidR="006B6464">
        <w:t>onderzoek</w:t>
      </w:r>
      <w:r w:rsidR="00434702">
        <w:t>s</w:t>
      </w:r>
      <w:r w:rsidR="006B6464">
        <w:t>benadering</w:t>
      </w:r>
      <w:r w:rsidR="0F8EFB49">
        <w:t>. Zoals hierboven benoemd, bestaat het empirisch onderzoek uit twee onderdelen. In het evaluerende deel vindt het empirisch onderzoek zijn grond bij de theoretische concepten. Hierin is gekeken welke succesfactoren uit de literatuur aanwezig zijn in de procesbeschrijving en het praktisch gebruik van de IUP-werkwijze. In het explorerende onderzoek is de literatuur voornamelijk benut om de empirische bevindingen te structureren. Hierdoor kon worden geanalyseerd welke succesfactoren volgens de respondenten nog niet adequaat worden ingevuld, zowel binnen de organisatie als in de IUP-werkwijze, met als doel het versterken van het innovatievermogen van de organisatie.</w:t>
      </w:r>
    </w:p>
    <w:p w14:paraId="182D57F9" w14:textId="361F9A54" w:rsidR="041CA8C9" w:rsidRDefault="0AB624A7" w:rsidP="041CA8C9">
      <w:pPr>
        <w:pStyle w:val="Kop2"/>
      </w:pPr>
      <w:bookmarkStart w:id="20" w:name="_Toc171411043"/>
      <w:r>
        <w:t>3.2 Casusselectie</w:t>
      </w:r>
      <w:bookmarkEnd w:id="20"/>
      <w:r>
        <w:t xml:space="preserve"> </w:t>
      </w:r>
    </w:p>
    <w:p w14:paraId="1F8A12BA" w14:textId="40B8B186" w:rsidR="041CA8C9" w:rsidRDefault="041CA8C9" w:rsidP="041CA8C9">
      <w:r w:rsidRPr="041CA8C9">
        <w:t xml:space="preserve">Rijkswaterstaat is opgedeeld in zes landelijke en zeven regionale organisatieonderdelen. Dit onderzoek </w:t>
      </w:r>
      <w:r w:rsidR="005A47D9">
        <w:t>heeft</w:t>
      </w:r>
      <w:r w:rsidRPr="041CA8C9">
        <w:t xml:space="preserve"> plaats</w:t>
      </w:r>
      <w:r w:rsidR="005A47D9">
        <w:t>gevonden</w:t>
      </w:r>
      <w:r w:rsidRPr="041CA8C9">
        <w:t xml:space="preserve"> in een van de zes landelijke organisatieonderdelen, namelijk binnen Programma's, Projecten en Onderhoud (PPO). Het organisatieonderdeel PPO houdt zich bezig met het onderhouden van de rijkswegen, bruggen, vaarwegen, sluizen en waterkeringen en de bedieningsinstallaties in heel Nederland (Rijkswaterstaat, z.d.). Bij PPO werken onder andere inhoudelijke adviseurs en managers op het gebied van inkoop, techniek, contracten, projectbeheersing en projecten. Deze inhoudelijke adviseurs en managers zijn werkzaam in de vier directies van PPO, genaamd: </w:t>
      </w:r>
    </w:p>
    <w:p w14:paraId="1C9BBCE0" w14:textId="1A4DE8C8" w:rsidR="041CA8C9" w:rsidRDefault="041CA8C9" w:rsidP="00F2659E">
      <w:pPr>
        <w:pStyle w:val="Lijstalinea"/>
        <w:numPr>
          <w:ilvl w:val="0"/>
          <w:numId w:val="8"/>
        </w:numPr>
      </w:pPr>
      <w:r w:rsidRPr="041CA8C9">
        <w:t>Inkoop- en Contractmanagement (ICM)</w:t>
      </w:r>
    </w:p>
    <w:p w14:paraId="25B4DF24" w14:textId="190F37DA" w:rsidR="041CA8C9" w:rsidRDefault="041CA8C9" w:rsidP="00F2659E">
      <w:pPr>
        <w:pStyle w:val="Lijstalinea"/>
        <w:numPr>
          <w:ilvl w:val="0"/>
          <w:numId w:val="8"/>
        </w:numPr>
      </w:pPr>
      <w:r w:rsidRPr="041CA8C9">
        <w:t>Techniek &amp; Technisch Management (TTM)</w:t>
      </w:r>
    </w:p>
    <w:p w14:paraId="7A47E6B4" w14:textId="014FE021" w:rsidR="041CA8C9" w:rsidRDefault="041CA8C9" w:rsidP="00F2659E">
      <w:pPr>
        <w:pStyle w:val="Lijstalinea"/>
        <w:numPr>
          <w:ilvl w:val="0"/>
          <w:numId w:val="8"/>
        </w:numPr>
      </w:pPr>
      <w:r w:rsidRPr="041CA8C9">
        <w:t>Bedrijfsvoering &amp; Procesbeheersing (BVPB)</w:t>
      </w:r>
    </w:p>
    <w:p w14:paraId="72FB7501" w14:textId="26084970" w:rsidR="041CA8C9" w:rsidRDefault="041CA8C9" w:rsidP="00F2659E">
      <w:pPr>
        <w:pStyle w:val="Lijstalinea"/>
        <w:numPr>
          <w:ilvl w:val="0"/>
          <w:numId w:val="8"/>
        </w:numPr>
      </w:pPr>
      <w:r w:rsidRPr="041CA8C9">
        <w:t>Productie &amp; Projectmanagement (PPM)</w:t>
      </w:r>
    </w:p>
    <w:p w14:paraId="508ADA57" w14:textId="637E1911" w:rsidR="041CA8C9" w:rsidRDefault="6B9CB4C1" w:rsidP="041CA8C9">
      <w:r>
        <w:t xml:space="preserve">Elke bovenstaande directie is weer opgedeeld in afdelingen, waarbij onder andere ook verbinding wordt gevonden met de regionale organisatieonderdelen. Werknemers uit de verschillende directies komen samen in projectteams, waarbij samen wordt gewerkt aan onderhoudsprojecten. Daarnaast wordt binnen PPO samengewerkt aan innovatieprojecten en ontstaan ook in de onderhoudsprojecten zelf innovaties. Zoals in </w:t>
      </w:r>
      <w:r w:rsidR="00483DA6">
        <w:t>h</w:t>
      </w:r>
      <w:r>
        <w:t>oofdstuk 1 benoemd</w:t>
      </w:r>
      <w:r w:rsidR="00483DA6">
        <w:t>,</w:t>
      </w:r>
      <w:r>
        <w:t xml:space="preserve"> ligt er in de ogen van bestuur van Rijkswaterstaat een opgave om het innovatievermogen van de organisatie te versterken met het oog op het beter aankunnen van de complexe opgaven van de toekomst. Dit onderzoek heeft zich specifiek gericht op het onderzoeken van één landelijk onderdeel van Rijkswaterstaat, zodat  daarmee aanbevelingen konden worden gedaan aan dit onderdeel voor het versterken van het innovatievermogen. Echter, het</w:t>
      </w:r>
      <w:r w:rsidR="00EE42E6">
        <w:t xml:space="preserve"> is</w:t>
      </w:r>
      <w:r>
        <w:t xml:space="preserve"> wel de bedoeling dat de overige organisatieonderdelen er ook lering uit kunnen trekken, zodat met aanvullend onderzoek het innovatievermogen van de organisatie als geheel uiteindelijk versterkt kan gaan worden. </w:t>
      </w:r>
    </w:p>
    <w:p w14:paraId="47EA6BBB" w14:textId="0F20BA8F" w:rsidR="041CA8C9" w:rsidRDefault="0AB624A7" w:rsidP="20E336E1">
      <w:bookmarkStart w:id="21" w:name="_Toc171411044"/>
      <w:r w:rsidRPr="0AB624A7">
        <w:rPr>
          <w:rStyle w:val="Kop2Char"/>
        </w:rPr>
        <w:t>3.3 Methoden van dataverzameling</w:t>
      </w:r>
      <w:bookmarkEnd w:id="21"/>
      <w:r w:rsidR="2A6270C9">
        <w:br/>
      </w:r>
      <w:r>
        <w:t xml:space="preserve">In deze casestudy zijn de dataverzamelingsmethoden documentanalyse en interviews benut. In de onderstaande subparagrafen worden deze twee methoden behandeld.    </w:t>
      </w:r>
    </w:p>
    <w:p w14:paraId="6054E6E2" w14:textId="663F5A88" w:rsidR="041CA8C9" w:rsidRDefault="0AB624A7" w:rsidP="20E336E1">
      <w:pPr>
        <w:pStyle w:val="Kop3"/>
      </w:pPr>
      <w:bookmarkStart w:id="22" w:name="_Toc171411045"/>
      <w:r>
        <w:t>3.3.1 Documentanalyse</w:t>
      </w:r>
      <w:bookmarkEnd w:id="22"/>
    </w:p>
    <w:p w14:paraId="2E6F7384" w14:textId="507FB8B7" w:rsidR="0F8EFB49" w:rsidRDefault="6B9CB4C1">
      <w:r>
        <w:t>In dit onderzoek is de dataverzamelingsmethode documentanalyse gebruikt voor het evaluerende onderdeel van het onderzoek. Hierin is bekeken in welke mate de succesfactoren voor het versterken van het innovatievermogen van een organisatie terugkomen in de IUP-werkwijze van Rijkswaterstaat. Het doel van deze manier van onderzoeken was om een zo goed mogelijk beeld te genereren van hoe de IUP-werkwijze is opgesteld en uitgewerkt, om daarmee te kunnen vaststellen in hoeverre deze IUP-werkwijze in de huidige situatie een geschikte tool is om een bijdrage te leveren aan het versterken van het innovatievermogen van de organisatie. De documentanalyse is op een gestructureerde manier aangepakt. Dit is namelijk gedaan door op basis van de operationalisatie van de procesgerelateerde factoren naar de geselecteerde documenten te kijken en de relevante tekstfragmenten te coderen die passen bij een bepaalde indicator uit een bepaalde innovatiefase uit de theorie. Daarbij wordt specifiek gelet op woorden die hetzelfde, ofwel synoniemen, zijn voor de woorden van de indicatoren in de operationalisatie. Na het coderen is</w:t>
      </w:r>
      <w:r w:rsidR="009405B1">
        <w:t xml:space="preserve"> </w:t>
      </w:r>
      <w:r>
        <w:t>specifiek gekeken of er wel of niet voor iedere indicator, die door de literatuur als cruciaal wordt bestempeld, een tekstfragment uit de documenten is gecodeerd. Op deze manier kon worden vastgesteld welke cruciale elementen uit de verschillende fases wel en niet terugkomen in de IUP-werkwijze, wat dan vervolgens als input diende voor de interviews over het praktisch gebruik van de IUP-werkwijze. O</w:t>
      </w:r>
      <w:r w:rsidR="008F6432">
        <w:t>p</w:t>
      </w:r>
      <w:r>
        <w:t xml:space="preserve"> deze methode van dataverzameling wordt in de volgende paragraaf verder ingegaan. </w:t>
      </w:r>
    </w:p>
    <w:p w14:paraId="0E8464B4" w14:textId="7B97D026" w:rsidR="041CA8C9" w:rsidRDefault="0AB624A7" w:rsidP="0F8EFB49">
      <w:r>
        <w:t xml:space="preserve">De dataverzamelingsmethode documentanalyse kan voor vertekeningen zorgen als gevolg van het selecteren van bepaalde documenten uit een enkele invalshoek (Yin, 2014, p. 87; Bowen, 2009, pp. 31-32). Dit is in dit onderzoek zoveel mogelijk ondervangen door documenten over de IUP-werkwijze vanuit de gehele organisatie te selecteren. Enkel het selecteren van documenten afkomstig uit PPO zal een eenzijdig beeld geven over de procesbeschrijving van de IUP-werkwijze. Binnen het IUP-atelier, een team van werknemers uit verschillende organisatieonderdelen die samenwerken aan het doorontwikkelen van de IUP-werkwijze, zijn </w:t>
      </w:r>
      <w:r w:rsidR="00451B84">
        <w:t>alle</w:t>
      </w:r>
      <w:r>
        <w:t xml:space="preserve"> </w:t>
      </w:r>
      <w:r w:rsidR="00947EB9">
        <w:t xml:space="preserve">beschikbare </w:t>
      </w:r>
      <w:r>
        <w:t xml:space="preserve">documenten verzameld over de </w:t>
      </w:r>
      <w:r w:rsidR="00DB590C">
        <w:t xml:space="preserve">werking </w:t>
      </w:r>
      <w:r>
        <w:t>van de IUP-werkwijze.</w:t>
      </w:r>
      <w:r w:rsidR="00451B84">
        <w:t xml:space="preserve"> Deze documentlijst</w:t>
      </w:r>
      <w:r w:rsidR="00937FBE">
        <w:t xml:space="preserve"> met daarin documenten over de werking van de IUP-werkwijze </w:t>
      </w:r>
      <w:r w:rsidR="00D11F7C">
        <w:t>is</w:t>
      </w:r>
      <w:r w:rsidR="00937FBE">
        <w:t xml:space="preserve"> geselecteerd voor dit onderzoek. </w:t>
      </w:r>
      <w:r>
        <w:t xml:space="preserve">Een nadeel van de bovenstaande selectie aan documenten is dat er intern nog geen plan van aanpak is gerealiseerd voor de onderdelen 'Ontwikkelen en Beproeven' in de fase van Innoveren (I-fase) en de Productiefase (P-fase) op zich. Grotendeels is dit nadeel ondervangen door gebruik te maken van de 'Handreiking IUP' en de 'RWS Checklist IUP'. Deze documenten bieden al een behoorlijk uitgebreid beeld van deze onderdelen en fasen. Voor een overzicht van de geselecteerde en gebruikte documenten, zie de onderstaande Tabel </w:t>
      </w:r>
      <w:r w:rsidR="000234F9">
        <w:t>3</w:t>
      </w:r>
      <w:r>
        <w:t xml:space="preserve">. </w:t>
      </w:r>
    </w:p>
    <w:tbl>
      <w:tblPr>
        <w:tblStyle w:val="Tabelraster"/>
        <w:tblW w:w="8926" w:type="dxa"/>
        <w:tblLayout w:type="fixed"/>
        <w:tblLook w:val="06A0" w:firstRow="1" w:lastRow="0" w:firstColumn="1" w:lastColumn="0" w:noHBand="1" w:noVBand="1"/>
      </w:tblPr>
      <w:tblGrid>
        <w:gridCol w:w="1413"/>
        <w:gridCol w:w="3402"/>
        <w:gridCol w:w="4111"/>
      </w:tblGrid>
      <w:tr w:rsidR="00C87039" w14:paraId="4A686A91" w14:textId="77777777" w:rsidTr="00664CCF">
        <w:trPr>
          <w:trHeight w:val="300"/>
        </w:trPr>
        <w:tc>
          <w:tcPr>
            <w:tcW w:w="1413" w:type="dxa"/>
            <w:shd w:val="clear" w:color="auto" w:fill="4472C4" w:themeFill="accent1"/>
          </w:tcPr>
          <w:p w14:paraId="0FB9F1A8" w14:textId="5E546A72" w:rsidR="00C87039" w:rsidRPr="6A8431F6" w:rsidRDefault="00C87039" w:rsidP="6A8431F6">
            <w:pPr>
              <w:rPr>
                <w:b/>
                <w:bCs/>
                <w:sz w:val="24"/>
                <w:szCs w:val="24"/>
              </w:rPr>
            </w:pPr>
            <w:r>
              <w:rPr>
                <w:b/>
                <w:bCs/>
                <w:sz w:val="24"/>
                <w:szCs w:val="24"/>
              </w:rPr>
              <w:t>Document-nummer</w:t>
            </w:r>
          </w:p>
        </w:tc>
        <w:tc>
          <w:tcPr>
            <w:tcW w:w="3402" w:type="dxa"/>
            <w:shd w:val="clear" w:color="auto" w:fill="4472C4" w:themeFill="accent1"/>
          </w:tcPr>
          <w:p w14:paraId="2B6D40D3" w14:textId="6F6BA586" w:rsidR="00C87039" w:rsidRDefault="00C87039" w:rsidP="6A8431F6">
            <w:pPr>
              <w:rPr>
                <w:b/>
                <w:bCs/>
                <w:sz w:val="24"/>
                <w:szCs w:val="24"/>
              </w:rPr>
            </w:pPr>
            <w:r w:rsidRPr="6A8431F6">
              <w:rPr>
                <w:b/>
                <w:bCs/>
                <w:sz w:val="24"/>
                <w:szCs w:val="24"/>
              </w:rPr>
              <w:t>Documentnaam</w:t>
            </w:r>
          </w:p>
        </w:tc>
        <w:tc>
          <w:tcPr>
            <w:tcW w:w="4111" w:type="dxa"/>
            <w:shd w:val="clear" w:color="auto" w:fill="4472C4" w:themeFill="accent1"/>
          </w:tcPr>
          <w:p w14:paraId="05A92456" w14:textId="235ACD2C" w:rsidR="00C87039" w:rsidRDefault="00C87039" w:rsidP="6A8431F6">
            <w:pPr>
              <w:rPr>
                <w:b/>
                <w:bCs/>
                <w:sz w:val="24"/>
                <w:szCs w:val="24"/>
              </w:rPr>
            </w:pPr>
            <w:r w:rsidRPr="6A8431F6">
              <w:rPr>
                <w:b/>
                <w:bCs/>
                <w:sz w:val="24"/>
                <w:szCs w:val="24"/>
              </w:rPr>
              <w:t>Functie t.a.v. IUP-werkwijze</w:t>
            </w:r>
          </w:p>
        </w:tc>
      </w:tr>
      <w:tr w:rsidR="00C87039" w14:paraId="26370F4B" w14:textId="77777777" w:rsidTr="00664CCF">
        <w:trPr>
          <w:trHeight w:val="426"/>
        </w:trPr>
        <w:tc>
          <w:tcPr>
            <w:tcW w:w="1413" w:type="dxa"/>
            <w:shd w:val="clear" w:color="auto" w:fill="D9E2F3" w:themeFill="accent1" w:themeFillTint="33"/>
          </w:tcPr>
          <w:p w14:paraId="327A34C8" w14:textId="6784857B" w:rsidR="00C87039" w:rsidRDefault="00C87039" w:rsidP="6A8431F6">
            <w:r>
              <w:t>1</w:t>
            </w:r>
          </w:p>
        </w:tc>
        <w:tc>
          <w:tcPr>
            <w:tcW w:w="3402" w:type="dxa"/>
            <w:shd w:val="clear" w:color="auto" w:fill="D9E2F3" w:themeFill="accent1" w:themeFillTint="33"/>
          </w:tcPr>
          <w:p w14:paraId="1DEB414A" w14:textId="5E77BC28" w:rsidR="00C87039" w:rsidRDefault="00C87039" w:rsidP="6A8431F6">
            <w:r>
              <w:t>Handreiking IUP v2.0 04-02-2024</w:t>
            </w:r>
          </w:p>
        </w:tc>
        <w:tc>
          <w:tcPr>
            <w:tcW w:w="4111" w:type="dxa"/>
            <w:shd w:val="clear" w:color="auto" w:fill="D9E2F3" w:themeFill="accent1" w:themeFillTint="33"/>
          </w:tcPr>
          <w:p w14:paraId="7DC86F32" w14:textId="1BEDA0E9" w:rsidR="00C87039" w:rsidRDefault="00C87039" w:rsidP="6A8431F6">
            <w:r>
              <w:t>Algemeen beeld van de invulling van alle fasen</w:t>
            </w:r>
          </w:p>
        </w:tc>
      </w:tr>
      <w:tr w:rsidR="00C87039" w14:paraId="35339FAF" w14:textId="77777777" w:rsidTr="00664CCF">
        <w:trPr>
          <w:trHeight w:val="300"/>
        </w:trPr>
        <w:tc>
          <w:tcPr>
            <w:tcW w:w="1413" w:type="dxa"/>
            <w:shd w:val="clear" w:color="auto" w:fill="D9E2F3" w:themeFill="accent1" w:themeFillTint="33"/>
          </w:tcPr>
          <w:p w14:paraId="49A67724" w14:textId="334DD09E" w:rsidR="00C87039" w:rsidRPr="00AC2632" w:rsidRDefault="00C87039" w:rsidP="6A8431F6">
            <w:pPr>
              <w:rPr>
                <w:lang w:val="en-US"/>
              </w:rPr>
            </w:pPr>
            <w:r>
              <w:rPr>
                <w:lang w:val="en-US"/>
              </w:rPr>
              <w:t>2</w:t>
            </w:r>
          </w:p>
        </w:tc>
        <w:tc>
          <w:tcPr>
            <w:tcW w:w="3402" w:type="dxa"/>
            <w:shd w:val="clear" w:color="auto" w:fill="D9E2F3" w:themeFill="accent1" w:themeFillTint="33"/>
          </w:tcPr>
          <w:p w14:paraId="1E3A835F" w14:textId="7F8FC5DC" w:rsidR="00C87039" w:rsidRPr="00AC2632" w:rsidRDefault="00C87039" w:rsidP="6A8431F6">
            <w:pPr>
              <w:rPr>
                <w:lang w:val="en-US"/>
              </w:rPr>
            </w:pPr>
            <w:r w:rsidRPr="00AC2632">
              <w:rPr>
                <w:lang w:val="en-US"/>
              </w:rPr>
              <w:t>RWS_CHECKLIST_IUP_v2.0_dd_04-02-2024</w:t>
            </w:r>
          </w:p>
        </w:tc>
        <w:tc>
          <w:tcPr>
            <w:tcW w:w="4111" w:type="dxa"/>
            <w:shd w:val="clear" w:color="auto" w:fill="D9E2F3" w:themeFill="accent1" w:themeFillTint="33"/>
          </w:tcPr>
          <w:p w14:paraId="7D928126" w14:textId="510C6483" w:rsidR="00C87039" w:rsidRDefault="00C87039" w:rsidP="6A8431F6">
            <w:r>
              <w:t>Algemeen beeld van de invulling van alle fasen</w:t>
            </w:r>
          </w:p>
        </w:tc>
      </w:tr>
      <w:tr w:rsidR="00C87039" w14:paraId="4FC5AFFF" w14:textId="77777777" w:rsidTr="00664CCF">
        <w:trPr>
          <w:trHeight w:val="300"/>
        </w:trPr>
        <w:tc>
          <w:tcPr>
            <w:tcW w:w="1413" w:type="dxa"/>
            <w:shd w:val="clear" w:color="auto" w:fill="D9E2F3" w:themeFill="accent1" w:themeFillTint="33"/>
          </w:tcPr>
          <w:p w14:paraId="42F88977" w14:textId="4B49118B" w:rsidR="00C87039" w:rsidRDefault="00C87039" w:rsidP="6A8431F6">
            <w:r>
              <w:t>3</w:t>
            </w:r>
          </w:p>
        </w:tc>
        <w:tc>
          <w:tcPr>
            <w:tcW w:w="3402" w:type="dxa"/>
            <w:shd w:val="clear" w:color="auto" w:fill="D9E2F3" w:themeFill="accent1" w:themeFillTint="33"/>
          </w:tcPr>
          <w:p w14:paraId="7E7B49B8" w14:textId="3DAA2274" w:rsidR="00C87039" w:rsidRDefault="00C87039" w:rsidP="6A8431F6">
            <w:r>
              <w:t>Format_IUP-Proces_Fase_1A_Verkennen_versie_1.0</w:t>
            </w:r>
          </w:p>
        </w:tc>
        <w:tc>
          <w:tcPr>
            <w:tcW w:w="4111" w:type="dxa"/>
            <w:shd w:val="clear" w:color="auto" w:fill="D9E2F3" w:themeFill="accent1" w:themeFillTint="33"/>
          </w:tcPr>
          <w:p w14:paraId="554F88D7" w14:textId="68160140" w:rsidR="00C87039" w:rsidRDefault="00C87039" w:rsidP="6A8431F6">
            <w:r>
              <w:t>Plan van aanpak voor onderdeel ‘verkennen’ in fase Innoveren (I-fase)</w:t>
            </w:r>
          </w:p>
        </w:tc>
      </w:tr>
      <w:tr w:rsidR="00C87039" w14:paraId="6A7E93A1" w14:textId="77777777" w:rsidTr="00664CCF">
        <w:trPr>
          <w:trHeight w:val="300"/>
        </w:trPr>
        <w:tc>
          <w:tcPr>
            <w:tcW w:w="1413" w:type="dxa"/>
            <w:shd w:val="clear" w:color="auto" w:fill="D9E2F3" w:themeFill="accent1" w:themeFillTint="33"/>
          </w:tcPr>
          <w:p w14:paraId="43923EFE" w14:textId="71618861" w:rsidR="00C87039" w:rsidRDefault="00C87039" w:rsidP="6A8431F6">
            <w:r>
              <w:t>4</w:t>
            </w:r>
          </w:p>
        </w:tc>
        <w:tc>
          <w:tcPr>
            <w:tcW w:w="3402" w:type="dxa"/>
            <w:shd w:val="clear" w:color="auto" w:fill="D9E2F3" w:themeFill="accent1" w:themeFillTint="33"/>
          </w:tcPr>
          <w:p w14:paraId="4DB0FD61" w14:textId="154CEFA5" w:rsidR="00C87039" w:rsidRDefault="00C87039" w:rsidP="6A8431F6">
            <w:r>
              <w:t>Toelichting Stappenplan businesscase Rijkswaterstaat</w:t>
            </w:r>
          </w:p>
        </w:tc>
        <w:tc>
          <w:tcPr>
            <w:tcW w:w="4111" w:type="dxa"/>
            <w:shd w:val="clear" w:color="auto" w:fill="D9E2F3" w:themeFill="accent1" w:themeFillTint="33"/>
          </w:tcPr>
          <w:p w14:paraId="7C7DD58B" w14:textId="439B2558" w:rsidR="00C87039" w:rsidRDefault="00C87039" w:rsidP="6A8431F6">
            <w:r>
              <w:t>Gedetailleerd beeld van het onderdeel ‘Business Case’ in fase Innoveren (I-fase)</w:t>
            </w:r>
          </w:p>
        </w:tc>
      </w:tr>
      <w:tr w:rsidR="00C87039" w14:paraId="285C1B11" w14:textId="77777777" w:rsidTr="00664CCF">
        <w:trPr>
          <w:trHeight w:val="300"/>
        </w:trPr>
        <w:tc>
          <w:tcPr>
            <w:tcW w:w="1413" w:type="dxa"/>
            <w:shd w:val="clear" w:color="auto" w:fill="D9E2F3" w:themeFill="accent1" w:themeFillTint="33"/>
          </w:tcPr>
          <w:p w14:paraId="6F95F70A" w14:textId="0D62B157" w:rsidR="00C87039" w:rsidRDefault="00C87039" w:rsidP="6A8431F6">
            <w:r>
              <w:t>5</w:t>
            </w:r>
          </w:p>
        </w:tc>
        <w:tc>
          <w:tcPr>
            <w:tcW w:w="3402" w:type="dxa"/>
            <w:shd w:val="clear" w:color="auto" w:fill="D9E2F3" w:themeFill="accent1" w:themeFillTint="33"/>
          </w:tcPr>
          <w:p w14:paraId="4BAB8293" w14:textId="47E321D6" w:rsidR="00C87039" w:rsidRDefault="00C87039" w:rsidP="6A8431F6">
            <w:r>
              <w:t>Format_IUP-Proces_Fase_2_PVA_Uniformeren_versie_1.0</w:t>
            </w:r>
          </w:p>
        </w:tc>
        <w:tc>
          <w:tcPr>
            <w:tcW w:w="4111" w:type="dxa"/>
            <w:shd w:val="clear" w:color="auto" w:fill="D9E2F3" w:themeFill="accent1" w:themeFillTint="33"/>
          </w:tcPr>
          <w:p w14:paraId="524B39CF" w14:textId="1E725D3E" w:rsidR="00C87039" w:rsidRDefault="00C87039" w:rsidP="6A8431F6">
            <w:r>
              <w:t>Plan van aanpak voor de Uniformeringsfase (U)</w:t>
            </w:r>
          </w:p>
        </w:tc>
      </w:tr>
    </w:tbl>
    <w:p w14:paraId="552478C9" w14:textId="6CC3877F" w:rsidR="041CA8C9" w:rsidRDefault="6A8431F6" w:rsidP="6A8431F6">
      <w:pPr>
        <w:rPr>
          <w:i/>
          <w:iCs/>
          <w:sz w:val="20"/>
          <w:szCs w:val="20"/>
          <w:u w:val="single"/>
        </w:rPr>
      </w:pPr>
      <w:r w:rsidRPr="6A8431F6">
        <w:rPr>
          <w:i/>
          <w:iCs/>
          <w:sz w:val="20"/>
          <w:szCs w:val="20"/>
          <w:u w:val="single"/>
        </w:rPr>
        <w:t xml:space="preserve">Tabel </w:t>
      </w:r>
      <w:r w:rsidR="000234F9">
        <w:rPr>
          <w:i/>
          <w:iCs/>
          <w:sz w:val="20"/>
          <w:szCs w:val="20"/>
          <w:u w:val="single"/>
        </w:rPr>
        <w:t>3</w:t>
      </w:r>
      <w:r w:rsidRPr="6A8431F6">
        <w:rPr>
          <w:i/>
          <w:iCs/>
          <w:sz w:val="20"/>
          <w:szCs w:val="20"/>
          <w:u w:val="single"/>
        </w:rPr>
        <w:t>: Overzicht documenten over IUP-werkwijze ter input van documentanalyse</w:t>
      </w:r>
    </w:p>
    <w:p w14:paraId="2281CE18" w14:textId="3CB8045A" w:rsidR="041CA8C9" w:rsidRDefault="0AB624A7" w:rsidP="20E336E1">
      <w:pPr>
        <w:pStyle w:val="Kop3"/>
      </w:pPr>
      <w:bookmarkStart w:id="23" w:name="_Toc171411046"/>
      <w:r>
        <w:t>3.3.2 Interviews</w:t>
      </w:r>
      <w:bookmarkEnd w:id="23"/>
    </w:p>
    <w:p w14:paraId="3D016F77" w14:textId="3391ECF1" w:rsidR="041CA8C9" w:rsidRDefault="6B9CB4C1" w:rsidP="20E336E1">
      <w:r>
        <w:t xml:space="preserve">In dit onderzoek </w:t>
      </w:r>
      <w:r w:rsidR="006165F7">
        <w:t>is</w:t>
      </w:r>
      <w:r>
        <w:t xml:space="preserve"> binnen verschillende fases van het onderzoek de dataverzamelingsmethode interviews ingezet. Deze methode van dataverzameling is daarnaast ook in verschillende vormen benut. </w:t>
      </w:r>
    </w:p>
    <w:p w14:paraId="4FD7AE49" w14:textId="2210954F" w:rsidR="041CA8C9" w:rsidRDefault="0F8EFB49" w:rsidP="20E336E1">
      <w:r w:rsidRPr="0F8EFB49">
        <w:rPr>
          <w:b/>
          <w:bCs/>
          <w:i/>
          <w:iCs/>
        </w:rPr>
        <w:t xml:space="preserve">Open interviewmethode: </w:t>
      </w:r>
      <w:r w:rsidR="00A00C26">
        <w:rPr>
          <w:b/>
          <w:bCs/>
          <w:i/>
          <w:iCs/>
        </w:rPr>
        <w:t>c</w:t>
      </w:r>
      <w:r w:rsidRPr="0F8EFB49">
        <w:rPr>
          <w:b/>
          <w:bCs/>
          <w:i/>
          <w:iCs/>
        </w:rPr>
        <w:t>ontrole-interviews afbakening</w:t>
      </w:r>
      <w:r w:rsidR="532F1467">
        <w:br/>
      </w:r>
      <w:r>
        <w:t>Zoals eerder vermeld zijn er in het beginstadium van dit onderzoek controle-interviews afgenomen ter bevestiging van de vermoedens betref</w:t>
      </w:r>
      <w:r w:rsidR="00C668ED">
        <w:t>fende</w:t>
      </w:r>
      <w:r>
        <w:t xml:space="preserve"> de afbakening van dit onderzoek. Uit het onderzoek van Gerritz (2021) over de lerende organisatie binnen PPO Rijkswaterstaat kwamen een aantal factoren naar voren, die mogelijk relevant konden zijn voor vervolgonderzoek betref</w:t>
      </w:r>
      <w:r w:rsidR="004278B9">
        <w:t xml:space="preserve">fende </w:t>
      </w:r>
      <w:r>
        <w:t>de belangrijke stappen die op het gebied van deze factoren nog gezet moesten worden. Om deze afbakening te bevestigen zijn</w:t>
      </w:r>
      <w:r w:rsidR="00A76D8C">
        <w:t xml:space="preserve"> </w:t>
      </w:r>
      <w:r>
        <w:t xml:space="preserve">drie open interviews afgenomen, waarbij deze factoren wel ergens in het achterhoofd werden meegenomen, maar er vooral vrijuit werd gesproken over de situatie bij Rijkswaterstaat. Er zijn van tevoren geen interviewvragen opgesteld en er was ook geen volgorde van gesprek bedacht, enkel wat concepten in het achterhoofd die gepoogd werden om te bevragen aan de respondent. Deze vragen waren gedurende het interview vrij oppervlakkig van aard, zodat de respondent vrij uit kon spreken over wat in hun ogen de situatie was. De respondenten zijn zo geselecteerd dat in dit stadium een zo breed mogelijk pallet aan kennis kon worden verkregen, daarbij is uitgegaan van dataverzadiging. </w:t>
      </w:r>
    </w:p>
    <w:p w14:paraId="4D057AEC" w14:textId="0FA80CBB" w:rsidR="041CA8C9" w:rsidRDefault="0AB624A7" w:rsidP="20E336E1">
      <w:r>
        <w:t xml:space="preserve">Op basis van deze interviews is bevestiging verkregen </w:t>
      </w:r>
      <w:r w:rsidR="00146966">
        <w:t>van</w:t>
      </w:r>
      <w:r>
        <w:t xml:space="preserve"> de afbakening van het empirisch onderzoek rondom de voorspeller ‘de lerende organisatie’. Daarnaast zijn de uitkomsten uit deze open interviews ook gebruikt als input voor de semigestructureerde diepte-interviews in het latere stadium van het empirisch onderzoek. De antwoorden zijn meegenomen in het opstellen van de interviewguide voor de diepte-interviews over de organisatiegerelateerde factoren. Voor een overzicht van de afgenomen interviews, zie de onderstaande Tabel </w:t>
      </w:r>
      <w:r w:rsidR="000234F9">
        <w:t>4</w:t>
      </w:r>
      <w:r>
        <w:t xml:space="preserve">. </w:t>
      </w:r>
    </w:p>
    <w:tbl>
      <w:tblPr>
        <w:tblStyle w:val="Tabelraster"/>
        <w:tblW w:w="9015" w:type="dxa"/>
        <w:tblLayout w:type="fixed"/>
        <w:tblLook w:val="06A0" w:firstRow="1" w:lastRow="0" w:firstColumn="1" w:lastColumn="0" w:noHBand="1" w:noVBand="1"/>
      </w:tblPr>
      <w:tblGrid>
        <w:gridCol w:w="1395"/>
        <w:gridCol w:w="1680"/>
        <w:gridCol w:w="5940"/>
      </w:tblGrid>
      <w:tr w:rsidR="20E336E1" w14:paraId="7DFB9CF2" w14:textId="77777777" w:rsidTr="532F1467">
        <w:trPr>
          <w:trHeight w:val="300"/>
        </w:trPr>
        <w:tc>
          <w:tcPr>
            <w:tcW w:w="1395" w:type="dxa"/>
            <w:shd w:val="clear" w:color="auto" w:fill="4472C4" w:themeFill="accent1"/>
          </w:tcPr>
          <w:p w14:paraId="52FF7CE9" w14:textId="3DD66626" w:rsidR="20E336E1" w:rsidRDefault="532F1467" w:rsidP="532F1467">
            <w:pPr>
              <w:rPr>
                <w:b/>
                <w:bCs/>
                <w:sz w:val="24"/>
                <w:szCs w:val="24"/>
              </w:rPr>
            </w:pPr>
            <w:r w:rsidRPr="532F1467">
              <w:rPr>
                <w:b/>
                <w:bCs/>
                <w:sz w:val="24"/>
                <w:szCs w:val="24"/>
              </w:rPr>
              <w:t>Open interview</w:t>
            </w:r>
          </w:p>
        </w:tc>
        <w:tc>
          <w:tcPr>
            <w:tcW w:w="1680" w:type="dxa"/>
            <w:shd w:val="clear" w:color="auto" w:fill="4472C4" w:themeFill="accent1"/>
          </w:tcPr>
          <w:p w14:paraId="6732C917" w14:textId="7BED1BD1" w:rsidR="20E336E1" w:rsidRDefault="532F1467" w:rsidP="532F1467">
            <w:pPr>
              <w:rPr>
                <w:b/>
                <w:bCs/>
                <w:sz w:val="24"/>
                <w:szCs w:val="24"/>
              </w:rPr>
            </w:pPr>
            <w:r w:rsidRPr="532F1467">
              <w:rPr>
                <w:b/>
                <w:bCs/>
                <w:sz w:val="24"/>
                <w:szCs w:val="24"/>
              </w:rPr>
              <w:t>Datum en tijd</w:t>
            </w:r>
          </w:p>
        </w:tc>
        <w:tc>
          <w:tcPr>
            <w:tcW w:w="5940" w:type="dxa"/>
            <w:shd w:val="clear" w:color="auto" w:fill="4472C4" w:themeFill="accent1"/>
          </w:tcPr>
          <w:p w14:paraId="62E1D9F8" w14:textId="02E932B9" w:rsidR="20E336E1" w:rsidRDefault="532F1467" w:rsidP="532F1467">
            <w:pPr>
              <w:rPr>
                <w:b/>
                <w:bCs/>
                <w:sz w:val="24"/>
                <w:szCs w:val="24"/>
              </w:rPr>
            </w:pPr>
            <w:r w:rsidRPr="532F1467">
              <w:rPr>
                <w:b/>
                <w:bCs/>
                <w:sz w:val="24"/>
                <w:szCs w:val="24"/>
              </w:rPr>
              <w:t>Functie</w:t>
            </w:r>
          </w:p>
        </w:tc>
      </w:tr>
      <w:tr w:rsidR="20E336E1" w14:paraId="19BC9D86" w14:textId="77777777" w:rsidTr="532F1467">
        <w:trPr>
          <w:trHeight w:val="300"/>
        </w:trPr>
        <w:tc>
          <w:tcPr>
            <w:tcW w:w="1395" w:type="dxa"/>
            <w:shd w:val="clear" w:color="auto" w:fill="D9E2F3" w:themeFill="accent1" w:themeFillTint="33"/>
          </w:tcPr>
          <w:p w14:paraId="50CD80D7" w14:textId="6C637A78" w:rsidR="20E336E1" w:rsidRDefault="20E336E1" w:rsidP="20E336E1">
            <w:r>
              <w:t>1</w:t>
            </w:r>
          </w:p>
        </w:tc>
        <w:tc>
          <w:tcPr>
            <w:tcW w:w="1680" w:type="dxa"/>
            <w:shd w:val="clear" w:color="auto" w:fill="D9E2F3" w:themeFill="accent1" w:themeFillTint="33"/>
          </w:tcPr>
          <w:p w14:paraId="1BA87053" w14:textId="551841DE" w:rsidR="20E336E1" w:rsidRDefault="20E336E1" w:rsidP="20E336E1">
            <w:r>
              <w:t xml:space="preserve">5 april 2024 </w:t>
            </w:r>
            <w:r>
              <w:br/>
              <w:t xml:space="preserve">11:30-12:00  </w:t>
            </w:r>
          </w:p>
        </w:tc>
        <w:tc>
          <w:tcPr>
            <w:tcW w:w="5940" w:type="dxa"/>
            <w:shd w:val="clear" w:color="auto" w:fill="D9E2F3" w:themeFill="accent1" w:themeFillTint="33"/>
          </w:tcPr>
          <w:p w14:paraId="154AC805" w14:textId="20C9DD3E" w:rsidR="20E336E1" w:rsidRDefault="532F1467" w:rsidP="20E336E1">
            <w:r>
              <w:t xml:space="preserve">Afdelingsmanager </w:t>
            </w:r>
          </w:p>
          <w:p w14:paraId="745A8A27" w14:textId="6A4B412B" w:rsidR="20E336E1" w:rsidRDefault="532F1467" w:rsidP="20E336E1">
            <w:r>
              <w:t>PPO, directie Techniek &amp; Technisch Management</w:t>
            </w:r>
          </w:p>
          <w:p w14:paraId="59E92325" w14:textId="381F9864" w:rsidR="20E336E1" w:rsidRDefault="532F1467" w:rsidP="20E336E1">
            <w:r>
              <w:t>Afd. Werkwijze</w:t>
            </w:r>
          </w:p>
        </w:tc>
      </w:tr>
      <w:tr w:rsidR="20E336E1" w14:paraId="3F18E0B7" w14:textId="77777777" w:rsidTr="532F1467">
        <w:trPr>
          <w:trHeight w:val="300"/>
        </w:trPr>
        <w:tc>
          <w:tcPr>
            <w:tcW w:w="1395" w:type="dxa"/>
            <w:shd w:val="clear" w:color="auto" w:fill="D9E2F3" w:themeFill="accent1" w:themeFillTint="33"/>
          </w:tcPr>
          <w:p w14:paraId="7F8A607B" w14:textId="34045FD5" w:rsidR="20E336E1" w:rsidRDefault="20E336E1" w:rsidP="20E336E1">
            <w:r>
              <w:t>2</w:t>
            </w:r>
          </w:p>
        </w:tc>
        <w:tc>
          <w:tcPr>
            <w:tcW w:w="1680" w:type="dxa"/>
            <w:shd w:val="clear" w:color="auto" w:fill="D9E2F3" w:themeFill="accent1" w:themeFillTint="33"/>
          </w:tcPr>
          <w:p w14:paraId="6117B367" w14:textId="0FAA1DF2" w:rsidR="20E336E1" w:rsidRDefault="20E336E1" w:rsidP="20E336E1">
            <w:r>
              <w:t>8 april 2024</w:t>
            </w:r>
          </w:p>
          <w:p w14:paraId="16D30462" w14:textId="4E78A97E" w:rsidR="20E336E1" w:rsidRDefault="20E336E1" w:rsidP="20E336E1">
            <w:r>
              <w:t>10:00-10:30</w:t>
            </w:r>
          </w:p>
        </w:tc>
        <w:tc>
          <w:tcPr>
            <w:tcW w:w="5940" w:type="dxa"/>
            <w:shd w:val="clear" w:color="auto" w:fill="D9E2F3" w:themeFill="accent1" w:themeFillTint="33"/>
          </w:tcPr>
          <w:p w14:paraId="34CE2ED2" w14:textId="00750DFC" w:rsidR="20E336E1" w:rsidRDefault="532F1467" w:rsidP="20E336E1">
            <w:r>
              <w:t xml:space="preserve">Senior-adviseur, </w:t>
            </w:r>
          </w:p>
          <w:p w14:paraId="5685345D" w14:textId="62824DB4" w:rsidR="20E336E1" w:rsidRDefault="532F1467" w:rsidP="20E336E1">
            <w:r>
              <w:t>PPO, directie Productie &amp; Projectmanagement (veel samenwerking over de directies PPO heen)</w:t>
            </w:r>
          </w:p>
          <w:p w14:paraId="1E885AF0" w14:textId="063BA2FB" w:rsidR="20E336E1" w:rsidRDefault="532F1467" w:rsidP="20E336E1">
            <w:r>
              <w:t>Afd. Werkwijze</w:t>
            </w:r>
          </w:p>
        </w:tc>
      </w:tr>
      <w:tr w:rsidR="20E336E1" w14:paraId="71C20D70" w14:textId="77777777" w:rsidTr="532F1467">
        <w:trPr>
          <w:trHeight w:val="300"/>
        </w:trPr>
        <w:tc>
          <w:tcPr>
            <w:tcW w:w="1395" w:type="dxa"/>
            <w:shd w:val="clear" w:color="auto" w:fill="D9E2F3" w:themeFill="accent1" w:themeFillTint="33"/>
          </w:tcPr>
          <w:p w14:paraId="0BCB43C4" w14:textId="0D376F39" w:rsidR="20E336E1" w:rsidRDefault="20E336E1" w:rsidP="20E336E1">
            <w:r>
              <w:t>3</w:t>
            </w:r>
          </w:p>
        </w:tc>
        <w:tc>
          <w:tcPr>
            <w:tcW w:w="1680" w:type="dxa"/>
            <w:shd w:val="clear" w:color="auto" w:fill="D9E2F3" w:themeFill="accent1" w:themeFillTint="33"/>
          </w:tcPr>
          <w:p w14:paraId="7A647C63" w14:textId="1FFD33CC" w:rsidR="20E336E1" w:rsidRDefault="20E336E1" w:rsidP="20E336E1">
            <w:r>
              <w:t>8 april 2024</w:t>
            </w:r>
          </w:p>
          <w:p w14:paraId="7002BB43" w14:textId="69628500" w:rsidR="20E336E1" w:rsidRDefault="20E336E1" w:rsidP="20E336E1">
            <w:r>
              <w:t>11:00-11:30</w:t>
            </w:r>
          </w:p>
        </w:tc>
        <w:tc>
          <w:tcPr>
            <w:tcW w:w="5940" w:type="dxa"/>
            <w:shd w:val="clear" w:color="auto" w:fill="D9E2F3" w:themeFill="accent1" w:themeFillTint="33"/>
          </w:tcPr>
          <w:p w14:paraId="16585F95" w14:textId="14D4C7C6" w:rsidR="20E336E1" w:rsidRDefault="532F1467" w:rsidP="20E336E1">
            <w:r>
              <w:t xml:space="preserve">Transitiemanager Werf Vervanging &amp; Renovatie </w:t>
            </w:r>
          </w:p>
          <w:p w14:paraId="0B27A906" w14:textId="6EA25407" w:rsidR="20E336E1" w:rsidRDefault="532F1467" w:rsidP="20E336E1">
            <w:r>
              <w:t>PPO, functionele plaatsing in directie Productie &amp; Projectmanagement (veel samenwerking met andere directies PPO en andere organisatieonderdelen van Rijkswaterstaat)</w:t>
            </w:r>
          </w:p>
        </w:tc>
      </w:tr>
    </w:tbl>
    <w:p w14:paraId="4DAFF11A" w14:textId="1A84A4B6" w:rsidR="041CA8C9" w:rsidRPr="000234F9" w:rsidRDefault="532F1467" w:rsidP="532F1467">
      <w:pPr>
        <w:rPr>
          <w:i/>
          <w:iCs/>
          <w:sz w:val="20"/>
          <w:szCs w:val="20"/>
          <w:u w:val="single"/>
        </w:rPr>
      </w:pPr>
      <w:r w:rsidRPr="000234F9">
        <w:rPr>
          <w:i/>
          <w:iCs/>
          <w:sz w:val="20"/>
          <w:szCs w:val="20"/>
          <w:u w:val="single"/>
        </w:rPr>
        <w:t xml:space="preserve">Tabel </w:t>
      </w:r>
      <w:r w:rsidR="000234F9" w:rsidRPr="000234F9">
        <w:rPr>
          <w:i/>
          <w:iCs/>
          <w:sz w:val="20"/>
          <w:szCs w:val="20"/>
          <w:u w:val="single"/>
        </w:rPr>
        <w:t>4</w:t>
      </w:r>
      <w:r w:rsidRPr="000234F9">
        <w:rPr>
          <w:i/>
          <w:iCs/>
          <w:sz w:val="20"/>
          <w:szCs w:val="20"/>
          <w:u w:val="single"/>
        </w:rPr>
        <w:t>: Lijst met respondenten controle interviews afbakening</w:t>
      </w:r>
    </w:p>
    <w:p w14:paraId="5BAC063E" w14:textId="079443B7" w:rsidR="041CA8C9" w:rsidRDefault="0F8EFB49" w:rsidP="532F1467">
      <w:r w:rsidRPr="0F8EFB49">
        <w:rPr>
          <w:b/>
          <w:bCs/>
          <w:i/>
          <w:iCs/>
        </w:rPr>
        <w:t>Semigestructureerde interviewmethode</w:t>
      </w:r>
      <w:r w:rsidR="532F1467">
        <w:br/>
      </w:r>
      <w:r>
        <w:t xml:space="preserve">De methode van semigestructureerde diepte-interviews is tweeledig ingezet in dit onderzoek, zowel in het evaluerende deel als aanvulling op de documentanalyse als in het explorerende deel. Deze methode van diepte-interviews heeft dit onderzoek de mogelijkheid geboden om verdiepende vervolgvragen te stellen. Er is vooraf een interviewguide opgesteld, waarbij de volgorde van het gesprek niet vaststond en de mogelijkheid </w:t>
      </w:r>
      <w:r w:rsidR="00EC0A0E">
        <w:t xml:space="preserve">er </w:t>
      </w:r>
      <w:r>
        <w:t xml:space="preserve">was om door te vragen waar extra verduidelijking nodig was. Ook was er ruimte voor de respondent om aanvullingen te </w:t>
      </w:r>
      <w:r w:rsidR="00473DDA">
        <w:t>geven</w:t>
      </w:r>
      <w:r>
        <w:t>, die in eerst</w:t>
      </w:r>
      <w:r w:rsidR="00EF1991">
        <w:t>e</w:t>
      </w:r>
      <w:r>
        <w:t xml:space="preserve"> instantie niet werden bevraagd door de onderzoeker. Dit zorgt ervoor dat dit onderzoek de ogen niet heeft gesloten voor nieuwe inzichten, die vooraf niet per se in de literatuur werden genoemd. </w:t>
      </w:r>
    </w:p>
    <w:p w14:paraId="51FBA7D6" w14:textId="7E6DFF97" w:rsidR="041CA8C9" w:rsidRDefault="6B9CB4C1" w:rsidP="532F1467">
      <w:r>
        <w:t xml:space="preserve">Zoals gezegd is deze semigestructureerde interviewmethode tweeledig ingezet. Het is allereerst ingezet in het deel van het onderzoek, waarin de IUP-werkwijze onder de loep is genomen. In de interviews is allereerst onderzocht in welke mate, volgens de respondenten, de succesfactoren uit de literatuur terugkomen in het praktisch gebruik van de IUP-werkwijze. Dit betreft het evaluerende deel, maar het onderzoek naar de IUP-werkwijze bevat ook een explorerend deel. In dit explorerende deel van deze diepte-interviews is getracht te achterhalen of en welke succesfactoren eventueel nog kunnen worden opgenomen in de IUP-werkwijze. Om dit te achterhalen, is er een interviewguide opgesteld (Bijlage 1).  </w:t>
      </w:r>
    </w:p>
    <w:p w14:paraId="4802A330" w14:textId="033AAC6E" w:rsidR="041CA8C9" w:rsidRDefault="0AB624A7" w:rsidP="532F1467">
      <w:r>
        <w:t xml:space="preserve">Voor dit deel van het onderzoek zijn vier respondenten geselecteerd, die in innovatietrajecten met de IUP-werkwijze hebben gewerkt of veel kennis hebben over de IUP-werkwijze. Net als bij de documentanalyse geldt </w:t>
      </w:r>
      <w:r w:rsidR="00CE575E">
        <w:t xml:space="preserve">ook </w:t>
      </w:r>
      <w:r>
        <w:t>hier dat</w:t>
      </w:r>
      <w:r w:rsidR="00CE575E">
        <w:t xml:space="preserve"> er</w:t>
      </w:r>
      <w:r>
        <w:t xml:space="preserve"> respondenten zijn geselecteerd uit andere organisatieonderdelen, namelijk GPO en CIV (Centrale Informatievoorziening). De reden hiervan is dat ook binnen GPO en CIV wordt gewerkt met de IUP-werkwijze in innovatietrajecten, dus zou dit onderzoek zijn ogen sluiten voor relevante invalshoeken bij het enkel selecteren van respondenten uit PPO. Daarnaast is dit te beargumenteren vanuit het feit dat de IUP-werkwijze als tool simpelweg nog niet in grote mate wordt gebruikt in de organisatie. Het gevolg hiervan is dat binnen PPO nog niet veel namen bekend waren van collega's die werken met de werkwijze. Om toch voldoende input te kunnen verkrijgen over het praktisch gebruik van de IUP-werkwijze, is er dus voor gekozen om de respondenten te selecteren uit meerdere organisatieonderdelen. Voor een overzicht van de afgenomen semigestructureerde interviews betref</w:t>
      </w:r>
      <w:r w:rsidR="00952A9D">
        <w:t xml:space="preserve">fende </w:t>
      </w:r>
      <w:r>
        <w:t xml:space="preserve">de IUP-werkwijze, zie de onderstaande Tabel </w:t>
      </w:r>
      <w:r w:rsidR="00883043">
        <w:t>5</w:t>
      </w:r>
      <w:r>
        <w:t xml:space="preserve">. </w:t>
      </w:r>
    </w:p>
    <w:tbl>
      <w:tblPr>
        <w:tblStyle w:val="Tabelraster"/>
        <w:tblW w:w="9015" w:type="dxa"/>
        <w:tblLayout w:type="fixed"/>
        <w:tblLook w:val="06A0" w:firstRow="1" w:lastRow="0" w:firstColumn="1" w:lastColumn="0" w:noHBand="1" w:noVBand="1"/>
      </w:tblPr>
      <w:tblGrid>
        <w:gridCol w:w="3075"/>
        <w:gridCol w:w="1475"/>
        <w:gridCol w:w="4465"/>
      </w:tblGrid>
      <w:tr w:rsidR="20E336E1" w14:paraId="3B0684F1" w14:textId="77777777" w:rsidTr="5E574513">
        <w:trPr>
          <w:trHeight w:val="300"/>
        </w:trPr>
        <w:tc>
          <w:tcPr>
            <w:tcW w:w="3075" w:type="dxa"/>
            <w:shd w:val="clear" w:color="auto" w:fill="4472C4" w:themeFill="accent1"/>
          </w:tcPr>
          <w:p w14:paraId="129DF443" w14:textId="2BFF9D3C" w:rsidR="20E336E1" w:rsidRDefault="532F1467" w:rsidP="532F1467">
            <w:pPr>
              <w:rPr>
                <w:b/>
                <w:bCs/>
                <w:sz w:val="24"/>
                <w:szCs w:val="24"/>
              </w:rPr>
            </w:pPr>
            <w:r w:rsidRPr="532F1467">
              <w:rPr>
                <w:b/>
                <w:bCs/>
                <w:sz w:val="24"/>
                <w:szCs w:val="24"/>
              </w:rPr>
              <w:t>Semigestructureerd interview</w:t>
            </w:r>
          </w:p>
        </w:tc>
        <w:tc>
          <w:tcPr>
            <w:tcW w:w="1475" w:type="dxa"/>
            <w:shd w:val="clear" w:color="auto" w:fill="4472C4" w:themeFill="accent1"/>
          </w:tcPr>
          <w:p w14:paraId="7B536597" w14:textId="4A5D21DE" w:rsidR="20E336E1" w:rsidRDefault="532F1467" w:rsidP="532F1467">
            <w:pPr>
              <w:rPr>
                <w:b/>
                <w:bCs/>
                <w:sz w:val="24"/>
                <w:szCs w:val="24"/>
              </w:rPr>
            </w:pPr>
            <w:r w:rsidRPr="532F1467">
              <w:rPr>
                <w:b/>
                <w:bCs/>
                <w:sz w:val="24"/>
                <w:szCs w:val="24"/>
              </w:rPr>
              <w:t>Datum en tijd</w:t>
            </w:r>
          </w:p>
        </w:tc>
        <w:tc>
          <w:tcPr>
            <w:tcW w:w="4465" w:type="dxa"/>
            <w:shd w:val="clear" w:color="auto" w:fill="4472C4" w:themeFill="accent1"/>
          </w:tcPr>
          <w:p w14:paraId="421FE3CC" w14:textId="69C704EB" w:rsidR="20E336E1" w:rsidRDefault="532F1467" w:rsidP="532F1467">
            <w:pPr>
              <w:rPr>
                <w:b/>
                <w:bCs/>
                <w:sz w:val="24"/>
                <w:szCs w:val="24"/>
              </w:rPr>
            </w:pPr>
            <w:r w:rsidRPr="532F1467">
              <w:rPr>
                <w:b/>
                <w:bCs/>
                <w:sz w:val="24"/>
                <w:szCs w:val="24"/>
              </w:rPr>
              <w:t>Functie</w:t>
            </w:r>
          </w:p>
        </w:tc>
      </w:tr>
      <w:tr w:rsidR="20E336E1" w14:paraId="4219E212" w14:textId="77777777" w:rsidTr="5E574513">
        <w:trPr>
          <w:trHeight w:val="300"/>
        </w:trPr>
        <w:tc>
          <w:tcPr>
            <w:tcW w:w="3075" w:type="dxa"/>
            <w:shd w:val="clear" w:color="auto" w:fill="D9E2F3" w:themeFill="accent1" w:themeFillTint="33"/>
          </w:tcPr>
          <w:p w14:paraId="7CAA83C1" w14:textId="2CD6B78D" w:rsidR="20E336E1" w:rsidRDefault="532F1467" w:rsidP="532F1467">
            <w:r w:rsidRPr="532F1467">
              <w:t>1</w:t>
            </w:r>
          </w:p>
        </w:tc>
        <w:tc>
          <w:tcPr>
            <w:tcW w:w="1475" w:type="dxa"/>
            <w:shd w:val="clear" w:color="auto" w:fill="D9E2F3" w:themeFill="accent1" w:themeFillTint="33"/>
          </w:tcPr>
          <w:p w14:paraId="0B92806B" w14:textId="60ED554D" w:rsidR="20E336E1" w:rsidRDefault="6A8431F6" w:rsidP="6A8431F6">
            <w:r w:rsidRPr="6A8431F6">
              <w:t>2 mei 13:00-14:00</w:t>
            </w:r>
          </w:p>
        </w:tc>
        <w:tc>
          <w:tcPr>
            <w:tcW w:w="4465" w:type="dxa"/>
            <w:shd w:val="clear" w:color="auto" w:fill="D9E2F3" w:themeFill="accent1" w:themeFillTint="33"/>
          </w:tcPr>
          <w:p w14:paraId="7704AA8F" w14:textId="75FE7644" w:rsidR="20E336E1" w:rsidRDefault="6A8431F6" w:rsidP="6A8431F6">
            <w:r w:rsidRPr="6A8431F6">
              <w:t xml:space="preserve">Proces consultant </w:t>
            </w:r>
          </w:p>
          <w:p w14:paraId="460FE8D2" w14:textId="658849EE" w:rsidR="20E336E1" w:rsidRDefault="6A8431F6" w:rsidP="6A8431F6">
            <w:r w:rsidRPr="6A8431F6">
              <w:t>GPO, directie Techniek en Technisch Management (TTM)</w:t>
            </w:r>
          </w:p>
          <w:p w14:paraId="140B4CC7" w14:textId="296E3A9E" w:rsidR="20E336E1" w:rsidRDefault="6A8431F6" w:rsidP="6A8431F6">
            <w:r w:rsidRPr="6A8431F6">
              <w:t>Afd. ICO Prognose en Advies</w:t>
            </w:r>
          </w:p>
        </w:tc>
      </w:tr>
      <w:tr w:rsidR="20E336E1" w14:paraId="719D32AB" w14:textId="77777777" w:rsidTr="5E574513">
        <w:trPr>
          <w:trHeight w:val="300"/>
        </w:trPr>
        <w:tc>
          <w:tcPr>
            <w:tcW w:w="3075" w:type="dxa"/>
            <w:shd w:val="clear" w:color="auto" w:fill="D9E2F3" w:themeFill="accent1" w:themeFillTint="33"/>
          </w:tcPr>
          <w:p w14:paraId="33285859" w14:textId="7E4E6020" w:rsidR="20E336E1" w:rsidRDefault="532F1467" w:rsidP="532F1467">
            <w:r w:rsidRPr="532F1467">
              <w:t>2</w:t>
            </w:r>
          </w:p>
        </w:tc>
        <w:tc>
          <w:tcPr>
            <w:tcW w:w="1475" w:type="dxa"/>
            <w:shd w:val="clear" w:color="auto" w:fill="D9E2F3" w:themeFill="accent1" w:themeFillTint="33"/>
          </w:tcPr>
          <w:p w14:paraId="0DB98356" w14:textId="38832527" w:rsidR="20E336E1" w:rsidRDefault="6A8431F6" w:rsidP="6A8431F6">
            <w:r w:rsidRPr="6A8431F6">
              <w:t>2 mei 15:15-16:15</w:t>
            </w:r>
          </w:p>
        </w:tc>
        <w:tc>
          <w:tcPr>
            <w:tcW w:w="4465" w:type="dxa"/>
            <w:shd w:val="clear" w:color="auto" w:fill="D9E2F3" w:themeFill="accent1" w:themeFillTint="33"/>
          </w:tcPr>
          <w:p w14:paraId="03969841" w14:textId="7A511E00" w:rsidR="20E336E1" w:rsidRDefault="2C3FA80D" w:rsidP="2C3FA80D">
            <w:r>
              <w:t>PPO, directie Techniek en Technisch Management</w:t>
            </w:r>
          </w:p>
          <w:p w14:paraId="66881AB0" w14:textId="00AC5276" w:rsidR="20E336E1" w:rsidRDefault="6A8431F6" w:rsidP="6A8431F6">
            <w:r w:rsidRPr="6A8431F6">
              <w:t>Afd. Werkwijze</w:t>
            </w:r>
          </w:p>
        </w:tc>
      </w:tr>
      <w:tr w:rsidR="532F1467" w14:paraId="68F7E5BF" w14:textId="77777777" w:rsidTr="5E574513">
        <w:trPr>
          <w:trHeight w:val="300"/>
        </w:trPr>
        <w:tc>
          <w:tcPr>
            <w:tcW w:w="3075" w:type="dxa"/>
            <w:shd w:val="clear" w:color="auto" w:fill="D9E2F3" w:themeFill="accent1" w:themeFillTint="33"/>
          </w:tcPr>
          <w:p w14:paraId="601438AA" w14:textId="18DF79F9" w:rsidR="532F1467" w:rsidRDefault="532F1467" w:rsidP="532F1467">
            <w:r w:rsidRPr="532F1467">
              <w:t>3</w:t>
            </w:r>
          </w:p>
        </w:tc>
        <w:tc>
          <w:tcPr>
            <w:tcW w:w="1475" w:type="dxa"/>
            <w:shd w:val="clear" w:color="auto" w:fill="D9E2F3" w:themeFill="accent1" w:themeFillTint="33"/>
          </w:tcPr>
          <w:p w14:paraId="45E6966A" w14:textId="20891F7A" w:rsidR="532F1467" w:rsidRDefault="2C3FA80D" w:rsidP="6A8431F6">
            <w:r>
              <w:t>3 mei 9:00-10:00</w:t>
            </w:r>
          </w:p>
        </w:tc>
        <w:tc>
          <w:tcPr>
            <w:tcW w:w="4465" w:type="dxa"/>
            <w:shd w:val="clear" w:color="auto" w:fill="D9E2F3" w:themeFill="accent1" w:themeFillTint="33"/>
          </w:tcPr>
          <w:p w14:paraId="44FEA8BA" w14:textId="0FA9F727" w:rsidR="532F1467" w:rsidRDefault="2C3FA80D" w:rsidP="6A8431F6">
            <w:r>
              <w:t>Portfoliomanager</w:t>
            </w:r>
          </w:p>
          <w:p w14:paraId="47138271" w14:textId="6C567D82" w:rsidR="532F1467" w:rsidRDefault="2C3FA80D" w:rsidP="2C3FA80D">
            <w:r>
              <w:t>CIV, directie Ontwikkeling Services RWS</w:t>
            </w:r>
          </w:p>
          <w:p w14:paraId="25E5C67B" w14:textId="07048047" w:rsidR="532F1467" w:rsidRDefault="2C3FA80D" w:rsidP="2C3FA80D">
            <w:r>
              <w:t xml:space="preserve">SVM Ontwikkeling </w:t>
            </w:r>
          </w:p>
        </w:tc>
      </w:tr>
      <w:tr w:rsidR="532F1467" w14:paraId="5D991D39" w14:textId="77777777" w:rsidTr="5E574513">
        <w:trPr>
          <w:trHeight w:val="300"/>
        </w:trPr>
        <w:tc>
          <w:tcPr>
            <w:tcW w:w="3075" w:type="dxa"/>
            <w:shd w:val="clear" w:color="auto" w:fill="D9E2F3" w:themeFill="accent1" w:themeFillTint="33"/>
          </w:tcPr>
          <w:p w14:paraId="3AEBC589" w14:textId="5E97C80A" w:rsidR="532F1467" w:rsidRDefault="532F1467" w:rsidP="532F1467">
            <w:r w:rsidRPr="532F1467">
              <w:t>4</w:t>
            </w:r>
          </w:p>
        </w:tc>
        <w:tc>
          <w:tcPr>
            <w:tcW w:w="1475" w:type="dxa"/>
            <w:shd w:val="clear" w:color="auto" w:fill="D9E2F3" w:themeFill="accent1" w:themeFillTint="33"/>
          </w:tcPr>
          <w:p w14:paraId="6809F27F" w14:textId="4EED863A" w:rsidR="532F1467" w:rsidRDefault="5E574513" w:rsidP="532F1467">
            <w:r>
              <w:t>14 mei 13:15-14:15</w:t>
            </w:r>
          </w:p>
          <w:p w14:paraId="7404E378" w14:textId="008473AB" w:rsidR="532F1467" w:rsidRDefault="532F1467" w:rsidP="2C3FA80D"/>
        </w:tc>
        <w:tc>
          <w:tcPr>
            <w:tcW w:w="4465" w:type="dxa"/>
            <w:shd w:val="clear" w:color="auto" w:fill="D9E2F3" w:themeFill="accent1" w:themeFillTint="33"/>
          </w:tcPr>
          <w:p w14:paraId="3A82609D" w14:textId="02E41823" w:rsidR="532F1467" w:rsidRDefault="2C3FA80D" w:rsidP="532F1467">
            <w:r>
              <w:t>Senior Adviseur Innovatie en Markt</w:t>
            </w:r>
          </w:p>
          <w:p w14:paraId="2DEA703A" w14:textId="2E94E997" w:rsidR="532F1467" w:rsidRDefault="2C3FA80D" w:rsidP="2C3FA80D">
            <w:r>
              <w:t>GPO, Directie Inkoop- en Contractmanagement</w:t>
            </w:r>
            <w:r w:rsidR="532F1467">
              <w:br/>
            </w:r>
            <w:r>
              <w:t>Afd. Innovatie en Markt</w:t>
            </w:r>
          </w:p>
        </w:tc>
      </w:tr>
    </w:tbl>
    <w:p w14:paraId="61B65D9F" w14:textId="2AB35EA8" w:rsidR="532F1467" w:rsidRDefault="532F1467" w:rsidP="532F1467">
      <w:pPr>
        <w:rPr>
          <w:i/>
          <w:iCs/>
          <w:sz w:val="20"/>
          <w:szCs w:val="20"/>
          <w:u w:val="single"/>
        </w:rPr>
      </w:pPr>
      <w:r w:rsidRPr="532F1467">
        <w:rPr>
          <w:i/>
          <w:iCs/>
          <w:sz w:val="20"/>
          <w:szCs w:val="20"/>
          <w:u w:val="single"/>
        </w:rPr>
        <w:t xml:space="preserve">Tabel </w:t>
      </w:r>
      <w:r w:rsidR="00883043">
        <w:rPr>
          <w:i/>
          <w:iCs/>
          <w:sz w:val="20"/>
          <w:szCs w:val="20"/>
          <w:u w:val="single"/>
        </w:rPr>
        <w:t>5</w:t>
      </w:r>
      <w:r w:rsidRPr="532F1467">
        <w:rPr>
          <w:i/>
          <w:iCs/>
          <w:sz w:val="20"/>
          <w:szCs w:val="20"/>
          <w:u w:val="single"/>
        </w:rPr>
        <w:t>: Lijst met respondenten semigestructureerde interviews IUP-werkwijze</w:t>
      </w:r>
    </w:p>
    <w:p w14:paraId="27F74F44" w14:textId="60DEE2CD" w:rsidR="532F1467" w:rsidRDefault="0F8EFB49" w:rsidP="532F1467">
      <w:r>
        <w:t xml:space="preserve">De semigestructureerde interviewmethode is daarnaast ook ingezet in het empirisch onderzoek naar de organisatiegerelateerde succesfactoren. Hier gaat het enkel om een explorerend onderzoek naar de mate waarin de organisatiegerelateerde succesfactoren worden ingevuld bij PPO Rijkswaterstaat. De literatuur over de organisatiegerelateerde succesfactoren heeft hier gefungeerd als achtergrondinformatie en een soort richting, zodat de respondenten bevraagd konden worden naar hoe zij tegen de invulling van deze factoren aankijken. Door de semigestructureerde manier van bevragen kon dus op basis van literatuur richting worden gegeven aan het gesprek, waarmee gemeten is wat gemeten moest worden. Daarnaast was er echter ook ruimte om vervolgvragen te stellen en om vanuit de respondenten aspecten in te brengen die relevant zijn voor het onderzoek. Dit maakt dit een geschikte methode van dataverzameling voor dit specifieke onderzoek. </w:t>
      </w:r>
    </w:p>
    <w:p w14:paraId="03DFCC47" w14:textId="7656B426" w:rsidR="00AA2F11" w:rsidRDefault="0AB624A7" w:rsidP="532F1467">
      <w:r>
        <w:t>Voor deze fase van het onderzoek zijn zestien respondenten geselecteerd. Vooraf was het de bedoeling om een gelijk aantal respondenten uit de vier directies te selecteren. Bij het selecteren bleek dit soms niet volledig mogelijk, waardoor bepaalde directies meer vertegenwoordigd zijn dan andere directies. Dit gaat echter om kleine verschillen. Dit nadeel is daarnaast zoveel mogelijk ondervangen door uit de meer vertegenwoordigde directies, respondenten te selecteren die een meervoudige rol hebben binnen PPO, waardoor ze een algeheel oordeel konden geven over de verschillende directies. De respondenten uit de directies komen vervolgens uit verschillende afdelingen en regio's van de desbetreffende directie om zo een zo breed mogelijk pallet aan invalshoeken toe te voegen aan dit onderzoek.</w:t>
      </w:r>
      <w:r w:rsidR="00EA024F">
        <w:t xml:space="preserve"> </w:t>
      </w:r>
      <w:r>
        <w:t xml:space="preserve">Voor een overzicht van de afgenomen semigestructureerde interviews naar de invulling van de organisatiegerelateerde succesfactoren bij PPO Rijkswaterstaat, zie onderstaande Tabel </w:t>
      </w:r>
      <w:r w:rsidR="00EA024F">
        <w:t>6</w:t>
      </w:r>
      <w:r>
        <w:t xml:space="preserve">. </w:t>
      </w:r>
    </w:p>
    <w:tbl>
      <w:tblPr>
        <w:tblStyle w:val="Tabelraster"/>
        <w:tblW w:w="9015" w:type="dxa"/>
        <w:tblLayout w:type="fixed"/>
        <w:tblLook w:val="06A0" w:firstRow="1" w:lastRow="0" w:firstColumn="1" w:lastColumn="0" w:noHBand="1" w:noVBand="1"/>
      </w:tblPr>
      <w:tblGrid>
        <w:gridCol w:w="1696"/>
        <w:gridCol w:w="2384"/>
        <w:gridCol w:w="4935"/>
      </w:tblGrid>
      <w:tr w:rsidR="20E336E1" w14:paraId="2BFF7929" w14:textId="77777777" w:rsidTr="00381DB7">
        <w:trPr>
          <w:trHeight w:val="300"/>
        </w:trPr>
        <w:tc>
          <w:tcPr>
            <w:tcW w:w="1696" w:type="dxa"/>
            <w:shd w:val="clear" w:color="auto" w:fill="4472C4" w:themeFill="accent1"/>
          </w:tcPr>
          <w:p w14:paraId="273A6592" w14:textId="3BA208E6" w:rsidR="20E336E1" w:rsidRDefault="532F1467" w:rsidP="532F1467">
            <w:pPr>
              <w:rPr>
                <w:b/>
                <w:bCs/>
                <w:sz w:val="24"/>
                <w:szCs w:val="24"/>
              </w:rPr>
            </w:pPr>
            <w:r w:rsidRPr="532F1467">
              <w:rPr>
                <w:b/>
                <w:bCs/>
                <w:sz w:val="24"/>
                <w:szCs w:val="24"/>
              </w:rPr>
              <w:t>Semigestructureerd interview</w:t>
            </w:r>
          </w:p>
        </w:tc>
        <w:tc>
          <w:tcPr>
            <w:tcW w:w="2384" w:type="dxa"/>
            <w:shd w:val="clear" w:color="auto" w:fill="4472C4" w:themeFill="accent1"/>
          </w:tcPr>
          <w:p w14:paraId="4F00A660" w14:textId="08B427A7" w:rsidR="20E336E1" w:rsidRDefault="532F1467" w:rsidP="532F1467">
            <w:pPr>
              <w:rPr>
                <w:b/>
                <w:bCs/>
                <w:sz w:val="24"/>
                <w:szCs w:val="24"/>
              </w:rPr>
            </w:pPr>
            <w:r w:rsidRPr="532F1467">
              <w:rPr>
                <w:b/>
                <w:bCs/>
                <w:sz w:val="24"/>
                <w:szCs w:val="24"/>
              </w:rPr>
              <w:t>Datum en tijd</w:t>
            </w:r>
          </w:p>
        </w:tc>
        <w:tc>
          <w:tcPr>
            <w:tcW w:w="4935" w:type="dxa"/>
            <w:shd w:val="clear" w:color="auto" w:fill="4472C4" w:themeFill="accent1"/>
          </w:tcPr>
          <w:p w14:paraId="052DA747" w14:textId="21DD0BB8" w:rsidR="20E336E1" w:rsidRDefault="532F1467" w:rsidP="532F1467">
            <w:pPr>
              <w:rPr>
                <w:b/>
                <w:bCs/>
                <w:sz w:val="24"/>
                <w:szCs w:val="24"/>
              </w:rPr>
            </w:pPr>
            <w:r w:rsidRPr="532F1467">
              <w:rPr>
                <w:b/>
                <w:bCs/>
                <w:sz w:val="24"/>
                <w:szCs w:val="24"/>
              </w:rPr>
              <w:t>Functie</w:t>
            </w:r>
          </w:p>
        </w:tc>
      </w:tr>
      <w:tr w:rsidR="6A8431F6" w14:paraId="64F916F9" w14:textId="77777777" w:rsidTr="00381DB7">
        <w:trPr>
          <w:trHeight w:val="300"/>
        </w:trPr>
        <w:tc>
          <w:tcPr>
            <w:tcW w:w="1696" w:type="dxa"/>
            <w:shd w:val="clear" w:color="auto" w:fill="D9E2F3" w:themeFill="accent1" w:themeFillTint="33"/>
          </w:tcPr>
          <w:p w14:paraId="06253F5A" w14:textId="1AB0C44B" w:rsidR="6A8431F6" w:rsidRDefault="6A8431F6" w:rsidP="6A8431F6">
            <w:pPr>
              <w:rPr>
                <w:b/>
                <w:bCs/>
                <w:sz w:val="24"/>
                <w:szCs w:val="24"/>
              </w:rPr>
            </w:pPr>
            <w:r w:rsidRPr="6A8431F6">
              <w:t>1</w:t>
            </w:r>
          </w:p>
        </w:tc>
        <w:tc>
          <w:tcPr>
            <w:tcW w:w="2384" w:type="dxa"/>
            <w:shd w:val="clear" w:color="auto" w:fill="D9E2F3" w:themeFill="accent1" w:themeFillTint="33"/>
          </w:tcPr>
          <w:p w14:paraId="08826D8B" w14:textId="1189E39F" w:rsidR="6A8431F6" w:rsidRDefault="6A8431F6" w:rsidP="6A8431F6">
            <w:r w:rsidRPr="6A8431F6">
              <w:t>1 mei 14:00-15:00</w:t>
            </w:r>
          </w:p>
          <w:p w14:paraId="3659F6B2" w14:textId="13526D99" w:rsidR="6A8431F6" w:rsidRDefault="6A8431F6" w:rsidP="6A8431F6">
            <w:pPr>
              <w:rPr>
                <w:b/>
                <w:bCs/>
                <w:sz w:val="24"/>
                <w:szCs w:val="24"/>
              </w:rPr>
            </w:pPr>
          </w:p>
        </w:tc>
        <w:tc>
          <w:tcPr>
            <w:tcW w:w="4935" w:type="dxa"/>
            <w:shd w:val="clear" w:color="auto" w:fill="D9E2F3" w:themeFill="accent1" w:themeFillTint="33"/>
          </w:tcPr>
          <w:p w14:paraId="01E577DB" w14:textId="7D8CA5CA" w:rsidR="6A8431F6" w:rsidRDefault="6A8431F6" w:rsidP="6A8431F6">
            <w:r w:rsidRPr="6A8431F6">
              <w:t xml:space="preserve">Senior-adviseur Leren en Ontwikkelen </w:t>
            </w:r>
          </w:p>
          <w:p w14:paraId="5BB9E542" w14:textId="5D3BF796" w:rsidR="6A8431F6" w:rsidRDefault="6A8431F6" w:rsidP="6A8431F6">
            <w:r w:rsidRPr="6A8431F6">
              <w:t xml:space="preserve">PPO, directie Productie en Project Management (PPM) </w:t>
            </w:r>
          </w:p>
          <w:p w14:paraId="6732DEA7" w14:textId="270121D1" w:rsidR="6A8431F6" w:rsidRDefault="6A8431F6" w:rsidP="6A8431F6">
            <w:r w:rsidRPr="6A8431F6">
              <w:t>Afd. Werkwijze</w:t>
            </w:r>
          </w:p>
        </w:tc>
      </w:tr>
      <w:tr w:rsidR="20E336E1" w14:paraId="35B08A51" w14:textId="77777777" w:rsidTr="00381DB7">
        <w:trPr>
          <w:trHeight w:val="300"/>
        </w:trPr>
        <w:tc>
          <w:tcPr>
            <w:tcW w:w="1696" w:type="dxa"/>
            <w:shd w:val="clear" w:color="auto" w:fill="D9E2F3" w:themeFill="accent1" w:themeFillTint="33"/>
          </w:tcPr>
          <w:p w14:paraId="0D5E343F" w14:textId="16F4268E" w:rsidR="20E336E1" w:rsidRDefault="6A8431F6" w:rsidP="6A8431F6">
            <w:r w:rsidRPr="6A8431F6">
              <w:t>2</w:t>
            </w:r>
          </w:p>
        </w:tc>
        <w:tc>
          <w:tcPr>
            <w:tcW w:w="2384" w:type="dxa"/>
            <w:shd w:val="clear" w:color="auto" w:fill="D9E2F3" w:themeFill="accent1" w:themeFillTint="33"/>
          </w:tcPr>
          <w:p w14:paraId="72EAD7F5" w14:textId="04957AD3" w:rsidR="20E336E1" w:rsidRDefault="532F1467" w:rsidP="532F1467">
            <w:r w:rsidRPr="532F1467">
              <w:t>6 mei 10:00-11:00</w:t>
            </w:r>
          </w:p>
        </w:tc>
        <w:tc>
          <w:tcPr>
            <w:tcW w:w="4935" w:type="dxa"/>
            <w:shd w:val="clear" w:color="auto" w:fill="D9E2F3" w:themeFill="accent1" w:themeFillTint="33"/>
          </w:tcPr>
          <w:p w14:paraId="52872D6B" w14:textId="789E9E8B" w:rsidR="20E336E1" w:rsidRDefault="532F1467" w:rsidP="532F1467">
            <w:r w:rsidRPr="532F1467">
              <w:t>Project-/Programmamanager</w:t>
            </w:r>
          </w:p>
          <w:p w14:paraId="7EC6972C" w14:textId="43ABBF6C" w:rsidR="20E336E1" w:rsidRDefault="532F1467" w:rsidP="532F1467">
            <w:r w:rsidRPr="532F1467">
              <w:t>PPO, Directie Productie en Projectmanagement</w:t>
            </w:r>
          </w:p>
          <w:p w14:paraId="23509DBA" w14:textId="3ECE698C" w:rsidR="20E336E1" w:rsidRDefault="532F1467" w:rsidP="532F1467">
            <w:r w:rsidRPr="532F1467">
              <w:t>Regio West-Nederland Noord</w:t>
            </w:r>
          </w:p>
        </w:tc>
      </w:tr>
      <w:tr w:rsidR="31E21C5F" w14:paraId="3BA68728" w14:textId="77777777" w:rsidTr="00381DB7">
        <w:trPr>
          <w:trHeight w:val="300"/>
        </w:trPr>
        <w:tc>
          <w:tcPr>
            <w:tcW w:w="1696" w:type="dxa"/>
            <w:shd w:val="clear" w:color="auto" w:fill="D9E2F3" w:themeFill="accent1" w:themeFillTint="33"/>
          </w:tcPr>
          <w:p w14:paraId="17FC3383" w14:textId="0D8712D7" w:rsidR="31E21C5F" w:rsidRDefault="6A8431F6" w:rsidP="6A8431F6">
            <w:r w:rsidRPr="6A8431F6">
              <w:t>3</w:t>
            </w:r>
          </w:p>
        </w:tc>
        <w:tc>
          <w:tcPr>
            <w:tcW w:w="2384" w:type="dxa"/>
            <w:shd w:val="clear" w:color="auto" w:fill="D9E2F3" w:themeFill="accent1" w:themeFillTint="33"/>
          </w:tcPr>
          <w:p w14:paraId="00536484" w14:textId="0ECF4FB4" w:rsidR="31E21C5F" w:rsidRDefault="31E21C5F" w:rsidP="31E21C5F">
            <w:r w:rsidRPr="31E21C5F">
              <w:t>6 mei 14:00-15:00</w:t>
            </w:r>
          </w:p>
        </w:tc>
        <w:tc>
          <w:tcPr>
            <w:tcW w:w="4935" w:type="dxa"/>
            <w:shd w:val="clear" w:color="auto" w:fill="D9E2F3" w:themeFill="accent1" w:themeFillTint="33"/>
          </w:tcPr>
          <w:p w14:paraId="0606AD08" w14:textId="789E9E8B" w:rsidR="31E21C5F" w:rsidRDefault="31E21C5F" w:rsidP="31E21C5F">
            <w:r w:rsidRPr="31E21C5F">
              <w:t>Project-/Programmamanager</w:t>
            </w:r>
          </w:p>
          <w:p w14:paraId="604CD485" w14:textId="43ABBF6C" w:rsidR="31E21C5F" w:rsidRDefault="31E21C5F" w:rsidP="31E21C5F">
            <w:r w:rsidRPr="31E21C5F">
              <w:t>PPO, Directie Productie en Projectmanagement</w:t>
            </w:r>
          </w:p>
          <w:p w14:paraId="744DF44B" w14:textId="7B7CB6DD" w:rsidR="31E21C5F" w:rsidRDefault="31E21C5F" w:rsidP="31E21C5F">
            <w:r w:rsidRPr="31E21C5F">
              <w:t>Regio Noord-Nederland</w:t>
            </w:r>
          </w:p>
        </w:tc>
      </w:tr>
      <w:tr w:rsidR="20E336E1" w14:paraId="7EE49EC1" w14:textId="77777777" w:rsidTr="00381DB7">
        <w:trPr>
          <w:trHeight w:val="300"/>
        </w:trPr>
        <w:tc>
          <w:tcPr>
            <w:tcW w:w="1696" w:type="dxa"/>
            <w:shd w:val="clear" w:color="auto" w:fill="D9E2F3" w:themeFill="accent1" w:themeFillTint="33"/>
          </w:tcPr>
          <w:p w14:paraId="64AAB66A" w14:textId="73155D64" w:rsidR="20E336E1" w:rsidRDefault="6A8431F6" w:rsidP="6A8431F6">
            <w:r w:rsidRPr="6A8431F6">
              <w:t>4</w:t>
            </w:r>
          </w:p>
        </w:tc>
        <w:tc>
          <w:tcPr>
            <w:tcW w:w="2384" w:type="dxa"/>
            <w:shd w:val="clear" w:color="auto" w:fill="D9E2F3" w:themeFill="accent1" w:themeFillTint="33"/>
          </w:tcPr>
          <w:p w14:paraId="61BE464C" w14:textId="6956FCC6" w:rsidR="20E336E1" w:rsidRDefault="532F1467" w:rsidP="532F1467">
            <w:r w:rsidRPr="532F1467">
              <w:t>7 mei 10:00-11:00</w:t>
            </w:r>
          </w:p>
        </w:tc>
        <w:tc>
          <w:tcPr>
            <w:tcW w:w="4935" w:type="dxa"/>
            <w:shd w:val="clear" w:color="auto" w:fill="D9E2F3" w:themeFill="accent1" w:themeFillTint="33"/>
          </w:tcPr>
          <w:p w14:paraId="1626CAE6" w14:textId="404B5039" w:rsidR="20E336E1" w:rsidRDefault="532F1467" w:rsidP="532F1467">
            <w:r w:rsidRPr="532F1467">
              <w:t>Technisch Manager</w:t>
            </w:r>
          </w:p>
          <w:p w14:paraId="694C4D32" w14:textId="2CAC785E" w:rsidR="20E336E1" w:rsidRDefault="532F1467" w:rsidP="532F1467">
            <w:r w:rsidRPr="532F1467">
              <w:t>PPO, Directie Techniek en Technisch Management</w:t>
            </w:r>
          </w:p>
          <w:p w14:paraId="6844ADDA" w14:textId="5D216A7C" w:rsidR="20E336E1" w:rsidRDefault="532F1467" w:rsidP="532F1467">
            <w:r w:rsidRPr="532F1467">
              <w:t>Regio Oost-Nederland</w:t>
            </w:r>
          </w:p>
        </w:tc>
      </w:tr>
      <w:tr w:rsidR="20E336E1" w14:paraId="480BDA07" w14:textId="77777777" w:rsidTr="00381DB7">
        <w:trPr>
          <w:trHeight w:val="300"/>
        </w:trPr>
        <w:tc>
          <w:tcPr>
            <w:tcW w:w="1696" w:type="dxa"/>
            <w:shd w:val="clear" w:color="auto" w:fill="D9E2F3" w:themeFill="accent1" w:themeFillTint="33"/>
          </w:tcPr>
          <w:p w14:paraId="4F89B78D" w14:textId="5115B12A" w:rsidR="20E336E1" w:rsidRDefault="6A8431F6" w:rsidP="6A8431F6">
            <w:r w:rsidRPr="6A8431F6">
              <w:t>5</w:t>
            </w:r>
          </w:p>
        </w:tc>
        <w:tc>
          <w:tcPr>
            <w:tcW w:w="2384" w:type="dxa"/>
            <w:shd w:val="clear" w:color="auto" w:fill="D9E2F3" w:themeFill="accent1" w:themeFillTint="33"/>
          </w:tcPr>
          <w:p w14:paraId="235EF009" w14:textId="11691E75" w:rsidR="20E336E1" w:rsidRDefault="532F1467" w:rsidP="532F1467">
            <w:r w:rsidRPr="532F1467">
              <w:t>7 mei 13:00-14:00</w:t>
            </w:r>
          </w:p>
        </w:tc>
        <w:tc>
          <w:tcPr>
            <w:tcW w:w="4935" w:type="dxa"/>
            <w:shd w:val="clear" w:color="auto" w:fill="D9E2F3" w:themeFill="accent1" w:themeFillTint="33"/>
          </w:tcPr>
          <w:p w14:paraId="5DE8CE49" w14:textId="404B5039" w:rsidR="20E336E1" w:rsidRDefault="532F1467" w:rsidP="532F1467">
            <w:r w:rsidRPr="532F1467">
              <w:t>Technisch Manager</w:t>
            </w:r>
          </w:p>
          <w:p w14:paraId="4DFEF66F" w14:textId="2CAC785E" w:rsidR="20E336E1" w:rsidRDefault="532F1467" w:rsidP="532F1467">
            <w:r w:rsidRPr="532F1467">
              <w:t>PPO, Directie Techniek en Technisch Management</w:t>
            </w:r>
          </w:p>
          <w:p w14:paraId="6104171B" w14:textId="0154E411" w:rsidR="20E336E1" w:rsidRDefault="532F1467" w:rsidP="532F1467">
            <w:r w:rsidRPr="532F1467">
              <w:t>Regio Midden-Nederland</w:t>
            </w:r>
          </w:p>
        </w:tc>
      </w:tr>
      <w:tr w:rsidR="20E336E1" w14:paraId="5792A5C3" w14:textId="77777777" w:rsidTr="00381DB7">
        <w:trPr>
          <w:trHeight w:val="300"/>
        </w:trPr>
        <w:tc>
          <w:tcPr>
            <w:tcW w:w="1696" w:type="dxa"/>
            <w:shd w:val="clear" w:color="auto" w:fill="D9E2F3" w:themeFill="accent1" w:themeFillTint="33"/>
          </w:tcPr>
          <w:p w14:paraId="7FD3F27B" w14:textId="016D9A3E" w:rsidR="20E336E1" w:rsidRDefault="6A8431F6" w:rsidP="6A8431F6">
            <w:r w:rsidRPr="6A8431F6">
              <w:t>6</w:t>
            </w:r>
          </w:p>
        </w:tc>
        <w:tc>
          <w:tcPr>
            <w:tcW w:w="2384" w:type="dxa"/>
            <w:shd w:val="clear" w:color="auto" w:fill="D9E2F3" w:themeFill="accent1" w:themeFillTint="33"/>
          </w:tcPr>
          <w:p w14:paraId="754AC3D7" w14:textId="35B2BB92" w:rsidR="20E336E1" w:rsidRDefault="532F1467" w:rsidP="532F1467">
            <w:r w:rsidRPr="532F1467">
              <w:t>7 mei 15:15-16:15</w:t>
            </w:r>
          </w:p>
        </w:tc>
        <w:tc>
          <w:tcPr>
            <w:tcW w:w="4935" w:type="dxa"/>
            <w:shd w:val="clear" w:color="auto" w:fill="D9E2F3" w:themeFill="accent1" w:themeFillTint="33"/>
          </w:tcPr>
          <w:p w14:paraId="6BD671AE" w14:textId="789E9E8B" w:rsidR="20E336E1" w:rsidRDefault="532F1467" w:rsidP="532F1467">
            <w:r w:rsidRPr="532F1467">
              <w:t>Project-/Programmamanager</w:t>
            </w:r>
          </w:p>
          <w:p w14:paraId="07945750" w14:textId="43ABBF6C" w:rsidR="20E336E1" w:rsidRDefault="532F1467" w:rsidP="532F1467">
            <w:r w:rsidRPr="532F1467">
              <w:t>PPO, Directie Productie en Projectmanagement</w:t>
            </w:r>
          </w:p>
          <w:p w14:paraId="3A9B6E60" w14:textId="3A8899AB" w:rsidR="20E336E1" w:rsidRDefault="532F1467" w:rsidP="532F1467">
            <w:r w:rsidRPr="532F1467">
              <w:t>Regio West-Nederland Zuid</w:t>
            </w:r>
          </w:p>
        </w:tc>
      </w:tr>
      <w:tr w:rsidR="20E336E1" w14:paraId="4F0DD2A1" w14:textId="77777777" w:rsidTr="00381DB7">
        <w:trPr>
          <w:trHeight w:val="300"/>
        </w:trPr>
        <w:tc>
          <w:tcPr>
            <w:tcW w:w="1696" w:type="dxa"/>
            <w:shd w:val="clear" w:color="auto" w:fill="D9E2F3" w:themeFill="accent1" w:themeFillTint="33"/>
          </w:tcPr>
          <w:p w14:paraId="05E84095" w14:textId="075738BA" w:rsidR="20E336E1" w:rsidRDefault="6A8431F6" w:rsidP="6A8431F6">
            <w:r w:rsidRPr="6A8431F6">
              <w:t>7</w:t>
            </w:r>
          </w:p>
        </w:tc>
        <w:tc>
          <w:tcPr>
            <w:tcW w:w="2384" w:type="dxa"/>
            <w:shd w:val="clear" w:color="auto" w:fill="D9E2F3" w:themeFill="accent1" w:themeFillTint="33"/>
          </w:tcPr>
          <w:p w14:paraId="2EA97A24" w14:textId="602EB49C" w:rsidR="20E336E1" w:rsidRDefault="532F1467" w:rsidP="532F1467">
            <w:r w:rsidRPr="532F1467">
              <w:t>8 mei 9:00-10:00</w:t>
            </w:r>
          </w:p>
        </w:tc>
        <w:tc>
          <w:tcPr>
            <w:tcW w:w="4935" w:type="dxa"/>
            <w:shd w:val="clear" w:color="auto" w:fill="D9E2F3" w:themeFill="accent1" w:themeFillTint="33"/>
          </w:tcPr>
          <w:p w14:paraId="372D7BC7" w14:textId="45F5ABF8" w:rsidR="20E336E1" w:rsidRDefault="3796EF2B" w:rsidP="31E21C5F">
            <w:r>
              <w:t>Senior-adviseur Leren en Ontwikkelen/ Projectleider Vergroten Leer- en Ontwikkelvermogen in de Werf</w:t>
            </w:r>
          </w:p>
          <w:p w14:paraId="71DE06F7" w14:textId="22A07816" w:rsidR="20E336E1" w:rsidRDefault="3796EF2B" w:rsidP="3796EF2B">
            <w:r>
              <w:t xml:space="preserve">PPO, directie Productie en Project Management </w:t>
            </w:r>
          </w:p>
          <w:p w14:paraId="4D5AA6CC" w14:textId="4F7ACBEE" w:rsidR="20E336E1" w:rsidRDefault="532F1467" w:rsidP="532F1467">
            <w:r w:rsidRPr="532F1467">
              <w:t>Afd. Werkwijze</w:t>
            </w:r>
          </w:p>
        </w:tc>
      </w:tr>
      <w:tr w:rsidR="20E336E1" w14:paraId="3697965C" w14:textId="77777777" w:rsidTr="00381DB7">
        <w:trPr>
          <w:trHeight w:val="300"/>
        </w:trPr>
        <w:tc>
          <w:tcPr>
            <w:tcW w:w="1696" w:type="dxa"/>
            <w:shd w:val="clear" w:color="auto" w:fill="D9E2F3" w:themeFill="accent1" w:themeFillTint="33"/>
          </w:tcPr>
          <w:p w14:paraId="7622FA2B" w14:textId="20B41B9D" w:rsidR="20E336E1" w:rsidRDefault="6A8431F6" w:rsidP="6A8431F6">
            <w:r w:rsidRPr="6A8431F6">
              <w:t>8</w:t>
            </w:r>
          </w:p>
        </w:tc>
        <w:tc>
          <w:tcPr>
            <w:tcW w:w="2384" w:type="dxa"/>
            <w:shd w:val="clear" w:color="auto" w:fill="D9E2F3" w:themeFill="accent1" w:themeFillTint="33"/>
          </w:tcPr>
          <w:p w14:paraId="025ED173" w14:textId="7F0D6962" w:rsidR="20E336E1" w:rsidRDefault="532F1467" w:rsidP="532F1467">
            <w:r w:rsidRPr="532F1467">
              <w:t>8 mei 11:00-12:00</w:t>
            </w:r>
          </w:p>
        </w:tc>
        <w:tc>
          <w:tcPr>
            <w:tcW w:w="4935" w:type="dxa"/>
            <w:shd w:val="clear" w:color="auto" w:fill="D9E2F3" w:themeFill="accent1" w:themeFillTint="33"/>
          </w:tcPr>
          <w:p w14:paraId="43E4F016" w14:textId="20C9DD3E" w:rsidR="20E336E1" w:rsidRDefault="532F1467" w:rsidP="20E336E1">
            <w:r>
              <w:t xml:space="preserve">Afdelingsmanager </w:t>
            </w:r>
          </w:p>
          <w:p w14:paraId="31034A09" w14:textId="1418C0B7" w:rsidR="20E336E1" w:rsidRDefault="532F1467" w:rsidP="20E336E1">
            <w:r>
              <w:t>PPO, Directie Bedrijfsvoering en Projectbeheersing</w:t>
            </w:r>
          </w:p>
          <w:p w14:paraId="33993590" w14:textId="42429A3C" w:rsidR="20E336E1" w:rsidRDefault="532F1467" w:rsidP="20E336E1">
            <w:r>
              <w:t>Afd. Werkwijze</w:t>
            </w:r>
          </w:p>
        </w:tc>
      </w:tr>
      <w:tr w:rsidR="1BC59B1A" w14:paraId="3117E71C" w14:textId="77777777" w:rsidTr="00381DB7">
        <w:trPr>
          <w:trHeight w:val="300"/>
        </w:trPr>
        <w:tc>
          <w:tcPr>
            <w:tcW w:w="1696" w:type="dxa"/>
            <w:shd w:val="clear" w:color="auto" w:fill="D9E2F3" w:themeFill="accent1" w:themeFillTint="33"/>
          </w:tcPr>
          <w:p w14:paraId="65EC587B" w14:textId="77C5A709" w:rsidR="1BC59B1A" w:rsidRDefault="1BC59B1A" w:rsidP="1BC59B1A">
            <w:r>
              <w:t>9</w:t>
            </w:r>
          </w:p>
        </w:tc>
        <w:tc>
          <w:tcPr>
            <w:tcW w:w="2384" w:type="dxa"/>
            <w:shd w:val="clear" w:color="auto" w:fill="D9E2F3" w:themeFill="accent1" w:themeFillTint="33"/>
          </w:tcPr>
          <w:p w14:paraId="610ED317" w14:textId="75F073CA" w:rsidR="1BC59B1A" w:rsidRDefault="1BC59B1A" w:rsidP="1BC59B1A">
            <w:r>
              <w:t>8 mei 13:00-14:00</w:t>
            </w:r>
          </w:p>
        </w:tc>
        <w:tc>
          <w:tcPr>
            <w:tcW w:w="4935" w:type="dxa"/>
            <w:shd w:val="clear" w:color="auto" w:fill="D9E2F3" w:themeFill="accent1" w:themeFillTint="33"/>
          </w:tcPr>
          <w:p w14:paraId="0631AA8E" w14:textId="7E22DE03" w:rsidR="1BC59B1A" w:rsidRDefault="1BC59B1A" w:rsidP="1BC59B1A">
            <w:r>
              <w:t>Contractmanager</w:t>
            </w:r>
            <w:r>
              <w:br/>
              <w:t>PPO, directie Inkoop en Contract Management</w:t>
            </w:r>
          </w:p>
          <w:p w14:paraId="757B4114" w14:textId="4A32B3AC" w:rsidR="1BC59B1A" w:rsidRDefault="1BC59B1A" w:rsidP="1BC59B1A">
            <w:r>
              <w:t>Regio Zuid-Nederland/Oost-Nederland</w:t>
            </w:r>
          </w:p>
        </w:tc>
      </w:tr>
      <w:tr w:rsidR="20E336E1" w14:paraId="59616A42" w14:textId="77777777" w:rsidTr="00381DB7">
        <w:trPr>
          <w:trHeight w:val="300"/>
        </w:trPr>
        <w:tc>
          <w:tcPr>
            <w:tcW w:w="1696" w:type="dxa"/>
            <w:shd w:val="clear" w:color="auto" w:fill="D9E2F3" w:themeFill="accent1" w:themeFillTint="33"/>
          </w:tcPr>
          <w:p w14:paraId="5DF44AD8" w14:textId="46F774F7" w:rsidR="20E336E1" w:rsidRDefault="1BC59B1A" w:rsidP="6A8431F6">
            <w:r>
              <w:t>10</w:t>
            </w:r>
          </w:p>
        </w:tc>
        <w:tc>
          <w:tcPr>
            <w:tcW w:w="2384" w:type="dxa"/>
            <w:shd w:val="clear" w:color="auto" w:fill="D9E2F3" w:themeFill="accent1" w:themeFillTint="33"/>
          </w:tcPr>
          <w:p w14:paraId="27718E92" w14:textId="66E69D5B" w:rsidR="20E336E1" w:rsidRDefault="532F1467" w:rsidP="532F1467">
            <w:r w:rsidRPr="532F1467">
              <w:t>8 mei 14:00-15:00</w:t>
            </w:r>
          </w:p>
        </w:tc>
        <w:tc>
          <w:tcPr>
            <w:tcW w:w="4935" w:type="dxa"/>
            <w:shd w:val="clear" w:color="auto" w:fill="D9E2F3" w:themeFill="accent1" w:themeFillTint="33"/>
          </w:tcPr>
          <w:p w14:paraId="1A1CC663" w14:textId="6C209E10" w:rsidR="20E336E1" w:rsidRDefault="532F1467" w:rsidP="532F1467">
            <w:r w:rsidRPr="532F1467">
              <w:t>Senior HRM adviseur</w:t>
            </w:r>
          </w:p>
          <w:p w14:paraId="749C9A07" w14:textId="28436AD0" w:rsidR="20E336E1" w:rsidRDefault="72BFCE82" w:rsidP="20E336E1">
            <w:r>
              <w:t>PPO, Directie Techniek en Technisch Management</w:t>
            </w:r>
          </w:p>
          <w:p w14:paraId="2B83F8A2" w14:textId="40EAB84D" w:rsidR="20E336E1" w:rsidRDefault="20E336E1" w:rsidP="532F1467"/>
        </w:tc>
      </w:tr>
      <w:tr w:rsidR="532F1467" w14:paraId="3C24FAA5" w14:textId="77777777" w:rsidTr="00381DB7">
        <w:trPr>
          <w:trHeight w:val="300"/>
        </w:trPr>
        <w:tc>
          <w:tcPr>
            <w:tcW w:w="1696" w:type="dxa"/>
            <w:shd w:val="clear" w:color="auto" w:fill="D9E2F3" w:themeFill="accent1" w:themeFillTint="33"/>
          </w:tcPr>
          <w:p w14:paraId="34A153EC" w14:textId="616E3C68" w:rsidR="532F1467" w:rsidRDefault="1BC59B1A" w:rsidP="6A8431F6">
            <w:r>
              <w:t>11</w:t>
            </w:r>
          </w:p>
        </w:tc>
        <w:tc>
          <w:tcPr>
            <w:tcW w:w="2384" w:type="dxa"/>
            <w:shd w:val="clear" w:color="auto" w:fill="D9E2F3" w:themeFill="accent1" w:themeFillTint="33"/>
          </w:tcPr>
          <w:p w14:paraId="4926A339" w14:textId="2C3E7168" w:rsidR="532F1467" w:rsidRDefault="532F1467" w:rsidP="532F1467">
            <w:r w:rsidRPr="532F1467">
              <w:t>10 mei 9:00-10:00</w:t>
            </w:r>
          </w:p>
        </w:tc>
        <w:tc>
          <w:tcPr>
            <w:tcW w:w="4935" w:type="dxa"/>
            <w:shd w:val="clear" w:color="auto" w:fill="D9E2F3" w:themeFill="accent1" w:themeFillTint="33"/>
          </w:tcPr>
          <w:p w14:paraId="1F46F77D" w14:textId="4EFCB5F5" w:rsidR="532F1467" w:rsidRDefault="72BFCE82" w:rsidP="532F1467">
            <w:r>
              <w:t>Strategisch Adviseur Onderhoud en Marktrelaties/Plaatsvervangend directeur Inkoop en Contract Management</w:t>
            </w:r>
          </w:p>
          <w:p w14:paraId="0D3BB2AF" w14:textId="512DEF73" w:rsidR="532F1467" w:rsidRDefault="532F1467" w:rsidP="532F1467">
            <w:r w:rsidRPr="532F1467">
              <w:t>PPO, Directie Inkoop en Contract Management</w:t>
            </w:r>
          </w:p>
        </w:tc>
      </w:tr>
      <w:tr w:rsidR="532F1467" w14:paraId="444B0171" w14:textId="77777777" w:rsidTr="00381DB7">
        <w:trPr>
          <w:trHeight w:val="300"/>
        </w:trPr>
        <w:tc>
          <w:tcPr>
            <w:tcW w:w="1696" w:type="dxa"/>
            <w:shd w:val="clear" w:color="auto" w:fill="D9E2F3" w:themeFill="accent1" w:themeFillTint="33"/>
          </w:tcPr>
          <w:p w14:paraId="7F93094A" w14:textId="287F783A" w:rsidR="532F1467" w:rsidRDefault="1BC59B1A" w:rsidP="6A8431F6">
            <w:r>
              <w:t>12</w:t>
            </w:r>
          </w:p>
        </w:tc>
        <w:tc>
          <w:tcPr>
            <w:tcW w:w="2384" w:type="dxa"/>
            <w:shd w:val="clear" w:color="auto" w:fill="D9E2F3" w:themeFill="accent1" w:themeFillTint="33"/>
          </w:tcPr>
          <w:p w14:paraId="73C16168" w14:textId="60A8D518" w:rsidR="532F1467" w:rsidRDefault="532F1467" w:rsidP="532F1467">
            <w:r w:rsidRPr="532F1467">
              <w:t>13 mei 13:00-14:00</w:t>
            </w:r>
          </w:p>
        </w:tc>
        <w:tc>
          <w:tcPr>
            <w:tcW w:w="4935" w:type="dxa"/>
            <w:shd w:val="clear" w:color="auto" w:fill="D9E2F3" w:themeFill="accent1" w:themeFillTint="33"/>
          </w:tcPr>
          <w:p w14:paraId="5E5C9F8B" w14:textId="19F8C9CD" w:rsidR="532F1467" w:rsidRDefault="532F1467" w:rsidP="532F1467">
            <w:r w:rsidRPr="532F1467">
              <w:t>Manager Projectbeheersing</w:t>
            </w:r>
          </w:p>
          <w:p w14:paraId="23AB76C2" w14:textId="7A35EAB6" w:rsidR="532F1467" w:rsidRDefault="532F1467" w:rsidP="532F1467">
            <w:r>
              <w:t>PPO, Directie Bedrijfsvoering en Projectbeheersing</w:t>
            </w:r>
          </w:p>
          <w:p w14:paraId="05008952" w14:textId="425EB8A6" w:rsidR="532F1467" w:rsidRDefault="532F1467" w:rsidP="532F1467">
            <w:r>
              <w:t>Regio Oost-Nederland</w:t>
            </w:r>
          </w:p>
        </w:tc>
      </w:tr>
      <w:tr w:rsidR="532F1467" w14:paraId="5804A3FE" w14:textId="77777777" w:rsidTr="00381DB7">
        <w:trPr>
          <w:trHeight w:val="300"/>
        </w:trPr>
        <w:tc>
          <w:tcPr>
            <w:tcW w:w="1696" w:type="dxa"/>
            <w:shd w:val="clear" w:color="auto" w:fill="D9E2F3" w:themeFill="accent1" w:themeFillTint="33"/>
          </w:tcPr>
          <w:p w14:paraId="3C316480" w14:textId="1297FA02" w:rsidR="532F1467" w:rsidRDefault="1BC59B1A" w:rsidP="6A8431F6">
            <w:r>
              <w:t>13</w:t>
            </w:r>
          </w:p>
        </w:tc>
        <w:tc>
          <w:tcPr>
            <w:tcW w:w="2384" w:type="dxa"/>
            <w:shd w:val="clear" w:color="auto" w:fill="D9E2F3" w:themeFill="accent1" w:themeFillTint="33"/>
          </w:tcPr>
          <w:p w14:paraId="42F83BFA" w14:textId="2874DD69" w:rsidR="532F1467" w:rsidRDefault="532F1467" w:rsidP="532F1467">
            <w:r w:rsidRPr="532F1467">
              <w:t>13 mei 15:00-16:00</w:t>
            </w:r>
          </w:p>
        </w:tc>
        <w:tc>
          <w:tcPr>
            <w:tcW w:w="4935" w:type="dxa"/>
            <w:shd w:val="clear" w:color="auto" w:fill="D9E2F3" w:themeFill="accent1" w:themeFillTint="33"/>
          </w:tcPr>
          <w:p w14:paraId="12B480BA" w14:textId="20C9DD3E" w:rsidR="532F1467" w:rsidRDefault="532F1467" w:rsidP="532F1467">
            <w:r>
              <w:t xml:space="preserve">Afdelingsmanager </w:t>
            </w:r>
          </w:p>
          <w:p w14:paraId="2E39123F" w14:textId="17D47B5B" w:rsidR="532F1467" w:rsidRDefault="532F1467" w:rsidP="532F1467">
            <w:r>
              <w:t>PPO, Directie Productie en Project Management</w:t>
            </w:r>
          </w:p>
          <w:p w14:paraId="2F64323A" w14:textId="7F38F92B" w:rsidR="532F1467" w:rsidRDefault="532F1467" w:rsidP="532F1467">
            <w:r>
              <w:t>Afd. Werkwijze</w:t>
            </w:r>
          </w:p>
        </w:tc>
      </w:tr>
      <w:tr w:rsidR="532F1467" w14:paraId="69421066" w14:textId="77777777" w:rsidTr="00381DB7">
        <w:trPr>
          <w:trHeight w:val="300"/>
        </w:trPr>
        <w:tc>
          <w:tcPr>
            <w:tcW w:w="1696" w:type="dxa"/>
            <w:shd w:val="clear" w:color="auto" w:fill="D9E2F3" w:themeFill="accent1" w:themeFillTint="33"/>
          </w:tcPr>
          <w:p w14:paraId="164FCC7C" w14:textId="5B9ACC59" w:rsidR="532F1467" w:rsidRDefault="1BC59B1A" w:rsidP="6A8431F6">
            <w:r>
              <w:t>14</w:t>
            </w:r>
          </w:p>
        </w:tc>
        <w:tc>
          <w:tcPr>
            <w:tcW w:w="2384" w:type="dxa"/>
            <w:shd w:val="clear" w:color="auto" w:fill="D9E2F3" w:themeFill="accent1" w:themeFillTint="33"/>
          </w:tcPr>
          <w:p w14:paraId="64EFE6DB" w14:textId="72FF0FEE" w:rsidR="532F1467" w:rsidRDefault="532F1467" w:rsidP="532F1467">
            <w:r w:rsidRPr="532F1467">
              <w:t>14 mei 10:00-11:00</w:t>
            </w:r>
          </w:p>
        </w:tc>
        <w:tc>
          <w:tcPr>
            <w:tcW w:w="4935" w:type="dxa"/>
            <w:shd w:val="clear" w:color="auto" w:fill="D9E2F3" w:themeFill="accent1" w:themeFillTint="33"/>
          </w:tcPr>
          <w:p w14:paraId="108602B2" w14:textId="1A840007" w:rsidR="532F1467" w:rsidRDefault="532F1467" w:rsidP="532F1467">
            <w:r>
              <w:t>Afdelingsmanager</w:t>
            </w:r>
          </w:p>
          <w:p w14:paraId="6585D55B" w14:textId="3465079B" w:rsidR="532F1467" w:rsidRDefault="532F1467" w:rsidP="532F1467">
            <w:r>
              <w:t>PPO, Directie Techniek en Technisch Management</w:t>
            </w:r>
          </w:p>
          <w:p w14:paraId="71CEF96D" w14:textId="1C1B33B2" w:rsidR="532F1467" w:rsidRDefault="532F1467" w:rsidP="532F1467">
            <w:r>
              <w:t>Afd. Werkwijze</w:t>
            </w:r>
          </w:p>
        </w:tc>
      </w:tr>
      <w:tr w:rsidR="670F6F82" w14:paraId="4FDD9713" w14:textId="77777777" w:rsidTr="00381DB7">
        <w:trPr>
          <w:trHeight w:val="300"/>
        </w:trPr>
        <w:tc>
          <w:tcPr>
            <w:tcW w:w="1696" w:type="dxa"/>
            <w:shd w:val="clear" w:color="auto" w:fill="D9E2F3" w:themeFill="accent1" w:themeFillTint="33"/>
          </w:tcPr>
          <w:p w14:paraId="2E1D3D80" w14:textId="6499AC41" w:rsidR="670F6F82" w:rsidRDefault="1BC59B1A" w:rsidP="670F6F82">
            <w:r>
              <w:t>15</w:t>
            </w:r>
          </w:p>
        </w:tc>
        <w:tc>
          <w:tcPr>
            <w:tcW w:w="2384" w:type="dxa"/>
            <w:shd w:val="clear" w:color="auto" w:fill="D9E2F3" w:themeFill="accent1" w:themeFillTint="33"/>
          </w:tcPr>
          <w:p w14:paraId="51A1B9B1" w14:textId="32C465B5" w:rsidR="670F6F82" w:rsidRDefault="670F6F82" w:rsidP="670F6F82">
            <w:r w:rsidRPr="670F6F82">
              <w:t>14 mei 15:00-16:00</w:t>
            </w:r>
          </w:p>
        </w:tc>
        <w:tc>
          <w:tcPr>
            <w:tcW w:w="4935" w:type="dxa"/>
            <w:shd w:val="clear" w:color="auto" w:fill="D9E2F3" w:themeFill="accent1" w:themeFillTint="33"/>
          </w:tcPr>
          <w:p w14:paraId="6F2862DC" w14:textId="0FEFB9FE" w:rsidR="670F6F82" w:rsidRDefault="670F6F82" w:rsidP="670F6F82">
            <w:r>
              <w:t>Afdelingsmanager</w:t>
            </w:r>
          </w:p>
          <w:p w14:paraId="36ED1AA8" w14:textId="26ED4211" w:rsidR="670F6F82" w:rsidRDefault="670F6F82" w:rsidP="670F6F82">
            <w:r>
              <w:t>PPO, Directie Inkoop en Contract Management</w:t>
            </w:r>
          </w:p>
          <w:p w14:paraId="7B42E33B" w14:textId="5484FA25" w:rsidR="670F6F82" w:rsidRDefault="670F6F82" w:rsidP="670F6F82">
            <w:r>
              <w:t>Afd. Werkwijze</w:t>
            </w:r>
          </w:p>
        </w:tc>
      </w:tr>
      <w:tr w:rsidR="532F1467" w14:paraId="3A542A33" w14:textId="77777777" w:rsidTr="00381DB7">
        <w:trPr>
          <w:trHeight w:val="300"/>
        </w:trPr>
        <w:tc>
          <w:tcPr>
            <w:tcW w:w="1696" w:type="dxa"/>
            <w:shd w:val="clear" w:color="auto" w:fill="D9E2F3" w:themeFill="accent1" w:themeFillTint="33"/>
          </w:tcPr>
          <w:p w14:paraId="065D48E5" w14:textId="4138A6FD" w:rsidR="532F1467" w:rsidRDefault="1BC59B1A" w:rsidP="670F6F82">
            <w:r>
              <w:t>16</w:t>
            </w:r>
          </w:p>
        </w:tc>
        <w:tc>
          <w:tcPr>
            <w:tcW w:w="2384" w:type="dxa"/>
            <w:shd w:val="clear" w:color="auto" w:fill="D9E2F3" w:themeFill="accent1" w:themeFillTint="33"/>
          </w:tcPr>
          <w:p w14:paraId="3DE919E4" w14:textId="5722B870" w:rsidR="532F1467" w:rsidRDefault="532F1467" w:rsidP="532F1467">
            <w:r w:rsidRPr="532F1467">
              <w:t>15 mei 15:00-16:00</w:t>
            </w:r>
          </w:p>
        </w:tc>
        <w:tc>
          <w:tcPr>
            <w:tcW w:w="4935" w:type="dxa"/>
            <w:shd w:val="clear" w:color="auto" w:fill="D9E2F3" w:themeFill="accent1" w:themeFillTint="33"/>
          </w:tcPr>
          <w:p w14:paraId="2B8A2D2C" w14:textId="19F8C9CD" w:rsidR="532F1467" w:rsidRDefault="532F1467" w:rsidP="532F1467">
            <w:r w:rsidRPr="532F1467">
              <w:t>Manager Projectbeheersing</w:t>
            </w:r>
          </w:p>
          <w:p w14:paraId="56462D8B" w14:textId="7A35EAB6" w:rsidR="532F1467" w:rsidRDefault="532F1467" w:rsidP="532F1467">
            <w:r>
              <w:t>PPO, Directie Bedrijfsvoering en Projectbeheersing</w:t>
            </w:r>
          </w:p>
          <w:p w14:paraId="32287239" w14:textId="6F8E5001" w:rsidR="532F1467" w:rsidRDefault="532F1467" w:rsidP="532F1467">
            <w:r>
              <w:t>Regio Zuid-Nederland</w:t>
            </w:r>
          </w:p>
        </w:tc>
      </w:tr>
    </w:tbl>
    <w:p w14:paraId="1635344F" w14:textId="3724763A" w:rsidR="31E21C5F" w:rsidRDefault="0F8EFB49" w:rsidP="1BC59B1A">
      <w:pPr>
        <w:rPr>
          <w:i/>
          <w:iCs/>
          <w:sz w:val="20"/>
          <w:szCs w:val="20"/>
          <w:u w:val="single"/>
        </w:rPr>
      </w:pPr>
      <w:r w:rsidRPr="0F8EFB49">
        <w:rPr>
          <w:i/>
          <w:iCs/>
          <w:sz w:val="20"/>
          <w:szCs w:val="20"/>
          <w:u w:val="single"/>
        </w:rPr>
        <w:t xml:space="preserve">Tabel </w:t>
      </w:r>
      <w:r w:rsidR="00723924">
        <w:rPr>
          <w:i/>
          <w:iCs/>
          <w:sz w:val="20"/>
          <w:szCs w:val="20"/>
          <w:u w:val="single"/>
        </w:rPr>
        <w:t>6</w:t>
      </w:r>
      <w:r w:rsidRPr="0F8EFB49">
        <w:rPr>
          <w:i/>
          <w:iCs/>
          <w:sz w:val="20"/>
          <w:szCs w:val="20"/>
          <w:u w:val="single"/>
        </w:rPr>
        <w:t>: Lijst met respondenten semigestructureerde interviews organisatiegerelateerde succesfactoren</w:t>
      </w:r>
    </w:p>
    <w:p w14:paraId="1FD379B4" w14:textId="048EDDA9" w:rsidR="041CA8C9" w:rsidRDefault="0AB624A7" w:rsidP="20E336E1">
      <w:pPr>
        <w:pStyle w:val="Kop2"/>
      </w:pPr>
      <w:bookmarkStart w:id="24" w:name="_Toc171411047"/>
      <w:r>
        <w:t>3.4 Operationalisatie</w:t>
      </w:r>
      <w:bookmarkEnd w:id="24"/>
    </w:p>
    <w:p w14:paraId="30733A31" w14:textId="3BAD3FEF" w:rsidR="532F1467" w:rsidRDefault="0F8EFB49" w:rsidP="532F1467">
      <w:r>
        <w:t xml:space="preserve">In het </w:t>
      </w:r>
      <w:r w:rsidR="00D62175">
        <w:t>T</w:t>
      </w:r>
      <w:r>
        <w:t xml:space="preserve">heoretisch </w:t>
      </w:r>
      <w:r w:rsidR="00D62175">
        <w:t>K</w:t>
      </w:r>
      <w:r>
        <w:t>ader zijn de verschillende literatuurlijnen, met bijbehorende succesfactoren, besproken die van invloed zijn op het versterken van het innovatievermogen van een organisatie. In deze paragraaf wordt besproken hoe deze factoren in de empirie gemeten zijn. Aan het eind van de paragraaf volgt het volledige operationalisatieschema, waarin alle begrippen geoperationaliseerd zijn.</w:t>
      </w:r>
      <w:r w:rsidR="00A50B1A">
        <w:t xml:space="preserve"> Tot slot sluit deze paragraaf af met een toelichting op hoe het doorvragen in de interviews is aangepakt</w:t>
      </w:r>
      <w:r w:rsidR="00506D81">
        <w:t xml:space="preserve"> op basis van de operationalisatie</w:t>
      </w:r>
      <w:r w:rsidR="00A50B1A">
        <w:t xml:space="preserve">. </w:t>
      </w:r>
    </w:p>
    <w:p w14:paraId="339FC970" w14:textId="255AF3D2" w:rsidR="31E21C5F" w:rsidRDefault="0AB624A7" w:rsidP="31E21C5F">
      <w:pPr>
        <w:pStyle w:val="Kop3"/>
      </w:pPr>
      <w:bookmarkStart w:id="25" w:name="_Toc171411048"/>
      <w:r>
        <w:t>3.5.1 Innovatieprocessen</w:t>
      </w:r>
      <w:bookmarkEnd w:id="25"/>
    </w:p>
    <w:p w14:paraId="2F0C3C56" w14:textId="31FD40D7" w:rsidR="31E21C5F" w:rsidRDefault="0F8EFB49" w:rsidP="31E21C5F">
      <w:r>
        <w:t>Op basis van het literatuuronderzoek over innovatieprocessen is te stellen dat zo</w:t>
      </w:r>
      <w:r w:rsidR="00D8100A">
        <w:t>’</w:t>
      </w:r>
      <w:r>
        <w:t>n innovatieproces vaak wordt omschreven als het proces van bedenken, ontwikkelen en invoeren van betere werkwijzen en producten (Huizingh, 2019). Uit deze literatuur over innovatieprocessen komt één belangrijke succesfactor naar voren, namelijk dat het proces goed gestructureerd moet zijn, waarbij het behulpzaam kan zijn om deze structuur vast te leggen in een procesbeschrijving of tool. Om een innovatieproces goed te structureren is het volgens de literatuur van belang om het proces op te delen in vier fases, namelijk de exploreerfase, de experimenteerfase, de implementatiefase en tot slot de evaluatiefase. Deze vier fase</w:t>
      </w:r>
      <w:r w:rsidR="00290C7C">
        <w:t>n</w:t>
      </w:r>
      <w:r>
        <w:t xml:space="preserve"> zijn dan ook te identificeren als de vier dimensies behorend bij de succesfactor ‘gestructureerd innovatieproces in een procesbeschrijving’. De literatuur beschrijft vervolgens dat binnen deze vier fase</w:t>
      </w:r>
      <w:r w:rsidR="00290C7C">
        <w:t>n</w:t>
      </w:r>
      <w:r>
        <w:t xml:space="preserve"> een aantal aspecten afgevinkt moeten worden, voordat over kan worden gegaan tot een volgende fase. Deze aspecten zijn te identificeren als indicatoren. </w:t>
      </w:r>
    </w:p>
    <w:p w14:paraId="464729D2" w14:textId="78D8457D" w:rsidR="31E21C5F" w:rsidRDefault="0AB624A7" w:rsidP="31E21C5F">
      <w:pPr>
        <w:pStyle w:val="Kop3"/>
      </w:pPr>
      <w:bookmarkStart w:id="26" w:name="_Toc171411049"/>
      <w:r>
        <w:t>3.5.2 Lerende organisatie</w:t>
      </w:r>
      <w:bookmarkEnd w:id="26"/>
    </w:p>
    <w:p w14:paraId="5DA21121" w14:textId="40276CCC" w:rsidR="31E21C5F" w:rsidRDefault="0F8EFB49" w:rsidP="31E21C5F">
      <w:r>
        <w:t>Op basis van literatuuronderzoek over de lerende organisatie is te stellen dat de lerende organisatie doorgaans wordt omschreven als een organisatie, waarin het collectieve denken centraal staat (Goh, 1998). Dit houdt in dat er collectief kennis wordt gedeeld, in teams en overkoepelend wordt geleerd en er vernieuwingen in het werk plaatsvinden op collectief niveau. Vanuit deze literatuurlijn zijn er, zoals eerder genoemd, vijf succesfactoren te onderscheiden. Dit onderzoek richt zich echter op drie van deze succesfactoren, omdat het onderzoek van Gerritz (2021) heeft aangetoond dat op deze drie succesfactoren belangrijke stappen te zetten zijn binnen PPO</w:t>
      </w:r>
      <w:r w:rsidR="00F43A00">
        <w:t>,</w:t>
      </w:r>
      <w:r>
        <w:t xml:space="preserve"> of de verbinding beter gelegd kan worden met het huidige doel, namelijk het versterken van het innovatievermogen van de organisatie. De drie succesfactoren die in dit onderzoek zijn meegenomen zijn: organisatieleercultuur, kennismanagement- en deling en autonomie. </w:t>
      </w:r>
    </w:p>
    <w:p w14:paraId="2C1E06C7" w14:textId="6EF3FE88" w:rsidR="31E21C5F" w:rsidRDefault="0F8EFB49" w:rsidP="31E21C5F">
      <w:r>
        <w:t>Deze drie succesfactoren worden vervolgens opgedeeld in dimensies. Wat betreft de organisatieleercultuur spreken we in dit onderzoek van twee dimensies, namelijk ‘kwaliteit van taken’ en ‘kwaliteit van sociale relaties’. Voor de succesfactor kennismanagement- en deling wordt één dimensie ondersche</w:t>
      </w:r>
      <w:r w:rsidR="00CF658F">
        <w:t>i</w:t>
      </w:r>
      <w:r>
        <w:t xml:space="preserve">den, namelijk een ‘communicatiestructuur’. Deze communicatiestructuur is noodzakelijk voor het kennismanagement- en deling van de organisatie. Tot slot wordt de succesfactor autonomie onderscheden in twee dimensies, namelijk ‘experimenteren in een regelluwe omgeving’ en ‘contraproductief gedrag’. De tweede dimensie, contraproductief gedrag, is een verschijnsel dat ontstaat op het moment dat de autonomie van werknemers te ver doorslaat. De dimensie experimenteren in een regelluwe omgeving is noodzakelijk om de creativiteit wat betreft innovaties optimaal te benutten. De beschreven dimensies per succesfactor zijn vervolgens aan het eind van deze paragraaf geoperationaliseerd naar indicatoren, die het mogelijk hebben gemaakt om de dimensies te meten in de empirie. </w:t>
      </w:r>
    </w:p>
    <w:p w14:paraId="6C0AECC9" w14:textId="77777777" w:rsidR="00AA2F11" w:rsidRDefault="00AA2F11" w:rsidP="31E21C5F"/>
    <w:p w14:paraId="74CCD904" w14:textId="73D116B7" w:rsidR="31E21C5F" w:rsidRDefault="0AB624A7" w:rsidP="31E21C5F">
      <w:pPr>
        <w:pStyle w:val="Kop3"/>
      </w:pPr>
      <w:bookmarkStart w:id="27" w:name="_Toc171411050"/>
      <w:r>
        <w:t>3.5.3 Innovatiemanagement</w:t>
      </w:r>
      <w:bookmarkEnd w:id="27"/>
    </w:p>
    <w:p w14:paraId="3B0D940E" w14:textId="598341FF" w:rsidR="31E21C5F" w:rsidRDefault="31E21C5F" w:rsidP="31E21C5F">
      <w:r>
        <w:t xml:space="preserve">In de literatuur wordt met innovatiemanagement doorgaans bedoeld dat een organisatie goed weet waar het heen wil met innovaties, dat iedereen in de organisatie daarvan op de hoogte is, dat de organisatie keuzes maakt en dat het managementsysteem zo is ingericht dat er ook daadwerkelijk succesvol geïnnoveerd kan worden (Huizingh, 2019; Tidd &amp; Bessant, 2020; Van der Cruijsen &amp; Schaafsma, 2011). Vanuit deze literatuurlijn komen drie succesfactoren naar voren, namelijk innovatiebeleid- en strategie, leiderschap en eigenaarschap. </w:t>
      </w:r>
    </w:p>
    <w:p w14:paraId="25318E6E" w14:textId="1666E204" w:rsidR="31E21C5F" w:rsidRDefault="0F8EFB49" w:rsidP="31E21C5F">
      <w:r>
        <w:t xml:space="preserve">Ook deze drie succesfactoren zijn weer opgedeeld in dimensies. Wat betreft de succesfactor innovatiebeleid worden drie dimensies onderscheiden, namelijk ‘management van organisatie ademt innovatie’, ‘innovatiestrategie’ en ‘portfoliomanagement’. De succesfactor leiderschap resulteert in één dimensie, namelijk de ‘transactionele leiderschapsstijl’. Op basis van literatuuronderzoek weten we dat de tegenhanger, transformationeel leiderschap, noodzakelijk is voor de ontwikkelingsfase van innovaties. Deze leiderschapsstijl is echter al onderzocht in het onderzoek van Gerritz (2021). Uit dit onderzoek kwam wel duidelijk naar voren dat er weinig sturing en structuur werd ervaren in het leiderschap en dat er vaak een visie gemist werd. Volgens de literatuur kan de transactionele leiderschapsstijl deze sturende rol van leidinggevenden wel verzorgen, dus is deze stijl van leidinggeven nader onderzocht binnen PPO. Tot slot is de succesfactor eigenaarschap opgedeeld in twee dimensies, namelijk een ‘hoge mate van </w:t>
      </w:r>
      <w:r w:rsidR="006B6464">
        <w:t>taakonderlinge</w:t>
      </w:r>
      <w:r>
        <w:t xml:space="preserve"> afhankelijkheid’ en ‘het aanwijzen van een eigenaar van het implementatieproces’. De beschreven dimensies per succesfactor zijn vervolgens aan het eind van deze paragraaf geoperationaliseerd naar indicatoren, die het mogelijk hebben gemaakt om de dimensies te meten in de empirie.   </w:t>
      </w:r>
    </w:p>
    <w:p w14:paraId="5652FAEA" w14:textId="17261EF0" w:rsidR="58E45579" w:rsidRDefault="0AB624A7" w:rsidP="58E45579">
      <w:r>
        <w:t xml:space="preserve">In Tabel </w:t>
      </w:r>
      <w:r w:rsidR="00E20344">
        <w:t>7</w:t>
      </w:r>
      <w:r>
        <w:t xml:space="preserve"> zijn de succesfactoren uit de drie literatuurlijnen geoperationaliseerd. In de literatuurlijn over innovatieprocessen is in de tabel een onderscheid gemaakt tussen de operationalisatie voor de documentanalyse en interviews. Bij de operationalisatie voor de documentanalyse was het van belang om toe te werken naar een soort checklist, die naast de IUP-werkwijze gelegd kon worden. De operationalisatie voor de interviews vroeg daarentegen om interviewvragen over het praktisch gebruik van de werkwijze en eventuele aanvullingen die nodig zijn. Wat betreft de operationalisatie van de organisatiegerelateerde factoren is wel direct gewerkt met interviewvragen vanuit de dimensies en zijn hier ook vragen over de IUP-werkwijze in meegenomen. </w:t>
      </w:r>
    </w:p>
    <w:p w14:paraId="6FB7610D" w14:textId="7FC9FF5E" w:rsidR="0F8EFB49" w:rsidRDefault="0F8EFB49" w:rsidP="0F8EFB49"/>
    <w:tbl>
      <w:tblPr>
        <w:tblStyle w:val="Tabelraster"/>
        <w:tblW w:w="0" w:type="auto"/>
        <w:tblLayout w:type="fixed"/>
        <w:tblLook w:val="06A0" w:firstRow="1" w:lastRow="0" w:firstColumn="1" w:lastColumn="0" w:noHBand="1" w:noVBand="1"/>
      </w:tblPr>
      <w:tblGrid>
        <w:gridCol w:w="1470"/>
        <w:gridCol w:w="1965"/>
        <w:gridCol w:w="1590"/>
        <w:gridCol w:w="5100"/>
      </w:tblGrid>
      <w:tr w:rsidR="31E21C5F" w14:paraId="55122BEC" w14:textId="77777777" w:rsidTr="5FC6745F">
        <w:trPr>
          <w:trHeight w:val="300"/>
        </w:trPr>
        <w:tc>
          <w:tcPr>
            <w:tcW w:w="1470" w:type="dxa"/>
            <w:shd w:val="clear" w:color="auto" w:fill="4472C4" w:themeFill="accent1"/>
          </w:tcPr>
          <w:p w14:paraId="012ED277" w14:textId="172C525D" w:rsidR="31E21C5F" w:rsidRDefault="31E21C5F" w:rsidP="31E21C5F">
            <w:pPr>
              <w:rPr>
                <w:b/>
                <w:bCs/>
                <w:sz w:val="24"/>
                <w:szCs w:val="24"/>
              </w:rPr>
            </w:pPr>
            <w:r w:rsidRPr="31E21C5F">
              <w:rPr>
                <w:b/>
                <w:bCs/>
                <w:sz w:val="24"/>
                <w:szCs w:val="24"/>
              </w:rPr>
              <w:t>Literatuurlijn</w:t>
            </w:r>
          </w:p>
        </w:tc>
        <w:tc>
          <w:tcPr>
            <w:tcW w:w="1965" w:type="dxa"/>
            <w:shd w:val="clear" w:color="auto" w:fill="4472C4" w:themeFill="accent1"/>
          </w:tcPr>
          <w:p w14:paraId="0D84FAB0" w14:textId="04D8939E" w:rsidR="31E21C5F" w:rsidRDefault="31E21C5F" w:rsidP="31E21C5F">
            <w:pPr>
              <w:rPr>
                <w:b/>
                <w:bCs/>
                <w:sz w:val="24"/>
                <w:szCs w:val="24"/>
              </w:rPr>
            </w:pPr>
            <w:r w:rsidRPr="31E21C5F">
              <w:rPr>
                <w:b/>
                <w:bCs/>
                <w:sz w:val="24"/>
                <w:szCs w:val="24"/>
              </w:rPr>
              <w:t>Succesfactor(en)</w:t>
            </w:r>
          </w:p>
        </w:tc>
        <w:tc>
          <w:tcPr>
            <w:tcW w:w="1590" w:type="dxa"/>
            <w:shd w:val="clear" w:color="auto" w:fill="4472C4" w:themeFill="accent1"/>
          </w:tcPr>
          <w:p w14:paraId="359EC98C" w14:textId="1015DA40" w:rsidR="31E21C5F" w:rsidRDefault="31E21C5F" w:rsidP="31E21C5F">
            <w:pPr>
              <w:rPr>
                <w:b/>
                <w:bCs/>
                <w:sz w:val="24"/>
                <w:szCs w:val="24"/>
              </w:rPr>
            </w:pPr>
            <w:r w:rsidRPr="31E21C5F">
              <w:rPr>
                <w:b/>
                <w:bCs/>
                <w:sz w:val="24"/>
                <w:szCs w:val="24"/>
              </w:rPr>
              <w:t>Dimensies</w:t>
            </w:r>
          </w:p>
        </w:tc>
        <w:tc>
          <w:tcPr>
            <w:tcW w:w="5100" w:type="dxa"/>
            <w:shd w:val="clear" w:color="auto" w:fill="4472C4" w:themeFill="accent1"/>
          </w:tcPr>
          <w:p w14:paraId="2B8A2B4B" w14:textId="2DEC2480" w:rsidR="31E21C5F" w:rsidRDefault="31E21C5F" w:rsidP="31E21C5F">
            <w:pPr>
              <w:rPr>
                <w:b/>
                <w:bCs/>
                <w:sz w:val="24"/>
                <w:szCs w:val="24"/>
              </w:rPr>
            </w:pPr>
            <w:r w:rsidRPr="31E21C5F">
              <w:rPr>
                <w:b/>
                <w:bCs/>
                <w:sz w:val="24"/>
                <w:szCs w:val="24"/>
              </w:rPr>
              <w:t>Indicatoren</w:t>
            </w:r>
          </w:p>
        </w:tc>
      </w:tr>
      <w:tr w:rsidR="31E21C5F" w14:paraId="58816FB7" w14:textId="77777777" w:rsidTr="5FC6745F">
        <w:trPr>
          <w:trHeight w:val="300"/>
        </w:trPr>
        <w:tc>
          <w:tcPr>
            <w:tcW w:w="1470" w:type="dxa"/>
            <w:shd w:val="clear" w:color="auto" w:fill="D9E2F3" w:themeFill="accent1" w:themeFillTint="33"/>
          </w:tcPr>
          <w:p w14:paraId="746E256E" w14:textId="66BB5024" w:rsidR="31E21C5F" w:rsidRDefault="31E21C5F" w:rsidP="31E21C5F">
            <w:r>
              <w:t>Innovatieprocessen</w:t>
            </w:r>
          </w:p>
          <w:p w14:paraId="2B49A88C" w14:textId="6D486BAF" w:rsidR="31E21C5F" w:rsidRDefault="31E21C5F" w:rsidP="31E21C5F"/>
          <w:p w14:paraId="69EAADF0" w14:textId="1F306401" w:rsidR="31E21C5F" w:rsidRDefault="31E21C5F" w:rsidP="31E21C5F">
            <w:pPr>
              <w:rPr>
                <w:b/>
                <w:bCs/>
              </w:rPr>
            </w:pPr>
            <w:r w:rsidRPr="31E21C5F">
              <w:rPr>
                <w:b/>
                <w:bCs/>
              </w:rPr>
              <w:t>Document-analyse</w:t>
            </w:r>
          </w:p>
        </w:tc>
        <w:tc>
          <w:tcPr>
            <w:tcW w:w="1965" w:type="dxa"/>
            <w:shd w:val="clear" w:color="auto" w:fill="D9E2F3" w:themeFill="accent1" w:themeFillTint="33"/>
          </w:tcPr>
          <w:p w14:paraId="0FF6C79C" w14:textId="1AD41975" w:rsidR="31E21C5F" w:rsidRDefault="31E21C5F" w:rsidP="31E21C5F">
            <w:r>
              <w:t>Gestructureerd innovatieproces in een procesbeschrijving</w:t>
            </w:r>
          </w:p>
        </w:tc>
        <w:tc>
          <w:tcPr>
            <w:tcW w:w="1590" w:type="dxa"/>
            <w:shd w:val="clear" w:color="auto" w:fill="D9E2F3" w:themeFill="accent1" w:themeFillTint="33"/>
          </w:tcPr>
          <w:p w14:paraId="1E2FFFF1" w14:textId="0C9D3767" w:rsidR="31E21C5F" w:rsidRDefault="31E21C5F" w:rsidP="31E21C5F">
            <w:r>
              <w:t>Exploreerfase (Kansrijke oplossing?)</w:t>
            </w:r>
          </w:p>
        </w:tc>
        <w:tc>
          <w:tcPr>
            <w:tcW w:w="5100" w:type="dxa"/>
            <w:shd w:val="clear" w:color="auto" w:fill="D9E2F3" w:themeFill="accent1" w:themeFillTint="33"/>
          </w:tcPr>
          <w:p w14:paraId="0D7D2E0A" w14:textId="1918551D" w:rsidR="31E21C5F" w:rsidRDefault="2C3FA80D" w:rsidP="2C3FA80D">
            <w:r>
              <w:t>-Er is in beeld wat de aanleiding is innovatie (waarom en voor wie een probleem?)</w:t>
            </w:r>
          </w:p>
          <w:p w14:paraId="4E43F5BE" w14:textId="289B7057" w:rsidR="31E21C5F" w:rsidRDefault="2C3FA80D" w:rsidP="31E21C5F">
            <w:r>
              <w:t xml:space="preserve">-Er is in beeld wat het doel van de oplossing is </w:t>
            </w:r>
          </w:p>
          <w:p w14:paraId="45DD1195" w14:textId="357B6534" w:rsidR="31E21C5F" w:rsidRDefault="2C3FA80D" w:rsidP="31E21C5F">
            <w:r>
              <w:t xml:space="preserve">-Er is gecheckt of er een opdrachtgever is voor de kansrijke oplossing </w:t>
            </w:r>
          </w:p>
          <w:p w14:paraId="2314F51B" w14:textId="08CCE532" w:rsidR="31E21C5F" w:rsidRDefault="2C3FA80D" w:rsidP="31E21C5F">
            <w:r>
              <w:t>-Er is gecheckt of de oplossing past de bij de doelen van de organisatie</w:t>
            </w:r>
          </w:p>
          <w:p w14:paraId="7DCAADD5" w14:textId="69CC1F2B" w:rsidR="31E21C5F" w:rsidRDefault="31E21C5F" w:rsidP="31E21C5F">
            <w:r>
              <w:t xml:space="preserve">-Er is gecheckt of er al een bestaande oplossing is voor het probleem elders in de organisatie </w:t>
            </w:r>
          </w:p>
          <w:p w14:paraId="22DEF325" w14:textId="2B187E04" w:rsidR="2C3FA80D" w:rsidRDefault="2C3FA80D" w:rsidP="2C3FA80D">
            <w:pPr>
              <w:spacing w:line="259" w:lineRule="auto"/>
            </w:pPr>
            <w:r>
              <w:t>-Impactanalyse: in beeld op welke stakeholders en organisatiedelen/structuren/processen oplossing impact heeft (risico's: welke barrières te voorzien voor oplossing)</w:t>
            </w:r>
          </w:p>
          <w:p w14:paraId="734103D5" w14:textId="68449905" w:rsidR="31E21C5F" w:rsidRDefault="2C3FA80D" w:rsidP="31E21C5F">
            <w:r>
              <w:t>-Er is feedback opgehaald bij deze stakeholders voor de bedachte oplossing (valideren)</w:t>
            </w:r>
          </w:p>
          <w:p w14:paraId="6B7389F5" w14:textId="6FE8E7E5" w:rsidR="31E21C5F" w:rsidRDefault="31E21C5F" w:rsidP="31E21C5F">
            <w:r>
              <w:t>-Overig (inductief)</w:t>
            </w:r>
          </w:p>
        </w:tc>
      </w:tr>
      <w:tr w:rsidR="31E21C5F" w14:paraId="746E13B2" w14:textId="77777777" w:rsidTr="5FC6745F">
        <w:trPr>
          <w:trHeight w:val="300"/>
        </w:trPr>
        <w:tc>
          <w:tcPr>
            <w:tcW w:w="1470" w:type="dxa"/>
            <w:shd w:val="clear" w:color="auto" w:fill="D9E2F3" w:themeFill="accent1" w:themeFillTint="33"/>
          </w:tcPr>
          <w:p w14:paraId="24D69DAE" w14:textId="47615630" w:rsidR="31E21C5F" w:rsidRDefault="31E21C5F" w:rsidP="31E21C5F"/>
        </w:tc>
        <w:tc>
          <w:tcPr>
            <w:tcW w:w="1965" w:type="dxa"/>
            <w:shd w:val="clear" w:color="auto" w:fill="D9E2F3" w:themeFill="accent1" w:themeFillTint="33"/>
          </w:tcPr>
          <w:p w14:paraId="598D1181" w14:textId="396DEC7D" w:rsidR="31E21C5F" w:rsidRDefault="31E21C5F" w:rsidP="31E21C5F"/>
        </w:tc>
        <w:tc>
          <w:tcPr>
            <w:tcW w:w="1590" w:type="dxa"/>
            <w:shd w:val="clear" w:color="auto" w:fill="D9E2F3" w:themeFill="accent1" w:themeFillTint="33"/>
          </w:tcPr>
          <w:p w14:paraId="3EBB7C70" w14:textId="3356639E" w:rsidR="31E21C5F" w:rsidRDefault="00AC3C33" w:rsidP="31E21C5F">
            <w:r>
              <w:t>E</w:t>
            </w:r>
            <w:r w:rsidR="31E21C5F">
              <w:t>xperimenteerfase (Haalbaarheid en betaalbaarheid oplossing)</w:t>
            </w:r>
          </w:p>
        </w:tc>
        <w:tc>
          <w:tcPr>
            <w:tcW w:w="5100" w:type="dxa"/>
            <w:shd w:val="clear" w:color="auto" w:fill="D9E2F3" w:themeFill="accent1" w:themeFillTint="33"/>
          </w:tcPr>
          <w:p w14:paraId="09A3B87E" w14:textId="07C09752" w:rsidR="31E21C5F" w:rsidRDefault="31E21C5F" w:rsidP="31E21C5F">
            <w:r>
              <w:t>-De kansrijke oplossing kan de innovatiedoelen halen</w:t>
            </w:r>
          </w:p>
          <w:p w14:paraId="1061642C" w14:textId="21248CB6" w:rsidR="31E21C5F" w:rsidRDefault="31E21C5F" w:rsidP="31E21C5F">
            <w:r>
              <w:t>-De kansrijke oplossing heeft economisch en maatschappelijk nut</w:t>
            </w:r>
          </w:p>
          <w:p w14:paraId="117498A0" w14:textId="5445EC33" w:rsidR="31E21C5F" w:rsidRDefault="31E21C5F" w:rsidP="31E21C5F">
            <w:r>
              <w:t>-Er is een test (pilot) gedraaid met een product/dienst/werkwijze die alle kenmerken vertoond van een eindproduct (</w:t>
            </w:r>
            <w:r w:rsidRPr="31E21C5F">
              <w:rPr>
                <w:i/>
                <w:iCs/>
              </w:rPr>
              <w:t>Minimum viable product</w:t>
            </w:r>
            <w:r>
              <w:t>)</w:t>
            </w:r>
          </w:p>
          <w:p w14:paraId="155D2BEE" w14:textId="253266CD" w:rsidR="31E21C5F" w:rsidRDefault="31E21C5F" w:rsidP="31E21C5F">
            <w:r>
              <w:t>-Er is data verzameld over deze test en verwerkt in de daadwerkelijke eindversie</w:t>
            </w:r>
          </w:p>
          <w:p w14:paraId="14C33057" w14:textId="799E238F" w:rsidR="31E21C5F" w:rsidRDefault="31E21C5F" w:rsidP="31E21C5F">
            <w:r>
              <w:t>-Er is contact gezocht met andere afdelingen om te vragen of de haalbare oplossing ook voor hen geschikt is</w:t>
            </w:r>
          </w:p>
          <w:p w14:paraId="6F525E06" w14:textId="4F73C31B" w:rsidR="31E21C5F" w:rsidRDefault="31E21C5F" w:rsidP="31E21C5F">
            <w:r>
              <w:t>-Er gedurende deze en voorgaande fase een projectdossier bijgehouden</w:t>
            </w:r>
          </w:p>
          <w:p w14:paraId="207FA8D7" w14:textId="00AF1FE0" w:rsidR="31E21C5F" w:rsidRDefault="31E21C5F" w:rsidP="31E21C5F">
            <w:r>
              <w:t>-Overig (inductief)</w:t>
            </w:r>
          </w:p>
        </w:tc>
      </w:tr>
      <w:tr w:rsidR="31E21C5F" w14:paraId="0BCC78BA" w14:textId="77777777" w:rsidTr="5FC6745F">
        <w:trPr>
          <w:trHeight w:val="300"/>
        </w:trPr>
        <w:tc>
          <w:tcPr>
            <w:tcW w:w="1470" w:type="dxa"/>
            <w:shd w:val="clear" w:color="auto" w:fill="D9E2F3" w:themeFill="accent1" w:themeFillTint="33"/>
          </w:tcPr>
          <w:p w14:paraId="2B9D693F" w14:textId="5C7712F8" w:rsidR="31E21C5F" w:rsidRDefault="31E21C5F" w:rsidP="31E21C5F"/>
        </w:tc>
        <w:tc>
          <w:tcPr>
            <w:tcW w:w="1965" w:type="dxa"/>
            <w:shd w:val="clear" w:color="auto" w:fill="D9E2F3" w:themeFill="accent1" w:themeFillTint="33"/>
          </w:tcPr>
          <w:p w14:paraId="4ED79483" w14:textId="308E7E5B" w:rsidR="31E21C5F" w:rsidRDefault="31E21C5F" w:rsidP="31E21C5F"/>
        </w:tc>
        <w:tc>
          <w:tcPr>
            <w:tcW w:w="1590" w:type="dxa"/>
            <w:shd w:val="clear" w:color="auto" w:fill="D9E2F3" w:themeFill="accent1" w:themeFillTint="33"/>
          </w:tcPr>
          <w:p w14:paraId="3411047D" w14:textId="3A55720A" w:rsidR="31E21C5F" w:rsidRDefault="31E21C5F" w:rsidP="31E21C5F">
            <w:r>
              <w:t>Implementatiefase</w:t>
            </w:r>
          </w:p>
        </w:tc>
        <w:tc>
          <w:tcPr>
            <w:tcW w:w="5100" w:type="dxa"/>
            <w:shd w:val="clear" w:color="auto" w:fill="D9E2F3" w:themeFill="accent1" w:themeFillTint="33"/>
          </w:tcPr>
          <w:p w14:paraId="324A3FF9" w14:textId="646A9401" w:rsidR="31E21C5F" w:rsidRDefault="31E21C5F" w:rsidP="31E21C5F">
            <w:r>
              <w:t>-Er is een opschalingsstrategie opgesteld</w:t>
            </w:r>
          </w:p>
          <w:p w14:paraId="74C3EC59" w14:textId="5840496B" w:rsidR="31E21C5F" w:rsidRDefault="31E21C5F" w:rsidP="31E21C5F">
            <w:r>
              <w:t>-Er is capaciteit en expertise geregeld voor opschalen</w:t>
            </w:r>
          </w:p>
          <w:p w14:paraId="49AD4347" w14:textId="00F5B15F" w:rsidR="31E21C5F" w:rsidRDefault="31E21C5F" w:rsidP="31E21C5F">
            <w:r>
              <w:t xml:space="preserve">-De innovatie wordt losgelaten en geadopteerd door afdelingen/organisatieonderdelen die er baat bij hebben. </w:t>
            </w:r>
          </w:p>
          <w:p w14:paraId="3549FFDC" w14:textId="63C260C8" w:rsidR="31E21C5F" w:rsidRDefault="31E21C5F" w:rsidP="31E21C5F">
            <w:r>
              <w:t>-Overig (inductief)</w:t>
            </w:r>
          </w:p>
        </w:tc>
      </w:tr>
      <w:tr w:rsidR="31E21C5F" w14:paraId="053BBF12" w14:textId="77777777" w:rsidTr="5FC6745F">
        <w:trPr>
          <w:trHeight w:val="300"/>
        </w:trPr>
        <w:tc>
          <w:tcPr>
            <w:tcW w:w="1470" w:type="dxa"/>
            <w:shd w:val="clear" w:color="auto" w:fill="D9E2F3" w:themeFill="accent1" w:themeFillTint="33"/>
          </w:tcPr>
          <w:p w14:paraId="1D37ADF0" w14:textId="4B238121" w:rsidR="31E21C5F" w:rsidRDefault="31E21C5F" w:rsidP="31E21C5F"/>
        </w:tc>
        <w:tc>
          <w:tcPr>
            <w:tcW w:w="1965" w:type="dxa"/>
            <w:shd w:val="clear" w:color="auto" w:fill="D9E2F3" w:themeFill="accent1" w:themeFillTint="33"/>
          </w:tcPr>
          <w:p w14:paraId="55890815" w14:textId="4B238121" w:rsidR="31E21C5F" w:rsidRDefault="31E21C5F" w:rsidP="31E21C5F"/>
        </w:tc>
        <w:tc>
          <w:tcPr>
            <w:tcW w:w="1590" w:type="dxa"/>
            <w:shd w:val="clear" w:color="auto" w:fill="D9E2F3" w:themeFill="accent1" w:themeFillTint="33"/>
          </w:tcPr>
          <w:p w14:paraId="58129321" w14:textId="5DE55992" w:rsidR="31E21C5F" w:rsidRDefault="31E21C5F" w:rsidP="31E21C5F">
            <w:r>
              <w:t>Evaluatiefase</w:t>
            </w:r>
          </w:p>
        </w:tc>
        <w:tc>
          <w:tcPr>
            <w:tcW w:w="5100" w:type="dxa"/>
            <w:shd w:val="clear" w:color="auto" w:fill="D9E2F3" w:themeFill="accent1" w:themeFillTint="33"/>
          </w:tcPr>
          <w:p w14:paraId="4302FF9D" w14:textId="63546B43" w:rsidR="31E21C5F" w:rsidRDefault="31E21C5F" w:rsidP="31E21C5F">
            <w:r>
              <w:t>-Monitoring is een onderdeel van het ontwikkelproces van fase 1 t/m 3</w:t>
            </w:r>
          </w:p>
          <w:p w14:paraId="37420E1F" w14:textId="171447F5" w:rsidR="31E21C5F" w:rsidRDefault="31E21C5F" w:rsidP="31E21C5F">
            <w:r>
              <w:t>-Gedurende de fases zijn er correctiemogelijkheden ingebouwd</w:t>
            </w:r>
          </w:p>
          <w:p w14:paraId="66C1CBF5" w14:textId="06D58A14" w:rsidR="31E21C5F" w:rsidRDefault="31E21C5F" w:rsidP="31E21C5F">
            <w:r>
              <w:t>-Rapporteer de monitoring en correcties in het projectdossier</w:t>
            </w:r>
          </w:p>
          <w:p w14:paraId="6927F8EB" w14:textId="746B0C84" w:rsidR="31E21C5F" w:rsidRDefault="31E21C5F" w:rsidP="31E21C5F">
            <w:r>
              <w:t>-Sluit dit projectdossier af met een evaluatie van het gehele innovatietraject (leerpunten voor de toekomst)</w:t>
            </w:r>
          </w:p>
          <w:p w14:paraId="162FD038" w14:textId="1C4D3870" w:rsidR="31E21C5F" w:rsidRDefault="31E21C5F" w:rsidP="31E21C5F">
            <w:r>
              <w:t>-Overig (inductief)</w:t>
            </w:r>
          </w:p>
        </w:tc>
      </w:tr>
      <w:tr w:rsidR="31E21C5F" w14:paraId="62ADCA3E" w14:textId="77777777" w:rsidTr="5FC6745F">
        <w:trPr>
          <w:trHeight w:val="300"/>
        </w:trPr>
        <w:tc>
          <w:tcPr>
            <w:tcW w:w="1470" w:type="dxa"/>
            <w:shd w:val="clear" w:color="auto" w:fill="B4C6E7" w:themeFill="accent1" w:themeFillTint="66"/>
          </w:tcPr>
          <w:p w14:paraId="7FFFBDD5" w14:textId="3149D6CF" w:rsidR="31E21C5F" w:rsidRDefault="31E21C5F" w:rsidP="31E21C5F">
            <w:r>
              <w:t xml:space="preserve">Innovatieprocessen </w:t>
            </w:r>
          </w:p>
          <w:p w14:paraId="2C739492" w14:textId="20FCFB85" w:rsidR="31E21C5F" w:rsidRDefault="31E21C5F" w:rsidP="31E21C5F"/>
          <w:p w14:paraId="6245E44F" w14:textId="2FB991E1" w:rsidR="31E21C5F" w:rsidRDefault="31E21C5F" w:rsidP="31E21C5F">
            <w:pPr>
              <w:rPr>
                <w:b/>
                <w:bCs/>
              </w:rPr>
            </w:pPr>
            <w:r w:rsidRPr="31E21C5F">
              <w:rPr>
                <w:b/>
                <w:bCs/>
              </w:rPr>
              <w:t>Interviews</w:t>
            </w:r>
          </w:p>
        </w:tc>
        <w:tc>
          <w:tcPr>
            <w:tcW w:w="1965" w:type="dxa"/>
            <w:shd w:val="clear" w:color="auto" w:fill="B4C6E7" w:themeFill="accent1" w:themeFillTint="66"/>
          </w:tcPr>
          <w:p w14:paraId="04811515" w14:textId="1AD41975" w:rsidR="31E21C5F" w:rsidRDefault="31E21C5F" w:rsidP="31E21C5F">
            <w:r>
              <w:t>Gestructureerd innovatieproces in een procesbeschrijving</w:t>
            </w:r>
          </w:p>
          <w:p w14:paraId="29DE16FC" w14:textId="43B3C179" w:rsidR="31E21C5F" w:rsidRDefault="31E21C5F" w:rsidP="31E21C5F"/>
        </w:tc>
        <w:tc>
          <w:tcPr>
            <w:tcW w:w="1590" w:type="dxa"/>
            <w:shd w:val="clear" w:color="auto" w:fill="B4C6E7" w:themeFill="accent1" w:themeFillTint="66"/>
          </w:tcPr>
          <w:p w14:paraId="56FCBC64" w14:textId="2D61EF7E" w:rsidR="31E21C5F" w:rsidRDefault="31E21C5F" w:rsidP="31E21C5F">
            <w:r>
              <w:t xml:space="preserve">Exploreerfase </w:t>
            </w:r>
          </w:p>
        </w:tc>
        <w:tc>
          <w:tcPr>
            <w:tcW w:w="5100" w:type="dxa"/>
            <w:shd w:val="clear" w:color="auto" w:fill="B4C6E7" w:themeFill="accent1" w:themeFillTint="66"/>
          </w:tcPr>
          <w:p w14:paraId="1E66D5B1" w14:textId="7A0ACD64" w:rsidR="31E21C5F" w:rsidRDefault="31E21C5F" w:rsidP="31E21C5F">
            <w:r>
              <w:t xml:space="preserve">-In hoeverre komen de indicatoren voor de exploreerfase terug in het praktisch gebruik van de IUP-werkwijze? </w:t>
            </w:r>
          </w:p>
          <w:p w14:paraId="59F7E1D4" w14:textId="159B4359" w:rsidR="31E21C5F" w:rsidRDefault="31E21C5F" w:rsidP="31E21C5F">
            <w:r>
              <w:t>-Zijn er in jouw ogen nog aspecten die terugkomen in de IUP-werkwijze die in deze fase horen, maar niet benoemd zijn door de literatuur?</w:t>
            </w:r>
          </w:p>
        </w:tc>
      </w:tr>
      <w:tr w:rsidR="31E21C5F" w14:paraId="72D26DBE" w14:textId="77777777" w:rsidTr="5FC6745F">
        <w:trPr>
          <w:trHeight w:val="300"/>
        </w:trPr>
        <w:tc>
          <w:tcPr>
            <w:tcW w:w="1470" w:type="dxa"/>
            <w:shd w:val="clear" w:color="auto" w:fill="D9E2F3" w:themeFill="accent1" w:themeFillTint="33"/>
          </w:tcPr>
          <w:p w14:paraId="5B886704" w14:textId="7EC37CAF" w:rsidR="31E21C5F" w:rsidRDefault="31E21C5F" w:rsidP="31E21C5F"/>
        </w:tc>
        <w:tc>
          <w:tcPr>
            <w:tcW w:w="1965" w:type="dxa"/>
            <w:shd w:val="clear" w:color="auto" w:fill="D9E2F3" w:themeFill="accent1" w:themeFillTint="33"/>
          </w:tcPr>
          <w:p w14:paraId="31327448" w14:textId="169B4798" w:rsidR="31E21C5F" w:rsidRDefault="31E21C5F" w:rsidP="31E21C5F"/>
        </w:tc>
        <w:tc>
          <w:tcPr>
            <w:tcW w:w="1590" w:type="dxa"/>
            <w:shd w:val="clear" w:color="auto" w:fill="D9E2F3" w:themeFill="accent1" w:themeFillTint="33"/>
          </w:tcPr>
          <w:p w14:paraId="5B43085A" w14:textId="26B2C68E" w:rsidR="31E21C5F" w:rsidRDefault="31E21C5F" w:rsidP="31E21C5F">
            <w:r>
              <w:t>Ontwikkel- en experimenteerfase</w:t>
            </w:r>
          </w:p>
        </w:tc>
        <w:tc>
          <w:tcPr>
            <w:tcW w:w="5100" w:type="dxa"/>
            <w:shd w:val="clear" w:color="auto" w:fill="D9E2F3" w:themeFill="accent1" w:themeFillTint="33"/>
          </w:tcPr>
          <w:p w14:paraId="1697BA3B" w14:textId="4163EE69" w:rsidR="31E21C5F" w:rsidRDefault="31E21C5F" w:rsidP="31E21C5F">
            <w:r>
              <w:t xml:space="preserve">-In hoeverre komen de indicatoren voor de ontwikkel- en experimenteerfase terug in het praktisch gebruik van de IUP-werkwijze? </w:t>
            </w:r>
          </w:p>
          <w:p w14:paraId="0A786DFD" w14:textId="32088D18" w:rsidR="31E21C5F" w:rsidRDefault="31E21C5F" w:rsidP="31E21C5F">
            <w:r>
              <w:t>-Zijn er in jouw ogen nog aspecten die terugkomen in de IUP-werkwijze die in deze fase horen, maar niet benoemd zijn door de literatuur?</w:t>
            </w:r>
          </w:p>
        </w:tc>
      </w:tr>
      <w:tr w:rsidR="31E21C5F" w14:paraId="59E35850" w14:textId="77777777" w:rsidTr="5FC6745F">
        <w:trPr>
          <w:trHeight w:val="300"/>
        </w:trPr>
        <w:tc>
          <w:tcPr>
            <w:tcW w:w="1470" w:type="dxa"/>
            <w:shd w:val="clear" w:color="auto" w:fill="D9E2F3" w:themeFill="accent1" w:themeFillTint="33"/>
          </w:tcPr>
          <w:p w14:paraId="26ACF971" w14:textId="2E56C7A2" w:rsidR="31E21C5F" w:rsidRDefault="31E21C5F" w:rsidP="31E21C5F"/>
        </w:tc>
        <w:tc>
          <w:tcPr>
            <w:tcW w:w="1965" w:type="dxa"/>
            <w:shd w:val="clear" w:color="auto" w:fill="D9E2F3" w:themeFill="accent1" w:themeFillTint="33"/>
          </w:tcPr>
          <w:p w14:paraId="120F13F3" w14:textId="54F3A507" w:rsidR="31E21C5F" w:rsidRDefault="31E21C5F" w:rsidP="31E21C5F"/>
        </w:tc>
        <w:tc>
          <w:tcPr>
            <w:tcW w:w="1590" w:type="dxa"/>
            <w:shd w:val="clear" w:color="auto" w:fill="D9E2F3" w:themeFill="accent1" w:themeFillTint="33"/>
          </w:tcPr>
          <w:p w14:paraId="7681C1E4" w14:textId="3EB74D27" w:rsidR="31E21C5F" w:rsidRDefault="31E21C5F" w:rsidP="31E21C5F">
            <w:r>
              <w:t xml:space="preserve">Implementatiefase </w:t>
            </w:r>
          </w:p>
        </w:tc>
        <w:tc>
          <w:tcPr>
            <w:tcW w:w="5100" w:type="dxa"/>
            <w:shd w:val="clear" w:color="auto" w:fill="D9E2F3" w:themeFill="accent1" w:themeFillTint="33"/>
          </w:tcPr>
          <w:p w14:paraId="6F79037C" w14:textId="3F23B6F1" w:rsidR="31E21C5F" w:rsidRDefault="31E21C5F" w:rsidP="31E21C5F">
            <w:r>
              <w:t xml:space="preserve">-In hoeverre komen de indicatoren voor de implementatiefase terug in het praktisch gebruik van de IUP-werkwijze? </w:t>
            </w:r>
          </w:p>
          <w:p w14:paraId="19830BE6" w14:textId="4CE69C4D" w:rsidR="31E21C5F" w:rsidRDefault="31E21C5F" w:rsidP="31E21C5F">
            <w:r>
              <w:t>-Zijn er in jouw ogen nog aspecten die terugkomen in de IUP-werkwijze die in deze fase horen, maar niet benoemd zijn door de literatuur?</w:t>
            </w:r>
          </w:p>
        </w:tc>
      </w:tr>
      <w:tr w:rsidR="31E21C5F" w14:paraId="104F853A" w14:textId="77777777" w:rsidTr="5FC6745F">
        <w:trPr>
          <w:trHeight w:val="300"/>
        </w:trPr>
        <w:tc>
          <w:tcPr>
            <w:tcW w:w="1470" w:type="dxa"/>
            <w:shd w:val="clear" w:color="auto" w:fill="D9E2F3" w:themeFill="accent1" w:themeFillTint="33"/>
          </w:tcPr>
          <w:p w14:paraId="619DB648" w14:textId="2A8C51B7" w:rsidR="31E21C5F" w:rsidRDefault="31E21C5F" w:rsidP="31E21C5F"/>
        </w:tc>
        <w:tc>
          <w:tcPr>
            <w:tcW w:w="1965" w:type="dxa"/>
            <w:shd w:val="clear" w:color="auto" w:fill="D9E2F3" w:themeFill="accent1" w:themeFillTint="33"/>
          </w:tcPr>
          <w:p w14:paraId="22405B35" w14:textId="10990042" w:rsidR="31E21C5F" w:rsidRDefault="31E21C5F" w:rsidP="31E21C5F"/>
        </w:tc>
        <w:tc>
          <w:tcPr>
            <w:tcW w:w="1590" w:type="dxa"/>
            <w:shd w:val="clear" w:color="auto" w:fill="D9E2F3" w:themeFill="accent1" w:themeFillTint="33"/>
          </w:tcPr>
          <w:p w14:paraId="3531108D" w14:textId="488E181D" w:rsidR="31E21C5F" w:rsidRDefault="31E21C5F" w:rsidP="31E21C5F">
            <w:r>
              <w:t>Evaluatiefase</w:t>
            </w:r>
          </w:p>
        </w:tc>
        <w:tc>
          <w:tcPr>
            <w:tcW w:w="5100" w:type="dxa"/>
            <w:shd w:val="clear" w:color="auto" w:fill="D9E2F3" w:themeFill="accent1" w:themeFillTint="33"/>
          </w:tcPr>
          <w:p w14:paraId="03F84766" w14:textId="52B5E9D9" w:rsidR="31E21C5F" w:rsidRDefault="31E21C5F" w:rsidP="31E21C5F">
            <w:r>
              <w:t xml:space="preserve">-In hoeverre komen de indicatoren voor de evaluatiefase terug in het praktisch gebruik van de IUP-werkwijze? </w:t>
            </w:r>
          </w:p>
          <w:p w14:paraId="0A6F5971" w14:textId="7A61B677" w:rsidR="31E21C5F" w:rsidRDefault="31E21C5F" w:rsidP="31E21C5F">
            <w:r>
              <w:t>-Zijn er in jouw ogen nog aspecten die terugkomen in de IUP-werkwijze die in deze fase horen, maar niet benoemd zijn door de literatuur?</w:t>
            </w:r>
          </w:p>
        </w:tc>
      </w:tr>
      <w:tr w:rsidR="31E21C5F" w14:paraId="55319E11" w14:textId="77777777" w:rsidTr="5FC6745F">
        <w:trPr>
          <w:trHeight w:val="300"/>
        </w:trPr>
        <w:tc>
          <w:tcPr>
            <w:tcW w:w="1470" w:type="dxa"/>
            <w:shd w:val="clear" w:color="auto" w:fill="4472C4" w:themeFill="accent1"/>
          </w:tcPr>
          <w:p w14:paraId="4E53C201" w14:textId="5FACB8BD" w:rsidR="31E21C5F" w:rsidRDefault="31E21C5F" w:rsidP="31E21C5F">
            <w:pPr>
              <w:rPr>
                <w:b/>
                <w:bCs/>
                <w:sz w:val="24"/>
                <w:szCs w:val="24"/>
              </w:rPr>
            </w:pPr>
            <w:r w:rsidRPr="31E21C5F">
              <w:rPr>
                <w:b/>
                <w:bCs/>
                <w:sz w:val="24"/>
                <w:szCs w:val="24"/>
              </w:rPr>
              <w:t>Lerende organisatie</w:t>
            </w:r>
          </w:p>
        </w:tc>
        <w:tc>
          <w:tcPr>
            <w:tcW w:w="1965" w:type="dxa"/>
            <w:shd w:val="clear" w:color="auto" w:fill="4472C4" w:themeFill="accent1"/>
          </w:tcPr>
          <w:p w14:paraId="5832CB00" w14:textId="288FBED8" w:rsidR="31E21C5F" w:rsidRDefault="31E21C5F" w:rsidP="31E21C5F">
            <w:pPr>
              <w:rPr>
                <w:b/>
                <w:bCs/>
                <w:sz w:val="24"/>
                <w:szCs w:val="24"/>
              </w:rPr>
            </w:pPr>
            <w:r w:rsidRPr="31E21C5F">
              <w:rPr>
                <w:b/>
                <w:bCs/>
                <w:sz w:val="24"/>
                <w:szCs w:val="24"/>
              </w:rPr>
              <w:t>Succesfactoren</w:t>
            </w:r>
          </w:p>
        </w:tc>
        <w:tc>
          <w:tcPr>
            <w:tcW w:w="1590" w:type="dxa"/>
            <w:shd w:val="clear" w:color="auto" w:fill="4472C4" w:themeFill="accent1"/>
          </w:tcPr>
          <w:p w14:paraId="671541E3" w14:textId="679CC79A" w:rsidR="31E21C5F" w:rsidRDefault="31E21C5F" w:rsidP="31E21C5F">
            <w:pPr>
              <w:rPr>
                <w:b/>
                <w:bCs/>
                <w:sz w:val="24"/>
                <w:szCs w:val="24"/>
              </w:rPr>
            </w:pPr>
            <w:r w:rsidRPr="31E21C5F">
              <w:rPr>
                <w:b/>
                <w:bCs/>
                <w:sz w:val="24"/>
                <w:szCs w:val="24"/>
              </w:rPr>
              <w:t>Dimensies</w:t>
            </w:r>
          </w:p>
        </w:tc>
        <w:tc>
          <w:tcPr>
            <w:tcW w:w="5100" w:type="dxa"/>
            <w:shd w:val="clear" w:color="auto" w:fill="4472C4" w:themeFill="accent1"/>
          </w:tcPr>
          <w:p w14:paraId="75265194" w14:textId="43A17237" w:rsidR="31E21C5F" w:rsidRDefault="31E21C5F" w:rsidP="31E21C5F">
            <w:pPr>
              <w:rPr>
                <w:b/>
                <w:bCs/>
                <w:sz w:val="24"/>
                <w:szCs w:val="24"/>
              </w:rPr>
            </w:pPr>
            <w:r w:rsidRPr="31E21C5F">
              <w:rPr>
                <w:b/>
                <w:bCs/>
                <w:sz w:val="24"/>
                <w:szCs w:val="24"/>
              </w:rPr>
              <w:t>Indicatoren/interviewvragen</w:t>
            </w:r>
          </w:p>
        </w:tc>
      </w:tr>
      <w:tr w:rsidR="31E21C5F" w14:paraId="444B2328" w14:textId="77777777" w:rsidTr="5FC6745F">
        <w:trPr>
          <w:trHeight w:val="300"/>
        </w:trPr>
        <w:tc>
          <w:tcPr>
            <w:tcW w:w="1470" w:type="dxa"/>
            <w:shd w:val="clear" w:color="auto" w:fill="D9E2F3" w:themeFill="accent1" w:themeFillTint="33"/>
          </w:tcPr>
          <w:p w14:paraId="6B8E08F3" w14:textId="4B238121" w:rsidR="31E21C5F" w:rsidRDefault="31E21C5F" w:rsidP="31E21C5F"/>
        </w:tc>
        <w:tc>
          <w:tcPr>
            <w:tcW w:w="1965" w:type="dxa"/>
            <w:shd w:val="clear" w:color="auto" w:fill="D9E2F3" w:themeFill="accent1" w:themeFillTint="33"/>
          </w:tcPr>
          <w:p w14:paraId="0DF66827" w14:textId="6CE483D1" w:rsidR="31E21C5F" w:rsidRDefault="31E21C5F" w:rsidP="31E21C5F">
            <w:r>
              <w:t>Organisatieleercultuur</w:t>
            </w:r>
          </w:p>
        </w:tc>
        <w:tc>
          <w:tcPr>
            <w:tcW w:w="1590" w:type="dxa"/>
            <w:shd w:val="clear" w:color="auto" w:fill="D9E2F3" w:themeFill="accent1" w:themeFillTint="33"/>
          </w:tcPr>
          <w:p w14:paraId="04302BC5" w14:textId="704EB2F3" w:rsidR="31E21C5F" w:rsidRDefault="31E21C5F" w:rsidP="31E21C5F">
            <w:r>
              <w:t>Kwaliteit van taken</w:t>
            </w:r>
          </w:p>
        </w:tc>
        <w:tc>
          <w:tcPr>
            <w:tcW w:w="5100" w:type="dxa"/>
            <w:shd w:val="clear" w:color="auto" w:fill="D9E2F3" w:themeFill="accent1" w:themeFillTint="33"/>
          </w:tcPr>
          <w:p w14:paraId="74E8752A" w14:textId="69CEF76E" w:rsidR="31E21C5F" w:rsidRDefault="58E45579" w:rsidP="31E21C5F">
            <w:r>
              <w:t xml:space="preserve">-Is het collectief leren van elkaar in innovaties in voldoende mate aanwezig binnen PPO en tussen verschillende organisatieonderdelen? </w:t>
            </w:r>
          </w:p>
          <w:p w14:paraId="27C3DA79" w14:textId="5DD1EA47" w:rsidR="31E21C5F" w:rsidRDefault="58E45579" w:rsidP="31E21C5F">
            <w:r>
              <w:t xml:space="preserve">-Wordt het experimenteren op wat voor een manier dan ook beloond binnen PPO? </w:t>
            </w:r>
          </w:p>
          <w:p w14:paraId="2569C45A" w14:textId="04CEDD1C" w:rsidR="31E21C5F" w:rsidRDefault="31E21C5F" w:rsidP="31E21C5F">
            <w:r>
              <w:t xml:space="preserve">-Interview IUP: Kan het delen van de lessen uit de innovatietrajecten nog beter worden opgenomen in de IUP-werkwijze? </w:t>
            </w:r>
          </w:p>
        </w:tc>
      </w:tr>
      <w:tr w:rsidR="31E21C5F" w14:paraId="7B48BED4" w14:textId="77777777" w:rsidTr="5FC6745F">
        <w:trPr>
          <w:trHeight w:val="300"/>
        </w:trPr>
        <w:tc>
          <w:tcPr>
            <w:tcW w:w="1470" w:type="dxa"/>
            <w:shd w:val="clear" w:color="auto" w:fill="D9E2F3" w:themeFill="accent1" w:themeFillTint="33"/>
          </w:tcPr>
          <w:p w14:paraId="4E1512DE" w14:textId="4B238121" w:rsidR="31E21C5F" w:rsidRDefault="31E21C5F" w:rsidP="31E21C5F"/>
        </w:tc>
        <w:tc>
          <w:tcPr>
            <w:tcW w:w="1965" w:type="dxa"/>
            <w:shd w:val="clear" w:color="auto" w:fill="D9E2F3" w:themeFill="accent1" w:themeFillTint="33"/>
          </w:tcPr>
          <w:p w14:paraId="4A1A0543" w14:textId="4C798B9E" w:rsidR="31E21C5F" w:rsidRDefault="31E21C5F" w:rsidP="31E21C5F"/>
        </w:tc>
        <w:tc>
          <w:tcPr>
            <w:tcW w:w="1590" w:type="dxa"/>
            <w:shd w:val="clear" w:color="auto" w:fill="D9E2F3" w:themeFill="accent1" w:themeFillTint="33"/>
          </w:tcPr>
          <w:p w14:paraId="7883BCF9" w14:textId="04DBA574" w:rsidR="31E21C5F" w:rsidRDefault="31E21C5F" w:rsidP="31E21C5F">
            <w:r>
              <w:t>Kwaliteit van sociale relaties</w:t>
            </w:r>
          </w:p>
        </w:tc>
        <w:tc>
          <w:tcPr>
            <w:tcW w:w="5100" w:type="dxa"/>
            <w:shd w:val="clear" w:color="auto" w:fill="D9E2F3" w:themeFill="accent1" w:themeFillTint="33"/>
          </w:tcPr>
          <w:p w14:paraId="22F57286" w14:textId="2822A69A" w:rsidR="31E21C5F" w:rsidRDefault="30519E6F" w:rsidP="31E21C5F">
            <w:r>
              <w:t xml:space="preserve">-Is het geven van feedback aan elkaar voldoende onderdeel van de cultuur van PPO? </w:t>
            </w:r>
          </w:p>
          <w:p w14:paraId="2145E228" w14:textId="1AC8E47D" w:rsidR="31E21C5F" w:rsidRDefault="31E21C5F" w:rsidP="31E21C5F">
            <w:r>
              <w:t xml:space="preserve">-Interview IUP: Is het raadzaam om het vragen van feedback aan collega's op te nemen in de IUP-werkwijze? </w:t>
            </w:r>
          </w:p>
        </w:tc>
      </w:tr>
      <w:tr w:rsidR="31E21C5F" w14:paraId="57CF0BA3" w14:textId="77777777" w:rsidTr="5FC6745F">
        <w:trPr>
          <w:trHeight w:val="300"/>
        </w:trPr>
        <w:tc>
          <w:tcPr>
            <w:tcW w:w="1470" w:type="dxa"/>
            <w:shd w:val="clear" w:color="auto" w:fill="D9E2F3" w:themeFill="accent1" w:themeFillTint="33"/>
          </w:tcPr>
          <w:p w14:paraId="7A8DEDFA" w14:textId="5C3129E3" w:rsidR="31E21C5F" w:rsidRDefault="31E21C5F" w:rsidP="31E21C5F"/>
        </w:tc>
        <w:tc>
          <w:tcPr>
            <w:tcW w:w="1965" w:type="dxa"/>
            <w:shd w:val="clear" w:color="auto" w:fill="D9E2F3" w:themeFill="accent1" w:themeFillTint="33"/>
          </w:tcPr>
          <w:p w14:paraId="0136A482" w14:textId="269C1475" w:rsidR="31E21C5F" w:rsidRDefault="31E21C5F" w:rsidP="31E21C5F"/>
        </w:tc>
        <w:tc>
          <w:tcPr>
            <w:tcW w:w="1590" w:type="dxa"/>
            <w:shd w:val="clear" w:color="auto" w:fill="D9E2F3" w:themeFill="accent1" w:themeFillTint="33"/>
          </w:tcPr>
          <w:p w14:paraId="356576B6" w14:textId="3E6C44A0" w:rsidR="31E21C5F" w:rsidRDefault="31E21C5F" w:rsidP="31E21C5F">
            <w:r>
              <w:t>Overig (Inductief)</w:t>
            </w:r>
          </w:p>
        </w:tc>
        <w:tc>
          <w:tcPr>
            <w:tcW w:w="5100" w:type="dxa"/>
            <w:shd w:val="clear" w:color="auto" w:fill="D9E2F3" w:themeFill="accent1" w:themeFillTint="33"/>
          </w:tcPr>
          <w:p w14:paraId="647EEEE2" w14:textId="440BB04E" w:rsidR="31E21C5F" w:rsidRDefault="31E21C5F" w:rsidP="31E21C5F"/>
        </w:tc>
      </w:tr>
      <w:tr w:rsidR="31E21C5F" w14:paraId="218E6C3D" w14:textId="77777777" w:rsidTr="5FC6745F">
        <w:trPr>
          <w:trHeight w:val="300"/>
        </w:trPr>
        <w:tc>
          <w:tcPr>
            <w:tcW w:w="1470" w:type="dxa"/>
            <w:shd w:val="clear" w:color="auto" w:fill="D9E2F3" w:themeFill="accent1" w:themeFillTint="33"/>
          </w:tcPr>
          <w:p w14:paraId="070148BE" w14:textId="4B238121" w:rsidR="31E21C5F" w:rsidRDefault="31E21C5F" w:rsidP="31E21C5F"/>
        </w:tc>
        <w:tc>
          <w:tcPr>
            <w:tcW w:w="1965" w:type="dxa"/>
            <w:shd w:val="clear" w:color="auto" w:fill="D9E2F3" w:themeFill="accent1" w:themeFillTint="33"/>
          </w:tcPr>
          <w:p w14:paraId="4A7CEBE8" w14:textId="7DC06D18" w:rsidR="31E21C5F" w:rsidRDefault="31E21C5F" w:rsidP="31E21C5F">
            <w:r>
              <w:t>Kennismanagement- en deling</w:t>
            </w:r>
          </w:p>
          <w:p w14:paraId="676B0682" w14:textId="0663DE81" w:rsidR="31E21C5F" w:rsidRDefault="31E21C5F" w:rsidP="31E21C5F"/>
        </w:tc>
        <w:tc>
          <w:tcPr>
            <w:tcW w:w="1590" w:type="dxa"/>
            <w:shd w:val="clear" w:color="auto" w:fill="D9E2F3" w:themeFill="accent1" w:themeFillTint="33"/>
          </w:tcPr>
          <w:p w14:paraId="3FACB187" w14:textId="03069C90" w:rsidR="31E21C5F" w:rsidRDefault="31E21C5F" w:rsidP="31E21C5F">
            <w:r>
              <w:t>Communicatie-structuur</w:t>
            </w:r>
          </w:p>
          <w:p w14:paraId="3E94FFBE" w14:textId="47F86097" w:rsidR="31E21C5F" w:rsidRDefault="31E21C5F" w:rsidP="31E21C5F"/>
        </w:tc>
        <w:tc>
          <w:tcPr>
            <w:tcW w:w="5100" w:type="dxa"/>
            <w:shd w:val="clear" w:color="auto" w:fill="D9E2F3" w:themeFill="accent1" w:themeFillTint="33"/>
          </w:tcPr>
          <w:p w14:paraId="6F1D9091" w14:textId="5860D482" w:rsidR="31E21C5F" w:rsidRDefault="5FC6745F" w:rsidP="31E21C5F">
            <w:r>
              <w:t xml:space="preserve">-Is er sprake van een dusdanig voldoende informeel netwerk binnen PPO, waarin collega's zonder al te veel barrières contact met elkaar kunnen opnemen? Hoe is dit in relatie van PPO met andere organisatieonderdelen? </w:t>
            </w:r>
          </w:p>
          <w:p w14:paraId="26261944" w14:textId="2B75B044" w:rsidR="31E21C5F" w:rsidRDefault="5FC6745F" w:rsidP="31E21C5F">
            <w:r>
              <w:t xml:space="preserve">-Wordt er binnen PPO voldoende samengewerkt in cross-functionele teams, waarbij collega's uit verschillende directies/afdelingen/regio's met elkaar samenwerken? </w:t>
            </w:r>
          </w:p>
          <w:p w14:paraId="1C22C525" w14:textId="199F2A16" w:rsidR="31E21C5F" w:rsidRDefault="5FC6745F" w:rsidP="31E21C5F">
            <w:r>
              <w:t xml:space="preserve">-Treffen die collega's elkaar voldoende in (in)formele bijeenkomsten? </w:t>
            </w:r>
          </w:p>
          <w:p w14:paraId="5A1F6191" w14:textId="644BFF38" w:rsidR="31E21C5F" w:rsidRDefault="5FC6745F" w:rsidP="31E21C5F">
            <w:r>
              <w:t xml:space="preserve">-Wordt er binnen PPO voldoende gebruikgemaakt van de expertise van collega's in de organisatie om op deze manier beter de risico's van de innovatie in kaart te brengen? </w:t>
            </w:r>
          </w:p>
          <w:p w14:paraId="72FC0756" w14:textId="5E5ECA89" w:rsidR="31E21C5F" w:rsidRDefault="6A8431F6" w:rsidP="31E21C5F">
            <w:r>
              <w:t xml:space="preserve">-Interview IUP: Op welke manier komt benutten van andere expertises voor de </w:t>
            </w:r>
            <w:r w:rsidR="006B6464">
              <w:t>risicoanalyse</w:t>
            </w:r>
            <w:r>
              <w:t xml:space="preserve"> terug in de IUP-werkwijze en zou dit nog verbeterd kunnen worden? </w:t>
            </w:r>
          </w:p>
        </w:tc>
      </w:tr>
      <w:tr w:rsidR="31E21C5F" w14:paraId="3906AF30" w14:textId="77777777" w:rsidTr="5FC6745F">
        <w:trPr>
          <w:trHeight w:val="300"/>
        </w:trPr>
        <w:tc>
          <w:tcPr>
            <w:tcW w:w="1470" w:type="dxa"/>
            <w:shd w:val="clear" w:color="auto" w:fill="D9E2F3" w:themeFill="accent1" w:themeFillTint="33"/>
          </w:tcPr>
          <w:p w14:paraId="42F2CD0B" w14:textId="56AFF95B" w:rsidR="31E21C5F" w:rsidRDefault="31E21C5F" w:rsidP="31E21C5F"/>
        </w:tc>
        <w:tc>
          <w:tcPr>
            <w:tcW w:w="1965" w:type="dxa"/>
            <w:shd w:val="clear" w:color="auto" w:fill="D9E2F3" w:themeFill="accent1" w:themeFillTint="33"/>
          </w:tcPr>
          <w:p w14:paraId="1168E697" w14:textId="7C12BDC3" w:rsidR="31E21C5F" w:rsidRDefault="31E21C5F" w:rsidP="31E21C5F"/>
        </w:tc>
        <w:tc>
          <w:tcPr>
            <w:tcW w:w="1590" w:type="dxa"/>
            <w:shd w:val="clear" w:color="auto" w:fill="D9E2F3" w:themeFill="accent1" w:themeFillTint="33"/>
          </w:tcPr>
          <w:p w14:paraId="5C39827A" w14:textId="4445302E" w:rsidR="31E21C5F" w:rsidRDefault="31E21C5F" w:rsidP="31E21C5F">
            <w:r>
              <w:t>Overig (inductief)</w:t>
            </w:r>
          </w:p>
        </w:tc>
        <w:tc>
          <w:tcPr>
            <w:tcW w:w="5100" w:type="dxa"/>
            <w:shd w:val="clear" w:color="auto" w:fill="D9E2F3" w:themeFill="accent1" w:themeFillTint="33"/>
          </w:tcPr>
          <w:p w14:paraId="405BF11A" w14:textId="413909D0" w:rsidR="31E21C5F" w:rsidRDefault="31E21C5F" w:rsidP="31E21C5F"/>
        </w:tc>
      </w:tr>
      <w:tr w:rsidR="31E21C5F" w14:paraId="1BFF9783" w14:textId="77777777" w:rsidTr="5FC6745F">
        <w:trPr>
          <w:trHeight w:val="300"/>
        </w:trPr>
        <w:tc>
          <w:tcPr>
            <w:tcW w:w="1470" w:type="dxa"/>
            <w:shd w:val="clear" w:color="auto" w:fill="D9E2F3" w:themeFill="accent1" w:themeFillTint="33"/>
          </w:tcPr>
          <w:p w14:paraId="2654FDD5" w14:textId="4B238121" w:rsidR="31E21C5F" w:rsidRDefault="31E21C5F" w:rsidP="31E21C5F"/>
        </w:tc>
        <w:tc>
          <w:tcPr>
            <w:tcW w:w="1965" w:type="dxa"/>
            <w:shd w:val="clear" w:color="auto" w:fill="D9E2F3" w:themeFill="accent1" w:themeFillTint="33"/>
          </w:tcPr>
          <w:p w14:paraId="3F1E9773" w14:textId="040BF918" w:rsidR="31E21C5F" w:rsidRDefault="31E21C5F" w:rsidP="31E21C5F">
            <w:r>
              <w:t>Autonomie</w:t>
            </w:r>
          </w:p>
          <w:p w14:paraId="5124290B" w14:textId="4983E38C" w:rsidR="31E21C5F" w:rsidRDefault="31E21C5F" w:rsidP="31E21C5F"/>
        </w:tc>
        <w:tc>
          <w:tcPr>
            <w:tcW w:w="1590" w:type="dxa"/>
            <w:shd w:val="clear" w:color="auto" w:fill="D9E2F3" w:themeFill="accent1" w:themeFillTint="33"/>
          </w:tcPr>
          <w:p w14:paraId="7103CFF0" w14:textId="35DC0312" w:rsidR="31E21C5F" w:rsidRDefault="31E21C5F" w:rsidP="31E21C5F">
            <w:r>
              <w:t>Experimenteren in een regelluwe omgeving</w:t>
            </w:r>
          </w:p>
          <w:p w14:paraId="546ACC46" w14:textId="71379CF5" w:rsidR="31E21C5F" w:rsidRDefault="31E21C5F" w:rsidP="31E21C5F"/>
        </w:tc>
        <w:tc>
          <w:tcPr>
            <w:tcW w:w="5100" w:type="dxa"/>
            <w:shd w:val="clear" w:color="auto" w:fill="D9E2F3" w:themeFill="accent1" w:themeFillTint="33"/>
          </w:tcPr>
          <w:p w14:paraId="14C23E6B" w14:textId="00DB4C86" w:rsidR="31E21C5F" w:rsidRDefault="5FC6745F" w:rsidP="31E21C5F">
            <w:r>
              <w:t xml:space="preserve">-Kunnen werknemers voldoende experimenteren in een omgeving, waarin de normale regels, procedures en beperkingen tijdelijk worden geminimaliseerd? </w:t>
            </w:r>
          </w:p>
          <w:p w14:paraId="288D96EA" w14:textId="1F6F4E62" w:rsidR="31E21C5F" w:rsidRDefault="31E21C5F" w:rsidP="31E21C5F">
            <w:r>
              <w:t xml:space="preserve">-Indien niet: Hoe belemmert dit de creativiteit van werknemers? </w:t>
            </w:r>
          </w:p>
          <w:p w14:paraId="26E8FB47" w14:textId="1AB85854" w:rsidR="31E21C5F" w:rsidRDefault="31E21C5F" w:rsidP="31E21C5F">
            <w:r>
              <w:t>-Indien wel: Hoe stimuleert dit de creativiteit van werknemers?</w:t>
            </w:r>
          </w:p>
        </w:tc>
      </w:tr>
      <w:tr w:rsidR="31E21C5F" w14:paraId="68A6E096" w14:textId="77777777" w:rsidTr="5FC6745F">
        <w:trPr>
          <w:trHeight w:val="300"/>
        </w:trPr>
        <w:tc>
          <w:tcPr>
            <w:tcW w:w="1470" w:type="dxa"/>
            <w:shd w:val="clear" w:color="auto" w:fill="D9E2F3" w:themeFill="accent1" w:themeFillTint="33"/>
          </w:tcPr>
          <w:p w14:paraId="59E9FDB8" w14:textId="53944E52" w:rsidR="31E21C5F" w:rsidRDefault="31E21C5F" w:rsidP="31E21C5F"/>
        </w:tc>
        <w:tc>
          <w:tcPr>
            <w:tcW w:w="1965" w:type="dxa"/>
            <w:shd w:val="clear" w:color="auto" w:fill="D9E2F3" w:themeFill="accent1" w:themeFillTint="33"/>
          </w:tcPr>
          <w:p w14:paraId="7D245B68" w14:textId="68598DAF" w:rsidR="31E21C5F" w:rsidRDefault="31E21C5F" w:rsidP="31E21C5F"/>
        </w:tc>
        <w:tc>
          <w:tcPr>
            <w:tcW w:w="1590" w:type="dxa"/>
            <w:shd w:val="clear" w:color="auto" w:fill="D9E2F3" w:themeFill="accent1" w:themeFillTint="33"/>
          </w:tcPr>
          <w:p w14:paraId="50C5E282" w14:textId="0340A34C" w:rsidR="31E21C5F" w:rsidRDefault="31E21C5F" w:rsidP="31E21C5F">
            <w:r>
              <w:t>Contraproductief gedrag</w:t>
            </w:r>
          </w:p>
          <w:p w14:paraId="47849EF6" w14:textId="7231E57A" w:rsidR="31E21C5F" w:rsidRDefault="31E21C5F" w:rsidP="31E21C5F"/>
        </w:tc>
        <w:tc>
          <w:tcPr>
            <w:tcW w:w="5100" w:type="dxa"/>
            <w:shd w:val="clear" w:color="auto" w:fill="D9E2F3" w:themeFill="accent1" w:themeFillTint="33"/>
          </w:tcPr>
          <w:p w14:paraId="00E6BA17" w14:textId="5B65E4C7" w:rsidR="31E21C5F" w:rsidRDefault="31E21C5F" w:rsidP="31E21C5F">
            <w:r>
              <w:t xml:space="preserve">-In welke mate is er sprake van een dusdanig vergaande autonomie in innovaties, dat men innoveert zonder daarbij rekening te houden met wat de belangen zijn van de organisatie? </w:t>
            </w:r>
          </w:p>
          <w:p w14:paraId="4E67E2A0" w14:textId="198E1FA0" w:rsidR="31E21C5F" w:rsidRDefault="31E21C5F" w:rsidP="31E21C5F">
            <w:r>
              <w:t xml:space="preserve">-Hoe uit zich dat? Wat zijn de gevolgen? </w:t>
            </w:r>
          </w:p>
          <w:p w14:paraId="58BED583" w14:textId="168D57CF" w:rsidR="31E21C5F" w:rsidRDefault="31E21C5F" w:rsidP="31E21C5F">
            <w:r>
              <w:t xml:space="preserve">-Interview IUP: op welke manier wordt het innoveren zonder rekening te houden met de organisatiebelangen verminderd met de IUP-werkwijze? Zijn hierin nog aanvullingen te bedenken? </w:t>
            </w:r>
          </w:p>
        </w:tc>
      </w:tr>
      <w:tr w:rsidR="31E21C5F" w14:paraId="675E75FF" w14:textId="77777777" w:rsidTr="5FC6745F">
        <w:trPr>
          <w:trHeight w:val="300"/>
        </w:trPr>
        <w:tc>
          <w:tcPr>
            <w:tcW w:w="1470" w:type="dxa"/>
            <w:shd w:val="clear" w:color="auto" w:fill="D9E2F3" w:themeFill="accent1" w:themeFillTint="33"/>
          </w:tcPr>
          <w:p w14:paraId="04F1A2A4" w14:textId="7F378D39" w:rsidR="31E21C5F" w:rsidRDefault="31E21C5F" w:rsidP="31E21C5F"/>
        </w:tc>
        <w:tc>
          <w:tcPr>
            <w:tcW w:w="1965" w:type="dxa"/>
            <w:shd w:val="clear" w:color="auto" w:fill="D9E2F3" w:themeFill="accent1" w:themeFillTint="33"/>
          </w:tcPr>
          <w:p w14:paraId="39ED486F" w14:textId="416A6CA2" w:rsidR="31E21C5F" w:rsidRDefault="31E21C5F" w:rsidP="31E21C5F"/>
        </w:tc>
        <w:tc>
          <w:tcPr>
            <w:tcW w:w="1590" w:type="dxa"/>
            <w:shd w:val="clear" w:color="auto" w:fill="D9E2F3" w:themeFill="accent1" w:themeFillTint="33"/>
          </w:tcPr>
          <w:p w14:paraId="25FB912E" w14:textId="732918C4" w:rsidR="31E21C5F" w:rsidRDefault="31E21C5F" w:rsidP="31E21C5F">
            <w:r>
              <w:t>Overig (inductief)</w:t>
            </w:r>
          </w:p>
        </w:tc>
        <w:tc>
          <w:tcPr>
            <w:tcW w:w="5100" w:type="dxa"/>
            <w:shd w:val="clear" w:color="auto" w:fill="D9E2F3" w:themeFill="accent1" w:themeFillTint="33"/>
          </w:tcPr>
          <w:p w14:paraId="4B8498BC" w14:textId="2EC5F6F9" w:rsidR="31E21C5F" w:rsidRDefault="31E21C5F" w:rsidP="31E21C5F"/>
        </w:tc>
      </w:tr>
      <w:tr w:rsidR="31E21C5F" w14:paraId="63111E4F" w14:textId="77777777" w:rsidTr="5FC6745F">
        <w:trPr>
          <w:trHeight w:val="300"/>
        </w:trPr>
        <w:tc>
          <w:tcPr>
            <w:tcW w:w="1470" w:type="dxa"/>
            <w:shd w:val="clear" w:color="auto" w:fill="4472C4" w:themeFill="accent1"/>
          </w:tcPr>
          <w:p w14:paraId="6A4C290B" w14:textId="43449E1E" w:rsidR="31E21C5F" w:rsidRDefault="31E21C5F" w:rsidP="31E21C5F">
            <w:pPr>
              <w:rPr>
                <w:b/>
                <w:bCs/>
                <w:sz w:val="24"/>
                <w:szCs w:val="24"/>
              </w:rPr>
            </w:pPr>
            <w:r w:rsidRPr="31E21C5F">
              <w:rPr>
                <w:b/>
                <w:bCs/>
                <w:sz w:val="24"/>
                <w:szCs w:val="24"/>
              </w:rPr>
              <w:t>Innovatiemanagement</w:t>
            </w:r>
          </w:p>
        </w:tc>
        <w:tc>
          <w:tcPr>
            <w:tcW w:w="1965" w:type="dxa"/>
            <w:shd w:val="clear" w:color="auto" w:fill="4472C4" w:themeFill="accent1"/>
          </w:tcPr>
          <w:p w14:paraId="72749FAD" w14:textId="0AC8C87E" w:rsidR="31E21C5F" w:rsidRDefault="31E21C5F" w:rsidP="31E21C5F">
            <w:pPr>
              <w:rPr>
                <w:b/>
                <w:bCs/>
                <w:sz w:val="24"/>
                <w:szCs w:val="24"/>
              </w:rPr>
            </w:pPr>
            <w:r w:rsidRPr="31E21C5F">
              <w:rPr>
                <w:b/>
                <w:bCs/>
                <w:sz w:val="24"/>
                <w:szCs w:val="24"/>
              </w:rPr>
              <w:t>Succesfactoren</w:t>
            </w:r>
          </w:p>
        </w:tc>
        <w:tc>
          <w:tcPr>
            <w:tcW w:w="1590" w:type="dxa"/>
            <w:shd w:val="clear" w:color="auto" w:fill="4472C4" w:themeFill="accent1"/>
          </w:tcPr>
          <w:p w14:paraId="68FB15F7" w14:textId="4FBE5318" w:rsidR="31E21C5F" w:rsidRDefault="31E21C5F" w:rsidP="31E21C5F">
            <w:pPr>
              <w:rPr>
                <w:b/>
                <w:bCs/>
                <w:sz w:val="24"/>
                <w:szCs w:val="24"/>
              </w:rPr>
            </w:pPr>
            <w:r w:rsidRPr="31E21C5F">
              <w:rPr>
                <w:b/>
                <w:bCs/>
                <w:sz w:val="24"/>
                <w:szCs w:val="24"/>
              </w:rPr>
              <w:t>Dimensies</w:t>
            </w:r>
          </w:p>
        </w:tc>
        <w:tc>
          <w:tcPr>
            <w:tcW w:w="5100" w:type="dxa"/>
            <w:shd w:val="clear" w:color="auto" w:fill="4472C4" w:themeFill="accent1"/>
          </w:tcPr>
          <w:p w14:paraId="20BAB60D" w14:textId="3C8598BA" w:rsidR="31E21C5F" w:rsidRDefault="31E21C5F" w:rsidP="31E21C5F">
            <w:pPr>
              <w:rPr>
                <w:b/>
                <w:bCs/>
                <w:sz w:val="24"/>
                <w:szCs w:val="24"/>
              </w:rPr>
            </w:pPr>
            <w:r w:rsidRPr="31E21C5F">
              <w:rPr>
                <w:b/>
                <w:bCs/>
                <w:sz w:val="24"/>
                <w:szCs w:val="24"/>
              </w:rPr>
              <w:t>Indicatoren/interviewvragen</w:t>
            </w:r>
          </w:p>
        </w:tc>
      </w:tr>
      <w:tr w:rsidR="31E21C5F" w14:paraId="3F20C68E" w14:textId="77777777" w:rsidTr="5FC6745F">
        <w:trPr>
          <w:trHeight w:val="300"/>
        </w:trPr>
        <w:tc>
          <w:tcPr>
            <w:tcW w:w="1470" w:type="dxa"/>
            <w:shd w:val="clear" w:color="auto" w:fill="D9E2F3" w:themeFill="accent1" w:themeFillTint="33"/>
          </w:tcPr>
          <w:p w14:paraId="3E857A36" w14:textId="1AEB2637" w:rsidR="31E21C5F" w:rsidRDefault="31E21C5F" w:rsidP="31E21C5F"/>
        </w:tc>
        <w:tc>
          <w:tcPr>
            <w:tcW w:w="1965" w:type="dxa"/>
            <w:shd w:val="clear" w:color="auto" w:fill="D9E2F3" w:themeFill="accent1" w:themeFillTint="33"/>
          </w:tcPr>
          <w:p w14:paraId="193CD8AB" w14:textId="74FBA097" w:rsidR="31E21C5F" w:rsidRDefault="31E21C5F" w:rsidP="31E21C5F">
            <w:r>
              <w:t>Innovatiebeleid</w:t>
            </w:r>
          </w:p>
        </w:tc>
        <w:tc>
          <w:tcPr>
            <w:tcW w:w="1590" w:type="dxa"/>
            <w:shd w:val="clear" w:color="auto" w:fill="D9E2F3" w:themeFill="accent1" w:themeFillTint="33"/>
          </w:tcPr>
          <w:p w14:paraId="4B58FB05" w14:textId="2E37FDB3" w:rsidR="31E21C5F" w:rsidRDefault="31E21C5F" w:rsidP="31E21C5F">
            <w:r>
              <w:t>Management ademt innovatie</w:t>
            </w:r>
          </w:p>
        </w:tc>
        <w:tc>
          <w:tcPr>
            <w:tcW w:w="5100" w:type="dxa"/>
            <w:shd w:val="clear" w:color="auto" w:fill="D9E2F3" w:themeFill="accent1" w:themeFillTint="33"/>
          </w:tcPr>
          <w:p w14:paraId="66210C6E" w14:textId="404150A2" w:rsidR="31E21C5F" w:rsidRDefault="5FC6745F" w:rsidP="31E21C5F">
            <w:r>
              <w:t xml:space="preserve">-Straalt in jouw ogen het topmanagement voldoende uit dat er de ruimte is om risico's te nemen bij experimenten om op die manier beter om te kunnen gaan met de toekomstige complexe opgaven? </w:t>
            </w:r>
          </w:p>
          <w:p w14:paraId="09121F71" w14:textId="370EED8E" w:rsidR="31E21C5F" w:rsidRDefault="31E21C5F" w:rsidP="31E21C5F">
            <w:r>
              <w:t xml:space="preserve">-Indien een leidinggevende rol: in hoeverre voel jij je door het management gesteund om deze gedachtegang van risico's nemen uit te dragen? </w:t>
            </w:r>
          </w:p>
        </w:tc>
      </w:tr>
      <w:tr w:rsidR="31E21C5F" w14:paraId="648B691B" w14:textId="77777777" w:rsidTr="5FC6745F">
        <w:trPr>
          <w:trHeight w:val="300"/>
        </w:trPr>
        <w:tc>
          <w:tcPr>
            <w:tcW w:w="1470" w:type="dxa"/>
            <w:shd w:val="clear" w:color="auto" w:fill="D9E2F3" w:themeFill="accent1" w:themeFillTint="33"/>
          </w:tcPr>
          <w:p w14:paraId="3E41E078" w14:textId="727A9951" w:rsidR="31E21C5F" w:rsidRDefault="31E21C5F" w:rsidP="31E21C5F"/>
        </w:tc>
        <w:tc>
          <w:tcPr>
            <w:tcW w:w="1965" w:type="dxa"/>
            <w:shd w:val="clear" w:color="auto" w:fill="D9E2F3" w:themeFill="accent1" w:themeFillTint="33"/>
          </w:tcPr>
          <w:p w14:paraId="4D606FEE" w14:textId="03C9110F" w:rsidR="31E21C5F" w:rsidRDefault="31E21C5F" w:rsidP="31E21C5F"/>
        </w:tc>
        <w:tc>
          <w:tcPr>
            <w:tcW w:w="1590" w:type="dxa"/>
            <w:shd w:val="clear" w:color="auto" w:fill="D9E2F3" w:themeFill="accent1" w:themeFillTint="33"/>
          </w:tcPr>
          <w:p w14:paraId="6CB97BC8" w14:textId="2FEEB970" w:rsidR="31E21C5F" w:rsidRDefault="31E21C5F" w:rsidP="31E21C5F">
            <w:r>
              <w:t>Innovatiestrategie</w:t>
            </w:r>
          </w:p>
        </w:tc>
        <w:tc>
          <w:tcPr>
            <w:tcW w:w="5100" w:type="dxa"/>
            <w:shd w:val="clear" w:color="auto" w:fill="D9E2F3" w:themeFill="accent1" w:themeFillTint="33"/>
          </w:tcPr>
          <w:p w14:paraId="32C5BCB8" w14:textId="46593B8C" w:rsidR="31E21C5F" w:rsidRDefault="5FC6745F" w:rsidP="31E21C5F">
            <w:r>
              <w:t xml:space="preserve">-Heeft RWS een voldoende duidelijke innovatiestrategie met daarin de doelstellingen voor innovatie en met welke middelen en binnen welke tijdspanne deze doelstellingen bereikt moeten zijn? </w:t>
            </w:r>
          </w:p>
          <w:p w14:paraId="5870925C" w14:textId="33ED4C57" w:rsidR="31E21C5F" w:rsidRDefault="30519E6F" w:rsidP="31E21C5F">
            <w:r>
              <w:t xml:space="preserve">-Worden hier voldoende bottom-up invloeden in meegenomen? </w:t>
            </w:r>
          </w:p>
          <w:p w14:paraId="2350A66B" w14:textId="719F13B7" w:rsidR="31E21C5F" w:rsidRDefault="30519E6F" w:rsidP="31E21C5F">
            <w:r>
              <w:t xml:space="preserve">-In hoeverre ben jij bekend met deze innovatiestrategie? </w:t>
            </w:r>
          </w:p>
          <w:p w14:paraId="56824A74" w14:textId="5064CE7E" w:rsidR="31E21C5F" w:rsidRDefault="5FC6745F" w:rsidP="31E21C5F">
            <w:r>
              <w:t>-Zorgt de innovatiestrategie voor voldoende duidelijkheid bij werknemers over welke innovaties ze wel en niet moeten opstarten?</w:t>
            </w:r>
          </w:p>
          <w:p w14:paraId="42D38801" w14:textId="5F68C922" w:rsidR="31E21C5F" w:rsidRDefault="31E21C5F" w:rsidP="31E21C5F">
            <w:r>
              <w:t xml:space="preserve">Interview IUP: Op welke manier is opdrachtgeverschap geregeld binnen de IUP-werkwijze? </w:t>
            </w:r>
          </w:p>
        </w:tc>
      </w:tr>
      <w:tr w:rsidR="31E21C5F" w14:paraId="27B97E0E" w14:textId="77777777" w:rsidTr="5FC6745F">
        <w:trPr>
          <w:trHeight w:val="300"/>
        </w:trPr>
        <w:tc>
          <w:tcPr>
            <w:tcW w:w="1470" w:type="dxa"/>
            <w:shd w:val="clear" w:color="auto" w:fill="D9E2F3" w:themeFill="accent1" w:themeFillTint="33"/>
          </w:tcPr>
          <w:p w14:paraId="2EFBEB50" w14:textId="5549B2B8" w:rsidR="31E21C5F" w:rsidRDefault="31E21C5F" w:rsidP="31E21C5F"/>
        </w:tc>
        <w:tc>
          <w:tcPr>
            <w:tcW w:w="1965" w:type="dxa"/>
            <w:shd w:val="clear" w:color="auto" w:fill="D9E2F3" w:themeFill="accent1" w:themeFillTint="33"/>
          </w:tcPr>
          <w:p w14:paraId="51B21A3A" w14:textId="031AAD97" w:rsidR="31E21C5F" w:rsidRDefault="31E21C5F" w:rsidP="31E21C5F"/>
        </w:tc>
        <w:tc>
          <w:tcPr>
            <w:tcW w:w="1590" w:type="dxa"/>
            <w:shd w:val="clear" w:color="auto" w:fill="D9E2F3" w:themeFill="accent1" w:themeFillTint="33"/>
          </w:tcPr>
          <w:p w14:paraId="4CCAE13A" w14:textId="3368EE11" w:rsidR="31E21C5F" w:rsidRDefault="31E21C5F" w:rsidP="31E21C5F">
            <w:r>
              <w:t>Portfoliomanagement</w:t>
            </w:r>
          </w:p>
        </w:tc>
        <w:tc>
          <w:tcPr>
            <w:tcW w:w="5100" w:type="dxa"/>
            <w:shd w:val="clear" w:color="auto" w:fill="D9E2F3" w:themeFill="accent1" w:themeFillTint="33"/>
          </w:tcPr>
          <w:p w14:paraId="2ED21F3E" w14:textId="30D3CBEB" w:rsidR="31E21C5F" w:rsidRDefault="31E21C5F" w:rsidP="31E21C5F">
            <w:r>
              <w:t xml:space="preserve">-In welke mate worden innovatieprojecten met een gelijksoortig thema verzameld, beoordeeld en geselecteerd in een zogenoemd portfolio? </w:t>
            </w:r>
          </w:p>
          <w:p w14:paraId="4503AC5B" w14:textId="700F6F69" w:rsidR="31E21C5F" w:rsidRDefault="31E21C5F" w:rsidP="31E21C5F">
            <w:r>
              <w:t xml:space="preserve">-Indien dit niet of te weinig gebeurt: Op welke manier zou dit een aanwinst zijn voor RWS met het oog op het maken van betere keuzes welke innovaties publieke waarde toevoegen? </w:t>
            </w:r>
          </w:p>
        </w:tc>
      </w:tr>
      <w:tr w:rsidR="31E21C5F" w14:paraId="0C784EB6" w14:textId="77777777" w:rsidTr="5FC6745F">
        <w:trPr>
          <w:trHeight w:val="300"/>
        </w:trPr>
        <w:tc>
          <w:tcPr>
            <w:tcW w:w="1470" w:type="dxa"/>
            <w:shd w:val="clear" w:color="auto" w:fill="D9E2F3" w:themeFill="accent1" w:themeFillTint="33"/>
          </w:tcPr>
          <w:p w14:paraId="22C5FCC0" w14:textId="1474BB76" w:rsidR="31E21C5F" w:rsidRDefault="31E21C5F" w:rsidP="31E21C5F"/>
        </w:tc>
        <w:tc>
          <w:tcPr>
            <w:tcW w:w="1965" w:type="dxa"/>
            <w:shd w:val="clear" w:color="auto" w:fill="D9E2F3" w:themeFill="accent1" w:themeFillTint="33"/>
          </w:tcPr>
          <w:p w14:paraId="24F6D0DD" w14:textId="02A85BF1" w:rsidR="31E21C5F" w:rsidRDefault="31E21C5F" w:rsidP="31E21C5F"/>
        </w:tc>
        <w:tc>
          <w:tcPr>
            <w:tcW w:w="1590" w:type="dxa"/>
            <w:shd w:val="clear" w:color="auto" w:fill="D9E2F3" w:themeFill="accent1" w:themeFillTint="33"/>
          </w:tcPr>
          <w:p w14:paraId="567047D4" w14:textId="6120B1FC" w:rsidR="31E21C5F" w:rsidRDefault="31E21C5F" w:rsidP="31E21C5F">
            <w:r>
              <w:t>Overig (Inductief)</w:t>
            </w:r>
          </w:p>
        </w:tc>
        <w:tc>
          <w:tcPr>
            <w:tcW w:w="5100" w:type="dxa"/>
            <w:shd w:val="clear" w:color="auto" w:fill="D9E2F3" w:themeFill="accent1" w:themeFillTint="33"/>
          </w:tcPr>
          <w:p w14:paraId="7F87EDE3" w14:textId="13892AD8" w:rsidR="31E21C5F" w:rsidRDefault="31E21C5F" w:rsidP="31E21C5F"/>
        </w:tc>
      </w:tr>
      <w:tr w:rsidR="31E21C5F" w14:paraId="00C5AF67" w14:textId="77777777" w:rsidTr="5FC6745F">
        <w:trPr>
          <w:trHeight w:val="300"/>
        </w:trPr>
        <w:tc>
          <w:tcPr>
            <w:tcW w:w="1470" w:type="dxa"/>
            <w:shd w:val="clear" w:color="auto" w:fill="D9E2F3" w:themeFill="accent1" w:themeFillTint="33"/>
          </w:tcPr>
          <w:p w14:paraId="51808295" w14:textId="67FD9CDD" w:rsidR="31E21C5F" w:rsidRDefault="31E21C5F" w:rsidP="31E21C5F"/>
        </w:tc>
        <w:tc>
          <w:tcPr>
            <w:tcW w:w="1965" w:type="dxa"/>
            <w:shd w:val="clear" w:color="auto" w:fill="D9E2F3" w:themeFill="accent1" w:themeFillTint="33"/>
          </w:tcPr>
          <w:p w14:paraId="7FA50028" w14:textId="0B1BC214" w:rsidR="31E21C5F" w:rsidRDefault="31E21C5F" w:rsidP="31E21C5F">
            <w:r>
              <w:t>Leiderschap</w:t>
            </w:r>
          </w:p>
        </w:tc>
        <w:tc>
          <w:tcPr>
            <w:tcW w:w="1590" w:type="dxa"/>
            <w:shd w:val="clear" w:color="auto" w:fill="D9E2F3" w:themeFill="accent1" w:themeFillTint="33"/>
          </w:tcPr>
          <w:p w14:paraId="2D903B9B" w14:textId="0B718119" w:rsidR="31E21C5F" w:rsidRDefault="31E21C5F" w:rsidP="31E21C5F">
            <w:r>
              <w:t>Transactioneel leiderschap</w:t>
            </w:r>
          </w:p>
        </w:tc>
        <w:tc>
          <w:tcPr>
            <w:tcW w:w="5100" w:type="dxa"/>
            <w:shd w:val="clear" w:color="auto" w:fill="D9E2F3" w:themeFill="accent1" w:themeFillTint="33"/>
          </w:tcPr>
          <w:p w14:paraId="01A17CB7" w14:textId="5D1BD566" w:rsidR="31E21C5F" w:rsidRDefault="5FC6745F" w:rsidP="31E21C5F">
            <w:r>
              <w:t>-Wordt er voldoende sturing gegeven aan het implementatie- en opschalingsproces van innovaties?</w:t>
            </w:r>
          </w:p>
          <w:p w14:paraId="5C51C284" w14:textId="47B75DBD" w:rsidR="31E21C5F" w:rsidRDefault="31E21C5F" w:rsidP="31E21C5F">
            <w:r>
              <w:t xml:space="preserve">-Zo niet, hoe zou die sturing er dan uit moeten zien? Vergaande sturing in de vorm van beloningen en straffen of meer in de vorm van regelmatige controles/er dichter op zitten? </w:t>
            </w:r>
          </w:p>
          <w:p w14:paraId="197DDB81" w14:textId="6811ABC5" w:rsidR="31E21C5F" w:rsidRDefault="31E21C5F" w:rsidP="31E21C5F">
            <w:r>
              <w:t xml:space="preserve">-Interview IUP (ook in de organisatiegerelateerde interviews): Zou er in jouw ogen ook een meer directe sturing moeten komen op de IUP-werkwijze?  </w:t>
            </w:r>
          </w:p>
        </w:tc>
      </w:tr>
      <w:tr w:rsidR="31E21C5F" w14:paraId="5B7CEFAF" w14:textId="77777777" w:rsidTr="5FC6745F">
        <w:trPr>
          <w:trHeight w:val="300"/>
        </w:trPr>
        <w:tc>
          <w:tcPr>
            <w:tcW w:w="1470" w:type="dxa"/>
            <w:shd w:val="clear" w:color="auto" w:fill="D9E2F3" w:themeFill="accent1" w:themeFillTint="33"/>
          </w:tcPr>
          <w:p w14:paraId="3032A79D" w14:textId="1DBE4CEE" w:rsidR="31E21C5F" w:rsidRDefault="31E21C5F" w:rsidP="31E21C5F"/>
        </w:tc>
        <w:tc>
          <w:tcPr>
            <w:tcW w:w="1965" w:type="dxa"/>
            <w:shd w:val="clear" w:color="auto" w:fill="D9E2F3" w:themeFill="accent1" w:themeFillTint="33"/>
          </w:tcPr>
          <w:p w14:paraId="3928D049" w14:textId="5F4C7DCC" w:rsidR="31E21C5F" w:rsidRDefault="31E21C5F" w:rsidP="31E21C5F"/>
        </w:tc>
        <w:tc>
          <w:tcPr>
            <w:tcW w:w="1590" w:type="dxa"/>
            <w:shd w:val="clear" w:color="auto" w:fill="D9E2F3" w:themeFill="accent1" w:themeFillTint="33"/>
          </w:tcPr>
          <w:p w14:paraId="28222442" w14:textId="6817C5CD" w:rsidR="31E21C5F" w:rsidRDefault="31E21C5F" w:rsidP="31E21C5F">
            <w:r>
              <w:t>Overig (Inductief)</w:t>
            </w:r>
          </w:p>
        </w:tc>
        <w:tc>
          <w:tcPr>
            <w:tcW w:w="5100" w:type="dxa"/>
            <w:shd w:val="clear" w:color="auto" w:fill="D9E2F3" w:themeFill="accent1" w:themeFillTint="33"/>
          </w:tcPr>
          <w:p w14:paraId="657DDEE2" w14:textId="0EC5E409" w:rsidR="31E21C5F" w:rsidRDefault="31E21C5F" w:rsidP="31E21C5F"/>
        </w:tc>
      </w:tr>
      <w:tr w:rsidR="31E21C5F" w14:paraId="5241D1AE" w14:textId="77777777" w:rsidTr="5FC6745F">
        <w:trPr>
          <w:trHeight w:val="300"/>
        </w:trPr>
        <w:tc>
          <w:tcPr>
            <w:tcW w:w="1470" w:type="dxa"/>
            <w:shd w:val="clear" w:color="auto" w:fill="D9E2F3" w:themeFill="accent1" w:themeFillTint="33"/>
          </w:tcPr>
          <w:p w14:paraId="4C748441" w14:textId="547DC494" w:rsidR="31E21C5F" w:rsidRDefault="31E21C5F" w:rsidP="31E21C5F"/>
        </w:tc>
        <w:tc>
          <w:tcPr>
            <w:tcW w:w="1965" w:type="dxa"/>
            <w:shd w:val="clear" w:color="auto" w:fill="D9E2F3" w:themeFill="accent1" w:themeFillTint="33"/>
          </w:tcPr>
          <w:p w14:paraId="56CBDD98" w14:textId="7E697CAC" w:rsidR="31E21C5F" w:rsidRDefault="31E21C5F" w:rsidP="31E21C5F">
            <w:r>
              <w:t>Eigenaarschap</w:t>
            </w:r>
          </w:p>
        </w:tc>
        <w:tc>
          <w:tcPr>
            <w:tcW w:w="1590" w:type="dxa"/>
            <w:shd w:val="clear" w:color="auto" w:fill="D9E2F3" w:themeFill="accent1" w:themeFillTint="33"/>
          </w:tcPr>
          <w:p w14:paraId="26A2FA00" w14:textId="03F97CBD" w:rsidR="31E21C5F" w:rsidRDefault="31E21C5F" w:rsidP="31E21C5F">
            <w:r>
              <w:t xml:space="preserve">Hoge mate aan </w:t>
            </w:r>
            <w:r w:rsidR="006B6464">
              <w:t>taakonderlinge</w:t>
            </w:r>
            <w:r>
              <w:t xml:space="preserve"> afhankelijkheid</w:t>
            </w:r>
          </w:p>
        </w:tc>
        <w:tc>
          <w:tcPr>
            <w:tcW w:w="5100" w:type="dxa"/>
            <w:shd w:val="clear" w:color="auto" w:fill="D9E2F3" w:themeFill="accent1" w:themeFillTint="33"/>
          </w:tcPr>
          <w:p w14:paraId="5077603E" w14:textId="539ADEFD" w:rsidR="31E21C5F" w:rsidRDefault="5FC6745F" w:rsidP="31E21C5F">
            <w:r>
              <w:t xml:space="preserve">-Is er voldoende sprake van een hoge mate aan onderlinge afhankelijkheid tussen PPO’ers in de werkzaamheden die ze doen? </w:t>
            </w:r>
          </w:p>
          <w:p w14:paraId="3A1EF28D" w14:textId="790057AE" w:rsidR="31E21C5F" w:rsidRDefault="5FC6745F" w:rsidP="31E21C5F">
            <w:r>
              <w:t xml:space="preserve">-Is er voldoende sprake van echte betrokkenheid (psychologisch eigenaarschap) van werknemers bij het doel van succesvolle innovaties? Is het bij werknemers doordrongen dat iedereen daaraan moet bijdragen? </w:t>
            </w:r>
          </w:p>
        </w:tc>
      </w:tr>
      <w:tr w:rsidR="31E21C5F" w14:paraId="563196B1" w14:textId="77777777" w:rsidTr="5FC6745F">
        <w:trPr>
          <w:trHeight w:val="300"/>
        </w:trPr>
        <w:tc>
          <w:tcPr>
            <w:tcW w:w="1470" w:type="dxa"/>
            <w:shd w:val="clear" w:color="auto" w:fill="D9E2F3" w:themeFill="accent1" w:themeFillTint="33"/>
          </w:tcPr>
          <w:p w14:paraId="5F709F74" w14:textId="3F84086E" w:rsidR="31E21C5F" w:rsidRDefault="31E21C5F" w:rsidP="31E21C5F"/>
        </w:tc>
        <w:tc>
          <w:tcPr>
            <w:tcW w:w="1965" w:type="dxa"/>
            <w:shd w:val="clear" w:color="auto" w:fill="D9E2F3" w:themeFill="accent1" w:themeFillTint="33"/>
          </w:tcPr>
          <w:p w14:paraId="269AE3EB" w14:textId="3A79D6E1" w:rsidR="31E21C5F" w:rsidRDefault="31E21C5F" w:rsidP="31E21C5F"/>
        </w:tc>
        <w:tc>
          <w:tcPr>
            <w:tcW w:w="1590" w:type="dxa"/>
            <w:shd w:val="clear" w:color="auto" w:fill="D9E2F3" w:themeFill="accent1" w:themeFillTint="33"/>
          </w:tcPr>
          <w:p w14:paraId="5D667971" w14:textId="375DCD0E" w:rsidR="31E21C5F" w:rsidRDefault="31E21C5F" w:rsidP="31E21C5F">
            <w:r>
              <w:t>Het aanwijzen van een eigenaar van het implementatieproces</w:t>
            </w:r>
          </w:p>
        </w:tc>
        <w:tc>
          <w:tcPr>
            <w:tcW w:w="5100" w:type="dxa"/>
            <w:shd w:val="clear" w:color="auto" w:fill="D9E2F3" w:themeFill="accent1" w:themeFillTint="33"/>
          </w:tcPr>
          <w:p w14:paraId="0816225A" w14:textId="15505DBD" w:rsidR="31E21C5F" w:rsidRDefault="31E21C5F" w:rsidP="31E21C5F">
            <w:r>
              <w:t xml:space="preserve">-Wordt er in innovatietrajecten een of meerdere personen aangewezen die verantwoordelijk zijn en een ambassadeursrol hebben voor de implementatie- en opschaling van innovaties? </w:t>
            </w:r>
          </w:p>
          <w:p w14:paraId="0EA183CD" w14:textId="2DDC4C8F" w:rsidR="31E21C5F" w:rsidRDefault="6A8431F6" w:rsidP="6A8431F6">
            <w:r>
              <w:t xml:space="preserve">-Interview IUP: Is het raadzaam om aan het aanwijzen van zo'n proceseigenaar op te nemen in de IUP-werkwijze? </w:t>
            </w:r>
          </w:p>
        </w:tc>
      </w:tr>
      <w:tr w:rsidR="31E21C5F" w14:paraId="6D21CEC6" w14:textId="77777777" w:rsidTr="5FC6745F">
        <w:trPr>
          <w:trHeight w:val="300"/>
        </w:trPr>
        <w:tc>
          <w:tcPr>
            <w:tcW w:w="1470" w:type="dxa"/>
            <w:shd w:val="clear" w:color="auto" w:fill="D9E2F3" w:themeFill="accent1" w:themeFillTint="33"/>
          </w:tcPr>
          <w:p w14:paraId="6D24B631" w14:textId="19D08F34" w:rsidR="31E21C5F" w:rsidRDefault="31E21C5F" w:rsidP="31E21C5F"/>
        </w:tc>
        <w:tc>
          <w:tcPr>
            <w:tcW w:w="1965" w:type="dxa"/>
            <w:shd w:val="clear" w:color="auto" w:fill="D9E2F3" w:themeFill="accent1" w:themeFillTint="33"/>
          </w:tcPr>
          <w:p w14:paraId="1465EDE0" w14:textId="7A5F0C18" w:rsidR="31E21C5F" w:rsidRDefault="31E21C5F" w:rsidP="31E21C5F"/>
        </w:tc>
        <w:tc>
          <w:tcPr>
            <w:tcW w:w="1590" w:type="dxa"/>
            <w:shd w:val="clear" w:color="auto" w:fill="D9E2F3" w:themeFill="accent1" w:themeFillTint="33"/>
          </w:tcPr>
          <w:p w14:paraId="2D07DFE2" w14:textId="089CD561" w:rsidR="31E21C5F" w:rsidRDefault="31E21C5F" w:rsidP="31E21C5F">
            <w:r>
              <w:t>Overig (Inductief)</w:t>
            </w:r>
          </w:p>
        </w:tc>
        <w:tc>
          <w:tcPr>
            <w:tcW w:w="5100" w:type="dxa"/>
            <w:shd w:val="clear" w:color="auto" w:fill="D9E2F3" w:themeFill="accent1" w:themeFillTint="33"/>
          </w:tcPr>
          <w:p w14:paraId="41199A3B" w14:textId="346E1EE9" w:rsidR="31E21C5F" w:rsidRDefault="31E21C5F" w:rsidP="31E21C5F"/>
        </w:tc>
      </w:tr>
    </w:tbl>
    <w:p w14:paraId="789777EE" w14:textId="217389EB" w:rsidR="0F8EFB49" w:rsidRDefault="0F8EFB49" w:rsidP="0F8EFB49">
      <w:pPr>
        <w:rPr>
          <w:i/>
          <w:iCs/>
          <w:sz w:val="20"/>
          <w:szCs w:val="20"/>
          <w:u w:val="single"/>
        </w:rPr>
      </w:pPr>
      <w:r w:rsidRPr="0F8EFB49">
        <w:rPr>
          <w:i/>
          <w:iCs/>
          <w:sz w:val="20"/>
          <w:szCs w:val="20"/>
          <w:u w:val="single"/>
        </w:rPr>
        <w:t xml:space="preserve"> Tabel </w:t>
      </w:r>
      <w:r w:rsidR="00E20344">
        <w:rPr>
          <w:i/>
          <w:iCs/>
          <w:sz w:val="20"/>
          <w:szCs w:val="20"/>
          <w:u w:val="single"/>
        </w:rPr>
        <w:t>7</w:t>
      </w:r>
      <w:r w:rsidRPr="0F8EFB49">
        <w:rPr>
          <w:i/>
          <w:iCs/>
          <w:sz w:val="20"/>
          <w:szCs w:val="20"/>
          <w:u w:val="single"/>
        </w:rPr>
        <w:t>: Operationalisatieschema</w:t>
      </w:r>
    </w:p>
    <w:p w14:paraId="399681F0" w14:textId="684B9CDF" w:rsidR="0F8EFB49" w:rsidRDefault="6B9CB4C1" w:rsidP="0F8EFB49">
      <w:r>
        <w:t xml:space="preserve">Zoals eerder in dit hoofdstuk beschreven zijn de interviews op een halfgestructureerde wijze aangepakt. De bovenstaande operationalisatie geeft een weergave van het gestructureerde deel van het onderzoek. Dit is namelijk een weergave van hetgeen wat voorafgaand aan de dataverzameling bedacht is. Dit is vervolgens vastgelegd in de twee interviewguides, die zijn opgenomen als Bijlagen 1 en 2. De kracht van dit onderzoek is echter dat de interviews ook een ongestructureerd aspect in zich hebben. Om te voorkomen dat er te veel differentiatie zal ontstaan tussen het ongestructureerde deel van de interviews, en de data als gevolg daarvan onvoldoende betrouwbaar zal worden, is vooraf </w:t>
      </w:r>
      <w:r w:rsidR="004820BF">
        <w:t>besloten</w:t>
      </w:r>
      <w:r>
        <w:t xml:space="preserve"> om het ongestructureerde onderdeel toch te structureren. Er is vooraf besloten om het ongestructureerde deel op twee manieren terug te laten komen in de interviews, namelijk geen vaste volgorde in de te bespreken thema's en op basis van antwoorden doorvragen naar de diepere laag van de ervaringen en percepties. </w:t>
      </w:r>
    </w:p>
    <w:p w14:paraId="7F63599F" w14:textId="5D858928" w:rsidR="0F8EFB49" w:rsidRDefault="0F8EFB49" w:rsidP="0F8EFB49">
      <w:r w:rsidRPr="0F8EFB49">
        <w:t xml:space="preserve">Het eerstgenoemde, geen vaste volgorde van thema's, is enkel teruggekomen in de interviews over de organisatiegerelateerde succesfactoren. Deze interviews zijn steeds begonnen met algemene vragen over hoe het op dit moment in hun ogen gesteld is met het innovatievermogen van PPO en de organisatie als geheel. Vervolgens is op basis van antwoorden steeds een volgorde van de thema's tot stand gekomen, waardoor de respondenten vrij uit konden spreken over hetgeen wat ter sprake kwam. De tweede </w:t>
      </w:r>
      <w:r w:rsidR="00E82CF9">
        <w:t>manier</w:t>
      </w:r>
      <w:r w:rsidRPr="0F8EFB49">
        <w:t xml:space="preserve"> voor het ongestructureerde deel van de interviews kwam hierbij vervolgens ook naar voren, namelijk het doorvragen naar de diepere laag</w:t>
      </w:r>
      <w:r w:rsidR="00C30368">
        <w:t xml:space="preserve"> van ervaringen en percepties</w:t>
      </w:r>
      <w:r w:rsidRPr="0F8EFB49">
        <w:t>. Doordat de respondenten</w:t>
      </w:r>
      <w:r w:rsidR="00C30368">
        <w:t xml:space="preserve"> </w:t>
      </w:r>
      <w:r w:rsidRPr="0F8EFB49">
        <w:t xml:space="preserve">vrij konden praten over het thema dat ter sprake kwam, kon </w:t>
      </w:r>
      <w:r w:rsidR="005607AD">
        <w:t xml:space="preserve">er steeds </w:t>
      </w:r>
      <w:r w:rsidRPr="0F8EFB49">
        <w:t>naar de diepere laag van de ervaringen en percepties</w:t>
      </w:r>
      <w:r w:rsidR="005607AD">
        <w:t xml:space="preserve"> worden gevraagd</w:t>
      </w:r>
      <w:r w:rsidRPr="0F8EFB49">
        <w:t>. Over de manier van doorvragen is</w:t>
      </w:r>
      <w:r w:rsidR="00710624">
        <w:t xml:space="preserve"> </w:t>
      </w:r>
      <w:r w:rsidR="00C30368">
        <w:t xml:space="preserve">tevens van tevoren </w:t>
      </w:r>
      <w:r w:rsidRPr="0F8EFB49">
        <w:t xml:space="preserve">nagedacht. Wat betreft dit doorvragen is van tevoren bedacht dat er gevraagd zal worden naar het volgende: </w:t>
      </w:r>
    </w:p>
    <w:p w14:paraId="7213F625" w14:textId="64AF2B87" w:rsidR="0F8EFB49" w:rsidRDefault="0F8EFB49" w:rsidP="00F2659E">
      <w:pPr>
        <w:pStyle w:val="Lijstalinea"/>
        <w:numPr>
          <w:ilvl w:val="0"/>
          <w:numId w:val="4"/>
        </w:numPr>
      </w:pPr>
      <w:r w:rsidRPr="0F8EFB49">
        <w:t>Hoe merkt de respondent dat een factor in zijn of haar ogen onvoldoende wordt ingevuld? (Voorbeelden)</w:t>
      </w:r>
    </w:p>
    <w:p w14:paraId="3F4C52B4" w14:textId="23FF207C" w:rsidR="0003599F" w:rsidRDefault="00136261" w:rsidP="00F2659E">
      <w:pPr>
        <w:pStyle w:val="Lijstalinea"/>
        <w:numPr>
          <w:ilvl w:val="0"/>
          <w:numId w:val="4"/>
        </w:numPr>
      </w:pPr>
      <w:r>
        <w:t xml:space="preserve">Zou voldoende invulling van deze succesfactor een bijdrage leveren aan een sterker innovatievermogen? </w:t>
      </w:r>
    </w:p>
    <w:p w14:paraId="1D41B177" w14:textId="1A20B734" w:rsidR="0F8EFB49" w:rsidRDefault="0F8EFB49" w:rsidP="00F2659E">
      <w:pPr>
        <w:pStyle w:val="Lijstalinea"/>
        <w:numPr>
          <w:ilvl w:val="0"/>
          <w:numId w:val="4"/>
        </w:numPr>
      </w:pPr>
      <w:r w:rsidRPr="0F8EFB49">
        <w:t xml:space="preserve">Waar ligt in de ogen van de respondent de oorzaak van de onvoldoende invulling? </w:t>
      </w:r>
    </w:p>
    <w:p w14:paraId="7EA3EA57" w14:textId="6AA86279" w:rsidR="0F8EFB49" w:rsidRDefault="490CF5A6" w:rsidP="00F2659E">
      <w:pPr>
        <w:pStyle w:val="Lijstalinea"/>
        <w:numPr>
          <w:ilvl w:val="0"/>
          <w:numId w:val="4"/>
        </w:numPr>
      </w:pPr>
      <w:r>
        <w:t xml:space="preserve">Wat kan de organisatie, ook kritisch kijkend naar zichzelf, doen om de succesfactor beter in te vullen? </w:t>
      </w:r>
    </w:p>
    <w:p w14:paraId="6CC84C4B" w14:textId="511E6EF5" w:rsidR="0F8EFB49" w:rsidRDefault="0F8EFB49" w:rsidP="0F8EFB49">
      <w:r w:rsidRPr="0F8EFB49">
        <w:t xml:space="preserve">Deze drie bovenstaande vraagsoorten zijn dus van tevoren bedacht, maar uiteindelijk ook daadwerkelijk toegepast in de interviews over de organisatiegerelateerde succesfactoren. De ongestructureerde methode in de vorm van doorvragen is daarnaast ook toegepast in de interviews over het praktisch gebruik van de IUP-werkwijze. In </w:t>
      </w:r>
      <w:r w:rsidR="00CF7ADD">
        <w:t>het</w:t>
      </w:r>
      <w:r w:rsidRPr="0F8EFB49">
        <w:t xml:space="preserve"> algemene deel </w:t>
      </w:r>
      <w:r w:rsidR="004C3250">
        <w:t>zijn</w:t>
      </w:r>
      <w:r w:rsidRPr="0F8EFB49">
        <w:t xml:space="preserve"> de respondenten gevraagd naar de bijdrage en knelpunten van de huidige IUP-werkwijze, waarbij steeds is doorgevraagd naar hoe de IUP-werkwijze dan precies bijdraagt aan het innovatievermogen en hoe de knelpunten van de werkwijze dit op een bepaalde manier nog belemmeren. Ook is er in het interview doorgevraagd naar ontbrekende succesfactoren en of die in de ogen van de respondenten wel of niet zouden moeten worden opgenomen in de IUP-werkwijze. Dit ongestructureerde onderdeel is dus ook in de interviews over de IUP-werkwijze gestructureerd aangepakt. </w:t>
      </w:r>
    </w:p>
    <w:p w14:paraId="5F726EDC" w14:textId="13D19356" w:rsidR="0F8EFB49" w:rsidRDefault="0AB624A7" w:rsidP="0F8EFB49">
      <w:pPr>
        <w:pStyle w:val="Kop2"/>
      </w:pPr>
      <w:bookmarkStart w:id="28" w:name="_Toc171411051"/>
      <w:r>
        <w:t>3.5 Methode van data-analyse</w:t>
      </w:r>
      <w:bookmarkEnd w:id="28"/>
    </w:p>
    <w:p w14:paraId="1255500B" w14:textId="29F299EC" w:rsidR="0F8EFB49" w:rsidRDefault="0F8EFB49">
      <w:r>
        <w:t xml:space="preserve">In dit onderzoek zijn de getranscribeerde interviews en geselecteerde documenten geanalyseerd door middel van het coderen van de data. In dit onderzoek heeft een combinatie van deductief en inductief coderingsproces plaatsgevonden. Verschillende fases van het onderzoek vroegen om een verschillende aanpak bij de dataverwerking. In het evaluatieve deel van het onderzoek is bij het coderen van de data de </w:t>
      </w:r>
      <w:r w:rsidR="00E403A7">
        <w:t>theorie</w:t>
      </w:r>
      <w:r>
        <w:t xml:space="preserve"> als uitgangspunt genomen. Hierbij is geanalyseerd in welke mate proces- en organisatiegerelateerde succesfactoren zijn geïntegreerd in de IUP-werkwijze. De tekstuele data uit de documenten en interviews zijn dus gecodeerd op basis van factoren uit de </w:t>
      </w:r>
      <w:r w:rsidR="00E403A7">
        <w:t>theorie</w:t>
      </w:r>
      <w:r>
        <w:t>, maar daarbij is ook aandacht besteed aan nieuwe inzichten in de data. Deze nieuwe inzichten zijn eigenlijk alleen in de interviews naar voren gekomen in de vorm van een algemene evaluatie van de werkwijze</w:t>
      </w:r>
      <w:r w:rsidR="0010119A">
        <w:t>. D</w:t>
      </w:r>
      <w:r>
        <w:t>us</w:t>
      </w:r>
      <w:r w:rsidR="0010119A">
        <w:t xml:space="preserve">; </w:t>
      </w:r>
      <w:r>
        <w:t>wat voegt het toe aan het innovatievermogen en wat zijn de verbeterpunten in de huidige staat</w:t>
      </w:r>
      <w:r w:rsidR="0022166A">
        <w:t>?</w:t>
      </w:r>
      <w:r>
        <w:t xml:space="preserve"> Daarom is in dit evaluatieve deel ook inductief gecodeerd, waarbij een coderingsproces heeft plaatsgevonden vanuit de empirische data naar concepten van een hoog abstractieniveau. In het explorerende deel van het onderzoek is de inductieve benadering juist als uitgangspunt genomen. Hier is geprobeerd te achterhalen aan welke proces- en organisatiegerelateerde succesfactoren nog onvoldoende invulling wordt gegeven in het praktische gebruik van de IUP-werkwijze en in PPO Rijkswaterstaat als organisatieonderdeel. Het coderingsproces van de tekstuele data uit de interviews heeft hierbij plaatsgevonden vanuit de empirie, waarbij de factoren uit de literatuur hebben geholpen om het coderingsproces te structureren.</w:t>
      </w:r>
    </w:p>
    <w:p w14:paraId="1C5D3968" w14:textId="0E59F2D2" w:rsidR="00267A95" w:rsidRDefault="0F8EFB49" w:rsidP="7A54C965">
      <w:r>
        <w:t xml:space="preserve">Tot slot is het belangrijk om ook stil te staan bij het feit dat bij het analyseren van de data specifiek is gekeken naar het gewicht dat de respondenten toekennen aan de verschillende succesfactoren uit de literatuur. Dit betreft dan enkel de organisatiegerelateerde succesfactoren. Zoals eerder gezegd is de respondenten gevraagd of de succesfactoren in hun ogen voldoende worden ingevuld binnen PPO of de organisatieoverstijgend. In de analyse van de data is daarbij specifiek gekeken of de respondenten daarbij meer of minder gewicht geven aan bepaalde succesfactoren. Ofwel waar ligt in hun ogen het zwaartepunt, waardoor het versterken van het innovatievermogen van PPO of de organisatie als geheel op dit moment nog geremd wordt. Deze informatie is cruciaal om uiteindelijk aanbevelingen te kunnen doen aan de organisatie, waar het meeste werk te verrichten is om het innovatievermogen te versterken. </w:t>
      </w:r>
    </w:p>
    <w:p w14:paraId="0B0376E1" w14:textId="501CD01D" w:rsidR="003860B8" w:rsidRPr="004F5704" w:rsidRDefault="0F8EFB49">
      <w:r>
        <w:br/>
      </w:r>
      <w:r w:rsidR="003860B8">
        <w:br w:type="page"/>
      </w:r>
    </w:p>
    <w:p w14:paraId="25A61A61" w14:textId="2D64B1BD" w:rsidR="33DD619B" w:rsidRDefault="0AB624A7" w:rsidP="7A54C965">
      <w:pPr>
        <w:pStyle w:val="Kop1"/>
      </w:pPr>
      <w:bookmarkStart w:id="29" w:name="_Toc171411052"/>
      <w:r>
        <w:t xml:space="preserve">Hoofdstuk 4: Resultaten en </w:t>
      </w:r>
      <w:r w:rsidR="00731286">
        <w:t>A</w:t>
      </w:r>
      <w:r>
        <w:t>nalyse</w:t>
      </w:r>
      <w:bookmarkEnd w:id="29"/>
    </w:p>
    <w:p w14:paraId="601AD0C4" w14:textId="42D3D210" w:rsidR="33DD619B" w:rsidRDefault="3170F08D" w:rsidP="7A54C965">
      <w:r>
        <w:t>In dit hoofdstuk word</w:t>
      </w:r>
      <w:r w:rsidR="003D7DE4">
        <w:t>en</w:t>
      </w:r>
      <w:r>
        <w:t xml:space="preserve"> de data uit de geselecteerde documenten en afgenomen interviews geanalyseerd en uitgewerkt in resultaten. Dit wordt gedaan door allereerst stil te staan bij het algemene beeld over het huidige innovatievermogen van PPO Rijkswaterstaat. Dit algemene beeld wordt gevormd op basis van wat de respondenten uit alle typen interviews hierover hebben vermeld. Vervolgens word</w:t>
      </w:r>
      <w:r w:rsidR="00F15E85">
        <w:t>en</w:t>
      </w:r>
      <w:r>
        <w:t xml:space="preserve"> de resultaten besproken met betrekking tot de succesfactor ‘het structureren van het innovatieproces in een procesbeschrijving of tool’. De resultaten omtrent deze succesfactor komen voort uit de documentanalyse en afgenomen interviews over de IUP-werkwijze. In </w:t>
      </w:r>
      <w:r w:rsidR="00F15E85">
        <w:t xml:space="preserve">de volgende paragraaf </w:t>
      </w:r>
      <w:r>
        <w:t xml:space="preserve">wordt er vervolgens aandacht besteed aan de organisatiegerelateerde succesfactoren, waarbij subparagraaf 4.3.1 ingaat op de drie succesfactoren uit de literatuur over de ‘lerende organisatie’ en subparagraaf 4.3.2 op de succesfactoren uit de literatuur over ‘innovatiemanagement’. </w:t>
      </w:r>
    </w:p>
    <w:p w14:paraId="79A50B1E" w14:textId="54C6BA02" w:rsidR="73752E4B" w:rsidRDefault="6B9CB4C1" w:rsidP="73752E4B">
      <w:r>
        <w:t>Vooraf is het relevant om te vermelden dat, zoals besproken in het vorige hoofdstuk, in dit onderzoek het doorvragen in de interviews een cruciaal onderdeel is geweest om een bepaalde diepere laag achter ervaringen en percepties te achterhalen. Op bepaalde plekken in de resultaten is dit dan ook terug te zien op het moment dat bepaalde respondenten wel iets over een bepaalde factor hebben gezegd en andere</w:t>
      </w:r>
      <w:r w:rsidR="008E681E">
        <w:t>n</w:t>
      </w:r>
      <w:r>
        <w:t xml:space="preserve"> niet. In de resultaten wordt dan ook getracht duiding te geven aan wat de oorzaak is dat bepaalde respondenten hier niets over hebben gezegd. Soms duidt het op het ontbreken van de diepere laag in het gesprek door te weinig kennis van zaken volgens de respondent, en op een ander moment gaat het om een tegengestelde mening. Tot slot kan het ook zo zijn dat het ter sprake is gekomen in het algemene deel van het gesprek, waardoor het ook mogelijk is dat andere respondenten hier niet over zijn begonnen. Al met al wordt dus duiding gegeven aan de resultaten op het moment dat respondenten niet unaniem iets zeggen over een bepaalde factor. </w:t>
      </w:r>
    </w:p>
    <w:p w14:paraId="694CFADD" w14:textId="3AACBAF5" w:rsidR="33DD619B" w:rsidRPr="00C166FB" w:rsidRDefault="6B9CB4C1" w:rsidP="6B9CB4C1">
      <w:pPr>
        <w:pStyle w:val="Kop2"/>
      </w:pPr>
      <w:bookmarkStart w:id="30" w:name="_Toc171411053"/>
      <w:r w:rsidRPr="00C166FB">
        <w:t>4.1 Algemeen beeld over het innovatievermogen van PPO Rijkswaterstaat</w:t>
      </w:r>
      <w:bookmarkEnd w:id="30"/>
    </w:p>
    <w:p w14:paraId="60D25315" w14:textId="6C2AC900" w:rsidR="30FD0C8F" w:rsidRDefault="6B9CB4C1" w:rsidP="30FD0C8F">
      <w:r>
        <w:t xml:space="preserve">Op basis van de interviews komt allereerst het beeld naar voren dat de respondenten positief staan tegenover het eerste deel van innovatievermogen, namelijk het vermogen van PPO’ers om creatieve ideeën te bedenken. Het zit bijvoorbeeld volgens </w:t>
      </w:r>
      <w:r w:rsidR="00BF6C1C">
        <w:t>R</w:t>
      </w:r>
      <w:r>
        <w:t xml:space="preserve">espondent 14 in het bloed van de PPO’ers om creatief nieuwe manieren van werken te bedenken, waardoor bepaalde hindernissen in de werkzaamheden overwonnen kunnen worden en Rijkswaterstaat haar werk beter kan doen. Ook geven meerdere respondenten aan dat er, door middel van de leerruimte in de onderhoudscontracten, meer ruimte is om samen met de opdrachtnemer als marktpartij creatieve ontwikkelingen in gang te zetten. Respondent 6 geeft bijvoorbeeld aan dat Rijkswaterstaat door middel van deze leerruimte in de contracten de opdrachtnemers kan stimuleren om met innovaties te komen. Er wordt namelijk letterlijk ruimte gecreëerd in de samenwerking die de marktpartij kan gebruiken om creatieve ideeën te bedenken en </w:t>
      </w:r>
      <w:r w:rsidR="00BF6C1C">
        <w:t xml:space="preserve">te </w:t>
      </w:r>
      <w:r>
        <w:t xml:space="preserve">ontwikkelen. Kortom, de respondenten benoemen het creatieve vermogen om ideeën te bedenken door de PPO’ers zelf, of door de opdrachtnemers als gevolg van de inrichting van de contracten, als belangrijke innovatiekracht van de organisatie. </w:t>
      </w:r>
    </w:p>
    <w:p w14:paraId="59E7BE24" w14:textId="32096370" w:rsidR="30FD0C8F" w:rsidRDefault="050109F2" w:rsidP="30FD0C8F">
      <w:r>
        <w:t>De respondenten geven daarentegen unaniem in de interviews aan dat deze innovatiekracht niet voldoende wordt benut in de organisatie. Hoewel PPO’ers of marktpartijen goed in staat zijn om creatieve ideeën te ontwikkelen om daarmee het werk van Rijkswaterstaat beter te kunnen doen, slaagt de organisatie er volgens respondenten vaak niet in om de innovaties uiteindelijk tot uitvoering te brengen, op te schalen en/of te implementeren in de reguliere processen. De respondenten geven aan dat het tot uitvoering brengen van bepaalde probleemoplossende innovaties wel regelmatig lukt op de plek waar het bedacht is, maar de brede uitvoering ontbreekt dan vaak. Uit de zestien afgenomen interviews betref</w:t>
      </w:r>
      <w:r w:rsidR="00342802">
        <w:t>fende</w:t>
      </w:r>
      <w:r>
        <w:t xml:space="preserve"> de organisatiegerelateerde factoren blijkt unaniem dat de PPO’er vaak tegen een muur oploopt in de organisatie</w:t>
      </w:r>
      <w:r w:rsidR="00342802">
        <w:t>,</w:t>
      </w:r>
      <w:r>
        <w:t xml:space="preserve"> op het moment dat diegene zelf of een marktpartij een creatief idee heeft verzonnen dat Rijkswaterstaat verder kan helpen. Respondent 4 geeft bijvoorbeeld aan dat je figuurlijk door zoveel hoepels heen moet, voordat je uiteindelijk echt kan doorpakken met iets nieuws, een innovatie tot uitvoering kan brengen en kan opnemen in de reguliere processen. De respondenten benoemen hiervoor diverse redenen.</w:t>
      </w:r>
    </w:p>
    <w:p w14:paraId="2E84B51B" w14:textId="00A7ECEA" w:rsidR="30FD0C8F" w:rsidRDefault="050109F2" w:rsidP="30FD0C8F">
      <w:r>
        <w:t xml:space="preserve">Allereerst wordt de organisatie over het algemeen volgens respondenten als risicomijdend ervaren. Respondent 9 zegt bijvoorbeeld iets over dit risicomijdende karakter van de organisatie en stelt dat Rijkswaterstaat bij innovaties vaak een eeuwige tijd wil doorstuderen, totdat we met bijna honderd procent zekerheid kunnen zeggen dat een innovatie het gewenste effect gaat bereiken. Vervolgens wacht Rijkswaterstaat dus net zo lang, totdat het momentum van die innovatie voorbij is, of dat de innovatie alweer is ingehaald door de tijd. De respondenten zien dit risicomijdende gedrag van de organisatie dus als een grote beperking voor de uitvoering van innovaties. Andere oorzaken die worden genoemd, en als specifieke hoepels naar verwezen worden, zijn het vinden van de plek waar je moet zijn voor de financiering van een bepaalde innovatie en het vinden van de juiste collega die kan helpen bij het verder doorontwikkelen van de innovatie, het opstarten van een pilot of het uiteindelijk echt tot uitvoering brengen op meerdere plekken. Ook noemt meer dan de helft van de respondenten de vrijheid van de individuele medewerker om een innovatie wel of niet op te nemen in zijn of haar werkproces een belangrijke belemmering om een innovatie tot uitvoering te brengen op meerdere relevante plekken. Deze oorzaken samen zorgen er volgens de respondenten voor dat dit op dit moment in de organisatie zelfs bijna ontmoedigend werkt om innovaties in uitvoering te brengen, op te schalen en/of te implementeren in de reguliere processen. </w:t>
      </w:r>
    </w:p>
    <w:p w14:paraId="01DECE06" w14:textId="5AFB7489" w:rsidR="30FD0C8F" w:rsidRDefault="050109F2" w:rsidP="30FD0C8F">
      <w:r>
        <w:t xml:space="preserve">Als gevolg van dit ‘ontmoedigingsbeleid’ hangt het innovatiesucces in de organisatie momenteel, volgens de respondenten van de interviews over de organisatiegerelateerde succesfactoren, af van de persoonlijke betrokkenheid en toewijding van iemand om die innovatie tot een succes te maken. Respondent 1 zegt bijvoorbeeld: </w:t>
      </w:r>
      <w:r w:rsidRPr="050109F2">
        <w:rPr>
          <w:i/>
          <w:iCs/>
        </w:rPr>
        <w:t>“De initiatieven waarin innovaties wel gelukt zijn, zijn vaak echt mensen van de lange adem. Jaar in jaar uit blijven strijden voor iets door in verschillende lagen van de organisatie continu te vertellen waarom iets belangrijk is. Dus wat belangrijk is, is dat iemand zich eigenaar voelt van iets dat moet gaan gebeuren.”</w:t>
      </w:r>
      <w:r>
        <w:t xml:space="preserve"> Daarnaast noemen de respondenten ook het momentum. Op het moment dat een bepaald thema net even wat meer aandacht krijgt van de directe leidinggevende of het management en de collega heeft dus het doorzettingsvermogen om te blijven lobbyen en</w:t>
      </w:r>
      <w:r w:rsidR="00AC38EC">
        <w:t xml:space="preserve"> te</w:t>
      </w:r>
      <w:r>
        <w:t xml:space="preserve"> trekken met en aan die innovatie, dan worden innovaties succesvol geïmplementeerd in de organisatie. De respondenten van de interviews over de organisatiegerelateerde succesfactoren noemen bijna unaniem dat men op dit moment vaak voor hun gevoel niet de tijd heeft om zoveel toewijding te stoppen in het tot een succes maken van die ene innovatie. Er ligt een enorme productiedruk op onder andere de PPO’ers, dus haken zij op een gegeven moment af om die moeite erin te blijven stoppen en gaat een innovatie wellicht verloren of blijft het hangen op die ene plek waar het bedacht is. De innovatie wordt dan niet opgeschaald en ook niet geïmplementeerd in de reguliere processen. </w:t>
      </w:r>
    </w:p>
    <w:p w14:paraId="35080163" w14:textId="62B3B682" w:rsidR="33DD619B" w:rsidRDefault="050109F2" w:rsidP="422E86BB">
      <w:r>
        <w:t>Dit laatste hangt deels samen met een andere constatering die de respondenten van de interviews over de organisatiegerelateerde succesfactoren unaniem doen, namelijk dat de innovaties binnen Rijkswaterstaat op dit moment erg gefragmenteerd plaatsvinden. De respondenten geven aan dat innovaties overal in de organisatie ontstaan en ontwikkeld worden bij de verschillende afdelingen of projectteams</w:t>
      </w:r>
      <w:r w:rsidR="0070638C">
        <w:t>.</w:t>
      </w:r>
      <w:r>
        <w:t xml:space="preserve"> </w:t>
      </w:r>
      <w:r w:rsidR="0070638C">
        <w:t>O</w:t>
      </w:r>
      <w:r>
        <w:t>p die plek wordt dan ook een pilot gedraaid, en is dat een succes</w:t>
      </w:r>
      <w:r w:rsidR="00D11D50">
        <w:t>,</w:t>
      </w:r>
      <w:r>
        <w:t xml:space="preserve"> dan wordt het op die plek tot uitvoering gebracht en geïmplementeerd in dat specifieke werkproces. De rest van de organisatie krijgt hier vaak niets van mee, waardoor de organisatie volgens de respondenten vaak steeds opnieuw het wiel uitvindt. Deze specifieke, vaak meer probleemoplossende innovaties worden vaak niet opgeschaald, omdat hier dus die toewijding en het momentum voor nodig is om andere teams en afdelingen te overtuigen dat dit ook voor hen relevant is om te implementeren in het werkproces. </w:t>
      </w:r>
    </w:p>
    <w:p w14:paraId="70589E6E" w14:textId="43D84ABF" w:rsidR="33DD619B" w:rsidRDefault="422E86BB" w:rsidP="422E86BB">
      <w:r>
        <w:t xml:space="preserve">Kortom, het algemene beeld is positief kritisch. Enerzijds is de organisatie of de markt goed in staat om creatieve ideeën te bedenken die ofwel probleemoplossend werken of de organisatie verder kunnen brengen richting de toekomst. Anderzijds is de organisatie vaak niet in staat om ofwel een innovatie überhaupt tot uitvoering te brengen, of enkel op een specifieke plek waar de innovatie bedacht is, waardoor de organisatie als geheel geen rendement haalt uit deze innovatie. Hierdoor wordt de innovatiekracht van de organisatie niet voldoende benut volgens de respondenten. Met dit algemene beeld in het achterhoofd spitsen de volgende paragrafen zich toe op de succesfactoren uit de literatuur. </w:t>
      </w:r>
    </w:p>
    <w:p w14:paraId="0E75F156" w14:textId="5FA6915A" w:rsidR="33DD619B" w:rsidRDefault="0AB624A7" w:rsidP="7A54C965">
      <w:pPr>
        <w:pStyle w:val="Kop2"/>
      </w:pPr>
      <w:bookmarkStart w:id="31" w:name="_Toc171411054"/>
      <w:r>
        <w:t>4.2 Het structureren van het innovatieproces in een procesbeschrijving of tool</w:t>
      </w:r>
      <w:bookmarkEnd w:id="31"/>
    </w:p>
    <w:p w14:paraId="4FE55ED3" w14:textId="5DE3C7E9" w:rsidR="2380D0FA" w:rsidRDefault="0AB624A7" w:rsidP="2380D0FA">
      <w:pPr>
        <w:pStyle w:val="Kop3"/>
      </w:pPr>
      <w:bookmarkStart w:id="32" w:name="_Toc171411055"/>
      <w:r>
        <w:t>4.2.1 Innovatiefases en haar cruciale aspecten in de IUP-werkwijze</w:t>
      </w:r>
      <w:bookmarkEnd w:id="32"/>
    </w:p>
    <w:p w14:paraId="19E3D950" w14:textId="318B897C" w:rsidR="422E86BB" w:rsidRDefault="2346C3D9" w:rsidP="422E86BB">
      <w:r>
        <w:t xml:space="preserve">Zoals in het </w:t>
      </w:r>
      <w:r w:rsidR="000162BF">
        <w:t>T</w:t>
      </w:r>
      <w:r>
        <w:t xml:space="preserve">heoretisch </w:t>
      </w:r>
      <w:r w:rsidR="000162BF">
        <w:t>K</w:t>
      </w:r>
      <w:r>
        <w:t xml:space="preserve">ader beschreven, bestaat het gestructureerde innovatieproces uit vier fases. Onderstaand wordt per innovatiefase uit de literatuur besproken welke aspecten terugkomen in de IUP-werkwijze, op basis van de documentanalyse en de afgenomen interviews. </w:t>
      </w:r>
    </w:p>
    <w:p w14:paraId="79681D6B" w14:textId="7D4980DC" w:rsidR="422E86BB" w:rsidRDefault="050109F2" w:rsidP="422E86BB">
      <w:r w:rsidRPr="050109F2">
        <w:rPr>
          <w:b/>
          <w:bCs/>
        </w:rPr>
        <w:t>Exploreerfase</w:t>
      </w:r>
      <w:r w:rsidR="2346C3D9">
        <w:br/>
      </w:r>
      <w:r>
        <w:t>Op basis van de document</w:t>
      </w:r>
      <w:r w:rsidR="00697AD4">
        <w:t>analyse (documenten 1, 2 en 3)</w:t>
      </w:r>
      <w:r w:rsidR="00B2027D">
        <w:t>,</w:t>
      </w:r>
      <w:r>
        <w:t xml:space="preserve"> kan er allereerst gesteld worden dat alle cruciale aspecten van deze fase terugkomen in (het verkennende deel van) de I-fase van de IUP-werkwijze, behalve de check of er al een bestaande oplossing is voor het probleem of doel elders in de organisatie. De respondenten van de interviews bevestigen dit beeld. Uit deze vier interviews blijkt dat inderdaad de check voor een bestaande oplossing elders in de organisatie ontbreekt. De respondenten zijn van mening dat dat wel zou moeten, gezien het feit dat innovaties zo gefragmenteerd plaatsvinden. Respondent 1 van de IUP-interviews maakt hierbij wel de nuance dat het inzicht en overzicht op dit moment ontbreekt, waardoor het checken of er elders al een oplossing is heel lastig zal zijn. Er zal dus iets moeten worden geregeld, voordat het uiteindelijk kan werken. Verder blijkt uit deze interviews dat met name de impactanalyse een sleutelrol heeft in de I-fase van de IUP-werkwijze. Volgens de respondenten is deze impactanalyse zo nadrukkelijk opgenomen in de I-fase, omdat de stakeholderanalyse en het valideren van de innovatie in de praktijk vaak ontbreken binnen Rijkswaterstaat. Het gevolg hiervan is dat het draagvlak voor de innovatie vaak ontbreekt, waardoor innovaties in een latere fase vaak stuklopen. Met het opnemen van de impactanalyse in de I-fase van de IUP-werkwijze wordt dus ook dit aspect uit de exploreerfase, dat de literatuur als cruciaal bestempeld, nadrukkelijk afgevinkt. </w:t>
      </w:r>
    </w:p>
    <w:p w14:paraId="731685D2" w14:textId="5E564DF7" w:rsidR="2346C3D9" w:rsidRDefault="2346C3D9" w:rsidP="2346C3D9">
      <w:r w:rsidRPr="2346C3D9">
        <w:rPr>
          <w:b/>
          <w:bCs/>
        </w:rPr>
        <w:t>Experimenteer</w:t>
      </w:r>
      <w:r w:rsidR="00DE7E9A">
        <w:rPr>
          <w:b/>
          <w:bCs/>
        </w:rPr>
        <w:t>fase</w:t>
      </w:r>
      <w:r>
        <w:br/>
        <w:t>Uit de document</w:t>
      </w:r>
      <w:r w:rsidR="009556A3">
        <w:t xml:space="preserve">analyse (documenten 1, 2, 3 en 4) </w:t>
      </w:r>
      <w:r>
        <w:t>blijkt dat de cruciale aspecten</w:t>
      </w:r>
      <w:r w:rsidR="00137CC6">
        <w:t xml:space="preserve"> van deze fase</w:t>
      </w:r>
      <w:r>
        <w:t xml:space="preserve"> </w:t>
      </w:r>
      <w:r w:rsidR="002F6089">
        <w:t xml:space="preserve">bijna </w:t>
      </w:r>
      <w:r>
        <w:t xml:space="preserve">allemaal terugkomen in de impactanalyse, het opstellen van de </w:t>
      </w:r>
      <w:r w:rsidR="00F32B31" w:rsidRPr="00F32B31">
        <w:rPr>
          <w:i/>
          <w:iCs/>
        </w:rPr>
        <w:t>b</w:t>
      </w:r>
      <w:r w:rsidRPr="2346C3D9">
        <w:rPr>
          <w:i/>
          <w:iCs/>
        </w:rPr>
        <w:t xml:space="preserve">usinesscase </w:t>
      </w:r>
      <w:r w:rsidRPr="2346C3D9">
        <w:t>of in het beproeven en ontwikkelen deel van de I-fase in de IUP-werkwijze. Het zoeken van contact met andere afdelingen en teams over de mogelijke toepasbaarheid van de innovatie bij hen</w:t>
      </w:r>
      <w:r w:rsidR="00F32B31">
        <w:t xml:space="preserve"> </w:t>
      </w:r>
      <w:r w:rsidRPr="2346C3D9">
        <w:t xml:space="preserve">komt </w:t>
      </w:r>
      <w:r w:rsidR="00ED0DD8">
        <w:t xml:space="preserve">bijvoorbeeld </w:t>
      </w:r>
      <w:r w:rsidRPr="2346C3D9">
        <w:t>zowel terug in de impactanalyse in de I-fase als in de uniformeringsfase (U-fase IUP). Wat helemaal niet terugkomt in de IUP-werkwijze is het aspect ‘het bijhouden van een projectdossier’</w:t>
      </w:r>
      <w:r w:rsidRPr="2346C3D9">
        <w:rPr>
          <w:i/>
          <w:iCs/>
        </w:rPr>
        <w:t xml:space="preserve">. </w:t>
      </w:r>
    </w:p>
    <w:p w14:paraId="602AE49F" w14:textId="4CC98131" w:rsidR="2346C3D9" w:rsidRDefault="050109F2" w:rsidP="2346C3D9">
      <w:r>
        <w:t xml:space="preserve">Ook dit beeld wordt bevestigd in de vier afgenomen interviews over de IUP-werkwijze. De respondenten bevestigen dat alle cruciale aspecten uit de experimenteer- en ontwikkelfase terugkomen in de I-fase van de IUP-werkwijze, met uitzondering van het projectdossier. De respondenten zijn unaniem van mening dat dit aspect wel opgenomen zou moeten worden in de IUP-werkwijze, omdat het bijhouden van een dossier op dit moment nog vrijblijvend en persoonsgebonden is wat betreft innovaties. Respondent 4 beschrijft als voorbeeld een situatie van een innovatietraject, waarbij deze respondent overal bij verschillende collega's papierwerk moest verzamelen over cruciale momenten van het innovatietraject. Iedereen had voor zichzelf documenten bijgehouden over het innovatietraject. Volgens de respondenten is het wenselijk dat dit ook bij innovatietrajecten zo gaat gebeuren, zoals het bij gangbare projecten binnen Rijkswaterstaat al gaat, namelijk het bijhouden van cruciale momenten op hoofdlijnen in een projectdossier. </w:t>
      </w:r>
    </w:p>
    <w:p w14:paraId="571B0496" w14:textId="2FF9E302" w:rsidR="2346C3D9" w:rsidRDefault="6CF027BD" w:rsidP="6CF027BD">
      <w:pPr>
        <w:rPr>
          <w:b/>
          <w:bCs/>
          <w:i/>
          <w:iCs/>
        </w:rPr>
      </w:pPr>
      <w:r w:rsidRPr="6CF027BD">
        <w:rPr>
          <w:b/>
          <w:bCs/>
          <w:i/>
          <w:iCs/>
        </w:rPr>
        <w:t>Implementatiefase</w:t>
      </w:r>
      <w:r w:rsidR="2346C3D9">
        <w:br/>
      </w:r>
      <w:r w:rsidRPr="6CF027BD">
        <w:t xml:space="preserve">Uit de documentanalyse </w:t>
      </w:r>
      <w:r w:rsidR="00697AD4">
        <w:t>(document 1, 2</w:t>
      </w:r>
      <w:r w:rsidR="0098340C">
        <w:t>, 3</w:t>
      </w:r>
      <w:r w:rsidR="00C93945">
        <w:t xml:space="preserve"> en </w:t>
      </w:r>
      <w:r w:rsidR="004272F9">
        <w:t xml:space="preserve">5) </w:t>
      </w:r>
      <w:r w:rsidRPr="6CF027BD">
        <w:t>blijkt dat de cruciale aspecten</w:t>
      </w:r>
      <w:r w:rsidR="00137CC6">
        <w:t xml:space="preserve"> van deze fase</w:t>
      </w:r>
      <w:r w:rsidRPr="6CF027BD">
        <w:t xml:space="preserve"> allemaal </w:t>
      </w:r>
      <w:r w:rsidR="00666CC3">
        <w:t>éé</w:t>
      </w:r>
      <w:r w:rsidRPr="6CF027BD">
        <w:t xml:space="preserve">n op </w:t>
      </w:r>
      <w:r w:rsidR="00666CC3">
        <w:t>éé</w:t>
      </w:r>
      <w:r w:rsidRPr="6CF027BD">
        <w:t>n terugkomen in de drie verschillende fases van de IUP-werkwijze. Het kiezen van een opschalingsstrategie en vrijmaken van capaciteit en middelen is volgens de IUP-werkwijze iets waarover je aan het eind van de I-fase over na moet hebben gedacht en moet hebben geregeld in de U-fase</w:t>
      </w:r>
      <w:r w:rsidR="004272F9">
        <w:t xml:space="preserve"> (documenten 1, 2, </w:t>
      </w:r>
      <w:r w:rsidR="00C93945">
        <w:t>3, en 5)</w:t>
      </w:r>
      <w:r w:rsidRPr="6CF027BD">
        <w:t>. Dit geldt ook voor het aansluiten bij bestaande of aan te passen implementatieprocessen, in de IUP-werkwijze komt dit op verschillende plekken in de U-fase terug. Volgens de IUP-werkwijze dien je namelijk goed nagedacht te hebben over de governance en besluitvorming, en welke aspecten en mensen je nodig hebt voor implementatie. Het overdragen en adopteren van de innovatie gebeurt volgens de IUP-werkwijze in de overgang van de U- naar de P-fase</w:t>
      </w:r>
      <w:r w:rsidR="00C93945">
        <w:t xml:space="preserve"> (</w:t>
      </w:r>
      <w:r w:rsidR="004B2BA8">
        <w:t>documenten 1, 2 en 5)</w:t>
      </w:r>
      <w:r w:rsidRPr="6CF027BD">
        <w:t xml:space="preserve">. Dit beeld uit de documentanalyse wordt bevestigd door de respondenten van de interviews.   </w:t>
      </w:r>
    </w:p>
    <w:p w14:paraId="6EB0533F" w14:textId="0F978FFB" w:rsidR="2346C3D9" w:rsidRDefault="2380D0FA" w:rsidP="2380D0FA">
      <w:pPr>
        <w:rPr>
          <w:i/>
          <w:iCs/>
        </w:rPr>
      </w:pPr>
      <w:r w:rsidRPr="2380D0FA">
        <w:rPr>
          <w:b/>
          <w:bCs/>
          <w:i/>
          <w:iCs/>
        </w:rPr>
        <w:t xml:space="preserve">Evaluatiefase </w:t>
      </w:r>
      <w:r w:rsidR="6BEBAB6F">
        <w:br/>
      </w:r>
      <w:r w:rsidRPr="2380D0FA">
        <w:t xml:space="preserve">Uit de documentanalyse </w:t>
      </w:r>
      <w:r w:rsidR="004B2BA8">
        <w:t xml:space="preserve">(documenten </w:t>
      </w:r>
      <w:r w:rsidR="002034AA">
        <w:t xml:space="preserve">1, 2, 3 en 5) </w:t>
      </w:r>
      <w:r w:rsidRPr="2380D0FA">
        <w:t xml:space="preserve">blijkt dat de drie cruciale aspecten </w:t>
      </w:r>
      <w:r w:rsidR="00137CC6">
        <w:t xml:space="preserve">van deze fase </w:t>
      </w:r>
      <w:r w:rsidRPr="2380D0FA">
        <w:t>voor een groot deel terugkomen in de IUP-werkwijze. Uit deze analyse blijkt dat de IUP-werkwijze veelvuldig aandacht besteed</w:t>
      </w:r>
      <w:r w:rsidR="00567C12">
        <w:t>t</w:t>
      </w:r>
      <w:r w:rsidRPr="2380D0FA">
        <w:t xml:space="preserve"> aan het continu tussentijds monitoren van het traject en zorgen de tussentijdse GO/NO GO momenten bij de faseovergangen voor de correctiemogelijkheden in het proces</w:t>
      </w:r>
      <w:r w:rsidR="00FB67BB">
        <w:t xml:space="preserve"> (document </w:t>
      </w:r>
      <w:r w:rsidR="00C31617">
        <w:t>2)</w:t>
      </w:r>
      <w:r w:rsidRPr="2380D0FA">
        <w:t>. In deze werkwijze is ook het tussentijds opmerken en vastleggen van leerervaringen ingeregeld</w:t>
      </w:r>
      <w:r w:rsidR="00C31617">
        <w:t xml:space="preserve"> (documenten 1 en 2)</w:t>
      </w:r>
      <w:r w:rsidRPr="2380D0FA">
        <w:t xml:space="preserve">. Dit geldt echter niet voor de eindevaluatie, deze staat niet beschreven in de huidige IUP-werkwijze. Wat verder opvallend is op basis van de </w:t>
      </w:r>
      <w:r w:rsidR="002034AA">
        <w:t>documenten</w:t>
      </w:r>
      <w:r w:rsidR="001A6CCA">
        <w:t xml:space="preserve"> 1, 2, 3 en 5</w:t>
      </w:r>
      <w:r w:rsidRPr="2380D0FA">
        <w:t xml:space="preserve">, is dat er ook ruimte is voor een soort voorwaartse monitoring. Wat expliciet in de werkwijze is ingeregeld, is dat je gedurende het innovatieproces steeds vooruitkijkt naar de volgende fase en nadenkt over de acties die je daar nu al voor moet doen. Dat lijkt ook een soort monitoring, omdat je hiermee correctiemogelijkheden hebt op het moment dat je bepaalde aspecten nog niet hebt ingeregeld. </w:t>
      </w:r>
    </w:p>
    <w:p w14:paraId="63E1A1BE" w14:textId="72295D5E" w:rsidR="2346C3D9" w:rsidRDefault="2380D0FA" w:rsidP="2380D0FA">
      <w:pPr>
        <w:rPr>
          <w:i/>
          <w:iCs/>
        </w:rPr>
      </w:pPr>
      <w:r w:rsidRPr="2380D0FA">
        <w:t xml:space="preserve">Uit de vier interviews over de IUP-werkwijze komt hetzelfde beeld naar voren. De respondenten geven aan dat het evalueren en monitoren als een rode draad is verwikkeld in de IUP-werkwijze en dat de correctiemogelijkheden ook een op een terugkomen. Wat betreft de eindevaluatie hebben de respondenten wel het idee dat dit in de praktijk gebeurt, maar hebben ze zo geen beeld of het ook expliciet genoemd staat in de werkwijze. De respondenten zijn wel van mening dat deze eindevaluatie terug moet komen in de werkwijze, maar geven hierbij unaniem de nuance dat dit niet enkel bij een ‘papierwinkel’ moet blijven. Zoals bij de experimenteerfase beschreven, zijn de respondenten unaniem van mening dat het projectdossier, waar dus ook de eindevaluatie en tussentijdse monitoring en leerervaringen in geborgd kunnen worden, moet worden opgenomen in de IUP-werkwijze. De respondenten stellen echter wel dat je dit projectdossier ook wel ergens kwijt moet kunnen, zodat het daadwerkelijk als leermiddel wordt gebruikt voor volgende innovatietrajecten. Op dit moment is dit kwijt kunnen van dit projectdossier nog niet geregeld in de organisatie, dus zullen hier volgens de respondenten stappen in moeten worden gezet voordat deze evaluatiefase echt rendement oplevert voor het innovatiesucces. Dit is een onderdeel van het kennismanagement van de organisatie, dus zal hier verder op worden ingegaan bij de volgende paragraaf over de succesfactoren van de lerende organisatie. </w:t>
      </w:r>
    </w:p>
    <w:p w14:paraId="1FBAACE9" w14:textId="3D159581" w:rsidR="2380D0FA" w:rsidRDefault="2A6270C9" w:rsidP="2380D0FA">
      <w:r>
        <w:t xml:space="preserve">Kortom, op basis van de bovenstaande beschrijving kan worden gesteld dat merendeel van de cruciale aspecten uit de literatuur terugkomen in de IUP-werkwijze. Wat niet terugkomt, en waar de respondenten van mening zijn dat het wel opgenomen zou moeten worden, zijn de cruciale aspecten: het checken of er al een bestaande oplossing is elders in de organisatie, het rapporteren van de hoofdlijnen in een projectdossier en het uitvoeren van een eindevaluatie (en deze vervolgens ook rapporteren in het projectdossier). </w:t>
      </w:r>
    </w:p>
    <w:p w14:paraId="031C479D" w14:textId="0F6F2F93" w:rsidR="422E86BB" w:rsidRDefault="0AB624A7" w:rsidP="2380D0FA">
      <w:pPr>
        <w:pStyle w:val="Kop3"/>
      </w:pPr>
      <w:bookmarkStart w:id="33" w:name="_Toc171411056"/>
      <w:r>
        <w:t>4.2.2 Overige bevindingen uit de interviews over de IUP-werkwijze</w:t>
      </w:r>
      <w:bookmarkEnd w:id="33"/>
    </w:p>
    <w:p w14:paraId="79394B2E" w14:textId="75201E7C" w:rsidR="6CF027BD" w:rsidRDefault="050109F2">
      <w:r>
        <w:t xml:space="preserve">Voor dit onderzoek is het tot slot relevant om uit te zoomen wat betreft de innovatiefases en de cruciale aspecten daarin, en te beschrijven wat de respondenten uit de interviews hebben vermeld over het praktisch gebruik van de IUP-werkwijze. Allereerst is het opvallend dat de respondenten unaniem beschrijven dat de IUP-werkwijze zich op dit moment nog in de I-fase bevindt. De IUP-werkwijze zoals die er nu ligt, is unaniem in de ogen van de respondenten een geschikte hoog-over-tool die innovatoren kan helpen om te checken of alle cruciale stappen zijn gezet, voordat er over kan worden gegaan naar de volgende fase. Bij deze cruciale stappen is extra aandacht voor het vroegtijdig in kaart brengen van de stakeholders, het verkrijgen van draagvlak daarbij en het daardoor tijdig weten of een innovatie levensvatbaar is voor specifiek de organisatie Rijkswaterstaat. De respondenten geven echter aan dat de IUP-werkwijze op dit moment geen antwoord geeft op de ‘hoe-vraag’. Er is op dit moment een IUP-checklist met cruciale aspecten, maar hoe doe je dit dan, wanneer maak je welke keuzes, wat zijn </w:t>
      </w:r>
      <w:r w:rsidRPr="050109F2">
        <w:rPr>
          <w:i/>
          <w:iCs/>
        </w:rPr>
        <w:t xml:space="preserve">best practices </w:t>
      </w:r>
      <w:r>
        <w:t xml:space="preserve">en wat moet je vooral niet doen? De respondenten geven unaniem aan dat het antwoord op die vragen een onderdeel is van de implementatie van de IUP-werkwijze. </w:t>
      </w:r>
    </w:p>
    <w:p w14:paraId="5924700C" w14:textId="2BBD3630" w:rsidR="6CF027BD" w:rsidRDefault="050109F2">
      <w:r>
        <w:t>Hetzelfde geldt voor de governance/besluitvorming en opdrachtgeverschap. De respondenten geven allereerst aan dat er stappen moeten worden gezet met betrekking tot de inrichting van de governance en besluitvorming in de IUP-werkwijze. Op dit moment zijn er tussentijds GO/NO GO momenten, maar wie beslist er over deze GO/NO GO? En laten we de IUP-checklist een verplicht onderdeel zijn van een innovatietraject</w:t>
      </w:r>
      <w:r w:rsidR="00CB47F1">
        <w:t>,</w:t>
      </w:r>
      <w:r>
        <w:t xml:space="preserve"> of mogen innovatoren ook andere tools gebruiken? De respondenten geven wel unaniem aan dat er directer gestuurd zou moeten worden op die GO/NO GO momenten, omdat innovatietrajecten nu vaak blijven aanmodderen om vervolgens later in het traject tegen een muur te lopen. Wat betreft het opdrachtgeverschap vermelden de respondenten dat in de implementatie ook helder moet gaan worden wie er opdrachtgever mag zijn van een innovatietraject. Op dit moment is in de IUP-werkwijze opgenomen dat het innovatietraject een opdrachtgever moet hebben vanaf de start van het traject, maar daarbij is niet beschreven wie die opdrachtgever dan mag zijn. Mag iedereen in de organisatie opdrachtgever zijn van een innovatie of enkel specifieke functies in de organisatie? Ook op deze vraag dient nog antwoord te worden gegeven. </w:t>
      </w:r>
    </w:p>
    <w:p w14:paraId="4146DCED" w14:textId="381A4D14" w:rsidR="6CF027BD" w:rsidRDefault="050109F2" w:rsidP="2A6270C9">
      <w:r>
        <w:t xml:space="preserve">Tot slot blijkt uit de interviews dat er geen extra (organisatiegerelateerde) succesfactoren aan de IUP-werkwijze toegevoegd hoeven te worden. Alle respondenten zijn het erover eens dat de belangrijkste aspecten al zijn opgenomen in de hoog-over-tool. Respondent 3 benadrukt echter wel dat enkel het ‘over de schutting gooien’ van de IUP-werkwijze niet voldoende is. Volgens deze respondent zal er warme begeleiding van innovatietrajecten, vanuit de IUP-gedachte, moeten worden geïnitieerd. Dit helpt innovatoren te ondersteunen en te overtuigen van het belang hiervan. Er is momenteel al een dergelijk initiatief genaamd IUP-atelier, dat volgens respondent 3 niet alleen moet worden voortgezet, maar ook uitgebreid. Deze gedachtegang is ook voorgelegd aan respondent 1, 2 en 4, zij kunnen zich vinden in dit standpunt. </w:t>
      </w:r>
    </w:p>
    <w:p w14:paraId="51F219F9" w14:textId="6AB13799" w:rsidR="33DD619B" w:rsidRDefault="0AB624A7" w:rsidP="7A54C965">
      <w:pPr>
        <w:pStyle w:val="Kop2"/>
      </w:pPr>
      <w:bookmarkStart w:id="34" w:name="_Toc171411057"/>
      <w:r>
        <w:t>4.3 Organisatiegerelateerde succesfactoren voor innovatie</w:t>
      </w:r>
      <w:bookmarkEnd w:id="34"/>
    </w:p>
    <w:p w14:paraId="550DFDB2" w14:textId="447B40BE" w:rsidR="33DD619B" w:rsidRDefault="0AB624A7" w:rsidP="7A54C965">
      <w:pPr>
        <w:pStyle w:val="Kop3"/>
      </w:pPr>
      <w:bookmarkStart w:id="35" w:name="_Toc171411058"/>
      <w:r>
        <w:t>4.3.1 Lerende organisatie</w:t>
      </w:r>
      <w:bookmarkEnd w:id="35"/>
    </w:p>
    <w:p w14:paraId="7D7BC975" w14:textId="22456C00" w:rsidR="00A70C05" w:rsidRPr="00A70C05" w:rsidRDefault="00A70C05" w:rsidP="00A70C05">
      <w:r>
        <w:t xml:space="preserve">Zoals in het Theoretisch Kader beschreven </w:t>
      </w:r>
      <w:r w:rsidR="00723057">
        <w:t xml:space="preserve">kijkt dit onderzoek naar drie succesfactoren vanuit de literatuurlijn ‘lerende organisatie’. In deze subparagraaf </w:t>
      </w:r>
      <w:r w:rsidR="00D434BE">
        <w:t>worden de resultaten beschreven van het empirisch onderzoek naar deze succesfactoren</w:t>
      </w:r>
      <w:r w:rsidR="000161DC">
        <w:t xml:space="preserve">. </w:t>
      </w:r>
    </w:p>
    <w:p w14:paraId="6D213F33" w14:textId="724F7326" w:rsidR="4D2F49FA" w:rsidRDefault="050109F2" w:rsidP="4D2F49FA">
      <w:r w:rsidRPr="050109F2">
        <w:rPr>
          <w:b/>
          <w:bCs/>
        </w:rPr>
        <w:t>Organisatieleercultuur</w:t>
      </w:r>
      <w:r w:rsidR="4D2F49FA">
        <w:br/>
      </w:r>
      <w:r>
        <w:t>Allereerst is de aanwezigheid van de organisatieleercultuur onderzocht binnen PPO. Binnen deze organisatieleercultuur zijn twee essentiële elementen te onderscheiden, namelijk ‘kwaliteit van taken’ en ‘kwaliteit van sociale relaties’. De resultaten van het onderzoek naar deze twee elementen word</w:t>
      </w:r>
      <w:r w:rsidR="0017440C">
        <w:t>en</w:t>
      </w:r>
      <w:r>
        <w:t xml:space="preserve"> onderstaand beschreven. </w:t>
      </w:r>
    </w:p>
    <w:p w14:paraId="021973EE" w14:textId="6B5688D2" w:rsidR="4D2F49FA" w:rsidRDefault="73752E4B" w:rsidP="3339CF6B">
      <w:r w:rsidRPr="73752E4B">
        <w:rPr>
          <w:i/>
          <w:iCs/>
          <w:u w:val="single"/>
        </w:rPr>
        <w:t>Kwaliteit van taken</w:t>
      </w:r>
      <w:r w:rsidR="5FC6745F">
        <w:br/>
      </w:r>
      <w:r>
        <w:t xml:space="preserve">Uit de afgenomen interviews blijkt dat men wel unaniem het gevoel heeft dat het maken van fouten geaccepteerd wordt binnen PPO, maar hier vervolgens geen lering uit wordt getrokken. Respondent 1 beschrijft bijvoorbeeld dat de organisatie de gewoonte heeft om bij een probleem, het probleem op te lossen, maar vervolgens niet echt te kijken wat er nu precies is gebeurd. Er wordt dus hierdoor niet echt stilgestaan bij hetgeen waarvan geleerd kan worden. Ditzelfde beeld schetsen respondenten 3, 7, 8 en 10. In deze interviews komt naar voren dat de organisatie vaak goed in staat is om de </w:t>
      </w:r>
      <w:r w:rsidRPr="73752E4B">
        <w:rPr>
          <w:i/>
          <w:iCs/>
        </w:rPr>
        <w:t xml:space="preserve">Plan </w:t>
      </w:r>
      <w:r>
        <w:t xml:space="preserve">en </w:t>
      </w:r>
      <w:r w:rsidRPr="73752E4B">
        <w:rPr>
          <w:i/>
          <w:iCs/>
        </w:rPr>
        <w:t xml:space="preserve">Do </w:t>
      </w:r>
      <w:r>
        <w:t xml:space="preserve">van de PDCA-cyclus uit te voeren, maar blijven de </w:t>
      </w:r>
      <w:r w:rsidRPr="73752E4B">
        <w:rPr>
          <w:i/>
          <w:iCs/>
        </w:rPr>
        <w:t>Check</w:t>
      </w:r>
      <w:r>
        <w:t xml:space="preserve"> en </w:t>
      </w:r>
      <w:r w:rsidRPr="73752E4B">
        <w:rPr>
          <w:i/>
          <w:iCs/>
        </w:rPr>
        <w:t>Act</w:t>
      </w:r>
      <w:r>
        <w:t xml:space="preserve"> vaak uit. De overige respondenten bevestigen enkel het beeld, hierbij is geen voorbeeld ter sprake gekomen. Volgens de respondenten komt het beschreven beeld ook concreet terug rondom innovaties. De organisatie is unaniem volgens de respondenten vaak zeer goed in staat om een innovatie op te starten en een pilot uit te voeren, maar is de organisatie echter niet goed in staat om een keuze te hangen aan de gedraaide pilot, dus de Check en Act. Uit de interviews blijkt dat pilots vaak maar aanmodderen, terwijl men mogelijk al weet dat de innovatie geen kans van slagen heeft (binnen de organisatie). De medewerkers maken vaak geen harde keuze dat een pilot mislukt is, waardoor er dus ook geen lering uit wordt getrokken dat iets mislukt is. Daar komt bij dat de evaluatie van een innovatietraject vaak op persoonlijke titel gebeurt</w:t>
      </w:r>
      <w:r w:rsidR="00B95162">
        <w:t>. S</w:t>
      </w:r>
      <w:r>
        <w:t>oms krijgen directe collega teams er nog wat van mee, maar over het algemeen leert de rest van de organisatie er weinig van. Dit past niet bij de gedachte van het collectieve denken vanuit de lerende organisatie.</w:t>
      </w:r>
    </w:p>
    <w:p w14:paraId="64D4C857" w14:textId="776FC1AB" w:rsidR="4CA94D8B" w:rsidRDefault="73752E4B" w:rsidP="4CA94D8B">
      <w:r>
        <w:t xml:space="preserve">Uit de </w:t>
      </w:r>
      <w:r w:rsidR="007F2FF7">
        <w:t>theorie</w:t>
      </w:r>
      <w:r>
        <w:t xml:space="preserve"> komt vervolgens nog een tweede leermethode, namelijk experimenteren (Huizingh, 2019). </w:t>
      </w:r>
      <w:r w:rsidR="006309C4">
        <w:t>De theorie beschrijft</w:t>
      </w:r>
      <w:r>
        <w:t xml:space="preserve"> dat deze leermethode regelmatig als lastig wordt ervaren binnen publieke organisaties, waardoor het cruciaal is dat het management deze leermethode beloont. Uit de interviews blijkt daarentegen dat</w:t>
      </w:r>
      <w:r w:rsidR="00F806E0">
        <w:t xml:space="preserve"> </w:t>
      </w:r>
      <w:r>
        <w:t xml:space="preserve">binnen PPO Rijkswaterstaat juist ontzettend veel geëxperimenteerd wordt. Respondent 3 verwijst bijvoorbeeld naar de uitspraak </w:t>
      </w:r>
      <w:r w:rsidRPr="73752E4B">
        <w:rPr>
          <w:i/>
          <w:iCs/>
        </w:rPr>
        <w:t>‘Duizend bloemen bloeien’</w:t>
      </w:r>
      <w:r>
        <w:t>. Er zijn vaak ontzettend veel initiatieven aan de gang binnen de organisatie om te kijken of bepaalde dingen anders kunnen worden gedaan om het werk beter te doen</w:t>
      </w:r>
      <w:r w:rsidR="0041278F">
        <w:t>. E</w:t>
      </w:r>
      <w:r>
        <w:t xml:space="preserve">chter blijkt ook hierbij dat het leren van deze experimenten vaak achterblijft. Met het oog hierop maakt respondent 8 een belangrijke kanttekening bij het belonen van medewerkers voor de leermethode experimenteren. Respondent 8 beschrijft het volgende: </w:t>
      </w:r>
      <w:r w:rsidRPr="73752E4B">
        <w:rPr>
          <w:i/>
          <w:iCs/>
        </w:rPr>
        <w:t>“Je moet het heel goed framen. Als je alleen maar zegt je krijgt een bon, omdat je innovatief geweest bent dan ga je alleen maar stimuleren wat je niet wil</w:t>
      </w:r>
      <w:r w:rsidR="00CF0421">
        <w:rPr>
          <w:i/>
          <w:iCs/>
        </w:rPr>
        <w:t>t</w:t>
      </w:r>
      <w:r w:rsidRPr="73752E4B">
        <w:rPr>
          <w:i/>
          <w:iCs/>
        </w:rPr>
        <w:t xml:space="preserve">. Dat er op allerlei onderdeeltjes innovaties plaatsvinden, dus als je dit gebruikt dan moet je ook heel bewust onderdelen van onze innovatiecultuur die nu nog niet goed gaan, die moet je willen stimuleren. Dus dan gaat het bijvoorbeeld om dat iemand niet alleen innovatief is geweest in een experiment, maar ook de manier waarop je dat gedeeld hebt met collega's. Dat is specifiek wat ik waardeer, dus daar word je voor beloond.” </w:t>
      </w:r>
      <w:r>
        <w:t>Uit dit citaat blijkt dat het belonen moet plaatsvinden op juist dat stuk leren van het experiment dat je hebt uitgevoerd. Het op deze manier aanpakken van belonen is ook ter sprake gekomen bij respondenten 1, 2, 3, 4, 6, en 10. Deze respondenten zijn ook een voorstander van het belonen van innovatief gedrag, waarbij de nadruk ligt op het delen van de lessen uit deze experimenten met collega's. Bij de overige respondenten is dit belonen op deze manier onvoldoende ter sprake gekomen, omdat deze respondenten aangaven onvoldoende kennis te hebben van het beloningssysteem en wat hierin de mogelijkheden zijn. Deze overige respondenten zijn wel van mening dat het experimenteren op een manier beloon</w:t>
      </w:r>
      <w:r w:rsidR="00A9515B">
        <w:t>d</w:t>
      </w:r>
      <w:r>
        <w:t xml:space="preserve"> zou moeten worden op het moment dat de organisatie hierin stappen wil zetten. </w:t>
      </w:r>
    </w:p>
    <w:p w14:paraId="221467A2" w14:textId="012D0874" w:rsidR="4D2F49FA" w:rsidRDefault="050109F2" w:rsidP="4D2F49FA">
      <w:r w:rsidRPr="050109F2">
        <w:rPr>
          <w:i/>
          <w:iCs/>
          <w:u w:val="single"/>
        </w:rPr>
        <w:t>Kwaliteit van sociale relaties</w:t>
      </w:r>
      <w:r>
        <w:t xml:space="preserve"> </w:t>
      </w:r>
      <w:r w:rsidR="490CF5A6">
        <w:br/>
      </w:r>
      <w:r>
        <w:t xml:space="preserve">Uit de interviews blijkt unaniem dat het geven van kritische feedback in het algemeen als lastig wordt ervaren binnen de organisatie. Respondent 5 beschrijft bijvoorbeeld dat het feedback geven op dit moment heel persoonsafhankelijk is, het is niet iets wat structureel gebeurt en in de aderen zit van de PPO'er. Deze respondent geeft aan dat de PPO’er niet altijd het achterste van zijn tong laat zien. De respondenten zijn unaniem van mening dat het feedback geven op het gebied van innovaties beter moet, omdat je hiermee ook tijdig belangrijke </w:t>
      </w:r>
      <w:r w:rsidR="006B6464">
        <w:t>onoverkomelijkheden</w:t>
      </w:r>
      <w:r>
        <w:t xml:space="preserve"> kan signaleren en een innovatie tijdig kan stoppen. Respondent 12 geeft een belangrijke tegenstelling aan, namelijk dat het geven van feedback op het gebied van innovatie ook soms juist kan doorslaan in dat risicomijdende karakter. Deze respondent geeft aan dat het feedback geven echt meer moet gaan over bepaalde criteria waar de innovatie wel of niet aan voldoet en of en hoe bepaalde risico’s dan beheerst kunnen worden. De respondenten is ook gevraagd wat de oorzaak is van het gebrek aan feedback geven en wat de organisatie, ook kritisch kijkend naar zichzelf, kan doen om dit feedback geven te optimaliseren. Enkel in het interview met respondent 5 is er een diepere laag bereikt wat betreft het antwoord op deze vraag, deze respondent zegt het volgende: </w:t>
      </w:r>
      <w:r w:rsidRPr="050109F2">
        <w:rPr>
          <w:i/>
          <w:iCs/>
        </w:rPr>
        <w:t>“Ik denk dat je mensen vooral moet laten oefenen met het doen. En dan is het ook wel belangrijk om het te trainen en het ook regelmatig te doen. Het vraagt wel echt om een cultuurverandering volgens mij. Dus ze zullen er veel meer mee moeten oefenen, voordat het een beetje gewoongoed wordt”</w:t>
      </w:r>
      <w:r>
        <w:t xml:space="preserve">.   </w:t>
      </w:r>
    </w:p>
    <w:p w14:paraId="0AADF85E" w14:textId="6FAD5DFC" w:rsidR="4D2F49FA" w:rsidRDefault="050109F2" w:rsidP="4D2F49FA">
      <w:r w:rsidRPr="050109F2">
        <w:rPr>
          <w:b/>
          <w:bCs/>
        </w:rPr>
        <w:t>Kennismanagement- en deling</w:t>
      </w:r>
      <w:r w:rsidR="4CA94D8B">
        <w:br/>
      </w:r>
      <w:r>
        <w:t xml:space="preserve">Zoals hierboven beschreven, is het geven van feedback geen uitgesproken onderdeel van de cultuur van de organisatie, dus is het voor het innovatiesucces van belang dat je het actief ophaalt bij de juiste mensen. Uit de interviews blijkt dat innovatoren vaak niet vroegtijdig in een traject feedback, en dus kennis, ophalen bij stakeholders of collega's om daarmee in een vroeg stadium een compleet beeld te hebben van de risico's of belemmeringen van de innovatie. Dit is volgens een groot deel van de respondenten ook een van de belangrijkste oorzaken voor het vaak niet tot uitvoering kunnen brengen van innovaties binnen Rijkswaterstaat. Op het moment dat je tijdig samen met de stakeholders de risico's en belemmeringen in kaart hebt gebracht en beheerst, en er is dus draagvlak, dan zal je in een later stadium de innovatie gemakkelijker kunnen implementeren. Of de andere optie, je komt tijdig tot de conclusie dat het geen geschikte of haalbare innovatie is voor Rijkswaterstaat. Op dit moment wordt dit dus vaak niet actief gedaan, waardoor men in een later stadium tegen muren aanloopt. </w:t>
      </w:r>
    </w:p>
    <w:p w14:paraId="277E0229" w14:textId="54703F83" w:rsidR="4D2F49FA" w:rsidRDefault="490CF5A6" w:rsidP="4CA94D8B">
      <w:r>
        <w:t>Zoals beschreven gaat het collectief leren van innovaties moeizaam. Uit de interviews blijkt dat het delen van leerervaringen op zeer kleine schaal gebeurt en dus niet op collectief niveau. Daardoor worden</w:t>
      </w:r>
      <w:r w:rsidR="00646BA2">
        <w:t>,</w:t>
      </w:r>
      <w:r>
        <w:t xml:space="preserve"> volgens de respondenten</w:t>
      </w:r>
      <w:r w:rsidR="00646BA2">
        <w:t>,</w:t>
      </w:r>
      <w:r>
        <w:t xml:space="preserve"> vaak op meerdere plekken in de organisatie dezelfde fouten gemaakt wat betreft innovaties. Hetzelfde geldt voor het breed implementeren van de innovaties. Volgens de respondenten blijven de innovaties die tot uitvoering worden gebracht vaak hangen op één plek waar ook de pilot is gedraaid, maar slaagt de organisatie er vaak niet in om de innovaties op te schalen. Er kan hier echter op basis van de interviews wel een duidelijke positieve noot aan worden toegevoegd, namelijk dat hoewel het collectief leren op het gebied van innovatie op dit moment achterblijft, zijn er binnen PPO</w:t>
      </w:r>
      <w:r w:rsidR="00A34476">
        <w:t>,</w:t>
      </w:r>
      <w:r>
        <w:t xml:space="preserve"> maar ook in samenwerking met de andere uitvoeringsdiensten (GPO en CIV), al veel stappen gezet wat betreft het collectief leren van elkaar. Er zijn veelvuldig initiatieven om met elkaar de verbinding te zoeken en kennis te delen wat betreft de reguliere projecten. De respondenten geven aan dat wat betreft dit lerend vermogen de laatste jaren wel behoorlijke verbeterstappen zijn gezet. Zoals gezegd, blijft innovatie hierin toch wel wat achter. Respondent 4 illustreert dit met de volgende uitspraak: </w:t>
      </w:r>
      <w:r w:rsidRPr="490CF5A6">
        <w:rPr>
          <w:i/>
          <w:iCs/>
        </w:rPr>
        <w:t xml:space="preserve">“We hebben de laatste jaren binnen RWS best wel wat dingen ingeregeld om over regio's heen met elkaar gesprek te voeren over wat er gebeurt, zodat we kunnen leren van elkaar. Ik heb niet het idee dat dat op </w:t>
      </w:r>
      <w:r w:rsidR="00EE7888">
        <w:rPr>
          <w:i/>
          <w:iCs/>
        </w:rPr>
        <w:t xml:space="preserve">het </w:t>
      </w:r>
      <w:r w:rsidRPr="490CF5A6">
        <w:rPr>
          <w:i/>
          <w:iCs/>
        </w:rPr>
        <w:t xml:space="preserve">gebied van innovatie zo is. Dus wel over dagelijkse werkzaamheden of dingen waar je tegen aanloopt in je werk, daar vindt best veel kruisbestuiving plaats om tussen de clusters en landelijke teams gesprekken te voeren, maar dat is veelal over de huidige techniek en stand van zaken. Ik moet heel eerlijk bekennen dat op het gebied van innovaties, het gesprek daarover en hoe je elkaar daarin kan ondersteunen dat gebeurt in mijn optiek te weinig”. </w:t>
      </w:r>
      <w:r>
        <w:t xml:space="preserve">  </w:t>
      </w:r>
    </w:p>
    <w:p w14:paraId="79819026" w14:textId="5BB71488" w:rsidR="4D2F49FA" w:rsidRDefault="490CF5A6" w:rsidP="4CA94D8B">
      <w:r>
        <w:t xml:space="preserve">Uit de interviews blijkt </w:t>
      </w:r>
      <w:r w:rsidR="002A102C">
        <w:t>vervolgens ook</w:t>
      </w:r>
      <w:r>
        <w:t xml:space="preserve"> dat er een unaniem beeld is over het feit dat contact leggen met elkaar zeer gemakkelijk gaat. Respondent 1 zegt hier bijvoorbeeld het volgende over: </w:t>
      </w:r>
      <w:r w:rsidRPr="490CF5A6">
        <w:rPr>
          <w:i/>
          <w:iCs/>
        </w:rPr>
        <w:t>“Dat kan echt heel erg gemakkelijk, binnen heel de organisatie gebeurt dit. Als ik wil, bel ik gewoon iemand van CIV op. Ik word ook vaak gebeld, dus dat is heel makkelijk”.</w:t>
      </w:r>
      <w:r>
        <w:t xml:space="preserve"> Er heerst volgens de respondenten wat betreft de communicatie een open cultuur, waardoor je als je de juiste collega hebt, zo iemand kan bellen met een vraag. Maar met het gedeelte ‘juiste collega’ stippen de respondenten een belangrijke belemmering aan voor kennisdeling in innovaties. Uit de interviews blijkt</w:t>
      </w:r>
      <w:r w:rsidR="005238EC">
        <w:t xml:space="preserve"> namelijk</w:t>
      </w:r>
      <w:r>
        <w:t xml:space="preserve"> unaniem dat het vaak een lange zoektocht is voordat je de juiste collega weet te vinden die noodzakelijk is voor de ontwikkeling, opschaling of implementatie van de innovatie. De respondenten is vervolgens gevraagd wat de oorzaak hiervan is. Respondent 8 komt hierop met een helder antwoord, die unaniem door de overige respondenten ook zo ongeveer wordt beschreven: </w:t>
      </w:r>
      <w:r w:rsidRPr="490CF5A6">
        <w:rPr>
          <w:i/>
          <w:iCs/>
        </w:rPr>
        <w:t>“Mensen hebben allemaal informele netwerken, maar wat je ziet is dat die vaak beperken tot of de werksoort waar ze in zitten of de kolom. En ook het onderdeel, dus ik werk bij PPO of GPO. Ik denk niet dat er veel mensen zijn die integrale netwerken hebben, die over directies of organisatieonderdelen heen gaan. En over werksoorten en processen. En dat heb je eigenlijk wel nodig”</w:t>
      </w:r>
      <w:r>
        <w:t>. Uit de interviews blijkt dat</w:t>
      </w:r>
      <w:r w:rsidR="003B0365">
        <w:t xml:space="preserve"> </w:t>
      </w:r>
      <w:r>
        <w:t xml:space="preserve">directie overstijgend wordt samengewerkt in projectteams (cross-functioneel), maar dat die projectteams eigenlijk allemaal behoorlijk als eilanden fungeren. Zoals gezegd komt hier de laatste jaren meer verandering in en worden er initiatieven genomen om meer verbinding te realiseren tussen de projectteams, maar dat blijft lastig volgens de respondenten.  </w:t>
      </w:r>
    </w:p>
    <w:p w14:paraId="65F18E05" w14:textId="416470B3" w:rsidR="4D2F49FA" w:rsidRDefault="490CF5A6" w:rsidP="4CA94D8B">
      <w:r>
        <w:t xml:space="preserve">Uit de interviews blijkt </w:t>
      </w:r>
      <w:r w:rsidR="00107D97">
        <w:t xml:space="preserve">dat </w:t>
      </w:r>
      <w:r>
        <w:t xml:space="preserve">de respondenten in principe allemaal voorstander zijn van het regelmatiger organiseren van bijeenkomsten op het gebied van innovatie. Uit deze interviews blijkt dat er op dit moment veel initiatieven zijn voor allerlei bijeenkomsten om daarin kennis te delen met elkaar, maar blijft het thema innovatie hierin nog achter. De bijeenkomsten op het gebied van innovatie kunnen ervoor zorgen dat leerervaringen beter met elkaar worden gedeeld, men meer op de hoogte is van elkaars initiatieven waardoor het wiel niet meermaals wordt uitgevonden en tot slot het informele netwerk vergroot wordt en je de juiste collega's kunt vinden tijdens een innovatietraject. De respondenten 4, 10, 14, 16 stippen hierbij wel aan dat het belangrijk is dat het management gaat sturen op de deelname aan deze bijeenkomsten, omdat onder werkdruk deze bijeenkomsten vaak als eerste uit de agenda verdwijnen. Bij de overige respondenten is deze diepere laag niet echt ter sprake gekomen. De respondenten stippen wel unaniem aan dat de bijeenkomsten voor innovatie wel thema gestuurd moeten zijn, waardoor het ook daadwerkelijk nuttig is voor de PPO’er om deel te nemen aan deze bijeenkomsten. </w:t>
      </w:r>
    </w:p>
    <w:p w14:paraId="72E13255" w14:textId="2B435017" w:rsidR="4D2F49FA" w:rsidRDefault="050109F2" w:rsidP="050109F2">
      <w:pPr>
        <w:rPr>
          <w:i/>
          <w:iCs/>
        </w:rPr>
      </w:pPr>
      <w:r>
        <w:t xml:space="preserve">Tot slot stippen de respondenten bijna unaniem een laatste punt aan, dat niet staat beschreven in het </w:t>
      </w:r>
      <w:r w:rsidR="00C6277E">
        <w:t>T</w:t>
      </w:r>
      <w:r>
        <w:t xml:space="preserve">heoretisch </w:t>
      </w:r>
      <w:r w:rsidR="00C6277E">
        <w:t>K</w:t>
      </w:r>
      <w:r>
        <w:t>ader. Volgens de respondenten ontbreekt er in een organisatie een digitaal centraal punt, waar je centraal de lopende initiatieven en bepaalde kennis en leerervaringen kwijt kunt wat betreft innovaties. Uit de interviews blijkt dat er wel een kennisboom aanwezig is binnen de organisatie, maar</w:t>
      </w:r>
      <w:r w:rsidR="003F546A">
        <w:t xml:space="preserve"> dat de innovaties</w:t>
      </w:r>
      <w:r>
        <w:t xml:space="preserve"> hier</w:t>
      </w:r>
      <w:r w:rsidR="00DF0CE9">
        <w:t xml:space="preserve"> niet goed in</w:t>
      </w:r>
      <w:r>
        <w:t xml:space="preserve"> passen omdat deze vaak kennisthemaoverstijgend zijn. Respondent 8 beschrijft bijvoorbeeld: </w:t>
      </w:r>
      <w:r w:rsidRPr="050109F2">
        <w:rPr>
          <w:i/>
          <w:iCs/>
        </w:rPr>
        <w:t>“Wij hebben geen goed kennissysteem. Dus wij hebben</w:t>
      </w:r>
      <w:r w:rsidR="00E977D3">
        <w:rPr>
          <w:i/>
          <w:iCs/>
        </w:rPr>
        <w:t xml:space="preserve"> </w:t>
      </w:r>
      <w:r w:rsidRPr="050109F2">
        <w:rPr>
          <w:i/>
          <w:iCs/>
        </w:rPr>
        <w:t>een werkwijze aanleg en onderhoud en we hebben een Aris</w:t>
      </w:r>
      <w:r w:rsidR="00E977D3">
        <w:rPr>
          <w:i/>
          <w:iCs/>
        </w:rPr>
        <w:t>. O</w:t>
      </w:r>
      <w:r w:rsidRPr="050109F2">
        <w:rPr>
          <w:i/>
          <w:iCs/>
        </w:rPr>
        <w:t>p Aris staan alleen hoofdprocessen tot een bepaald niveau beschreven. Daar heb ik eigenlijk in mijn dagelijks werk niet zoveel aan</w:t>
      </w:r>
      <w:r w:rsidR="00C533E8">
        <w:rPr>
          <w:i/>
          <w:iCs/>
        </w:rPr>
        <w:t>,</w:t>
      </w:r>
      <w:r w:rsidRPr="050109F2">
        <w:rPr>
          <w:i/>
          <w:iCs/>
        </w:rPr>
        <w:t xml:space="preserve"> en in de werkwijze aanleg en onderhoud zie je vooral de verzameling van kaders en handreikingen. Maar kennis die wordt opgedaan in de projecten, de leerervaringen en best practices, dus gewoon dat je kunt raadplegen wat er nu allemaal in het land</w:t>
      </w:r>
      <w:r w:rsidR="00985A99">
        <w:rPr>
          <w:i/>
          <w:iCs/>
        </w:rPr>
        <w:t xml:space="preserve"> gebeurt</w:t>
      </w:r>
      <w:r w:rsidRPr="050109F2">
        <w:rPr>
          <w:i/>
          <w:iCs/>
        </w:rPr>
        <w:t xml:space="preserve">, zo’n soort systeem hebben we niet. Ik noem het maar even een kennissysteem, maar we hebben geen tool om leerervaringen te bundelen en te delen. Je ziet wel dat er veel geleerd wordt, maar vooral in persoonlijke contacten in het eigen netwerk.” </w:t>
      </w:r>
      <w:r>
        <w:t xml:space="preserve">Dit citaat omschrijft de kern van het verhaal dat voortkomt uit ook de andere interviews wat betreft dit thema. Het komt ook overeen met het verhaal dat eerder in dit hoofdstuk is geschreven wat betreft het projectdossier in de IUP-werkwijze. Ook uit deze vier interviews kwam naar voren dat er op dit moment nog geen plek is waar deze dossiers kunnen worden ontsloten en dat dit in hun ogen ingeregeld moet worden in de organisatie om de IUP-werkwijze goed te benutten.  </w:t>
      </w:r>
    </w:p>
    <w:p w14:paraId="17E0EB5A" w14:textId="4B49F65B" w:rsidR="4D2F49FA" w:rsidRDefault="050109F2" w:rsidP="4CA94D8B">
      <w:r w:rsidRPr="050109F2">
        <w:rPr>
          <w:b/>
          <w:bCs/>
        </w:rPr>
        <w:t xml:space="preserve">Autonomie </w:t>
      </w:r>
      <w:r w:rsidR="490CF5A6">
        <w:br/>
      </w:r>
      <w:r w:rsidR="00D7278E">
        <w:t>D</w:t>
      </w:r>
      <w:r>
        <w:t>e respondenten</w:t>
      </w:r>
      <w:r w:rsidR="00D7278E">
        <w:t xml:space="preserve"> </w:t>
      </w:r>
      <w:r w:rsidR="00C31B70">
        <w:t>zijn</w:t>
      </w:r>
      <w:r w:rsidR="00D7278E">
        <w:t xml:space="preserve"> allereerst</w:t>
      </w:r>
      <w:r>
        <w:t xml:space="preserve"> gevraagd naar de</w:t>
      </w:r>
      <w:r w:rsidR="00D7278E">
        <w:t xml:space="preserve"> </w:t>
      </w:r>
      <w:r>
        <w:t>ervaring met autonomie en vrijheid om te experimenteren in een regelluwe omgeving. Uit deze vraag komt onder respondenten eigenlijk een tweeledig antwoord</w:t>
      </w:r>
      <w:r w:rsidR="00FD3FFA">
        <w:t xml:space="preserve"> naar voren</w:t>
      </w:r>
      <w:r>
        <w:t xml:space="preserve">. Enerzijds wordt er volgens de respondenten unaniem veel autonomie ervaren ten opzichte van het management om binnen PPO de creativiteit te laten floreren in initiatieven om het werk beter te doen. De autonomie wordt gezien als een groot goed binnen Rijkswaterstaat, aldus de respondenten. Het andere deel van het antwoord zit hem in wat een aantal respondenten noemen, namelijk het ervaren van te veel ‘hoepels’ om een innovatie op te starten en te ontwikkelen. Respondent 16 zegt bijvoorbeeld het volgende: </w:t>
      </w:r>
      <w:r w:rsidRPr="050109F2">
        <w:rPr>
          <w:i/>
          <w:iCs/>
        </w:rPr>
        <w:t xml:space="preserve">“Er zit wat mij betreft wel de juiste energie op van heel veel mensen, dus dat is positief. Wat wel lastig is in een organisatie als Rijkswaterstaat, ik denk dat dat voor elke Rijksorganisatie geldt, is dat we soms met handen en voeten gebonden zijn aan wetten en regelgeving. Die maken ook wel dat we soms minder kunnen innoveren dan we eigenlijk zouden willen. Het werkt in die zin soms belemmerend om vrij te kunnen experimenteren”. </w:t>
      </w:r>
      <w:r>
        <w:t xml:space="preserve">De quote van respondent 15 vult hier het volgende op aan: </w:t>
      </w:r>
      <w:r w:rsidRPr="050109F2">
        <w:rPr>
          <w:i/>
          <w:iCs/>
        </w:rPr>
        <w:t>“Uiteindelijk is het natuurlijk de wet, maar in de interpretatie van de wet zit ook nog wel een heel spectrum. De ene jurist zegt dit en de andere dat, de ene kant risicomijdend en de andere kant opportunistisch. Wat mij betreft mag dit binnen Rijkswaterstaat af en toe wel meer richting dat opportunistische om daarmee meer ruimte te hebben om vrij te experimenteren</w:t>
      </w:r>
      <w:r>
        <w:t>.</w:t>
      </w:r>
      <w:r w:rsidRPr="050109F2">
        <w:rPr>
          <w:i/>
          <w:iCs/>
        </w:rPr>
        <w:t xml:space="preserve">” </w:t>
      </w:r>
      <w:r>
        <w:t xml:space="preserve">Deze quotes in combinatie met de antwoorden van de overige respondenten wijzen uit dat er op dit moment vaak geen regelluwe omgeving is rondom innovaties, maar dat er rondom de regels wel veel vrijheid wordt gegeven vanuit het management. </w:t>
      </w:r>
    </w:p>
    <w:p w14:paraId="7EE0D491" w14:textId="7D24A037" w:rsidR="4CA94D8B" w:rsidRDefault="490CF5A6" w:rsidP="4CA94D8B">
      <w:r>
        <w:t>Deze vrijheid vanuit het management kan volgens de literatuur ook doorslaan in het geven van te veel autonomie aan professionals in een organisatie. Dit kan resulteren in zogenoemd contraproductief gedrag. Uit de interviews blijkt dat respondenten het er unaniem over eens zijn dat er te veel autonomie wordt gegeven aan PPO’ers omtrent innovaties. Uit de interviews blijkt dat dit naar inzicht overigens ook geldt voor de overige uitvoeringsdiensten van Rijkswaterstaat.  Deze autonomie zit allereerst in het feit dat iedereen binnen PPO in alle vrijheid een initiatief kan opstarten om zijn of haar werk beter te doen, zonder dat er daarbij stuur zit op of het bij de organisatiedoelen past</w:t>
      </w:r>
      <w:r w:rsidR="0047666F">
        <w:t>,</w:t>
      </w:r>
      <w:r>
        <w:t xml:space="preserve"> of dat is bekeken of een collega in de organisatie daar al een oplossing voor heeft. Ook wordt</w:t>
      </w:r>
      <w:r w:rsidR="002A7897">
        <w:t xml:space="preserve"> </w:t>
      </w:r>
      <w:r>
        <w:t xml:space="preserve">op dit moment veel autonomie gegeven in het delen van de innovatie en leerervaringen uit het traject met collega's in de organisatie. Ook hier komt de uitspraak “duizend bloemen bloeien” vaak voorbij. Respondent 14 vult hier het volgende op aan: </w:t>
      </w:r>
      <w:r w:rsidRPr="490CF5A6">
        <w:rPr>
          <w:i/>
          <w:iCs/>
        </w:rPr>
        <w:t xml:space="preserve">“Ik denk dat er in dat opzicht te weinig beheersing is van onze eigen organisatie. Er is te veel vrijheid en afrekencultuur doen we eigenlijk niet aan. Het is een organisatie waarin de professional armslag moet hebben, die is bij ons ten volle doorgevoerd. Er zijn weinig grenzen.  </w:t>
      </w:r>
    </w:p>
    <w:p w14:paraId="2818C84F" w14:textId="33C07E8C" w:rsidR="4CA94D8B" w:rsidRDefault="050109F2" w:rsidP="050109F2">
      <w:pPr>
        <w:rPr>
          <w:i/>
          <w:iCs/>
        </w:rPr>
      </w:pPr>
      <w:r>
        <w:t xml:space="preserve">De autonomie zit hem anderzijds ook in de ontvangst van een innovatie. Respondent 12 zegt het volgende hierover: </w:t>
      </w:r>
      <w:r w:rsidRPr="050109F2">
        <w:rPr>
          <w:i/>
          <w:iCs/>
        </w:rPr>
        <w:t>“Ik zie in de projecten en in de ontwikkeling van nieuwe strategieën, de nieuwe inkoopstrategie waarmee we nu bezig zijn, dat er met name vanuit adviseurs heel erg vanuit risico's gedacht wordt op het gebied van innovatie. We hebben het altijd zo gedaan en dat ging goed, dus waarom zouden we veranderen</w:t>
      </w:r>
      <w:r w:rsidR="00B30AE7">
        <w:rPr>
          <w:i/>
          <w:iCs/>
        </w:rPr>
        <w:t>?</w:t>
      </w:r>
      <w:r w:rsidRPr="050109F2">
        <w:rPr>
          <w:i/>
          <w:iCs/>
        </w:rPr>
        <w:t xml:space="preserve"> De meningen van het individu kunnen een grote invloed hebben op het collectief en daarmee ook een belemmerend effect hebben”.  R</w:t>
      </w:r>
      <w:r>
        <w:t xml:space="preserve">espondent 11 voegt hieraan het volgende toe: </w:t>
      </w:r>
      <w:r w:rsidRPr="050109F2">
        <w:rPr>
          <w:i/>
          <w:iCs/>
        </w:rPr>
        <w:t xml:space="preserve">“Men zegt ik zie echt de meerwaarde in van die innovatie, maar ik heb hier tien redenen waarom het in mijn situatie even niet uitkomt om het toe te passen”. </w:t>
      </w:r>
      <w:r>
        <w:t>Kortom, uit de interviews blijkt dat ook in de ontvangst van bewezen succesvolle innovaties, veel vrijheid wordt gegeven om de innovatie wel of niet toe te passen. Het is volgens respondenten erg herkenbaar dat deze vrijheden op beide gebieden resulte</w:t>
      </w:r>
      <w:r w:rsidR="00B30AE7">
        <w:t>ren</w:t>
      </w:r>
      <w:r>
        <w:t xml:space="preserve"> in contraproductief gedrag, waardoor de gefragmenteerde innovaties in stand worden gehouden.  </w:t>
      </w:r>
    </w:p>
    <w:p w14:paraId="4E790722" w14:textId="534CBF2E" w:rsidR="00772B0B" w:rsidRPr="004A41DD" w:rsidRDefault="490CF5A6">
      <w:r>
        <w:t>Wat tot slot opvalt in de data over deze succesfactor is dat het contraproductieve gedrag vaak wordt genoemd op het moment dat er naar oorzaken wordt gevraagd voor het onvoldoende invullen van de succesfactoren. Of het nu gaat over het delen van kennis met elkaar, het deelnemen aan bijeenkomsten ter verbetering van de verbinding of aan ontvangen van succesvolle innovaties. De respondenten wijzen allemaal op de vrijheid die ieder individu heeft om iets wel of niet te doen op het gebied van innovatie. De respondenten wijzen dus bij de oorzaken massaal naar de ver doorslaande autonomie op het gebied van innovaties. Er ontbreekt een algeheel stuur</w:t>
      </w:r>
      <w:r w:rsidR="00914091">
        <w:t>,</w:t>
      </w:r>
      <w:r>
        <w:t xml:space="preserve"> stellen de respondenten unaniem. Dit stuur is een onderdeel van de succesfactoren van innovatiemanagement, dus hier zal ook verder op worden ingegaan in de volgende subparagraaf. </w:t>
      </w:r>
    </w:p>
    <w:p w14:paraId="3B5FDAE4" w14:textId="1052AB0F" w:rsidR="33DD619B" w:rsidRDefault="0AB624A7" w:rsidP="7A54C965">
      <w:pPr>
        <w:pStyle w:val="Kop3"/>
      </w:pPr>
      <w:bookmarkStart w:id="36" w:name="_Toc171411059"/>
      <w:r>
        <w:t>4.3.2 Innovatiemanagement</w:t>
      </w:r>
      <w:bookmarkEnd w:id="36"/>
    </w:p>
    <w:p w14:paraId="52094498" w14:textId="1AE596B7" w:rsidR="000161DC" w:rsidRPr="000161DC" w:rsidRDefault="000161DC" w:rsidP="000161DC">
      <w:r w:rsidRPr="000161DC">
        <w:t>Zoals in het Theoretisch Kader beschreven</w:t>
      </w:r>
      <w:r w:rsidR="00E77346">
        <w:t>,</w:t>
      </w:r>
      <w:r w:rsidRPr="000161DC">
        <w:t xml:space="preserve"> kijkt dit onderzoek naar drie succesfactoren vanuit de literatuurlijn ‘</w:t>
      </w:r>
      <w:r>
        <w:t>innovatiemanagement</w:t>
      </w:r>
      <w:r w:rsidRPr="000161DC">
        <w:t>’. In deze subparagraaf worden de resultaten beschreven van het empirisch onderzoek naar deze succesfactoren.</w:t>
      </w:r>
    </w:p>
    <w:p w14:paraId="450EA6A4" w14:textId="36E0A872" w:rsidR="4CA94D8B" w:rsidRDefault="54C5DD97" w:rsidP="4CA94D8B">
      <w:r w:rsidRPr="54C5DD97">
        <w:rPr>
          <w:b/>
          <w:bCs/>
        </w:rPr>
        <w:t>Innovatiebeleid</w:t>
      </w:r>
      <w:r w:rsidR="4CA94D8B">
        <w:br/>
      </w:r>
      <w:r>
        <w:t>In de ogen van de respondenten ademt het management vanaf de top naar de managementlagen daaronder op dit moment onvoldoende innovatie. Het algemene beeld dat wat betreft deze elementen naar voren komt</w:t>
      </w:r>
      <w:r w:rsidR="007042D5">
        <w:t>,</w:t>
      </w:r>
      <w:r>
        <w:t xml:space="preserve"> is dat de respondenten het idee hebben dat innovatie niet iets is wat structureel in het doen en laten van de organisatie zit gebakend. De respondenten stellen dat een algehele visie en strategie op het gebied van innovatie ontbreekt. Ook wordt het belang van succesvol innoveren onvoldoende naar voren gebracht in de communicatie vanuit het management volgens de respondenten. </w:t>
      </w:r>
    </w:p>
    <w:p w14:paraId="0DE71F02" w14:textId="63D415E0" w:rsidR="4CA94D8B" w:rsidRDefault="490CF5A6" w:rsidP="490CF5A6">
      <w:r>
        <w:t>In meer dan de helft van de interviews komt wat betreft het laatste naar voren dat het management in de communicatie voornamelijk de nadruk legt op het vieren van successen in de productie en niet op het gebied van innovatie. En met innovatiesucces wordt dan volgens de respondenten bedoeld dat de innovatie ook daadwerkelijk is geïmplementeerd in de reguliere processen van de plekken waar de innovatie toepasbaar is. Dit komt ter sprake op het moment dat de respondenten wordt gevraagd naar een voorbeeld waaruit blijkt dat het management innovatie onvoldoende ademt in hun ogen. In de overige interviews wordt dit voorbeeld dus niet gegeven. Zoals eerder in dit hoofdstuk beschreven</w:t>
      </w:r>
      <w:r w:rsidR="00765F86">
        <w:t>,</w:t>
      </w:r>
      <w:r>
        <w:t xml:space="preserve"> komt duidelijk naar voren dat de verhoogde productiedruk het innoveren vaak in de weg staat binnen de organisatie. Dit komt dus ook duidelijk tot uiting in de communicatie vanuit het management. Dit is volgens de respondenten een teken aan de wand dat het management op dit moment innovatiesucces ook niet als hoogste prioriteit ziet, dus is het logisch dat dit niet leeft onder de werknemers van de organisatie. </w:t>
      </w:r>
    </w:p>
    <w:p w14:paraId="6619E1C5" w14:textId="6249572E" w:rsidR="4CA94D8B" w:rsidRDefault="490CF5A6" w:rsidP="4CA94D8B">
      <w:r>
        <w:t>Uit de interviews blijkt vervolgens een eenduidig beeld wat betreft de visie en strategie rondom innovatie op organisatieniveau. Alle respondenten geven aan bekend te zijn met de focuspunten uit de innovatieagenda, maar hebben niet het idee dat hier een concreet en samenhangend vervolg aan wordt gegeven. Wat willen we exact bereiken wat betreft in die innovatiefocuspunten, wat doen we wel en wat doen we niet, waar mogen de innovaties plaatsvinden en hoe gaan we daarop sturen? Concreet beschrijven de respondenten dat de strategie en de daaraan hangende doelen op dit moment van een dusdanig hoog abstractieniveau zijn, dat het de uitvoering geen duidelijkheid meegeeft welke keuzes gemaakt moeten worden op het gebied van innovatie. Ook geven de respondenten aan dat er geen visie is wat betreft de mate van risico's die genomen mogen worden en op welke innovatiethema's dat dan specifiek mag. Dit veroorzaakt volgens de respondenten het grootste deel van het risicomijdende karakter van de organisatie. Een aantal respondenten geeft dan ook aan, op het moment dat naar de oorzaak hiervan wordt gevraagd, dat zij zich niet gesteund voelen door het management in het nemen van die risico's. Respondent 11 geeft de volgende beschrijving</w:t>
      </w:r>
      <w:r w:rsidR="00EE5569">
        <w:t xml:space="preserve"> van</w:t>
      </w:r>
      <w:r>
        <w:t xml:space="preserve"> wat de oorzaak hiervan is: </w:t>
      </w:r>
      <w:r w:rsidRPr="490CF5A6">
        <w:rPr>
          <w:i/>
          <w:iCs/>
        </w:rPr>
        <w:t>“Het helpt dat het topmanagement uitdraagt dat innovaties belangrijk en nuttig zijn. En wat ze dan vooral moeten doen is kansen bieden, maar dus ook met name falen afdekken. Als wij het falen niet afdekken lager in de organisatie, dan heb je een probleem. Dat is exact het probleem waarmee RWS worstelt. In ons hele lijnmanagement</w:t>
      </w:r>
      <w:r w:rsidR="00E715AD">
        <w:rPr>
          <w:i/>
          <w:iCs/>
        </w:rPr>
        <w:t xml:space="preserve"> </w:t>
      </w:r>
      <w:r w:rsidRPr="490CF5A6">
        <w:rPr>
          <w:i/>
          <w:iCs/>
        </w:rPr>
        <w:t xml:space="preserve">hebben wij een 3/5/7 jaar beleid, dat wil zeggen dat je tussen de 3 en 7 jaar naar een andere functie gaat. Dat werkt naar mijn idee verstorend in het afdekken van de faalrisico's van innovatie.” </w:t>
      </w:r>
      <w:r>
        <w:t xml:space="preserve">Respondent 11 vult hier zelf nog verder het volgende op aan: </w:t>
      </w:r>
      <w:r w:rsidRPr="490CF5A6">
        <w:rPr>
          <w:i/>
          <w:iCs/>
        </w:rPr>
        <w:t xml:space="preserve">“Het klinkt heel makkelijk van het management geeft mij toestemming om over de sloot te springen, maar ik denk dat heel veel mensen dat niet zullen doen, want ze zeggen het is fijn dat jij het goed vindt maar wie vindt het morgen goed? Wie haalt mij uit de sloot als ik morgen val? Dat is vertrouwen en dat ontbreekt op dit moment betreft het afdekken van de faalrisico's”. </w:t>
      </w:r>
      <w:r>
        <w:t xml:space="preserve">Deze twee citaten geven een goede weergave van de kern van de antwoorden van de overige respondenten over het ontbrekende beleid omtrent het afdekken van risico's in innovatie. </w:t>
      </w:r>
    </w:p>
    <w:p w14:paraId="720CE590" w14:textId="351CEAC7" w:rsidR="4CA94D8B" w:rsidRDefault="490CF5A6" w:rsidP="54C5DD97">
      <w:r>
        <w:t>Wat betreft deze visie en strategie worden op het niveau van PPO zelf wel een aantal positieve aspecten beschreven door de respondenten. Binnen PPO is ook opgemerkt dat de strategie en doelen op het gebied van innovatie van een hoog abstractieniveau zijn, dus worden binnen dit organisatieonderdeel activiteiten ondernomen om dit specifiek voor PPO concreter te maken. Respondent 3 beschrijft het volgende: “</w:t>
      </w:r>
      <w:r w:rsidRPr="490CF5A6">
        <w:rPr>
          <w:i/>
          <w:iCs/>
        </w:rPr>
        <w:t>Visie op innovatie is belangrijk. PPO heeft dat al wel een beetje gedaan, er waren duizend bloemen die bloeide, maar daar hebben ze dan nu toch focus in aangebracht. Dat in het kader van het verbeteren van onze eigen organisatie, dus daar is toch wel wat in gesnoeid in wat wel en wat niet”</w:t>
      </w:r>
      <w:r>
        <w:t xml:space="preserve">. Respondent 13 onderstreept ook dat er stappen gezet zijn, maar komt wel met </w:t>
      </w:r>
      <w:r w:rsidR="00FA251C">
        <w:t>de</w:t>
      </w:r>
      <w:r>
        <w:t xml:space="preserve"> nuance dat er nog veel moet gebeuren: </w:t>
      </w:r>
      <w:r w:rsidRPr="490CF5A6">
        <w:rPr>
          <w:i/>
          <w:iCs/>
        </w:rPr>
        <w:t>“Dat hebben we binnen PPO proberen op te tuigen en dat heet dan het ontwikkelteam, waarbij we vanuit de ambities van het DT die dan weer gekoppeld zijn aan de focuspunten, kijken welke initiatieven lopen er nu, waar loopt het goed en waar niet, waar moet je op bijsturen. In de veronderstelling dat als je dat bespreekt met het DT van dit initiatief is er, maar het is niet goed te koppelen aan de ambitie en dus ook niet aan de focuspunten, dus we stoppen ermee. En wat je dan ziet is dat we op een of andere manier niet bij machten of bereid zijn om echt dat soort keuzes te maken</w:t>
      </w:r>
      <w:r>
        <w:t>”. Wat betreft die laatste zin verwijst deze respondent naar het stuk van harde keuzes durven maken. Dit zou in de ogen van de respondent ook een onderdeel moeten zijn van het algehele beleid op innovatie, zodat je je daarin als lijnmanagement gesteund voelt. Deze twee citaten vormen de kern van het verhaal dat ook voortkomt uit de interviews met respondenten 10, 14 en 15, die ook benoemen dat er binnen PPO specifiek echt al stappen zijn genomen om meer keuzes te kunnen gaan maken, maar dat hierin nog vervolgstappen nodig zijn. Uit de overige interviews blijkt dit echter niet</w:t>
      </w:r>
      <w:r w:rsidR="000A5E31">
        <w:t>. D</w:t>
      </w:r>
      <w:r>
        <w:t>eze respondenten zeggen niets over deze positieve noot betref</w:t>
      </w:r>
      <w:r w:rsidR="000A5E31">
        <w:t>fende</w:t>
      </w:r>
      <w:r>
        <w:t xml:space="preserve"> PPO of w</w:t>
      </w:r>
      <w:r w:rsidR="000A5E31">
        <w:t>iste</w:t>
      </w:r>
      <w:r>
        <w:t>n hier niet veel van als</w:t>
      </w:r>
      <w:r w:rsidR="000A5E31">
        <w:t xml:space="preserve"> er naar gevraagd werd</w:t>
      </w:r>
      <w:r>
        <w:t xml:space="preserve">. Dit is mogelijk te verklaren vanuit de rol die de respondenten 3, 10, 13, 14 en 15 hebben, omdat deze respondenten ook meer directieoverstijgend actief zijn binnen PPO. </w:t>
      </w:r>
    </w:p>
    <w:p w14:paraId="7C0978E4" w14:textId="676452FE" w:rsidR="490CF5A6" w:rsidRDefault="050109F2">
      <w:r>
        <w:t xml:space="preserve">Deze succesfactor </w:t>
      </w:r>
      <w:r w:rsidR="00225939">
        <w:t>kent</w:t>
      </w:r>
      <w:r>
        <w:t xml:space="preserve"> nog een laatste element, namelijk portfoliomanagement. Uit de interviews blijkt dat portfoliomanagement op het gebied van innovatie geen eenduidig beeld is of het nu al bestaat of niet. De ene respondent zegt ‘het staat in de kinderschoenen’ en de ander zegt ‘op het gebied van innovatie bestaat het niet’. De respondenten 2, 5, 7, 8, 9, 10, 13 en 15 zijn wel van mening dat het er zou moeten zijn om het innovatievermogen te versterken. Bij de overige respondenten is dit te weinig ter sprake gekomen om dit zo stellig te kunnen zeggen. Respondent 13 zegt bijvoorbeeld wel het volgende: </w:t>
      </w:r>
      <w:r w:rsidRPr="050109F2">
        <w:rPr>
          <w:i/>
          <w:iCs/>
        </w:rPr>
        <w:t>“Nou, het kan denk ik wel inderdaad. We hebben portfoliomanagement op de productie, maar niet op verbeteringen en innovaties. Je zou kunnen zeggen dat het bestuur een portfoliomanager is van de focuspunten, maar ik heb niet het idee dat ze op die manier acteren. Ik kan mij zeker voorstellen dat we zeggen voor die focuspunten, dit is voor RWS zo belangrijk dat je daar iets inricht qua portfoliomanagement”</w:t>
      </w:r>
      <w:r>
        <w:t>.  Op basis van de bovenstaande quote en de overige interviews blijkt dat portfoliomanagement op het gebied van projecten daarentegen binnen de organisatie al wel wat verder is ontwikkeld, maar dat ook hier nog veel stappen in te zetten zijn. Het algemene beeld is kort gezegd dat voor de projecten een aantal portfolio's zijn gecreëerd die ook organisatieonderdeel overstijgend zijn, maar dat ieder portfolio weer anders te werk gaat en het leren van elkaar daardoor moeilijk gaat.</w:t>
      </w:r>
    </w:p>
    <w:p w14:paraId="252B5A25" w14:textId="7E471F83" w:rsidR="490CF5A6" w:rsidRDefault="490CF5A6" w:rsidP="490CF5A6">
      <w:r>
        <w:t xml:space="preserve">Tot slot is het relevant om te vermelden dat de respondenten, naast de eerdergenoemde te grote mate van autonomie, ook de gebrekkige invulling van deze succesfactor als een belangrijke oorzaak zien voor het tekortschieten van het huidige innovatievermogen. De respondenten zijn zoals gezegd unaniem van mening dat het algehele stuur ontbreekt op het gebied van innovatie. In hun ogen begint dit met het hebben van een helder en concreet plan voor innovatie, zodat in de lagen daaronder keuzes kunnen worden gemaakt en men zich daarin gesteund voelt. Er wordt daarin dus heel erg gewezen naar de leiding, daar wacht men als het ware op voordat ze het idee dat het innoveren succesvoller kan gaan worden in de organisatie. Leiderschap is in de ogen van de respondenten daar ook een belangrijk onderdeel van, daar wordt in de volgende paragraaf op ingegaan. </w:t>
      </w:r>
    </w:p>
    <w:p w14:paraId="1DC7C49B" w14:textId="190632E4" w:rsidR="4CA94D8B" w:rsidRDefault="490CF5A6" w:rsidP="4CA94D8B">
      <w:r w:rsidRPr="490CF5A6">
        <w:rPr>
          <w:b/>
          <w:bCs/>
        </w:rPr>
        <w:t>Leiderschap</w:t>
      </w:r>
      <w:r w:rsidR="54C5DD97">
        <w:br/>
      </w:r>
      <w:r>
        <w:t>Eerder bleek in de vorige subparagraaf dat de respondenten van mening zijn dat er te veel autonomie wordt gelaten bij de professionals in de organisatie, wat betreft het delen van leerervaringen uit innovaties en het opschalen en implementeren van innovaties. In het onderzoek naar de aanwezigheid van de transactionele leiderschapsstijl is de respondenten gevraagd of zij van mening zijn dat er een directer stuur zou moeten komen op het gebied van innovatie.</w:t>
      </w:r>
      <w:r w:rsidRPr="490CF5A6">
        <w:rPr>
          <w:b/>
          <w:bCs/>
        </w:rPr>
        <w:t xml:space="preserve"> </w:t>
      </w:r>
    </w:p>
    <w:p w14:paraId="0B439014" w14:textId="03BCB024" w:rsidR="4CA94D8B" w:rsidRDefault="050109F2" w:rsidP="4CA94D8B">
      <w:r>
        <w:t xml:space="preserve">Uit de interviews blijkt dat de respondenten het er unaniem over eens zijn dat er meer gestuurd moet worden op innovatie in de organisatie. Respondent 8 verwoordt dit als volgt: </w:t>
      </w:r>
      <w:r w:rsidRPr="050109F2">
        <w:rPr>
          <w:i/>
          <w:iCs/>
        </w:rPr>
        <w:t>“Ja, ik denk dat je wel wat directer stuur nodig hebt. Ik vind dat de DG heel direct moet sturen op de stip op de horizon. Dat is wat er nu wel gedaan wordt, maar vervolgens wordt de invulling vrijgelaten hoe we dat doen. Ik denk dat dus tussenstappen nodig zijn. Dat je vanuit de DG, naar de HID, naar de directeuren laag doorvertalingen moet maken van gedragingen op landelijk niveau van hoe gaan we tot die stip komen. En dat vertaalt zich dan weer door in individuele acties per organisatieonderdeel of misschien wel per afdeling. Maar die dragen dan wel gezamenlijk bij aan het gezamenlijke doel. En die tussenlaag mis ik“.</w:t>
      </w:r>
      <w:r>
        <w:t xml:space="preserve"> </w:t>
      </w:r>
      <w:r w:rsidR="00F35966" w:rsidRPr="00F35966">
        <w:t>Volgens de respondenten hangt het momenteel te veel af van de persoon of een initiatief wordt beoordeeld op basis van organisatiedoelen, of er wordt gecontroleerd of er elders in de organisatie al een oplossing bestaat, of de innovatie als kansrijk voor de organisatie wordt beschouwd, of er tijdig contact wordt gezocht met stakeholders, of leerervaringen worden gedeeld, en of de innovatie op grote schaal wordt toegepast</w:t>
      </w:r>
      <w:r>
        <w:t xml:space="preserve">. Zoals eerder aan het begin van dit hoofdstuk gezegd, is innovatiesucces op dit moment erg afhankelijk van de persoonlijke toewijding om het tot een succes te maken. </w:t>
      </w:r>
    </w:p>
    <w:p w14:paraId="00E5CCFE" w14:textId="7E020279" w:rsidR="4CA94D8B" w:rsidRDefault="050109F2" w:rsidP="4CA94D8B">
      <w:r>
        <w:t xml:space="preserve">De respondenten zijn van mening dat vanuit een concrete organisatiebrede visie en strategie op het gebied van innovatie, binnen PPO gestuurd zal moeten worden op het maken van keuzes over welke initiatieven überhaupt mogen starten en welke innovaties na een pilot levensvatbaar blijken om door te ontwikkelen richting implementatie. Ook moet er volgens de respondenten meer gestuurd worden op het eerder betrekken van cruciale stakeholders, zodat je later in het traject niet tegen muren aanloopt wat betreft het draagvlak voor de innovatie. Op het delen van leerervaringen uit innovatietrajecten moet volgens de respondenten ook meer gestuurd worden, maar geven zij wel aan dat voor de organisatie brede kennisdeling, zoals eerder gezegd, een centraal punt nodig is waar collega's deze kennis kunnen ontsluiten. Wat betreft het sturen dat iemand specifiek aan de slag moet met de opschaling en implementatie van de innovatie op andere plekken in de organisatie, zijn merendeel van de respondenten van mening dat je dit niet kan opleggen aan iemand. Daarvoor moet volgens de respondenten een intrinsieke motivatie bij de persoon aanwezig zijn. Ze zijn wel van mening dat er een stuur moet zitten op de zoektocht naar wie dan betrokken moeten zijn bij deze opschaling en implementatie. </w:t>
      </w:r>
    </w:p>
    <w:p w14:paraId="1B9AFA65" w14:textId="00AB92A6" w:rsidR="4CA94D8B" w:rsidRDefault="050109F2" w:rsidP="54C5DD97">
      <w:r>
        <w:t xml:space="preserve">Al met al zijn de respondenten van mening dat het stuur begint bij een organisatiebrede concrete visie en strategie op het gebied van innovatie. Vervolgens moet dit doorvertaald worden naar de managementlagen daaronder, wat dat dan voor hen betekent wat betreft het maken van keuzes rondom innovaties. Deze keuzes zullen dan in de ogen van de respondenten ook echt gemaakt moeten worden. De respondenten geven daarbij wel aan dat dit maken van keuzes niet echt in het karakter zit van de RWS’er, dus zal hiervoor steun moeten zijn vanuit het hogere management. Wat betreft de overige aspecten die innovaties succesvol maken, mag de PPO’er volgens de respondenten meer direct aangesproken worden op zijn of haar gedrag. Ook beschrijven respondenten, zoals eerder vermeld, dat het belonen van succesvol innoveren kan bijdragen aan de stimulans om dit breder op te pakken.  </w:t>
      </w:r>
    </w:p>
    <w:p w14:paraId="216F0A5A" w14:textId="15330480" w:rsidR="4CA94D8B" w:rsidRPr="000D0CDB" w:rsidRDefault="050109F2" w:rsidP="5FC6745F">
      <w:pPr>
        <w:rPr>
          <w:b/>
          <w:bCs/>
        </w:rPr>
      </w:pPr>
      <w:r w:rsidRPr="050109F2">
        <w:rPr>
          <w:b/>
          <w:bCs/>
        </w:rPr>
        <w:t xml:space="preserve">Eigenaarschap </w:t>
      </w:r>
      <w:r w:rsidR="5FC6745F">
        <w:br/>
      </w:r>
      <w:r w:rsidR="490CF5A6">
        <w:t xml:space="preserve">In vier van de zestien interviews is </w:t>
      </w:r>
      <w:r w:rsidR="000D0CDB">
        <w:t xml:space="preserve">psychologisch eigenaarschap </w:t>
      </w:r>
      <w:r w:rsidR="490CF5A6">
        <w:t>ter sprake gekomen, waarbij de respondenten aangeven dat zij het gevoel hebben dat er onder PPO’ers over het algemeen geen psychologisch eigenaarsc</w:t>
      </w:r>
      <w:r w:rsidR="00054FD3">
        <w:t>h</w:t>
      </w:r>
      <w:r w:rsidR="000D0CDB">
        <w:t>ap</w:t>
      </w:r>
      <w:r w:rsidR="490CF5A6">
        <w:t xml:space="preserve"> heerst bij het innovatiesucces van de organisatie. Bij de overige twaalf interviews gaven de respondenten aan dat ze het lastig vonden om hier een antwoord op te formuleren. Ze betrekken het vooral op zichzelf</w:t>
      </w:r>
      <w:r w:rsidR="00483421">
        <w:t>,</w:t>
      </w:r>
      <w:r w:rsidR="490CF5A6">
        <w:t xml:space="preserve"> dat het besef er wel is dat ze een belangrijke rol hebben in innovatiesucces van de organisatie, maar dat </w:t>
      </w:r>
      <w:r w:rsidR="00483421">
        <w:t xml:space="preserve">het </w:t>
      </w:r>
      <w:r w:rsidR="490CF5A6">
        <w:t xml:space="preserve">lastig is om hier binnen de huidige organisatie vervolg aan te geven. Respondent 8 beschrijft wel ter illustratie het volgende: </w:t>
      </w:r>
      <w:r w:rsidR="490CF5A6" w:rsidRPr="490CF5A6">
        <w:rPr>
          <w:i/>
          <w:iCs/>
        </w:rPr>
        <w:t>“Ik denk dat over het algemeen niet het besef is hoeveel impact en capaciteit er nodig is om een innovatie goed te implementeren. Dus we denken er allemaal te makkelijk ove</w:t>
      </w:r>
      <w:r w:rsidR="490CF5A6">
        <w:t>r”. Dit is volgens de respondenten, zoals eerder vermeld, niet zo apart omdat ook het management dit innovatiesucces niet ademt. De respondenten geven wel unaniem aan dat er weinig tot geen taakonderlinge afhankelijkheid is tussen de projectteams, waardoor men zich niet verbonden voelt met elkaar. Dit zie je dan ook</w:t>
      </w:r>
      <w:r w:rsidR="005F5D3D">
        <w:t xml:space="preserve"> volgens hen</w:t>
      </w:r>
      <w:r w:rsidR="490CF5A6">
        <w:t xml:space="preserve"> terug in het vermogen om innovaties succesvol te implementeren en op te schalen.  </w:t>
      </w:r>
    </w:p>
    <w:p w14:paraId="77F6BDBF" w14:textId="7333D3F5" w:rsidR="4CA94D8B" w:rsidRDefault="490CF5A6" w:rsidP="5FC6745F">
      <w:r>
        <w:t>De respondenten zijn het met elkaar eens dat er een team moet zijn d</w:t>
      </w:r>
      <w:r w:rsidR="00B57596">
        <w:t>at</w:t>
      </w:r>
      <w:r>
        <w:t xml:space="preserve"> nadrukkelijk aan de slag gaat om als het ware te trekken aan het verder brengen van innovaties in de organisatie. Ook zijn deze respondenten het met elkaar eens over het feit dat je dit team niet verantwoordelijk moet maken voor de implementatie en opschaling, maar meer als ondersteuningsteam</w:t>
      </w:r>
      <w:r w:rsidR="00054FD3">
        <w:t>s</w:t>
      </w:r>
      <w:r>
        <w:t xml:space="preserve"> moet zien die verspreid in de organisatie innovatietrajecten helpen om tot implementatie te komen. De respondenten zijn het echter niet met elkaar eens, waar dat team zich moet bevinden. </w:t>
      </w:r>
      <w:r w:rsidR="004A41DD">
        <w:t>Eén</w:t>
      </w:r>
      <w:r>
        <w:t xml:space="preserve"> groot team op organisatieniveau, een team per organisatieonderdeel of misschien wel een klein team per directie binnen de organisatieonderdelen? Respondenten 2, 10, 13 en 14 pleiten bijvoorbeeld voor een grotere rol van de werkwijzeafdelingen in het trekken aan de opschaling en implementatie van innovaties. Binnen PPO heeft iedere directie zo een werkwijzeafdeling, dus stellen de respondenten dat zij mogelijk binnen PPO deze rol kunnen vervullen. Dit is echter nog vrij fragiel, omdat er dusdanig veel meningen over zijn. Hier zal volgens de respondenten ook over na moeten worden gedacht in het organisatiebrede innovatiebeleid. </w:t>
      </w:r>
    </w:p>
    <w:p w14:paraId="11AE960E" w14:textId="4B783E93" w:rsidR="490CF5A6" w:rsidRDefault="0AB624A7" w:rsidP="490CF5A6">
      <w:pPr>
        <w:pStyle w:val="Kop2"/>
      </w:pPr>
      <w:bookmarkStart w:id="37" w:name="_Toc171411060"/>
      <w:r>
        <w:t>4.4 Sub</w:t>
      </w:r>
      <w:r w:rsidR="00D519F7">
        <w:t>c</w:t>
      </w:r>
      <w:r>
        <w:t>onclusie van dit hoofdstuk</w:t>
      </w:r>
      <w:bookmarkEnd w:id="37"/>
    </w:p>
    <w:p w14:paraId="100323C3" w14:textId="6B50911D" w:rsidR="5414C9B6" w:rsidRDefault="0AB624A7" w:rsidP="0AB624A7">
      <w:pPr>
        <w:rPr>
          <w:b/>
          <w:bCs/>
        </w:rPr>
      </w:pPr>
      <w:r>
        <w:t xml:space="preserve">Wat allereerst in de resultaten opvalt is dat de respondenten het op veel punten unaniem met elkaar eens zijn. Voorbeelden hiervan zijn de positieve bijdrage en de huidige knelpunten van de IUP-werkwijze, het gebrek aan een centraal punt voor kennisdeling over innovatie, </w:t>
      </w:r>
      <w:r w:rsidR="007B0A4E">
        <w:t xml:space="preserve">de </w:t>
      </w:r>
      <w:r>
        <w:t>te vergaande autonomie op het gebied van innovatie, geen algeheel concreet plan voor innovatie en tot slot ontbreekt in de ogen van de respondenten unaniem een stuur op innovatie. Deze constatering is op</w:t>
      </w:r>
      <w:r w:rsidR="00512D41">
        <w:t xml:space="preserve"> </w:t>
      </w:r>
      <w:r>
        <w:t xml:space="preserve">zichzelf al een bevinding, omdat dit betekent dat er draagvlak is voor verandering binnen PPO. </w:t>
      </w:r>
    </w:p>
    <w:p w14:paraId="6C23AF40" w14:textId="43895F0C" w:rsidR="0F8EFB49" w:rsidRDefault="0AB624A7" w:rsidP="0AB624A7">
      <w:pPr>
        <w:rPr>
          <w:b/>
          <w:bCs/>
        </w:rPr>
      </w:pPr>
      <w:r>
        <w:t xml:space="preserve">In de resultaten is </w:t>
      </w:r>
      <w:r w:rsidR="00054FD3">
        <w:t xml:space="preserve">daarnaast </w:t>
      </w:r>
      <w:r>
        <w:t>duidelijk een zwaartepunt te constateren, wat de respondenten zien als oorzaak van het in hun ogen onvoldoende vermogen om op dit moment binnen PPO succesvol te innoveren. In de interviews wijzen de respondenten steeds terug naar eigenlijk vier oorzaken</w:t>
      </w:r>
      <w:r w:rsidR="00585EE0">
        <w:t>,</w:t>
      </w:r>
      <w:r>
        <w:t xml:space="preserve"> namelijk</w:t>
      </w:r>
      <w:r w:rsidR="00585EE0">
        <w:t>;</w:t>
      </w:r>
      <w:r>
        <w:t xml:space="preserve"> geen prioriteit en steun voor innovatie door gebrek aan een helder plan en strategie op het gebied van innovatie, een ontbrekend stuur op innovatie, te vergaande autonomie van werknemers als gevolg van een ontbrekend stuur en plan en tot slot het gebrek aan een centraal punt om collectief leerervaringen te delen.  </w:t>
      </w:r>
    </w:p>
    <w:p w14:paraId="2BF02E74" w14:textId="7BF5A007" w:rsidR="5FC6745F" w:rsidRPr="00772B0B" w:rsidRDefault="0AB624A7">
      <w:pPr>
        <w:rPr>
          <w:b/>
          <w:bCs/>
        </w:rPr>
      </w:pPr>
      <w:r>
        <w:t xml:space="preserve">In het volgende hoofdstuk wordt op basis van deze beschrijving antwoord gegeven op de geformuleerde onderzoeksvragen. </w:t>
      </w:r>
      <w:r w:rsidR="5FC6745F">
        <w:br w:type="page"/>
      </w:r>
    </w:p>
    <w:p w14:paraId="5AB761D9" w14:textId="234DD400" w:rsidR="33DD619B" w:rsidRDefault="0AB624A7" w:rsidP="5414C9B6">
      <w:pPr>
        <w:pStyle w:val="Kop1"/>
      </w:pPr>
      <w:bookmarkStart w:id="38" w:name="_Toc171411061"/>
      <w:r>
        <w:t xml:space="preserve">Hoofdstuk 5: Conclusie en </w:t>
      </w:r>
      <w:r w:rsidR="00E114A4">
        <w:t>D</w:t>
      </w:r>
      <w:r>
        <w:t>iscussie</w:t>
      </w:r>
      <w:bookmarkEnd w:id="38"/>
    </w:p>
    <w:p w14:paraId="08237B91" w14:textId="3F6C05AD" w:rsidR="5414C9B6" w:rsidRDefault="40B56B9A">
      <w:r>
        <w:t>Innovatief vermogen</w:t>
      </w:r>
      <w:r w:rsidR="009A2B08">
        <w:t>;</w:t>
      </w:r>
      <w:r>
        <w:t xml:space="preserve"> het is een begrip dat altijd relevant is geweest voor (publieke) organisaties. Dit geldt ook zeker </w:t>
      </w:r>
      <w:r w:rsidR="007E7AE3">
        <w:t>binnen</w:t>
      </w:r>
      <w:r>
        <w:t xml:space="preserve"> Rijkswaterstaat. </w:t>
      </w:r>
      <w:r w:rsidR="007C0802">
        <w:t>Met de naderende complexe en grote opgave</w:t>
      </w:r>
      <w:r w:rsidR="009521E4">
        <w:t xml:space="preserve">n voor de organisatie </w:t>
      </w:r>
      <w:r w:rsidR="00787042">
        <w:t xml:space="preserve">heeft de organisatie uitgesproken dat </w:t>
      </w:r>
      <w:r w:rsidR="005B00F6">
        <w:t xml:space="preserve">er op het gebied van dit innovatievermogen verbeterstappen moeten worden gezet om de toekomstige opgaven aan te kunnen. </w:t>
      </w:r>
      <w:r>
        <w:t>Met het ontwikkelen van de IUP-werkwijze is hiertoe</w:t>
      </w:r>
      <w:r w:rsidR="00AA27C1">
        <w:t xml:space="preserve"> in 2019</w:t>
      </w:r>
      <w:r>
        <w:t xml:space="preserve"> al een stap gezet. Met het oog</w:t>
      </w:r>
      <w:r w:rsidR="00943483">
        <w:t xml:space="preserve"> op deze ontwikkeling was het hoe dan ook </w:t>
      </w:r>
      <w:r>
        <w:t xml:space="preserve">relevant om te </w:t>
      </w:r>
      <w:r w:rsidR="00022BF0">
        <w:t>onderzoeken</w:t>
      </w:r>
      <w:r>
        <w:t xml:space="preserve"> in hoeverre de IUP-werkwijze</w:t>
      </w:r>
      <w:r w:rsidR="00AA27C1">
        <w:t xml:space="preserve"> een bijdrage levert of kan leveren om het innovatievermogen van de organisatie te versterken</w:t>
      </w:r>
      <w:r>
        <w:t>. Echter, werken met</w:t>
      </w:r>
      <w:r w:rsidR="00871EBB">
        <w:t xml:space="preserve"> enkel</w:t>
      </w:r>
      <w:r>
        <w:t xml:space="preserve"> de IUP-werkwijze is niet voldoende stelt de organisatie</w:t>
      </w:r>
      <w:r w:rsidR="00FB0869">
        <w:t>. H</w:t>
      </w:r>
      <w:r>
        <w:t xml:space="preserve">et gaat daarnaast ook om het aanpassen van systemen, processen en houding en gedrag in de organisatie. Met deze aanleiding in het achterhoofd is aan het begin van dit onderzoek de volgende centrale vraag geformuleerd: </w:t>
      </w:r>
    </w:p>
    <w:p w14:paraId="22FDF0E7" w14:textId="7EF8974B" w:rsidR="33DD619B" w:rsidRDefault="050109F2" w:rsidP="40B56B9A">
      <w:pPr>
        <w:rPr>
          <w:i/>
          <w:iCs/>
        </w:rPr>
      </w:pPr>
      <w:r w:rsidRPr="050109F2">
        <w:rPr>
          <w:i/>
          <w:iCs/>
        </w:rPr>
        <w:t>‘Welke factoren zijn noodzakelijk om het innovatievermogen van een organisatie als Rijkswaterstaat te versterken</w:t>
      </w:r>
      <w:r w:rsidR="00AE2647">
        <w:rPr>
          <w:i/>
          <w:iCs/>
        </w:rPr>
        <w:t xml:space="preserve"> en</w:t>
      </w:r>
      <w:r w:rsidRPr="050109F2">
        <w:rPr>
          <w:i/>
          <w:iCs/>
        </w:rPr>
        <w:t xml:space="preserve"> in welke mate zijn deze aanwezig bij de PPO-dienst van Rijkswaterstaat?’</w:t>
      </w:r>
    </w:p>
    <w:p w14:paraId="00D397E9" w14:textId="2E10DF29" w:rsidR="050109F2" w:rsidRDefault="0AB624A7" w:rsidP="0AB624A7">
      <w:r w:rsidRPr="0AB624A7">
        <w:t>Om deze centrale vraag te beantwoorden</w:t>
      </w:r>
      <w:r w:rsidR="007C0057">
        <w:t>,</w:t>
      </w:r>
      <w:r w:rsidRPr="0AB624A7">
        <w:t xml:space="preserve"> is </w:t>
      </w:r>
      <w:r w:rsidR="00496E1F">
        <w:t xml:space="preserve">er </w:t>
      </w:r>
      <w:r w:rsidRPr="0AB624A7">
        <w:t xml:space="preserve">allereerst uitgebreid literatuuronderzoek gedaan naar de succesfactoren voor het versterken van het innovatievermogen van een organisatie. Dit heeft geresulteerd in het </w:t>
      </w:r>
      <w:r w:rsidR="00A916CA">
        <w:t>T</w:t>
      </w:r>
      <w:r w:rsidRPr="0AB624A7">
        <w:t xml:space="preserve">heoretisch </w:t>
      </w:r>
      <w:r w:rsidR="00A916CA">
        <w:t>K</w:t>
      </w:r>
      <w:r w:rsidRPr="0AB624A7">
        <w:t xml:space="preserve">ader van dit onderzoek, waarin antwoord </w:t>
      </w:r>
      <w:r w:rsidR="00B33A4E">
        <w:t>is</w:t>
      </w:r>
      <w:r w:rsidRPr="0AB624A7">
        <w:t xml:space="preserve"> gegeven op de eerste deelvraag</w:t>
      </w:r>
      <w:r w:rsidR="00EB38C6">
        <w:t xml:space="preserve"> van dit onderzoek. </w:t>
      </w:r>
      <w:r w:rsidR="00B33A4E">
        <w:t>D</w:t>
      </w:r>
      <w:r w:rsidR="00EB38C6">
        <w:t xml:space="preserve">it </w:t>
      </w:r>
      <w:r w:rsidR="005B3CCB">
        <w:t>h</w:t>
      </w:r>
      <w:r w:rsidR="00EB38C6">
        <w:t>oofdstuk richt zich</w:t>
      </w:r>
      <w:r w:rsidR="00203D53">
        <w:t xml:space="preserve"> allereerst</w:t>
      </w:r>
      <w:r w:rsidR="00EB38C6">
        <w:t xml:space="preserve"> op het beantwoorden van de twee empirische deelvragen </w:t>
      </w:r>
      <w:r w:rsidR="00B33A4E">
        <w:t>om</w:t>
      </w:r>
      <w:r w:rsidR="00203D53">
        <w:t xml:space="preserve"> </w:t>
      </w:r>
      <w:r w:rsidR="006629B4">
        <w:t>daaropvolgend</w:t>
      </w:r>
      <w:r w:rsidR="00203D53">
        <w:t xml:space="preserve"> de centrale vraag van dit onderzoek</w:t>
      </w:r>
      <w:r w:rsidR="00B33A4E">
        <w:t xml:space="preserve"> te beantwoorden</w:t>
      </w:r>
      <w:r w:rsidR="006629B4">
        <w:t>.</w:t>
      </w:r>
      <w:r w:rsidR="00203D53">
        <w:t xml:space="preserve"> </w:t>
      </w:r>
      <w:r w:rsidR="00500B80">
        <w:t xml:space="preserve">Vervolgens wordt ingegaan op de reflectie op dit onderzoek. Dit onderzoek sluit af met </w:t>
      </w:r>
      <w:r w:rsidR="007C7E8A">
        <w:t xml:space="preserve">aanbevelingen </w:t>
      </w:r>
      <w:r w:rsidR="009F073B">
        <w:t>aan PPO</w:t>
      </w:r>
      <w:r w:rsidR="00A916CA">
        <w:t xml:space="preserve"> over hoe het innovatievermogen versterkt kan gaan worden. </w:t>
      </w:r>
    </w:p>
    <w:p w14:paraId="3C606536" w14:textId="6D6671ED" w:rsidR="33DD619B" w:rsidRDefault="0AB624A7" w:rsidP="40B56B9A">
      <w:r>
        <w:t xml:space="preserve"> </w:t>
      </w:r>
      <w:bookmarkStart w:id="39" w:name="_Toc171411062"/>
      <w:r w:rsidRPr="0AB624A7">
        <w:rPr>
          <w:rStyle w:val="Kop2Char"/>
        </w:rPr>
        <w:t>5.</w:t>
      </w:r>
      <w:r w:rsidR="00A916CA">
        <w:rPr>
          <w:rStyle w:val="Kop2Char"/>
        </w:rPr>
        <w:t>1</w:t>
      </w:r>
      <w:r w:rsidRPr="0AB624A7">
        <w:rPr>
          <w:rStyle w:val="Kop2Char"/>
        </w:rPr>
        <w:t xml:space="preserve"> Het beantwoorden van de onderzoeksvragen</w:t>
      </w:r>
      <w:bookmarkEnd w:id="39"/>
    </w:p>
    <w:p w14:paraId="3A1E73B4" w14:textId="1E4A2D04" w:rsidR="00EB5E34" w:rsidRPr="00EB5E34" w:rsidRDefault="0AB624A7" w:rsidP="00EB5E34">
      <w:pPr>
        <w:pStyle w:val="Kop3"/>
      </w:pPr>
      <w:bookmarkStart w:id="40" w:name="_Toc171411063"/>
      <w:r w:rsidRPr="00EB5E34">
        <w:t>5.</w:t>
      </w:r>
      <w:r w:rsidR="00D7611D" w:rsidRPr="00EB5E34">
        <w:t>1</w:t>
      </w:r>
      <w:r w:rsidRPr="00EB5E34">
        <w:t xml:space="preserve">.1 </w:t>
      </w:r>
      <w:r w:rsidR="00CD0CB0">
        <w:t>Opgenomen s</w:t>
      </w:r>
      <w:r w:rsidRPr="00EB5E34">
        <w:t>uccesfactoren</w:t>
      </w:r>
      <w:r w:rsidR="00CD0CB0">
        <w:t xml:space="preserve"> </w:t>
      </w:r>
      <w:r w:rsidRPr="00EB5E34">
        <w:t xml:space="preserve">in de IUP-werkwijze </w:t>
      </w:r>
      <w:r w:rsidR="00CD0CB0">
        <w:t>van Rijkswaterstaat</w:t>
      </w:r>
      <w:bookmarkEnd w:id="40"/>
    </w:p>
    <w:p w14:paraId="78D51CBA" w14:textId="4DD74072" w:rsidR="33DD619B" w:rsidRPr="00EB5E34" w:rsidRDefault="0AB624A7" w:rsidP="00EB5E34">
      <w:pPr>
        <w:rPr>
          <w:i/>
          <w:iCs/>
        </w:rPr>
      </w:pPr>
      <w:r w:rsidRPr="0AB624A7">
        <w:t xml:space="preserve">Op basis van dit onderzoek kan gesteld worden dat de IUP-werkwijze van Rijkswaterstaat de cruciale succesfactor uit de literatuur, ‘een gestructureerd innovatieproces in een tool of procesbeschrijving’, grotendeels </w:t>
      </w:r>
      <w:r w:rsidR="00485591">
        <w:t>afvinkt</w:t>
      </w:r>
      <w:r w:rsidRPr="0AB624A7">
        <w:t>. De evaluatie van d</w:t>
      </w:r>
      <w:r w:rsidR="00550EC0">
        <w:t>eze werkwijze</w:t>
      </w:r>
      <w:r w:rsidRPr="0AB624A7">
        <w:t xml:space="preserve">, door middel van documentanalyse en interviews, wijst namelijk uit dat de cruciale succesfactoren die voortkomen uit de </w:t>
      </w:r>
      <w:r w:rsidR="00604DE5">
        <w:t>theorie</w:t>
      </w:r>
      <w:r w:rsidRPr="0AB624A7">
        <w:t xml:space="preserve"> over een gestructureerd innovatieproces bijna </w:t>
      </w:r>
      <w:r w:rsidR="001E4EED">
        <w:t xml:space="preserve">allemaal direct te herleiden zijn </w:t>
      </w:r>
      <w:r w:rsidR="00893C60">
        <w:t>naar</w:t>
      </w:r>
      <w:r w:rsidRPr="0AB624A7">
        <w:t xml:space="preserve"> de IUP-werkwijze van Rijkswaterstaat. Uit het onderzoek naar de IUP-werkwijze blijkt daarnaast dat de respondenten, van de interviews over het praktisch gebruik van de werkwijze, daardoor de werkwijze potentieel een geschikte hoog-over-tool vinden om innovatietrajecten beter door het innovatieproces te leiden. Uit deze interviews komt vooral naar voren dat de nadruk in de werkwijze ligt op het tijdig in kaart brengen van de stakeholders en risico's in respectievelijk de impact- en risicoanalyse, zodat tijdig kan worden overwogen of de innovatie kansrijk en haalbaar genoeg is om mee door te gaan en men daardoor later niet tegen muren aanloopt bij de implementatie van de innovatie in de organisatie. </w:t>
      </w:r>
      <w:r w:rsidR="00647C9C">
        <w:t xml:space="preserve">De GO/NO GO momenten </w:t>
      </w:r>
      <w:r w:rsidR="00AD75DD">
        <w:t>in de werkwijze maken het</w:t>
      </w:r>
      <w:r w:rsidR="00251231">
        <w:t xml:space="preserve"> vervolgens ook echt</w:t>
      </w:r>
      <w:r w:rsidR="00AD75DD">
        <w:t xml:space="preserve"> mogelijk dat deze keuzes ook op vaste momenten gemaakt kunnen gaan worden</w:t>
      </w:r>
      <w:r w:rsidR="00251231">
        <w:t xml:space="preserve">. </w:t>
      </w:r>
      <w:r w:rsidRPr="0AB624A7">
        <w:t xml:space="preserve">Deze omschrijving van de werking van de IUP-werkwijze komt overeen met wat de literatuur omschrijft als cruciaal voor een succesvol innovatieproces. </w:t>
      </w:r>
    </w:p>
    <w:p w14:paraId="3111510D" w14:textId="29EBA155" w:rsidR="33DD619B" w:rsidRDefault="0AB624A7" w:rsidP="0AB624A7">
      <w:pPr>
        <w:pStyle w:val="Kop3"/>
      </w:pPr>
      <w:bookmarkStart w:id="41" w:name="_Toc171411064"/>
      <w:r>
        <w:t>5.</w:t>
      </w:r>
      <w:r w:rsidR="00D7611D">
        <w:t>1</w:t>
      </w:r>
      <w:r>
        <w:t xml:space="preserve">.2 </w:t>
      </w:r>
      <w:r w:rsidR="00CD0CB0">
        <w:t xml:space="preserve">Ontbrekende succesfactoren </w:t>
      </w:r>
      <w:r w:rsidR="00D50EE7">
        <w:t>in de IUP-werkwijze en bij de PPO-dienst</w:t>
      </w:r>
      <w:r w:rsidR="00F50D92">
        <w:t xml:space="preserve"> van Rijkswaterstaat</w:t>
      </w:r>
      <w:bookmarkEnd w:id="41"/>
    </w:p>
    <w:p w14:paraId="026838C6" w14:textId="6D48455C" w:rsidR="33DD619B" w:rsidRDefault="00460225" w:rsidP="0AB624A7">
      <w:r>
        <w:t xml:space="preserve">Uit dit onderzoek blijkt </w:t>
      </w:r>
      <w:r w:rsidR="009766B9">
        <w:t xml:space="preserve">allereerst dat wat betreft de IUP-werkwijze nog een aantal stappen te zetten zijn, voordat over kan worden gegaan tot implementatie. In deze werkwijze ontbreken namelijk drie cruciale aspecten, die volgens de respondenten wel opgenomen zouden moeten worden in de IUP-werkwijze. Het gaat hierbij om de aspecten: </w:t>
      </w:r>
      <w:r w:rsidR="009766B9" w:rsidRPr="0AB624A7">
        <w:t>checken voor een oplossing elders in de organisatie, bijhouden van een projectdossier en het uitvoeren van een eindevaluatie</w:t>
      </w:r>
      <w:r w:rsidR="0AB624A7" w:rsidRPr="0AB624A7">
        <w:t>. Daarnaast blijkt uit dit onderzoek dat de IUP-werkwijze nog geen antwoord</w:t>
      </w:r>
      <w:r w:rsidR="00542ECD">
        <w:t>en biedt</w:t>
      </w:r>
      <w:r w:rsidR="00FB019C">
        <w:t xml:space="preserve"> op </w:t>
      </w:r>
      <w:r w:rsidR="0093541F">
        <w:t>de ‘hoe-vraag’</w:t>
      </w:r>
      <w:r w:rsidR="00FB019C" w:rsidRPr="00FB019C">
        <w:t xml:space="preserve">, </w:t>
      </w:r>
      <w:r w:rsidR="00BB4F0D">
        <w:t>maar ook</w:t>
      </w:r>
      <w:r w:rsidR="005621E7">
        <w:t xml:space="preserve"> op de vragen</w:t>
      </w:r>
      <w:r w:rsidR="00BB4F0D">
        <w:t xml:space="preserve"> </w:t>
      </w:r>
      <w:r w:rsidR="00FB019C" w:rsidRPr="00FB019C">
        <w:t>wie de opdrachtgever mag zijn</w:t>
      </w:r>
      <w:r w:rsidR="00BB4F0D">
        <w:t xml:space="preserve"> van een innovatietraject</w:t>
      </w:r>
      <w:r w:rsidR="00FB019C" w:rsidRPr="00FB019C">
        <w:t xml:space="preserve"> en wie de beslissingen neemt tijdens de faseovergangen</w:t>
      </w:r>
      <w:r w:rsidR="00BB4F0D">
        <w:t xml:space="preserve"> van de IUP-werkwijze</w:t>
      </w:r>
      <w:r w:rsidR="00FB019C" w:rsidRPr="00FB019C">
        <w:t xml:space="preserve">. </w:t>
      </w:r>
      <w:r w:rsidR="005621E7">
        <w:t xml:space="preserve">Al met al zijn dus </w:t>
      </w:r>
      <w:r w:rsidR="006A137A">
        <w:t>ontwikkelings</w:t>
      </w:r>
      <w:r w:rsidR="005621E7">
        <w:t xml:space="preserve">stappen te zetten wat betreft de aanvulling </w:t>
      </w:r>
      <w:r w:rsidR="00A30093">
        <w:t>van de IUP-werkwijze met ontbrekende cruciale factoren</w:t>
      </w:r>
      <w:r w:rsidR="00983416">
        <w:t xml:space="preserve">. Bovendien noodzakelijk om antwoorden te vinden op de openstaande vragen, voordat kan worden overgegaan tot implementatie van de IUP-werkwijze. </w:t>
      </w:r>
    </w:p>
    <w:p w14:paraId="027364C0" w14:textId="337B2C8B" w:rsidR="33DD619B" w:rsidRDefault="0AB624A7" w:rsidP="0AB624A7">
      <w:r w:rsidRPr="0AB624A7">
        <w:t xml:space="preserve">Op basis van het onderzoek naar de invulling van de organisatiegerelateerde succesfactoren binnen PPO kunnen we constateren dat er </w:t>
      </w:r>
      <w:r w:rsidR="00646B2A">
        <w:t xml:space="preserve">ook </w:t>
      </w:r>
      <w:r w:rsidRPr="0AB624A7">
        <w:t xml:space="preserve">nog veel stappen te zetten zijn wat betreft de invulling van deze succesfactoren. De respondenten wijzen namelijk </w:t>
      </w:r>
      <w:r w:rsidR="00582830">
        <w:t xml:space="preserve">allereerst </w:t>
      </w:r>
      <w:r w:rsidRPr="0AB624A7">
        <w:t>op het ontbreken van een plan en strategie op het gebied van innovatie</w:t>
      </w:r>
      <w:r w:rsidR="00582830">
        <w:t>.</w:t>
      </w:r>
      <w:r w:rsidR="002D35C0" w:rsidRPr="002D35C0">
        <w:t xml:space="preserve"> </w:t>
      </w:r>
      <w:r w:rsidR="002D35C0" w:rsidRPr="00925203">
        <w:t>Het topmanagement ademt geen innovatie, dus is het logisch dat dit te merken is in het organisatieonderdeel PPO</w:t>
      </w:r>
      <w:r w:rsidR="00925203" w:rsidRPr="00925203">
        <w:t xml:space="preserve">. Het onderzoek wijst uit dat er geen structurele aanpak is om innovatie echt te integreren in de dagelijkse werkzaamheden van de organisatie. Daarnaast is er geen algeheel plan over hoe </w:t>
      </w:r>
      <w:r w:rsidR="00893381">
        <w:t xml:space="preserve">moet </w:t>
      </w:r>
      <w:r w:rsidR="00925203" w:rsidRPr="00925203">
        <w:t>word</w:t>
      </w:r>
      <w:r w:rsidR="00893381">
        <w:t>en</w:t>
      </w:r>
      <w:r w:rsidR="00925203" w:rsidRPr="00925203">
        <w:t xml:space="preserve"> omgegaan met risico’s en portfoliomanagement in innovatie, waar innovaties kunnen plaatsvinden en hoe er gestuurd moet worden op succesvol innoveren. </w:t>
      </w:r>
      <w:r w:rsidRPr="0AB624A7">
        <w:t>Dit is daarmee ook gelijk de tweede succesfactor die volgens dit onderzoek onvoldoende wordt ingevuld binnen in dit geval PPO</w:t>
      </w:r>
      <w:r w:rsidR="0035525E">
        <w:t>-</w:t>
      </w:r>
      <w:r w:rsidRPr="0AB624A7">
        <w:t>specifiek, namelijk leiderschap. Uit het onderzoek blijkt dat er onvoldoende wordt gestuurd op het maken van keuzes wat betreft innovatie en aspecten die nodig zijn om de kansrijke en haalbare innovaties succesvol op meerdere plekken in de organisatie te implementeren. In de ogen van de respondenten is de autonomie van professionals een groot goed voor het creatief kunnen bedenken van innovaties,</w:t>
      </w:r>
      <w:r w:rsidR="008A69B3">
        <w:t xml:space="preserve"> maar slaat d</w:t>
      </w:r>
      <w:r w:rsidR="00FC5281">
        <w:t xml:space="preserve">eze autonomie in de huidige situatie </w:t>
      </w:r>
      <w:r w:rsidRPr="0AB624A7">
        <w:t>te ver door</w:t>
      </w:r>
      <w:r w:rsidR="001F7E07">
        <w:t xml:space="preserve">. Hierdoor ontstaan </w:t>
      </w:r>
      <w:r w:rsidRPr="0AB624A7">
        <w:t>overal binnen PPO nieuwe initiatieven zonder dat deze initiatieven worden afgezet tegen de doelen van PPO en andere initiatieven die gaande zijn. In de huidige situatie zou dit wel moeten kunnen, omdat uit dit onderzoek blijkt dat</w:t>
      </w:r>
      <w:r w:rsidR="00CC79C5">
        <w:t xml:space="preserve"> </w:t>
      </w:r>
      <w:r w:rsidRPr="0AB624A7">
        <w:t xml:space="preserve">binnen PPO stappen gezet zijn om zelf innovatiedoelen op te stellen die afgeleid zijn vanuit de focuspunten en er daarnaast een overzicht is van de lopende initiatieven binnen PPO. Desondanks wordt er niet gestuurd op het maken van keuzes in de initiatieven die lopen, waardoor overal initiatieven oneindig blijven aanmodderen. De sturing ontbreekt zoals gezegd ook in de aspecten die nodig zijn om innovaties succesvol op meerdere plekken te implementeren. De </w:t>
      </w:r>
      <w:r w:rsidR="007F5230">
        <w:t>werknemers</w:t>
      </w:r>
      <w:r w:rsidRPr="0AB624A7">
        <w:t xml:space="preserve"> worden vrijgelaten in </w:t>
      </w:r>
      <w:r w:rsidR="007F5230">
        <w:t>he</w:t>
      </w:r>
      <w:r w:rsidRPr="0AB624A7">
        <w:t xml:space="preserve">t implementeren van de innovatie, waarbij ze als gevolg van de vele muren nu vaak afhaken om dit door te zetten. </w:t>
      </w:r>
    </w:p>
    <w:p w14:paraId="7F983818" w14:textId="4D9758CA" w:rsidR="33DD619B" w:rsidRDefault="0AB624A7" w:rsidP="0AB624A7">
      <w:r w:rsidRPr="0AB624A7">
        <w:t xml:space="preserve">Op basis van dit onderzoek is </w:t>
      </w:r>
      <w:r w:rsidR="00AC2895">
        <w:t xml:space="preserve">tot slot </w:t>
      </w:r>
      <w:r w:rsidR="00D2117E">
        <w:t xml:space="preserve">wel </w:t>
      </w:r>
      <w:r w:rsidRPr="0AB624A7">
        <w:t xml:space="preserve">te stellen dat er sinds </w:t>
      </w:r>
      <w:r w:rsidR="00D11D67">
        <w:t>de publicatie</w:t>
      </w:r>
      <w:r w:rsidRPr="0AB624A7">
        <w:t xml:space="preserve"> van</w:t>
      </w:r>
      <w:r w:rsidR="00D11D67">
        <w:t xml:space="preserve"> het onderzoek van</w:t>
      </w:r>
      <w:r w:rsidRPr="0AB624A7">
        <w:t xml:space="preserve"> Gerritz (2021), over de lerende organisatie, stappen zijn gezet </w:t>
      </w:r>
      <w:r w:rsidR="00A50C88" w:rsidRPr="0AB624A7">
        <w:t xml:space="preserve">binnen PPO </w:t>
      </w:r>
      <w:r w:rsidRPr="0AB624A7">
        <w:t>wat betreft het delen van leerervaringen met elkaar. Het delen van leerervaringen omtrent innovatie blijft hierin echter achter volgens dit onderzoek.</w:t>
      </w:r>
      <w:r w:rsidR="00DD2879">
        <w:t xml:space="preserve"> Dit heeft deels te maken </w:t>
      </w:r>
      <w:r w:rsidR="00534E95">
        <w:t xml:space="preserve">met </w:t>
      </w:r>
      <w:r w:rsidR="00DD2879">
        <w:t>dat de mislukte innovaties vaak niet als iets productiefs worden gezien</w:t>
      </w:r>
      <w:r w:rsidR="00E86F7D">
        <w:t xml:space="preserve">. </w:t>
      </w:r>
      <w:r w:rsidRPr="0AB624A7">
        <w:t xml:space="preserve">Zoals gezegd, gebeurt het regelmatig dat er meerdere keren het wiel wordt uitgevonden. Men weet vaak niet van elkaar dat iemand al eenzelfde soort leerervaring heeft doorgemaakt en daarvoor ook </w:t>
      </w:r>
      <w:r w:rsidR="00E61FA8">
        <w:t xml:space="preserve">al </w:t>
      </w:r>
      <w:r w:rsidRPr="0AB624A7">
        <w:t xml:space="preserve">een oplossing heeft gevonden. </w:t>
      </w:r>
      <w:r w:rsidR="00085C71">
        <w:t xml:space="preserve">Dat dit delen van leerervaringen niet wordt gedaan </w:t>
      </w:r>
      <w:r w:rsidRPr="0AB624A7">
        <w:t>heeft volgens dit onderzoek te maken met drie dingen, namelijk het onvoldoende sturen op en belonen van het delen van leerervaringen, het gebrek aan een centraal punt waar de leerervaringen gedeeld kunnen worden en tot slot een zeer klein lokaal netwerk in de organisatie als gevolg van lage taakonderlinge afhankelijkheid.</w:t>
      </w:r>
    </w:p>
    <w:p w14:paraId="7C1876F3" w14:textId="7EC7FE82" w:rsidR="33DD619B" w:rsidRDefault="0AB624A7" w:rsidP="0AB624A7">
      <w:pPr>
        <w:pStyle w:val="Kop3"/>
      </w:pPr>
      <w:bookmarkStart w:id="42" w:name="_Toc171411065"/>
      <w:r>
        <w:t>5.</w:t>
      </w:r>
      <w:r w:rsidR="00D7611D">
        <w:t>1</w:t>
      </w:r>
      <w:r>
        <w:t xml:space="preserve">.3 </w:t>
      </w:r>
      <w:r w:rsidR="00261043">
        <w:t>Het antwoord op de centrale vraag</w:t>
      </w:r>
      <w:bookmarkEnd w:id="42"/>
    </w:p>
    <w:p w14:paraId="583E6A7B" w14:textId="3CD525D7" w:rsidR="00A732F7" w:rsidRDefault="00875CA6" w:rsidP="0AB624A7">
      <w:r>
        <w:t xml:space="preserve">Het onderzoek naar de IUP-werkwijze toont aan </w:t>
      </w:r>
      <w:r w:rsidR="006C02BC">
        <w:t xml:space="preserve">dat hoewel de werkwijze een groot deel van de cruciale aspecten </w:t>
      </w:r>
      <w:r w:rsidR="00330511">
        <w:t>voor een gestructureerd innovatieproces omvat en potentieel geschikt is om een bijdrage te leveren aan het versterken van het innovatievermogen</w:t>
      </w:r>
      <w:r w:rsidR="006C2645">
        <w:t xml:space="preserve">, er nog cruciale aspecten ontbreken. </w:t>
      </w:r>
      <w:r w:rsidR="004633A4">
        <w:t>Bovendien biedt de IUP-werkwijze nog geen antwoorden op cruciale vragen over de uitvoering, rol van de opdrachtgever</w:t>
      </w:r>
      <w:r w:rsidR="00814416">
        <w:t xml:space="preserve"> en de besluitvorming bij de faseovergangen. </w:t>
      </w:r>
      <w:r w:rsidR="00450F89">
        <w:t xml:space="preserve">Het beantwoorden van deze vragen en het toevoegen van de cruciale aspecten kan echter op korte termijn </w:t>
      </w:r>
      <w:r w:rsidR="00EE1F0C">
        <w:t>plaatsvinden</w:t>
      </w:r>
      <w:r w:rsidR="00450F89">
        <w:t xml:space="preserve">, waardoor </w:t>
      </w:r>
      <w:r w:rsidR="001131D6">
        <w:t>de IUP-werkwijze de potentie heeft om op korte termijn een bijdrage te leveren aan het innovatievermogen van de organisatie.</w:t>
      </w:r>
    </w:p>
    <w:p w14:paraId="4CB4948B" w14:textId="5AAFCBCB" w:rsidR="00875CA6" w:rsidRDefault="0AB624A7" w:rsidP="0AB624A7">
      <w:r w:rsidRPr="0AB624A7">
        <w:t>Wat betreft de organisatiegerelateerde succesfactoren is een wat minder positief beeld te schetsen</w:t>
      </w:r>
      <w:r w:rsidR="00923EEE">
        <w:t>. O</w:t>
      </w:r>
      <w:r w:rsidR="00981D46">
        <w:t xml:space="preserve">p het gebied van deze factoren zijn </w:t>
      </w:r>
      <w:r w:rsidR="001131D6">
        <w:t>namelijk</w:t>
      </w:r>
      <w:r w:rsidR="007B3AB6">
        <w:t xml:space="preserve"> grotere stappen te zetten</w:t>
      </w:r>
      <w:r w:rsidRPr="0AB624A7">
        <w:t>.</w:t>
      </w:r>
      <w:r w:rsidR="006B79ED" w:rsidRPr="006B79ED">
        <w:t xml:space="preserve"> De respondenten leggen daarbij als oorzaak het meeste gewicht neer bij de onvoldoende invulling van de succesfactoren innovatiebeleid- en strategie, leiderschap en kennismanagement- en deling. De respondenten wijzen namelijk vooral op het ontbreken van een plan en strategie op het gebied van innovatie, een ontbrekend stuur op succesvol innoveren, een daardoor te vergaande autonomie op het gebied van innovatie en tot slot een ontbrekend centraal punt voor het delen van leerervaringen rondom innovaties. Als gevolg van de onvoldoende invulling van deze succesfactoren, is PPO volgens dit onderzoek onvoldoende in staat om innovaties uiteindelijk succesvol te implementeren op meerdere plekken in de organisatie en collectief te leren van innovaties. </w:t>
      </w:r>
      <w:r w:rsidRPr="0AB624A7">
        <w:t xml:space="preserve"> </w:t>
      </w:r>
    </w:p>
    <w:p w14:paraId="7EA00E8E" w14:textId="3E8BBEC0" w:rsidR="33DD619B" w:rsidRDefault="0AB624A7" w:rsidP="003F1A77">
      <w:bookmarkStart w:id="43" w:name="_Toc171411066"/>
      <w:r w:rsidRPr="0AB624A7">
        <w:rPr>
          <w:rStyle w:val="Kop2Char"/>
        </w:rPr>
        <w:t>5.</w:t>
      </w:r>
      <w:r w:rsidR="00D7611D">
        <w:rPr>
          <w:rStyle w:val="Kop2Char"/>
        </w:rPr>
        <w:t>2</w:t>
      </w:r>
      <w:r w:rsidRPr="0AB624A7">
        <w:rPr>
          <w:rStyle w:val="Kop2Char"/>
        </w:rPr>
        <w:t xml:space="preserve"> </w:t>
      </w:r>
      <w:r w:rsidR="00BD588A">
        <w:rPr>
          <w:rStyle w:val="Kop2Char"/>
        </w:rPr>
        <w:t>Implicaties van dit onderzoek</w:t>
      </w:r>
      <w:bookmarkEnd w:id="43"/>
      <w:r w:rsidR="00BD588A">
        <w:t xml:space="preserve"> </w:t>
      </w:r>
      <w:r w:rsidR="00E81F01">
        <w:br/>
      </w:r>
      <w:r w:rsidR="00057BF5">
        <w:t xml:space="preserve">Met dit onderzoek </w:t>
      </w:r>
      <w:r w:rsidR="004575F2">
        <w:t xml:space="preserve">is getracht om </w:t>
      </w:r>
      <w:r w:rsidR="00365C03">
        <w:t>d</w:t>
      </w:r>
      <w:r w:rsidR="004575F2">
        <w:t xml:space="preserve">e tekortkomingen in de bestaande literatuur </w:t>
      </w:r>
      <w:r w:rsidR="00582F00">
        <w:t xml:space="preserve">aan te vullen. Zoals in </w:t>
      </w:r>
      <w:r w:rsidR="00C36583">
        <w:t>h</w:t>
      </w:r>
      <w:r w:rsidR="00582F00">
        <w:t>oofdstuk 1 beschreven</w:t>
      </w:r>
      <w:r w:rsidR="009D7743">
        <w:t>,</w:t>
      </w:r>
      <w:r w:rsidR="00582F00">
        <w:t xml:space="preserve"> biedt de bestaande literatuur een overzicht van succesfactoren die binnen private organisaties een bijdrage leveren aan het versterken van het innovatievermogen</w:t>
      </w:r>
      <w:r w:rsidR="004E4432">
        <w:t>. Ook biedt de</w:t>
      </w:r>
      <w:r w:rsidR="00AE6001">
        <w:t xml:space="preserve"> bestaande </w:t>
      </w:r>
      <w:r w:rsidR="004E4432">
        <w:t>literatuur</w:t>
      </w:r>
      <w:r w:rsidR="004E73A8">
        <w:t xml:space="preserve"> </w:t>
      </w:r>
      <w:r w:rsidR="004E4432">
        <w:t xml:space="preserve">theorie </w:t>
      </w:r>
      <w:r w:rsidR="00EB5506">
        <w:t xml:space="preserve">over wat publieke organisaties doorgaans belemmert om innovatief te zijn. Hoewel dit op een aantal punten </w:t>
      </w:r>
      <w:r w:rsidR="00B01265">
        <w:t>een spiegeling is</w:t>
      </w:r>
      <w:r w:rsidR="00BF3A3C">
        <w:t xml:space="preserve"> van</w:t>
      </w:r>
      <w:r w:rsidR="00E15A25">
        <w:t xml:space="preserve"> de succesfactoren, die onderzocht zijn in p</w:t>
      </w:r>
      <w:r w:rsidR="00B01265">
        <w:t xml:space="preserve">rivate </w:t>
      </w:r>
      <w:r w:rsidR="00E15A25">
        <w:t>organisaties, zijn dit voor een groot deel wezenlijk andere factor</w:t>
      </w:r>
      <w:r w:rsidR="00BF3A3C">
        <w:t>e</w:t>
      </w:r>
      <w:r w:rsidR="00872189">
        <w:t>n die een bijdrage leveren aan het versterken van het innovatievermogen</w:t>
      </w:r>
      <w:r w:rsidR="001B79A6">
        <w:t xml:space="preserve"> van een organisatie</w:t>
      </w:r>
      <w:r w:rsidR="00872189">
        <w:t xml:space="preserve">. Met dit onderzoek wordt dus een stap verder gegaan ten opzichte van de bestaande literatuur, namelijk door te kijken </w:t>
      </w:r>
      <w:r w:rsidR="00926C42">
        <w:t xml:space="preserve">of de succesfactoren, die voornamelijk in private organisaties zijn onderzocht, </w:t>
      </w:r>
      <w:r w:rsidR="002E3BBE">
        <w:t xml:space="preserve">ook een bijdrage zouden kunnen leveren aan het innovatievermogen van publieke organisaties. </w:t>
      </w:r>
      <w:r w:rsidR="00F2034F">
        <w:t xml:space="preserve">Reflecterend op dit onderzoek </w:t>
      </w:r>
      <w:r w:rsidR="00FA6424">
        <w:t xml:space="preserve">is te stellen dat </w:t>
      </w:r>
      <w:r w:rsidR="00DA5F27">
        <w:t xml:space="preserve">de succesfactoren </w:t>
      </w:r>
      <w:r w:rsidR="001A236B">
        <w:t xml:space="preserve">ook potentieel een bijdrage zouden kunnen leveren aan het </w:t>
      </w:r>
      <w:r w:rsidR="00A24FF2">
        <w:t xml:space="preserve">versterken van het </w:t>
      </w:r>
      <w:r w:rsidR="001A236B">
        <w:t>innovatievermogen van een publieke organisatie</w:t>
      </w:r>
      <w:r w:rsidR="00AD7B32">
        <w:t xml:space="preserve">, om daarmee de belemmeringen </w:t>
      </w:r>
      <w:r w:rsidR="00C50C00">
        <w:t xml:space="preserve">voor innovatief gedrag te minimaliseren. </w:t>
      </w:r>
      <w:r w:rsidR="006156A2">
        <w:t xml:space="preserve">Uit dit onderzoek blijkt namelijk dat </w:t>
      </w:r>
      <w:r w:rsidR="00244939">
        <w:t>bij alle succesfactoren de respondenten inzagen dat bij voldoende invulling</w:t>
      </w:r>
      <w:r w:rsidR="00E84B29">
        <w:t>,</w:t>
      </w:r>
      <w:r w:rsidR="00244939">
        <w:t xml:space="preserve"> dit een bijdrage zou kunnen leveren aan het innovatievermogen van de organisatie. </w:t>
      </w:r>
      <w:r w:rsidR="00053C43">
        <w:t>Dit onderzoek kan daarnaast een relevant element toevoegen aan de succesfactor</w:t>
      </w:r>
      <w:r w:rsidR="0043519C">
        <w:t xml:space="preserve"> ‘</w:t>
      </w:r>
      <w:r w:rsidR="00C36583">
        <w:t>k</w:t>
      </w:r>
      <w:r w:rsidR="0043519C">
        <w:t xml:space="preserve">ennismanagent- en deling’, namelijk </w:t>
      </w:r>
      <w:r w:rsidR="005308D0">
        <w:t>het ontwikkelen van een centraal kennispunt voor innovatie</w:t>
      </w:r>
      <w:r w:rsidR="003D26C4">
        <w:t>, waar alle leerervaringen uit innovaties kunnen worden geborgd</w:t>
      </w:r>
      <w:r w:rsidR="001E5EC4">
        <w:t xml:space="preserve"> en daardoor gedeeld met elkaar</w:t>
      </w:r>
      <w:r w:rsidR="00AD6366">
        <w:t xml:space="preserve">. </w:t>
      </w:r>
    </w:p>
    <w:p w14:paraId="5429CC25" w14:textId="68F45920" w:rsidR="007C7AD5" w:rsidRDefault="007C7AD5" w:rsidP="40B56B9A">
      <w:r>
        <w:t xml:space="preserve">Kijkend naar de wetenschappelijke bijdrage van dit onderzoek </w:t>
      </w:r>
      <w:r w:rsidR="00273BD9">
        <w:t xml:space="preserve">komen vervolgvragen naar </w:t>
      </w:r>
      <w:r w:rsidR="007F642B">
        <w:t>voren</w:t>
      </w:r>
      <w:r w:rsidR="00273BD9">
        <w:t xml:space="preserve"> wa</w:t>
      </w:r>
      <w:r w:rsidR="0008730F">
        <w:t xml:space="preserve">ar volgend wetenschappelijk onderzoek op kan voortborduren. Allereerst is het relevant om </w:t>
      </w:r>
      <w:r w:rsidR="008864E9">
        <w:t xml:space="preserve">in vervolgonderzoek te kijken of </w:t>
      </w:r>
      <w:r w:rsidR="00D02863">
        <w:t>het bestuurlijk</w:t>
      </w:r>
      <w:r w:rsidR="00AD38A6">
        <w:t>e</w:t>
      </w:r>
      <w:r w:rsidR="00D02863">
        <w:t xml:space="preserve"> niveau </w:t>
      </w:r>
      <w:r w:rsidR="00A46A7C">
        <w:t>of</w:t>
      </w:r>
      <w:r w:rsidR="007916C0">
        <w:t xml:space="preserve"> de grootte </w:t>
      </w:r>
      <w:r w:rsidR="00283C02">
        <w:t xml:space="preserve">van de publieke organisatie effect heeft op de invulling van de succesfactoren. </w:t>
      </w:r>
      <w:r w:rsidR="00495426">
        <w:t xml:space="preserve">Rijkswaterstaat </w:t>
      </w:r>
      <w:r w:rsidR="002C5FFA">
        <w:t>bevindt zich</w:t>
      </w:r>
      <w:r w:rsidR="00495426">
        <w:t xml:space="preserve"> </w:t>
      </w:r>
      <w:r w:rsidR="00C36583">
        <w:t>op nationaal niveau</w:t>
      </w:r>
      <w:r w:rsidR="00495426">
        <w:t xml:space="preserve">, maar hebben bijvoorbeeld gemeenten en provincies </w:t>
      </w:r>
      <w:r w:rsidR="003838AA">
        <w:t xml:space="preserve">ook zoveel moeilijkheden om invulling te geven aan de succesfactoren? Daarnaast is het interessant om in vervolgonderzoek te kijken naar </w:t>
      </w:r>
      <w:r w:rsidR="00C62BC6" w:rsidRPr="000C39F6">
        <w:rPr>
          <w:i/>
          <w:iCs/>
        </w:rPr>
        <w:t>best practices</w:t>
      </w:r>
      <w:r w:rsidR="00C62BC6">
        <w:t xml:space="preserve"> in omvangrijke private organisaties</w:t>
      </w:r>
      <w:r w:rsidR="001C2A9C">
        <w:t>, wat betreft de invulling van de succesfactoren. Zijn er wellicht belangrijke lessen te leren</w:t>
      </w:r>
      <w:r w:rsidR="001F29AB">
        <w:t xml:space="preserve"> voor </w:t>
      </w:r>
      <w:r w:rsidR="002002E6">
        <w:t xml:space="preserve">omvangrijke </w:t>
      </w:r>
      <w:r w:rsidR="00F114C4">
        <w:t>publieke organisaties</w:t>
      </w:r>
      <w:r w:rsidR="001C2A9C">
        <w:t xml:space="preserve"> </w:t>
      </w:r>
      <w:r w:rsidR="000C39F6">
        <w:t>over hoe deze private organisaties omgaan met de invulling van de succesfactoren?</w:t>
      </w:r>
      <w:r w:rsidR="00C170BD">
        <w:t xml:space="preserve"> </w:t>
      </w:r>
      <w:r w:rsidR="001F128B">
        <w:t xml:space="preserve">Al met al zijn dit </w:t>
      </w:r>
      <w:r w:rsidR="00DD6B7E">
        <w:t>wetenschappelijk relevante vragen</w:t>
      </w:r>
      <w:r w:rsidR="001F128B">
        <w:t xml:space="preserve">, die </w:t>
      </w:r>
      <w:r w:rsidR="00DD6B7E">
        <w:t xml:space="preserve">weer toevoegingen zouden kunnen doen </w:t>
      </w:r>
      <w:r w:rsidR="00692961">
        <w:t>aan waar bestaande literatuur ophoudt</w:t>
      </w:r>
      <w:r w:rsidR="00F37022">
        <w:t xml:space="preserve"> en </w:t>
      </w:r>
      <w:r w:rsidR="00430EE9">
        <w:t xml:space="preserve">waar </w:t>
      </w:r>
      <w:r w:rsidR="00F37022">
        <w:t xml:space="preserve">dit onderzoek </w:t>
      </w:r>
      <w:r w:rsidR="00766865">
        <w:t xml:space="preserve">dus </w:t>
      </w:r>
      <w:r w:rsidR="00F37022">
        <w:t>ook geen uitspraken over doet</w:t>
      </w:r>
      <w:r w:rsidR="00692961">
        <w:t xml:space="preserve">. </w:t>
      </w:r>
    </w:p>
    <w:p w14:paraId="1265B86F" w14:textId="5F54E40C" w:rsidR="00BD588A" w:rsidRDefault="00BD588A" w:rsidP="00BD588A">
      <w:pPr>
        <w:pStyle w:val="Kop2"/>
      </w:pPr>
      <w:bookmarkStart w:id="44" w:name="_Toc171411067"/>
      <w:r>
        <w:t>5.</w:t>
      </w:r>
      <w:r w:rsidR="00D7611D">
        <w:t>3</w:t>
      </w:r>
      <w:r>
        <w:t xml:space="preserve"> Beperkingen</w:t>
      </w:r>
      <w:bookmarkEnd w:id="44"/>
    </w:p>
    <w:p w14:paraId="09D4C829" w14:textId="1C3C0C0E" w:rsidR="00CD4966" w:rsidRDefault="00633115" w:rsidP="00954B03">
      <w:r>
        <w:t xml:space="preserve">Elk onderzoek kent haar beperkingen, waardoor de resultaten </w:t>
      </w:r>
      <w:r w:rsidR="00C55153">
        <w:t xml:space="preserve">en conclusies altijd met redelijke mate van voorzichtigheid </w:t>
      </w:r>
      <w:r w:rsidR="00901746">
        <w:t>geïnterpreteerd</w:t>
      </w:r>
      <w:r w:rsidR="00C55153">
        <w:t xml:space="preserve"> </w:t>
      </w:r>
      <w:r w:rsidR="00901746">
        <w:t xml:space="preserve">dienen te worden. De eerste beperking van dit onderzoek </w:t>
      </w:r>
      <w:r w:rsidR="00D750BB">
        <w:t xml:space="preserve">zit hem in het feit dat dit onderzoek is afgebakend met enkel het bestuderen van de PPO-dienst van Rijkswaterstaat. </w:t>
      </w:r>
      <w:r w:rsidR="00857995">
        <w:t>Met het bestuderen van een enkel organisatieonderdeel i</w:t>
      </w:r>
      <w:r w:rsidR="0058088C">
        <w:t>n</w:t>
      </w:r>
      <w:r w:rsidR="00857995">
        <w:t xml:space="preserve"> een omvangrijke organisatie</w:t>
      </w:r>
      <w:r w:rsidR="003945AF">
        <w:t>,</w:t>
      </w:r>
      <w:r w:rsidR="00857995">
        <w:t xml:space="preserve"> zoals Rijkswaterstaat</w:t>
      </w:r>
      <w:r w:rsidR="009E6D55">
        <w:t>, is het te stellen dat dit onderzoek moeilijk een beeld kan schetsen over de mate van invulling van de su</w:t>
      </w:r>
      <w:r w:rsidR="001608E9">
        <w:t xml:space="preserve">ccesfactoren die gerelateerd zijn aan activiteiten van het topmanagement. </w:t>
      </w:r>
      <w:r w:rsidR="00C12ACB">
        <w:t xml:space="preserve">In dit onderzoek is dan </w:t>
      </w:r>
      <w:r w:rsidR="00F95353">
        <w:t xml:space="preserve">ook de focus behouden op </w:t>
      </w:r>
      <w:r w:rsidR="000E57D3">
        <w:t xml:space="preserve">het perspectief van PPO ten opzichte van de keuzes en activiteiten van het topmanagement </w:t>
      </w:r>
      <w:r w:rsidR="008460AF">
        <w:t xml:space="preserve">die bij zouden moeten dragen aan het versterken van het innovatievermogen van de organisatie. </w:t>
      </w:r>
      <w:r w:rsidR="00363D48">
        <w:t xml:space="preserve">Desalniettemin is dit dus wel een beperking van het onderzoek, waar rekening mee </w:t>
      </w:r>
      <w:r w:rsidR="007D5856">
        <w:t xml:space="preserve">gehouden </w:t>
      </w:r>
      <w:r w:rsidR="00363D48">
        <w:t>moet worden</w:t>
      </w:r>
      <w:r w:rsidR="007D5856">
        <w:t xml:space="preserve"> bij</w:t>
      </w:r>
      <w:r w:rsidR="00363D48">
        <w:t xml:space="preserve"> de </w:t>
      </w:r>
      <w:r w:rsidR="009C3AC4">
        <w:t>interpretatie</w:t>
      </w:r>
      <w:r w:rsidR="00363D48">
        <w:t xml:space="preserve"> van de resultaten en conclusies. </w:t>
      </w:r>
    </w:p>
    <w:p w14:paraId="44E1EC81" w14:textId="6B60EFA5" w:rsidR="00CD4966" w:rsidRDefault="004D540D" w:rsidP="00954B03">
      <w:r>
        <w:t>Een tweede beperking van dit onderzoek is dat het perspectief van de markt en de relatie daarvan tot het innovatievermogen van Rijkswaterstaat</w:t>
      </w:r>
      <w:r w:rsidR="003945AF">
        <w:t>,</w:t>
      </w:r>
      <w:r>
        <w:t xml:space="preserve"> niet uitgebreid is meegenomen in dit onderzoek. Op basis van de kennismaking met de organisatie Rijkswaterstaat was al snel duidelijk dat de marktpartijen een cruciale rol spelen in het werk van Rijkswaterstaat. Rijkswaterstaat is enkel opdrachtgever, waar marktpartijen het werk uitvoeren. Op het moment dat je het innovatievermogen van Rijkswaterstaat wil</w:t>
      </w:r>
      <w:r w:rsidR="00542289">
        <w:t xml:space="preserve">t </w:t>
      </w:r>
      <w:r>
        <w:t xml:space="preserve">versterken, kan het daarbij relevant zijn om ook het perspectief van marktpartijen mee te nemen. </w:t>
      </w:r>
      <w:r w:rsidR="00B81B65">
        <w:t xml:space="preserve">Dit is in dit onderzoek niet gedaan en is daarmee dus een beperking waarmee rekening </w:t>
      </w:r>
      <w:r w:rsidR="00B05395">
        <w:t xml:space="preserve">gehouden </w:t>
      </w:r>
      <w:r w:rsidR="00B81B65">
        <w:t xml:space="preserve">moet worden bij de interpretatie van de resultaten en conclusies. </w:t>
      </w:r>
    </w:p>
    <w:p w14:paraId="30601589" w14:textId="405F0283" w:rsidR="00692961" w:rsidRDefault="007D17E8" w:rsidP="40B56B9A">
      <w:r>
        <w:t xml:space="preserve">Tot slot </w:t>
      </w:r>
      <w:r w:rsidR="00070DE1">
        <w:t>is</w:t>
      </w:r>
      <w:r w:rsidR="00B05395">
        <w:t xml:space="preserve"> achteraf gebleken dat een mogelijke </w:t>
      </w:r>
      <w:r w:rsidR="00A54908">
        <w:t>beperking van de subjectiviteit van dit onderzoek kan zijn</w:t>
      </w:r>
      <w:r w:rsidR="00580B89">
        <w:t xml:space="preserve"> dat het gros van de respondenten groot voorstander van de IUP-werkwijze bleek te zijn</w:t>
      </w:r>
      <w:r w:rsidR="00AE7900">
        <w:t xml:space="preserve">. Dit was vooraf niet voorzien, maar wellicht had een groter aantal respondenten </w:t>
      </w:r>
      <w:r w:rsidR="00E538BC">
        <w:t xml:space="preserve">op dit vlak een ander </w:t>
      </w:r>
      <w:r w:rsidR="00C21A1F">
        <w:t xml:space="preserve">perspectief naar voren gebracht wat betreft de potentiële bijdrage van de IUP-werkwijze. </w:t>
      </w:r>
      <w:r w:rsidR="000537BF">
        <w:t xml:space="preserve">Dit </w:t>
      </w:r>
      <w:r w:rsidR="00321D5B">
        <w:t>is</w:t>
      </w:r>
      <w:r w:rsidR="000537BF">
        <w:t xml:space="preserve"> zoveel mogelijk gedekt door in de documentanalyse objectief te kijken of de cruciale aspecten uit de literatuur w</w:t>
      </w:r>
      <w:r w:rsidR="00101585">
        <w:t xml:space="preserve">orden afgevinkt, maar toch is het een beperking van dit onderzoek dat er mogelijk een perspectief van criticasters </w:t>
      </w:r>
      <w:r w:rsidR="00A119DB">
        <w:t xml:space="preserve">ten opzichte van de IUP-werkwijze </w:t>
      </w:r>
      <w:r w:rsidR="00101585">
        <w:t xml:space="preserve">ontbreekt in dit onderzoek. </w:t>
      </w:r>
    </w:p>
    <w:p w14:paraId="521FA216" w14:textId="467692CE" w:rsidR="33DD619B" w:rsidRDefault="0AB624A7" w:rsidP="40B56B9A">
      <w:pPr>
        <w:pStyle w:val="Kop2"/>
      </w:pPr>
      <w:bookmarkStart w:id="45" w:name="_Toc171411068"/>
      <w:r>
        <w:t>5.</w:t>
      </w:r>
      <w:r w:rsidR="005E60C5">
        <w:t>4</w:t>
      </w:r>
      <w:r>
        <w:t xml:space="preserve"> Aanbevelingen</w:t>
      </w:r>
      <w:bookmarkEnd w:id="45"/>
      <w:r>
        <w:t xml:space="preserve"> </w:t>
      </w:r>
    </w:p>
    <w:p w14:paraId="73028E0B" w14:textId="5094568E" w:rsidR="33DD619B" w:rsidRDefault="00CD3286" w:rsidP="40B56B9A">
      <w:r>
        <w:t xml:space="preserve">Op basis van </w:t>
      </w:r>
      <w:r w:rsidR="00F2659E">
        <w:t>de conclusies</w:t>
      </w:r>
      <w:r w:rsidR="0AB624A7">
        <w:t xml:space="preserve"> </w:t>
      </w:r>
      <w:r>
        <w:t xml:space="preserve">kunnen de volgende aanbevelingen worden gedaan: </w:t>
      </w:r>
    </w:p>
    <w:p w14:paraId="22424D61" w14:textId="1A5AC951" w:rsidR="0AB624A7" w:rsidRDefault="00361B60" w:rsidP="00EB2994">
      <w:r w:rsidRPr="00C16B7B">
        <w:rPr>
          <w:b/>
          <w:bCs/>
        </w:rPr>
        <w:t xml:space="preserve">Zorg ervoor dat op korte termijn </w:t>
      </w:r>
      <w:r w:rsidR="00C16B7B" w:rsidRPr="00C16B7B">
        <w:rPr>
          <w:b/>
          <w:bCs/>
        </w:rPr>
        <w:t xml:space="preserve">stappen </w:t>
      </w:r>
      <w:r w:rsidR="00E559B0">
        <w:rPr>
          <w:b/>
          <w:bCs/>
        </w:rPr>
        <w:t>gezet worden met de IUP-werkwijze</w:t>
      </w:r>
      <w:r w:rsidR="00C16B7B" w:rsidRPr="00C16B7B">
        <w:rPr>
          <w:b/>
          <w:bCs/>
        </w:rPr>
        <w:t>, zodat kan worden overgegaan tot implementatie</w:t>
      </w:r>
      <w:r w:rsidR="008A0781">
        <w:rPr>
          <w:b/>
          <w:bCs/>
        </w:rPr>
        <w:t xml:space="preserve"> van de werkwijze</w:t>
      </w:r>
      <w:r w:rsidR="00DA31E0">
        <w:rPr>
          <w:b/>
          <w:bCs/>
        </w:rPr>
        <w:t>.</w:t>
      </w:r>
      <w:r w:rsidR="00C16B7B">
        <w:rPr>
          <w:b/>
          <w:bCs/>
        </w:rPr>
        <w:br/>
      </w:r>
      <w:r w:rsidR="0AB624A7">
        <w:t xml:space="preserve">Op basis van dit onderzoek is het aan te bevelen om de drie missende cruciale factoren uit de literatuur over innovatieprocessen toe te voegen aan de huidige IUP-werkwijze. Dit betreft de factoren ‘het checken of er al een bestaande oplossing is elders in de organisatie’ en het ‘het rapporteren van de hoofdlijnen in een projectdossier’ in de I-fase van de IUP-werkwijze, en ‘het uitvoeren van een eindevaluatie’ (en deze vervolgens ook rapporteren in het projectdossier) </w:t>
      </w:r>
      <w:r w:rsidR="003974CA">
        <w:t>na afronding van</w:t>
      </w:r>
      <w:r w:rsidR="0AB624A7">
        <w:t xml:space="preserve"> de P-fase. Op deze manier worden alle cruciale </w:t>
      </w:r>
      <w:r w:rsidR="00E559B0">
        <w:t>procesgerelateerde</w:t>
      </w:r>
      <w:r w:rsidR="0AB624A7">
        <w:t xml:space="preserve"> succesfactoren opgenomen in de IUP-werkwijze. </w:t>
      </w:r>
      <w:r w:rsidR="00EB2994" w:rsidRPr="00EB2994">
        <w:t xml:space="preserve">Daarnaast </w:t>
      </w:r>
      <w:r w:rsidR="0AB624A7">
        <w:t xml:space="preserve">zal </w:t>
      </w:r>
      <w:r w:rsidR="00EB2994">
        <w:t xml:space="preserve">men </w:t>
      </w:r>
      <w:r w:rsidR="0AB624A7">
        <w:t>moeten inzien dat de IUP-werkwijze zelf ook een innovatie is en zich daarbij in de I-fase bevindt. De stappen die genomen moeten worden</w:t>
      </w:r>
      <w:r w:rsidR="003602E2">
        <w:t xml:space="preserve"> voor implementatie</w:t>
      </w:r>
      <w:r w:rsidR="0AB624A7">
        <w:t xml:space="preserve">, betreffen het vinden van antwoorden op de ‘hoe-vraag’, het inrichten van de </w:t>
      </w:r>
      <w:r w:rsidR="0AB624A7" w:rsidRPr="002D181E">
        <w:rPr>
          <w:i/>
          <w:iCs/>
        </w:rPr>
        <w:t xml:space="preserve">governance </w:t>
      </w:r>
      <w:r w:rsidR="0AB624A7">
        <w:t xml:space="preserve">voor GO/NO GO-momenten en het bepalen wie de opdrachtgever mag zijn voor een innovatietraject. </w:t>
      </w:r>
      <w:r w:rsidR="00EB6A36">
        <w:t xml:space="preserve">Het reeds bestaande IUP-atelier </w:t>
      </w:r>
      <w:r w:rsidR="0031040A">
        <w:t xml:space="preserve">speelt </w:t>
      </w:r>
      <w:r w:rsidR="00C27450">
        <w:t xml:space="preserve">een cruciale rol bij het zetten van deze stappen, dus is het aan te bevelen </w:t>
      </w:r>
      <w:r w:rsidR="00665F3F">
        <w:t xml:space="preserve">om </w:t>
      </w:r>
      <w:r w:rsidR="00C27450">
        <w:t>deze</w:t>
      </w:r>
      <w:r w:rsidR="00665F3F">
        <w:t xml:space="preserve"> manier van werken voort te zetten en</w:t>
      </w:r>
      <w:r w:rsidR="00EE58DC">
        <w:t xml:space="preserve"> daarbij dus</w:t>
      </w:r>
      <w:r w:rsidR="00665F3F">
        <w:t xml:space="preserve"> aan de slag te gaan met de genoemde stappen. </w:t>
      </w:r>
    </w:p>
    <w:p w14:paraId="5F9444C8" w14:textId="77777777" w:rsidR="00ED4EA0" w:rsidRDefault="00ED4EA0" w:rsidP="00EB2994"/>
    <w:p w14:paraId="4A748A37" w14:textId="651EB1F9" w:rsidR="0AB624A7" w:rsidRDefault="00C74D24" w:rsidP="00FD65FA">
      <w:bookmarkStart w:id="46" w:name="_Hlk170992431"/>
      <w:r w:rsidRPr="00FD65FA">
        <w:rPr>
          <w:b/>
          <w:bCs/>
        </w:rPr>
        <w:t xml:space="preserve">Ga als organisatie aan de slag </w:t>
      </w:r>
      <w:r w:rsidR="00FD65FA" w:rsidRPr="00FD65FA">
        <w:rPr>
          <w:b/>
          <w:bCs/>
        </w:rPr>
        <w:t>met het initiëren</w:t>
      </w:r>
      <w:r w:rsidR="00205D2C">
        <w:rPr>
          <w:b/>
          <w:bCs/>
        </w:rPr>
        <w:t xml:space="preserve"> van</w:t>
      </w:r>
      <w:r w:rsidR="00FD65FA" w:rsidRPr="00FD65FA">
        <w:rPr>
          <w:b/>
          <w:bCs/>
        </w:rPr>
        <w:t xml:space="preserve"> een visie en beleid op</w:t>
      </w:r>
      <w:r w:rsidR="00EE498E">
        <w:rPr>
          <w:b/>
          <w:bCs/>
        </w:rPr>
        <w:t xml:space="preserve"> het gebied van</w:t>
      </w:r>
      <w:r w:rsidR="00FD65FA" w:rsidRPr="00FD65FA">
        <w:rPr>
          <w:b/>
          <w:bCs/>
        </w:rPr>
        <w:t xml:space="preserve"> innovatie</w:t>
      </w:r>
      <w:bookmarkEnd w:id="46"/>
      <w:r w:rsidR="00DA31E0">
        <w:rPr>
          <w:b/>
          <w:bCs/>
        </w:rPr>
        <w:t>.</w:t>
      </w:r>
      <w:r w:rsidR="00FD65FA">
        <w:rPr>
          <w:b/>
          <w:bCs/>
        </w:rPr>
        <w:br/>
      </w:r>
      <w:r w:rsidR="0AB624A7">
        <w:t>Op dit moment zorgen de focuspunten nog voor onvoldoende duidelijkheid door het hoge abstractieniveau en het gebrek aan doelen en prioritering</w:t>
      </w:r>
      <w:r w:rsidR="00A23F6F">
        <w:t>.</w:t>
      </w:r>
      <w:r w:rsidR="006C429F">
        <w:t xml:space="preserve"> Door dit gegeven i</w:t>
      </w:r>
      <w:r w:rsidR="00A23F6F">
        <w:t xml:space="preserve">n combinatie met </w:t>
      </w:r>
      <w:r w:rsidR="00C057CC">
        <w:t>een onvoldoende invulling van p</w:t>
      </w:r>
      <w:r w:rsidR="006C429F">
        <w:t>ortfoliomanagement op het gebied van innovaties</w:t>
      </w:r>
      <w:r w:rsidR="0AB624A7">
        <w:t>, w</w:t>
      </w:r>
      <w:r w:rsidR="006C429F">
        <w:t>ordt</w:t>
      </w:r>
      <w:r w:rsidR="0AB624A7">
        <w:t xml:space="preserve"> het maken van keuzes</w:t>
      </w:r>
      <w:r w:rsidR="00EE498E">
        <w:t xml:space="preserve"> binnen PPO</w:t>
      </w:r>
      <w:r w:rsidR="0AB624A7">
        <w:t xml:space="preserve"> als lastig ervaren. Ook is</w:t>
      </w:r>
      <w:r w:rsidR="00B265F8">
        <w:t xml:space="preserve"> </w:t>
      </w:r>
      <w:r w:rsidR="0AB624A7">
        <w:t>onvoldoende uitgewerkt wat de organisatie als geheel voor een visie heeft op de omgang met risico's van innovatie</w:t>
      </w:r>
      <w:r w:rsidR="00AD79C5">
        <w:t xml:space="preserve">, </w:t>
      </w:r>
      <w:r w:rsidR="0AB624A7">
        <w:t>de sturing op innovatietrajecten</w:t>
      </w:r>
      <w:r w:rsidR="00F2659E">
        <w:t xml:space="preserve"> en wordt er geen regelluwe omgeving gecreëerd rondom het experimenteren in de organisatie</w:t>
      </w:r>
      <w:r w:rsidR="0AB624A7">
        <w:t>. Het gevolg van dit alles is dat er een onvoldoende uitgangspunt wordt ervaren binnen PPO voor de sturing op succesvol innoveren. Zolang het topmanagement geen innovatie ademt, zal PPO dit ook niet gaan doen</w:t>
      </w:r>
      <w:r w:rsidR="008D60C0">
        <w:t>,</w:t>
      </w:r>
      <w:r w:rsidR="0AB624A7">
        <w:t xml:space="preserve"> </w:t>
      </w:r>
      <w:r w:rsidR="00ED4EA0">
        <w:t xml:space="preserve">is </w:t>
      </w:r>
      <w:r w:rsidR="004E256A">
        <w:t xml:space="preserve">de redenering op basis van dit onderzoek. </w:t>
      </w:r>
      <w:r w:rsidR="0AB624A7">
        <w:t xml:space="preserve"> </w:t>
      </w:r>
    </w:p>
    <w:p w14:paraId="2F46C4AA" w14:textId="739EB324" w:rsidR="0AB624A7" w:rsidRPr="00F97A13" w:rsidRDefault="00933317" w:rsidP="00BD6976">
      <w:r w:rsidRPr="00933317">
        <w:rPr>
          <w:b/>
          <w:bCs/>
        </w:rPr>
        <w:t>Ga als PPO-dienst zelf aan de slag met de sturing op succesvol innoveren</w:t>
      </w:r>
      <w:r w:rsidR="00DA31E0">
        <w:rPr>
          <w:b/>
          <w:bCs/>
        </w:rPr>
        <w:t>.</w:t>
      </w:r>
      <w:r w:rsidR="00C170BD">
        <w:rPr>
          <w:b/>
          <w:bCs/>
        </w:rPr>
        <w:br/>
      </w:r>
      <w:r w:rsidR="0AB624A7">
        <w:t xml:space="preserve">Ondanks een ontbrekend innovatiebeleid- en strategie, zijn er op basis van dit onderzoek wel activiteiten die PPO zelf kan ondernemen om het stuur op </w:t>
      </w:r>
      <w:r w:rsidR="000F6AB8">
        <w:t>succesvol innoveren</w:t>
      </w:r>
      <w:r w:rsidR="0AB624A7">
        <w:t xml:space="preserve"> te optimaliseren.</w:t>
      </w:r>
      <w:r w:rsidR="00DB6F7A">
        <w:rPr>
          <w:b/>
          <w:bCs/>
        </w:rPr>
        <w:t xml:space="preserve"> </w:t>
      </w:r>
      <w:r w:rsidR="0AB624A7">
        <w:t xml:space="preserve">Uit het onderzoek blijkt </w:t>
      </w:r>
      <w:r w:rsidR="00DB6F7A">
        <w:t xml:space="preserve">allereerst </w:t>
      </w:r>
      <w:r w:rsidR="0AB624A7">
        <w:t xml:space="preserve">dat PPO zelf doelen op het gebied van innovatie heeft opgesteld en een overzicht </w:t>
      </w:r>
      <w:r w:rsidR="00B97FCE">
        <w:t>heeft</w:t>
      </w:r>
      <w:r w:rsidR="0AB624A7">
        <w:t xml:space="preserve"> van de lopende initiatieven. </w:t>
      </w:r>
      <w:r w:rsidR="005D3FB9">
        <w:t>Het is aan te bevelen o</w:t>
      </w:r>
      <w:r w:rsidR="0AB624A7">
        <w:t>m het overzicht te behouden en vervolgens als PPO</w:t>
      </w:r>
      <w:r w:rsidR="0076637D" w:rsidRPr="0076637D">
        <w:t xml:space="preserve"> keuzes te maken in deze initiatieven</w:t>
      </w:r>
      <w:r w:rsidR="0AB624A7">
        <w:t>. Welke dragen bij aan de doelen? Welke moeten we samenbrengen, zodat ze meer effect hebben? En vooral waar moeten we mee stoppen, omdat het niet bijdraagt aan de innovatiedoelen van PPO</w:t>
      </w:r>
      <w:r w:rsidR="00CE0C0C">
        <w:t xml:space="preserve">? </w:t>
      </w:r>
      <w:r w:rsidR="0AB624A7">
        <w:t xml:space="preserve"> </w:t>
      </w:r>
      <w:r w:rsidR="00CE0C0C" w:rsidRPr="00CE0C0C">
        <w:t>Uit dit onderzoek blijkt ook dat het ontbreken van beloningen voor succesvolle innovaties binnen PPO als een belangrijk gemis wordt gezien. Het is daarom aan te bevelen dat PPO succesvol innoveren gaat belonen</w:t>
      </w:r>
      <w:r w:rsidR="008A59F9">
        <w:t xml:space="preserve">, waarbij de beloning voornamelijk plaatsvindt op </w:t>
      </w:r>
      <w:r w:rsidR="00DD4264">
        <w:t>het succesvol implementeren en het delen van leerervaringen</w:t>
      </w:r>
      <w:r w:rsidR="00CE0C0C" w:rsidRPr="00CE0C0C">
        <w:t>. Deze beloning hoeft niet alleen financieel te zijn, maar kan ook bestaan uit aandacht voor een werknemer die succesvol heeft geïnnoveerd. Het is daarbij belangrijk dat niet alleen de persoon zelf dit hoort, maar dat dit ook breed wordt gecommuniceerd binnen PPO.</w:t>
      </w:r>
      <w:r w:rsidR="00370F7E">
        <w:t xml:space="preserve"> </w:t>
      </w:r>
    </w:p>
    <w:p w14:paraId="4A46A3C8" w14:textId="6EDC42C8" w:rsidR="0AB624A7" w:rsidRPr="00F448CE" w:rsidRDefault="00FC129F" w:rsidP="00F448CE">
      <w:pPr>
        <w:rPr>
          <w:b/>
          <w:bCs/>
        </w:rPr>
      </w:pPr>
      <w:r w:rsidRPr="006E0D0E">
        <w:rPr>
          <w:b/>
          <w:bCs/>
        </w:rPr>
        <w:t>Zorg met het initiëren van een centraal kennispunt en het organiseren van bijeenkomsten</w:t>
      </w:r>
      <w:r w:rsidR="00E3676B" w:rsidRPr="006E0D0E">
        <w:rPr>
          <w:b/>
          <w:bCs/>
        </w:rPr>
        <w:t xml:space="preserve"> op het gebied van innovatie</w:t>
      </w:r>
      <w:r w:rsidRPr="006E0D0E">
        <w:rPr>
          <w:b/>
          <w:bCs/>
        </w:rPr>
        <w:t xml:space="preserve"> voor </w:t>
      </w:r>
      <w:r w:rsidR="00E3676B" w:rsidRPr="006E0D0E">
        <w:rPr>
          <w:b/>
          <w:bCs/>
        </w:rPr>
        <w:t>m</w:t>
      </w:r>
      <w:r w:rsidR="0015707A" w:rsidRPr="006E0D0E">
        <w:rPr>
          <w:b/>
          <w:bCs/>
        </w:rPr>
        <w:t>inder verspilling van leerervaringen</w:t>
      </w:r>
      <w:r w:rsidR="00DA31E0">
        <w:rPr>
          <w:b/>
          <w:bCs/>
        </w:rPr>
        <w:t xml:space="preserve">. </w:t>
      </w:r>
      <w:r w:rsidR="006E0D0E">
        <w:rPr>
          <w:b/>
          <w:bCs/>
        </w:rPr>
        <w:br/>
      </w:r>
      <w:r w:rsidR="006E0D0E" w:rsidRPr="006E0D0E">
        <w:t xml:space="preserve">Het is aan te bevelen om </w:t>
      </w:r>
      <w:r w:rsidR="006E0D0E">
        <w:t xml:space="preserve">op het gebied van innovatie </w:t>
      </w:r>
      <w:r w:rsidR="0AB624A7" w:rsidRPr="006E0D0E">
        <w:t>e</w:t>
      </w:r>
      <w:r w:rsidR="0AB624A7">
        <w:t>en centraal kennispunt te ontwikkele</w:t>
      </w:r>
      <w:r w:rsidR="006E0D0E">
        <w:t>n</w:t>
      </w:r>
      <w:r w:rsidR="008E6BA5">
        <w:t xml:space="preserve">. </w:t>
      </w:r>
      <w:r w:rsidR="008E6BA5" w:rsidRPr="008E6BA5">
        <w:t>Op dit centrale punt kunnen zowel initiatieven als leerervaringen uit innovatietrajecten worden gedeeld, waardoor het makkelijker wordt om te zien of er al vergelijkbare initiatieven zijn</w:t>
      </w:r>
      <w:r w:rsidR="008E6BA5">
        <w:t xml:space="preserve"> </w:t>
      </w:r>
      <w:r w:rsidR="00F448CE">
        <w:t>en of er al eerder oplossingen zijn gevonden voor bepaalde belemmeringen. Ofwel</w:t>
      </w:r>
      <w:r w:rsidR="00E77A94">
        <w:t>;</w:t>
      </w:r>
      <w:r w:rsidR="0AB624A7">
        <w:t xml:space="preserve"> wat zijn nu </w:t>
      </w:r>
      <w:r w:rsidR="0AB624A7" w:rsidRPr="00586445">
        <w:rPr>
          <w:i/>
          <w:iCs/>
        </w:rPr>
        <w:t>best practices</w:t>
      </w:r>
      <w:r w:rsidR="0AB624A7">
        <w:t xml:space="preserve">, en wat </w:t>
      </w:r>
      <w:r w:rsidR="007F1B21">
        <w:t>zijn de te vermijden handelingen rondom innovatie</w:t>
      </w:r>
      <w:r w:rsidR="000758B9">
        <w:t>?</w:t>
      </w:r>
      <w:r w:rsidR="0AB624A7">
        <w:t xml:space="preserve"> De IUP-werkwijze zal hier bijvoorbeeld ook een plek kunnen hebben</w:t>
      </w:r>
      <w:r w:rsidR="0AB624A7" w:rsidRPr="00DC30E4">
        <w:t xml:space="preserve">. </w:t>
      </w:r>
      <w:r w:rsidR="00DC30E4" w:rsidRPr="00DC30E4">
        <w:t>Daarnaast blijkt u</w:t>
      </w:r>
      <w:r w:rsidR="0AB624A7" w:rsidRPr="00DC30E4">
        <w:t>it</w:t>
      </w:r>
      <w:r w:rsidR="0AB624A7">
        <w:t xml:space="preserve"> het onderzoek dat men binnen PPO vrij kleine en lokale netwerken heeft met collega's waarmee hij of zij direct samenwerkt. Om dit informele netwerk te vergroten is het aan te bevelen om op het gebied van innovaties regelmatig bijeenkomsten te organiseren, waarbij collega's op een bepaald innovatiethema samenkomen en daarin kennis met elkaar uitwisselen. Dit heeft twee functies, namelijk kennisdeling en het vergroten van het netwerk in de organisatie. </w:t>
      </w:r>
      <w:r w:rsidR="00DC30E4">
        <w:t xml:space="preserve">Door deze twee </w:t>
      </w:r>
      <w:r w:rsidR="00614D2A">
        <w:t>acties wat betreft kennisdeling</w:t>
      </w:r>
      <w:r w:rsidR="0AB624A7">
        <w:t xml:space="preserve"> wordt de kans groter dat men vaker op de hoogte is van elkaars initiatieven en leerervaringen, en weet men ook vaker de juiste persoon te vinden op het moment dat de interne organisatie of de markt met een kansrijke innovatie komt. </w:t>
      </w:r>
    </w:p>
    <w:p w14:paraId="0D9C2F7E" w14:textId="77777777" w:rsidR="00DD668A" w:rsidRDefault="00DD668A">
      <w:pPr>
        <w:rPr>
          <w:rFonts w:eastAsiaTheme="minorEastAsia"/>
          <w:color w:val="2F5496" w:themeColor="accent1" w:themeShade="BF"/>
          <w:sz w:val="32"/>
          <w:szCs w:val="32"/>
        </w:rPr>
      </w:pPr>
      <w:r>
        <w:rPr>
          <w:rFonts w:eastAsiaTheme="minorEastAsia"/>
        </w:rPr>
        <w:br w:type="page"/>
      </w:r>
    </w:p>
    <w:p w14:paraId="25BD498F" w14:textId="7B8A8EFB" w:rsidR="33DD619B" w:rsidRDefault="0AB624A7" w:rsidP="0AB624A7">
      <w:pPr>
        <w:pStyle w:val="Kop1"/>
        <w:rPr>
          <w:rFonts w:asciiTheme="minorHAnsi" w:eastAsiaTheme="minorEastAsia" w:hAnsiTheme="minorHAnsi" w:cstheme="minorBidi"/>
          <w:color w:val="000000" w:themeColor="text1"/>
          <w:sz w:val="18"/>
          <w:szCs w:val="18"/>
        </w:rPr>
      </w:pPr>
      <w:bookmarkStart w:id="47" w:name="_Toc171411069"/>
      <w:r w:rsidRPr="0AB624A7">
        <w:rPr>
          <w:rFonts w:asciiTheme="minorHAnsi" w:eastAsiaTheme="minorEastAsia" w:hAnsiTheme="minorHAnsi" w:cstheme="minorBidi"/>
        </w:rPr>
        <w:t>Literatuurlijst</w:t>
      </w:r>
      <w:bookmarkEnd w:id="47"/>
    </w:p>
    <w:p w14:paraId="5F56977C" w14:textId="05A11656" w:rsidR="33DD619B" w:rsidRDefault="33DD619B" w:rsidP="23783DFD">
      <w:pPr>
        <w:rPr>
          <w:rFonts w:eastAsiaTheme="minorEastAsia"/>
          <w:color w:val="000000" w:themeColor="text1"/>
          <w:sz w:val="18"/>
          <w:szCs w:val="18"/>
        </w:rPr>
      </w:pPr>
    </w:p>
    <w:p w14:paraId="757743B4" w14:textId="246FDD79" w:rsidR="041CA8C9" w:rsidRDefault="4FE52EB8" w:rsidP="20E336E1">
      <w:pPr>
        <w:ind w:left="283" w:hanging="283"/>
        <w:rPr>
          <w:rFonts w:eastAsiaTheme="minorEastAsia"/>
        </w:rPr>
      </w:pPr>
      <w:r w:rsidRPr="4FE52EB8">
        <w:rPr>
          <w:rFonts w:eastAsiaTheme="minorEastAsia"/>
        </w:rPr>
        <w:t xml:space="preserve">Alphen, F. van., Ros, H., &amp; Wijngaarden, H. van. (2020). </w:t>
      </w:r>
      <w:r w:rsidRPr="00627A3E">
        <w:rPr>
          <w:rFonts w:eastAsiaTheme="minorEastAsia"/>
          <w:i/>
          <w:iCs/>
        </w:rPr>
        <w:t>Lerend organiseren voor veranderprofessionals. Een benadering die helpt om de productie- en ontwikkelopgaven te verenigen.</w:t>
      </w:r>
      <w:r w:rsidRPr="4FE52EB8">
        <w:rPr>
          <w:rFonts w:eastAsiaTheme="minorEastAsia"/>
          <w:i/>
          <w:iCs/>
        </w:rPr>
        <w:t xml:space="preserve"> </w:t>
      </w:r>
      <w:r w:rsidR="00703B69" w:rsidRPr="00703B69">
        <w:rPr>
          <w:rFonts w:eastAsiaTheme="minorEastAsia"/>
        </w:rPr>
        <w:t>[</w:t>
      </w:r>
      <w:r w:rsidRPr="00703B69">
        <w:rPr>
          <w:rFonts w:eastAsiaTheme="minorEastAsia"/>
        </w:rPr>
        <w:t>Intern rapport</w:t>
      </w:r>
      <w:r w:rsidR="00703B69" w:rsidRPr="00703B69">
        <w:rPr>
          <w:rFonts w:eastAsiaTheme="minorEastAsia"/>
        </w:rPr>
        <w:t xml:space="preserve">]. </w:t>
      </w:r>
      <w:r w:rsidRPr="00703B69">
        <w:rPr>
          <w:rFonts w:eastAsiaTheme="minorEastAsia"/>
        </w:rPr>
        <w:t>Rijkswaterstaat.</w:t>
      </w:r>
      <w:r w:rsidRPr="4FE52EB8">
        <w:rPr>
          <w:rFonts w:eastAsiaTheme="minorEastAsia"/>
        </w:rPr>
        <w:t xml:space="preserve"> Niet gepubliceerd.</w:t>
      </w:r>
    </w:p>
    <w:p w14:paraId="0464FFD4" w14:textId="0CCC62A4" w:rsidR="4FE52EB8" w:rsidRPr="00AC2632" w:rsidRDefault="4FE52EB8" w:rsidP="4FE52EB8">
      <w:pPr>
        <w:ind w:left="283" w:hanging="283"/>
        <w:rPr>
          <w:rFonts w:eastAsiaTheme="minorEastAsia"/>
          <w:lang w:val="en-US"/>
        </w:rPr>
      </w:pPr>
      <w:r w:rsidRPr="4FE52EB8">
        <w:rPr>
          <w:rFonts w:eastAsiaTheme="minorEastAsia"/>
        </w:rPr>
        <w:t xml:space="preserve">Anderson, N., Potočnik, K. &amp; Zhou, J. (2014). </w:t>
      </w:r>
      <w:r w:rsidRPr="00AC2632">
        <w:rPr>
          <w:rFonts w:eastAsiaTheme="minorEastAsia"/>
          <w:lang w:val="en-US"/>
        </w:rPr>
        <w:t>Innovation and creativity in organizations: A state-of-the-science review, prospective commentary, and guiding framework.</w:t>
      </w:r>
      <w:r w:rsidRPr="00AC2632">
        <w:rPr>
          <w:rFonts w:eastAsiaTheme="minorEastAsia"/>
          <w:i/>
          <w:iCs/>
          <w:lang w:val="en-US"/>
        </w:rPr>
        <w:t xml:space="preserve"> Journal of Management, 20</w:t>
      </w:r>
      <w:r w:rsidRPr="00AC2632">
        <w:rPr>
          <w:rFonts w:eastAsiaTheme="minorEastAsia"/>
          <w:lang w:val="en-US"/>
        </w:rPr>
        <w:t xml:space="preserve">(10), 1-37. </w:t>
      </w:r>
      <w:hyperlink r:id="rId13">
        <w:r w:rsidRPr="00AC2632">
          <w:rPr>
            <w:rStyle w:val="Hyperlink"/>
            <w:color w:val="auto"/>
            <w:lang w:val="en-US"/>
          </w:rPr>
          <w:t>https://doi.org/10.1177/0149206314527128</w:t>
        </w:r>
      </w:hyperlink>
      <w:r w:rsidRPr="00AC2632">
        <w:rPr>
          <w:rFonts w:eastAsiaTheme="minorEastAsia"/>
          <w:lang w:val="en-US"/>
        </w:rPr>
        <w:t xml:space="preserve"> </w:t>
      </w:r>
    </w:p>
    <w:p w14:paraId="7C25B69E" w14:textId="22BEDFFD" w:rsidR="5CE9E455" w:rsidRPr="00AC2632" w:rsidRDefault="20E336E1" w:rsidP="20E336E1">
      <w:pPr>
        <w:ind w:left="283" w:hanging="283"/>
        <w:rPr>
          <w:rFonts w:eastAsiaTheme="minorEastAsia"/>
          <w:lang w:val="en-US"/>
        </w:rPr>
      </w:pPr>
      <w:r w:rsidRPr="00AC2632">
        <w:rPr>
          <w:rFonts w:eastAsiaTheme="minorEastAsia"/>
          <w:lang w:val="en-US"/>
        </w:rPr>
        <w:t xml:space="preserve">Bass, B.M. (1995). Theory of transformational leadership redux. </w:t>
      </w:r>
      <w:r w:rsidRPr="00AC2632">
        <w:rPr>
          <w:rFonts w:eastAsiaTheme="minorEastAsia"/>
          <w:i/>
          <w:iCs/>
          <w:lang w:val="en-US"/>
        </w:rPr>
        <w:t>The Leadership Quarterly, 6</w:t>
      </w:r>
      <w:r w:rsidRPr="00AC2632">
        <w:rPr>
          <w:rFonts w:eastAsiaTheme="minorEastAsia"/>
          <w:lang w:val="en-US"/>
        </w:rPr>
        <w:t xml:space="preserve">(4), 463-478. </w:t>
      </w:r>
      <w:hyperlink r:id="rId14">
        <w:r w:rsidRPr="00AC2632">
          <w:rPr>
            <w:rStyle w:val="Hyperlink"/>
            <w:rFonts w:eastAsiaTheme="minorEastAsia"/>
            <w:color w:val="auto"/>
            <w:lang w:val="en-US"/>
          </w:rPr>
          <w:t>https://doi.org/10.1016/1048-9843(95)90021-7</w:t>
        </w:r>
      </w:hyperlink>
      <w:r w:rsidRPr="00AC2632">
        <w:rPr>
          <w:rFonts w:eastAsiaTheme="minorEastAsia"/>
          <w:lang w:val="en-US"/>
        </w:rPr>
        <w:t xml:space="preserve"> </w:t>
      </w:r>
    </w:p>
    <w:p w14:paraId="09531834" w14:textId="4A4B88D7" w:rsidR="5CE9E455" w:rsidRPr="00AC2632" w:rsidRDefault="20E336E1" w:rsidP="20E336E1">
      <w:pPr>
        <w:ind w:left="283" w:hanging="283"/>
        <w:rPr>
          <w:rFonts w:eastAsiaTheme="minorEastAsia"/>
          <w:lang w:val="en-US"/>
        </w:rPr>
      </w:pPr>
      <w:r w:rsidRPr="00AC2632">
        <w:rPr>
          <w:rFonts w:eastAsiaTheme="minorEastAsia"/>
          <w:lang w:val="en-US"/>
        </w:rPr>
        <w:t xml:space="preserve">Bauer, J., Rehrl, M., &amp; Harteis, C. (2007). Measurement of learning culture: a motivational approach. </w:t>
      </w:r>
      <w:r w:rsidRPr="00AC2632">
        <w:rPr>
          <w:rFonts w:eastAsiaTheme="minorEastAsia"/>
          <w:i/>
          <w:iCs/>
          <w:lang w:val="en-US"/>
        </w:rPr>
        <w:t>Learning in the workplace–new developments,</w:t>
      </w:r>
      <w:r w:rsidRPr="00AC2632">
        <w:rPr>
          <w:rFonts w:eastAsiaTheme="minorEastAsia"/>
          <w:lang w:val="en-US"/>
        </w:rPr>
        <w:t xml:space="preserve"> 21-50. </w:t>
      </w:r>
      <w:hyperlink r:id="rId15">
        <w:r w:rsidRPr="00AC2632">
          <w:rPr>
            <w:rStyle w:val="Hyperlink"/>
            <w:rFonts w:eastAsiaTheme="minorEastAsia"/>
            <w:color w:val="auto"/>
            <w:lang w:val="en-US"/>
          </w:rPr>
          <w:t>https://www.researchgate.net/publication/258447330_Measurement_of_learning_culture_a_motivational_approach</w:t>
        </w:r>
      </w:hyperlink>
      <w:r w:rsidRPr="00AC2632">
        <w:rPr>
          <w:rFonts w:eastAsiaTheme="minorEastAsia"/>
          <w:lang w:val="en-US"/>
        </w:rPr>
        <w:t xml:space="preserve"> </w:t>
      </w:r>
    </w:p>
    <w:p w14:paraId="62C1449E" w14:textId="224EB175" w:rsidR="33DD619B" w:rsidRPr="00AC2632" w:rsidRDefault="20E336E1" w:rsidP="20E336E1">
      <w:pPr>
        <w:ind w:left="283" w:hanging="283"/>
        <w:rPr>
          <w:rFonts w:eastAsiaTheme="minorEastAsia"/>
          <w:lang w:val="en-US"/>
        </w:rPr>
      </w:pPr>
      <w:r w:rsidRPr="20E336E1">
        <w:rPr>
          <w:rFonts w:eastAsiaTheme="minorEastAsia"/>
        </w:rPr>
        <w:t>Bekkers, V.,</w:t>
      </w:r>
      <w:r w:rsidR="008D3C5A">
        <w:rPr>
          <w:rFonts w:eastAsiaTheme="minorEastAsia"/>
        </w:rPr>
        <w:t xml:space="preserve"> </w:t>
      </w:r>
      <w:r w:rsidRPr="20E336E1">
        <w:rPr>
          <w:rFonts w:eastAsiaTheme="minorEastAsia"/>
        </w:rPr>
        <w:t>Edelenbos</w:t>
      </w:r>
      <w:r w:rsidR="008D3C5A">
        <w:rPr>
          <w:rFonts w:eastAsiaTheme="minorEastAsia"/>
        </w:rPr>
        <w:t>, J.</w:t>
      </w:r>
      <w:r w:rsidR="00CB1348">
        <w:rPr>
          <w:rFonts w:eastAsiaTheme="minorEastAsia"/>
        </w:rPr>
        <w:t>,</w:t>
      </w:r>
      <w:r w:rsidRPr="20E336E1">
        <w:rPr>
          <w:rFonts w:eastAsiaTheme="minorEastAsia"/>
        </w:rPr>
        <w:t xml:space="preserve"> </w:t>
      </w:r>
      <w:r w:rsidR="00CB1348">
        <w:rPr>
          <w:rFonts w:eastAsiaTheme="minorEastAsia"/>
        </w:rPr>
        <w:t>&amp;</w:t>
      </w:r>
      <w:r w:rsidRPr="20E336E1">
        <w:rPr>
          <w:rFonts w:eastAsiaTheme="minorEastAsia"/>
        </w:rPr>
        <w:t xml:space="preserve"> Steijn</w:t>
      </w:r>
      <w:r w:rsidR="00CB1348">
        <w:rPr>
          <w:rFonts w:eastAsiaTheme="minorEastAsia"/>
        </w:rPr>
        <w:t>, B.</w:t>
      </w:r>
      <w:r w:rsidRPr="20E336E1">
        <w:rPr>
          <w:rFonts w:eastAsiaTheme="minorEastAsia"/>
        </w:rPr>
        <w:t xml:space="preserve"> (2011). </w:t>
      </w:r>
      <w:r w:rsidRPr="00AC2632">
        <w:rPr>
          <w:rFonts w:eastAsiaTheme="minorEastAsia"/>
          <w:i/>
          <w:iCs/>
          <w:lang w:val="en-US"/>
        </w:rPr>
        <w:t>Innovation in the public sector</w:t>
      </w:r>
      <w:r w:rsidRPr="00AC2632">
        <w:rPr>
          <w:rFonts w:eastAsiaTheme="minorEastAsia"/>
          <w:lang w:val="en-US"/>
        </w:rPr>
        <w:t>. Palgrave Macmillan.</w:t>
      </w:r>
    </w:p>
    <w:p w14:paraId="031D38A3" w14:textId="7C9A6EC2" w:rsidR="0FEACCAC" w:rsidRDefault="20E336E1" w:rsidP="20E336E1">
      <w:pPr>
        <w:ind w:left="283" w:hanging="283"/>
        <w:rPr>
          <w:rFonts w:eastAsiaTheme="minorEastAsia"/>
        </w:rPr>
      </w:pPr>
      <w:r w:rsidRPr="00AC2632">
        <w:rPr>
          <w:rFonts w:eastAsiaTheme="minorEastAsia"/>
          <w:lang w:val="en-US"/>
        </w:rPr>
        <w:t xml:space="preserve">Bessant, J., Tidd, J., &amp; Pavitt, K. (2005). </w:t>
      </w:r>
      <w:r w:rsidRPr="00AC2632">
        <w:rPr>
          <w:rFonts w:eastAsiaTheme="minorEastAsia"/>
          <w:i/>
          <w:iCs/>
          <w:lang w:val="en-US"/>
        </w:rPr>
        <w:t>Managing innovation. Integrating technological, market and organisational change (4th ed.)</w:t>
      </w:r>
      <w:r w:rsidRPr="00AC2632">
        <w:rPr>
          <w:rFonts w:eastAsiaTheme="minorEastAsia"/>
          <w:lang w:val="en-US"/>
        </w:rPr>
        <w:t xml:space="preserve">. John Wiley &amp; Sons. </w:t>
      </w:r>
      <w:hyperlink r:id="rId16">
        <w:r w:rsidRPr="20E336E1">
          <w:rPr>
            <w:rStyle w:val="Hyperlink"/>
            <w:color w:val="auto"/>
          </w:rPr>
          <w:t>https://nibmehub.com/opac-service/pdf/read/Managing%2520innovation%2520_%2520integrating%2520technological.pdf</w:t>
        </w:r>
      </w:hyperlink>
      <w:r w:rsidRPr="20E336E1">
        <w:rPr>
          <w:rFonts w:eastAsiaTheme="minorEastAsia"/>
        </w:rPr>
        <w:t xml:space="preserve">  </w:t>
      </w:r>
    </w:p>
    <w:p w14:paraId="3739FDFC" w14:textId="127898B2" w:rsidR="041CA8C9" w:rsidRPr="00AC2632" w:rsidRDefault="20E336E1" w:rsidP="20E336E1">
      <w:pPr>
        <w:ind w:left="283" w:hanging="283"/>
        <w:rPr>
          <w:rFonts w:eastAsiaTheme="minorEastAsia"/>
          <w:lang w:val="en-US"/>
        </w:rPr>
      </w:pPr>
      <w:r w:rsidRPr="20E336E1">
        <w:rPr>
          <w:rFonts w:eastAsiaTheme="minorEastAsia"/>
        </w:rPr>
        <w:t xml:space="preserve">Blindenbach-Driessen, F., &amp; Ende, J. </w:t>
      </w:r>
      <w:r w:rsidR="009448FB">
        <w:rPr>
          <w:rFonts w:eastAsiaTheme="minorEastAsia"/>
        </w:rPr>
        <w:t>v</w:t>
      </w:r>
      <w:r w:rsidR="000147BA">
        <w:rPr>
          <w:rFonts w:eastAsiaTheme="minorEastAsia"/>
        </w:rPr>
        <w:t xml:space="preserve">an den. </w:t>
      </w:r>
      <w:r w:rsidRPr="00CC172B">
        <w:rPr>
          <w:rFonts w:eastAsiaTheme="minorEastAsia"/>
          <w:lang w:val="en-US"/>
        </w:rPr>
        <w:t xml:space="preserve">(2010). </w:t>
      </w:r>
      <w:r w:rsidRPr="00AC2632">
        <w:rPr>
          <w:rFonts w:eastAsiaTheme="minorEastAsia"/>
          <w:lang w:val="en-US"/>
        </w:rPr>
        <w:t xml:space="preserve">Innovation management practices compared: The example of project-based firms. </w:t>
      </w:r>
      <w:r w:rsidRPr="00AC2632">
        <w:rPr>
          <w:rFonts w:eastAsiaTheme="minorEastAsia"/>
          <w:i/>
          <w:iCs/>
          <w:lang w:val="en-US"/>
        </w:rPr>
        <w:t>Journal of Product Innovation Management, 27</w:t>
      </w:r>
      <w:r w:rsidRPr="00AC2632">
        <w:rPr>
          <w:rFonts w:eastAsiaTheme="minorEastAsia"/>
          <w:lang w:val="en-US"/>
        </w:rPr>
        <w:t xml:space="preserve">(5), 705–724. </w:t>
      </w:r>
      <w:hyperlink r:id="rId17">
        <w:r w:rsidRPr="00AC2632">
          <w:rPr>
            <w:rStyle w:val="Hyperlink"/>
            <w:color w:val="auto"/>
            <w:lang w:val="en-US"/>
          </w:rPr>
          <w:t>https://doi.org/10.1111/j.1540-5885.2010.00746.x</w:t>
        </w:r>
      </w:hyperlink>
      <w:r w:rsidRPr="00AC2632">
        <w:rPr>
          <w:rFonts w:eastAsiaTheme="minorEastAsia"/>
          <w:lang w:val="en-US"/>
        </w:rPr>
        <w:t xml:space="preserve"> </w:t>
      </w:r>
    </w:p>
    <w:p w14:paraId="51FB834C" w14:textId="06E2D7CE" w:rsidR="5CE9E455" w:rsidRDefault="20E336E1" w:rsidP="20E336E1">
      <w:pPr>
        <w:ind w:left="283" w:hanging="283"/>
        <w:rPr>
          <w:rFonts w:eastAsiaTheme="minorEastAsia"/>
        </w:rPr>
      </w:pPr>
      <w:r w:rsidRPr="00AC2632">
        <w:rPr>
          <w:rFonts w:eastAsiaTheme="minorEastAsia"/>
          <w:lang w:val="en-US"/>
        </w:rPr>
        <w:t xml:space="preserve">Bloemendaal, M. (2023). </w:t>
      </w:r>
      <w:r w:rsidRPr="20E336E1">
        <w:rPr>
          <w:rFonts w:eastAsiaTheme="minorEastAsia"/>
          <w:i/>
          <w:iCs/>
        </w:rPr>
        <w:t>Innoveren met functieoverschrijdende samenwerking: Voordelen, methoden en voorbeelden.</w:t>
      </w:r>
      <w:r w:rsidRPr="20E336E1">
        <w:rPr>
          <w:rFonts w:eastAsiaTheme="minorEastAsia"/>
        </w:rPr>
        <w:t xml:space="preserve"> </w:t>
      </w:r>
      <w:hyperlink r:id="rId18">
        <w:r w:rsidRPr="20E336E1">
          <w:rPr>
            <w:rStyle w:val="Hyperlink"/>
            <w:color w:val="auto"/>
          </w:rPr>
          <w:t>https://studiowhy.com/nl/innoveren-met-functieoverschrijdende-samenwerking-voordelen-methoden-en-voorbeelden/</w:t>
        </w:r>
      </w:hyperlink>
      <w:r w:rsidRPr="20E336E1">
        <w:rPr>
          <w:rFonts w:eastAsiaTheme="minorEastAsia"/>
        </w:rPr>
        <w:t xml:space="preserve"> </w:t>
      </w:r>
    </w:p>
    <w:p w14:paraId="5FA8EF3A" w14:textId="6CE543A1" w:rsidR="5CE9E455" w:rsidRPr="00AC2632" w:rsidRDefault="20E336E1" w:rsidP="20E336E1">
      <w:pPr>
        <w:ind w:left="283" w:hanging="283"/>
        <w:rPr>
          <w:rFonts w:eastAsiaTheme="minorEastAsia"/>
          <w:lang w:val="en-US"/>
        </w:rPr>
      </w:pPr>
      <w:r w:rsidRPr="00AC2632">
        <w:rPr>
          <w:rFonts w:eastAsiaTheme="minorEastAsia"/>
          <w:lang w:val="en-US"/>
        </w:rPr>
        <w:t xml:space="preserve">Bommert, B. (2010). Collaborative innovation in the public sector. </w:t>
      </w:r>
      <w:r w:rsidRPr="00AC2632">
        <w:rPr>
          <w:rFonts w:eastAsiaTheme="minorEastAsia"/>
          <w:i/>
          <w:iCs/>
          <w:lang w:val="en-US"/>
        </w:rPr>
        <w:t>International public</w:t>
      </w:r>
      <w:r w:rsidR="5CE9E455" w:rsidRPr="00AC2632">
        <w:rPr>
          <w:lang w:val="en-US"/>
        </w:rPr>
        <w:tab/>
      </w:r>
      <w:r w:rsidRPr="00AC2632">
        <w:rPr>
          <w:rFonts w:eastAsiaTheme="minorEastAsia"/>
          <w:i/>
          <w:iCs/>
          <w:lang w:val="en-US"/>
        </w:rPr>
        <w:t xml:space="preserve"> management review, 11</w:t>
      </w:r>
      <w:r w:rsidRPr="00AC2632">
        <w:rPr>
          <w:rFonts w:eastAsiaTheme="minorEastAsia"/>
          <w:lang w:val="en-US"/>
        </w:rPr>
        <w:t xml:space="preserve">(1), 15-33. </w:t>
      </w:r>
      <w:hyperlink r:id="rId19">
        <w:r w:rsidRPr="00AC2632">
          <w:rPr>
            <w:rStyle w:val="Hyperlink"/>
            <w:rFonts w:eastAsiaTheme="minorEastAsia"/>
            <w:color w:val="auto"/>
            <w:lang w:val="en-US"/>
          </w:rPr>
          <w:t>https://ipmr.net/index.php/ipmr/article/view/73</w:t>
        </w:r>
      </w:hyperlink>
      <w:r w:rsidRPr="00AC2632">
        <w:rPr>
          <w:rFonts w:eastAsiaTheme="minorEastAsia"/>
          <w:lang w:val="en-US"/>
        </w:rPr>
        <w:t xml:space="preserve"> </w:t>
      </w:r>
      <w:r w:rsidR="5CE9E455" w:rsidRPr="00AC2632">
        <w:rPr>
          <w:lang w:val="en-US"/>
        </w:rPr>
        <w:tab/>
      </w:r>
    </w:p>
    <w:p w14:paraId="2988E26E" w14:textId="42212B5E" w:rsidR="33DD619B" w:rsidRPr="00AC2632" w:rsidRDefault="20E336E1" w:rsidP="20E336E1">
      <w:pPr>
        <w:ind w:left="283" w:hanging="283"/>
        <w:rPr>
          <w:rFonts w:eastAsiaTheme="minorEastAsia"/>
          <w:lang w:val="en-US"/>
        </w:rPr>
      </w:pPr>
      <w:r w:rsidRPr="00AC2632">
        <w:rPr>
          <w:rFonts w:eastAsiaTheme="minorEastAsia"/>
          <w:lang w:val="en-US"/>
        </w:rPr>
        <w:t xml:space="preserve">Bourn, J.  (2006). </w:t>
      </w:r>
      <w:r w:rsidRPr="00AC2632">
        <w:rPr>
          <w:rFonts w:eastAsiaTheme="minorEastAsia"/>
          <w:i/>
          <w:iCs/>
          <w:lang w:val="en-US"/>
        </w:rPr>
        <w:t>Achieving innovation in central government organisations.</w:t>
      </w:r>
      <w:r w:rsidRPr="00AC2632">
        <w:rPr>
          <w:rFonts w:eastAsiaTheme="minorEastAsia"/>
          <w:lang w:val="en-US"/>
        </w:rPr>
        <w:t xml:space="preserve"> National audit office. </w:t>
      </w:r>
      <w:hyperlink r:id="rId20">
        <w:r w:rsidRPr="00AC2632">
          <w:rPr>
            <w:rStyle w:val="Hyperlink"/>
            <w:rFonts w:eastAsiaTheme="minorEastAsia"/>
            <w:color w:val="auto"/>
            <w:lang w:val="en-US"/>
          </w:rPr>
          <w:t>https://www.nao.org.uk/wp-content/uploads/2006/07/05061447ii.pdf</w:t>
        </w:r>
      </w:hyperlink>
      <w:r w:rsidRPr="00AC2632">
        <w:rPr>
          <w:rFonts w:eastAsiaTheme="minorEastAsia"/>
          <w:lang w:val="en-US"/>
        </w:rPr>
        <w:t xml:space="preserve"> </w:t>
      </w:r>
    </w:p>
    <w:p w14:paraId="6C6A8BCF" w14:textId="2A2684BC" w:rsidR="33DD619B" w:rsidRPr="00AC2632" w:rsidRDefault="20E336E1" w:rsidP="20E336E1">
      <w:pPr>
        <w:ind w:left="283" w:hanging="283"/>
        <w:rPr>
          <w:rFonts w:eastAsiaTheme="minorEastAsia"/>
          <w:lang w:val="en-US"/>
        </w:rPr>
      </w:pPr>
      <w:r w:rsidRPr="00AC2632">
        <w:rPr>
          <w:rFonts w:eastAsiaTheme="minorEastAsia"/>
          <w:lang w:val="en-US"/>
        </w:rPr>
        <w:t xml:space="preserve">Bowen, G.A. (2009). Document analysis as a qualitative research method. </w:t>
      </w:r>
      <w:r w:rsidRPr="00AC2632">
        <w:rPr>
          <w:rFonts w:eastAsiaTheme="minorEastAsia"/>
          <w:i/>
          <w:iCs/>
          <w:lang w:val="en-US"/>
        </w:rPr>
        <w:t>Qualitative research journal, 9</w:t>
      </w:r>
      <w:r w:rsidRPr="00AC2632">
        <w:rPr>
          <w:rFonts w:eastAsiaTheme="minorEastAsia"/>
          <w:lang w:val="en-US"/>
        </w:rPr>
        <w:t xml:space="preserve">(2), 27-40. </w:t>
      </w:r>
      <w:hyperlink r:id="rId21">
        <w:r w:rsidRPr="00AC2632">
          <w:rPr>
            <w:rStyle w:val="Hyperlink"/>
            <w:color w:val="auto"/>
            <w:lang w:val="en-US"/>
          </w:rPr>
          <w:t>https://doi.org/10.3316/QRJ0902027</w:t>
        </w:r>
      </w:hyperlink>
      <w:r w:rsidRPr="00AC2632">
        <w:rPr>
          <w:rFonts w:eastAsiaTheme="minorEastAsia"/>
          <w:lang w:val="en-US"/>
        </w:rPr>
        <w:t xml:space="preserve"> </w:t>
      </w:r>
    </w:p>
    <w:p w14:paraId="0DDB0772" w14:textId="2FB566C7" w:rsidR="33DD619B" w:rsidRDefault="20E336E1" w:rsidP="20E336E1">
      <w:pPr>
        <w:ind w:left="283" w:hanging="283"/>
        <w:rPr>
          <w:rFonts w:eastAsiaTheme="minorEastAsia"/>
        </w:rPr>
      </w:pPr>
      <w:r w:rsidRPr="00AC2632">
        <w:rPr>
          <w:rFonts w:eastAsiaTheme="minorEastAsia"/>
          <w:lang w:val="en-US"/>
        </w:rPr>
        <w:t>Caluwé, L. de &amp; Vermaak, H. (2019).</w:t>
      </w:r>
      <w:r w:rsidRPr="00AC2632">
        <w:rPr>
          <w:rFonts w:eastAsiaTheme="minorEastAsia"/>
          <w:i/>
          <w:iCs/>
          <w:lang w:val="en-US"/>
        </w:rPr>
        <w:t xml:space="preserve"> </w:t>
      </w:r>
      <w:r w:rsidRPr="20E336E1">
        <w:rPr>
          <w:rFonts w:eastAsiaTheme="minorEastAsia"/>
          <w:i/>
          <w:iCs/>
        </w:rPr>
        <w:t xml:space="preserve">Leren Veranderen </w:t>
      </w:r>
      <w:r w:rsidRPr="003B54ED">
        <w:rPr>
          <w:rFonts w:eastAsiaTheme="minorEastAsia"/>
        </w:rPr>
        <w:t>(3e druk).</w:t>
      </w:r>
      <w:r w:rsidRPr="20E336E1">
        <w:rPr>
          <w:rFonts w:eastAsiaTheme="minorEastAsia"/>
        </w:rPr>
        <w:t xml:space="preserve"> Boom Hoger onderwijs. </w:t>
      </w:r>
    </w:p>
    <w:p w14:paraId="05C098EF" w14:textId="693C6B27" w:rsidR="0FEACCAC" w:rsidRDefault="20E336E1" w:rsidP="20E336E1">
      <w:pPr>
        <w:ind w:left="283" w:hanging="283"/>
        <w:rPr>
          <w:rFonts w:eastAsiaTheme="minorEastAsia"/>
        </w:rPr>
      </w:pPr>
      <w:r w:rsidRPr="20E336E1">
        <w:rPr>
          <w:rFonts w:eastAsiaTheme="minorEastAsia"/>
        </w:rPr>
        <w:t xml:space="preserve">Capgemini Consulting. (2017). </w:t>
      </w:r>
      <w:r w:rsidRPr="20E336E1">
        <w:rPr>
          <w:rFonts w:eastAsiaTheme="minorEastAsia"/>
          <w:i/>
          <w:iCs/>
        </w:rPr>
        <w:t>Innovatiestudie Capgemini Consulting en IESE Business School: Nederland in de middenmoot</w:t>
      </w:r>
      <w:r w:rsidRPr="20E336E1">
        <w:rPr>
          <w:rFonts w:eastAsiaTheme="minorEastAsia"/>
        </w:rPr>
        <w:t xml:space="preserve">. </w:t>
      </w:r>
      <w:hyperlink r:id="rId22">
        <w:r w:rsidRPr="20E336E1">
          <w:rPr>
            <w:rStyle w:val="Hyperlink"/>
            <w:color w:val="auto"/>
          </w:rPr>
          <w:t>https://www.capgemini.com/nl-nl/wp-content/uploads/sites/7/2017/07/pdf_Innovatiestudie_Capgemini_Consulting_en_IESE_Business_School__Nederland_in_de_middenmoot_0.pdf</w:t>
        </w:r>
      </w:hyperlink>
      <w:r w:rsidRPr="20E336E1">
        <w:rPr>
          <w:rFonts w:eastAsiaTheme="minorEastAsia"/>
        </w:rPr>
        <w:t xml:space="preserve"> </w:t>
      </w:r>
    </w:p>
    <w:p w14:paraId="097EB3DC" w14:textId="41DD7F74" w:rsidR="00D470AD" w:rsidRPr="00CC172B" w:rsidRDefault="00D470AD" w:rsidP="00D470AD">
      <w:pPr>
        <w:ind w:left="283" w:hanging="283"/>
        <w:rPr>
          <w:rFonts w:eastAsiaTheme="minorEastAsia"/>
          <w:lang w:val="en-US"/>
        </w:rPr>
      </w:pPr>
      <w:r w:rsidRPr="20E336E1">
        <w:rPr>
          <w:rFonts w:eastAsiaTheme="minorEastAsia"/>
        </w:rPr>
        <w:t>Cruijsen, J.</w:t>
      </w:r>
      <w:r>
        <w:rPr>
          <w:rFonts w:eastAsiaTheme="minorEastAsia"/>
        </w:rPr>
        <w:t xml:space="preserve"> van der.</w:t>
      </w:r>
      <w:r w:rsidRPr="20E336E1">
        <w:rPr>
          <w:rFonts w:eastAsiaTheme="minorEastAsia"/>
        </w:rPr>
        <w:t xml:space="preserve"> &amp; Schaafsma, M. (2011).</w:t>
      </w:r>
      <w:r w:rsidRPr="20E336E1">
        <w:rPr>
          <w:rFonts w:eastAsiaTheme="minorEastAsia"/>
          <w:i/>
          <w:iCs/>
        </w:rPr>
        <w:t xml:space="preserve"> Innovatiemanagement als sleutel tot meer succes</w:t>
      </w:r>
      <w:r w:rsidRPr="20E336E1">
        <w:rPr>
          <w:rFonts w:eastAsiaTheme="minorEastAsia"/>
        </w:rPr>
        <w:t xml:space="preserve">. </w:t>
      </w:r>
      <w:hyperlink r:id="rId23">
        <w:r w:rsidRPr="00CC172B">
          <w:rPr>
            <w:rStyle w:val="Hyperlink"/>
            <w:rFonts w:eastAsiaTheme="minorEastAsia"/>
            <w:color w:val="auto"/>
            <w:lang w:val="en-US"/>
          </w:rPr>
          <w:t>https://edepot.wur.nl/339717</w:t>
        </w:r>
      </w:hyperlink>
      <w:r w:rsidRPr="00CC172B">
        <w:rPr>
          <w:rFonts w:eastAsiaTheme="minorEastAsia"/>
          <w:lang w:val="en-US"/>
        </w:rPr>
        <w:t xml:space="preserve"> </w:t>
      </w:r>
    </w:p>
    <w:p w14:paraId="2F1DFD9E" w14:textId="74F581BA" w:rsidR="33DD619B" w:rsidRPr="00AC2632" w:rsidRDefault="20E336E1" w:rsidP="20E336E1">
      <w:pPr>
        <w:ind w:left="283" w:hanging="283"/>
        <w:rPr>
          <w:rFonts w:eastAsiaTheme="minorEastAsia"/>
          <w:lang w:val="en-US"/>
        </w:rPr>
      </w:pPr>
      <w:r w:rsidRPr="00AC2632">
        <w:rPr>
          <w:rFonts w:eastAsiaTheme="minorEastAsia"/>
          <w:lang w:val="en-US"/>
        </w:rPr>
        <w:t xml:space="preserve">Damanpour, F. (1988). Innovation type, radicalness, and the adoption process. </w:t>
      </w:r>
      <w:r w:rsidRPr="00AC2632">
        <w:rPr>
          <w:rFonts w:eastAsiaTheme="minorEastAsia"/>
          <w:i/>
          <w:iCs/>
          <w:lang w:val="en-US"/>
        </w:rPr>
        <w:t>Communication research</w:t>
      </w:r>
      <w:r w:rsidRPr="00AC2632">
        <w:rPr>
          <w:rFonts w:eastAsiaTheme="minorEastAsia"/>
          <w:lang w:val="en-US"/>
        </w:rPr>
        <w:t xml:space="preserve">, </w:t>
      </w:r>
      <w:r w:rsidRPr="007B3DAA">
        <w:rPr>
          <w:rFonts w:eastAsiaTheme="minorEastAsia"/>
          <w:i/>
          <w:iCs/>
          <w:lang w:val="en-US"/>
        </w:rPr>
        <w:t>15</w:t>
      </w:r>
      <w:r w:rsidRPr="00AC2632">
        <w:rPr>
          <w:rFonts w:eastAsiaTheme="minorEastAsia"/>
          <w:lang w:val="en-US"/>
        </w:rPr>
        <w:t xml:space="preserve">(5), 545-567. </w:t>
      </w:r>
      <w:hyperlink r:id="rId24">
        <w:r w:rsidRPr="00AC2632">
          <w:rPr>
            <w:rStyle w:val="Hyperlink"/>
            <w:rFonts w:eastAsiaTheme="minorEastAsia"/>
            <w:color w:val="auto"/>
            <w:lang w:val="en-US"/>
          </w:rPr>
          <w:t>https://doi.org/10.1177/009365088015005003</w:t>
        </w:r>
      </w:hyperlink>
      <w:r w:rsidRPr="00AC2632">
        <w:rPr>
          <w:rFonts w:eastAsiaTheme="minorEastAsia"/>
          <w:lang w:val="en-US"/>
        </w:rPr>
        <w:t xml:space="preserve"> </w:t>
      </w:r>
    </w:p>
    <w:p w14:paraId="3E842831" w14:textId="29D19897" w:rsidR="5CE9E455" w:rsidRPr="00AC2632" w:rsidRDefault="20E336E1" w:rsidP="20E336E1">
      <w:pPr>
        <w:ind w:left="283" w:hanging="283"/>
        <w:rPr>
          <w:rFonts w:eastAsiaTheme="minorEastAsia"/>
          <w:lang w:val="en-US"/>
        </w:rPr>
      </w:pPr>
      <w:r w:rsidRPr="00AC2632">
        <w:rPr>
          <w:rFonts w:eastAsiaTheme="minorEastAsia"/>
          <w:lang w:val="en-US"/>
        </w:rPr>
        <w:t xml:space="preserve">Davenport, T.H., &amp; Prusak, L. (1998). </w:t>
      </w:r>
      <w:r w:rsidRPr="00AC2632">
        <w:rPr>
          <w:rFonts w:eastAsiaTheme="minorEastAsia"/>
          <w:i/>
          <w:iCs/>
          <w:lang w:val="en-US"/>
        </w:rPr>
        <w:t>Working Knowledge: Managing What Your Organisation Knows</w:t>
      </w:r>
      <w:r w:rsidRPr="00AC2632">
        <w:rPr>
          <w:rFonts w:eastAsiaTheme="minorEastAsia"/>
          <w:lang w:val="en-US"/>
        </w:rPr>
        <w:t xml:space="preserve">. Harvard Business School Press. </w:t>
      </w:r>
      <w:hyperlink r:id="rId25">
        <w:r w:rsidRPr="00AC2632">
          <w:rPr>
            <w:rStyle w:val="Hyperlink"/>
            <w:rFonts w:eastAsiaTheme="minorEastAsia"/>
            <w:color w:val="auto"/>
            <w:lang w:val="en-US"/>
          </w:rPr>
          <w:t>http://dx.doi.org/10.1145/348772.348775</w:t>
        </w:r>
      </w:hyperlink>
      <w:r w:rsidRPr="00AC2632">
        <w:rPr>
          <w:rFonts w:eastAsiaTheme="minorEastAsia"/>
          <w:lang w:val="en-US"/>
        </w:rPr>
        <w:t xml:space="preserve"> </w:t>
      </w:r>
    </w:p>
    <w:p w14:paraId="485A1990" w14:textId="0C153328" w:rsidR="0FEACCAC" w:rsidRPr="00AC2632" w:rsidRDefault="20E336E1" w:rsidP="20E336E1">
      <w:pPr>
        <w:ind w:left="283" w:hanging="283"/>
        <w:rPr>
          <w:rFonts w:eastAsiaTheme="minorEastAsia"/>
          <w:lang w:val="en-US"/>
        </w:rPr>
      </w:pPr>
      <w:r w:rsidRPr="00AC2632">
        <w:rPr>
          <w:rFonts w:eastAsiaTheme="minorEastAsia"/>
          <w:lang w:val="en-US"/>
        </w:rPr>
        <w:t xml:space="preserve">DeFillippi, R., &amp; Sydow, J. (2016). Project networks: Governance choices and paradoxical tensions. </w:t>
      </w:r>
      <w:r w:rsidRPr="00AC2632">
        <w:rPr>
          <w:rFonts w:eastAsiaTheme="minorEastAsia"/>
          <w:i/>
          <w:iCs/>
          <w:lang w:val="en-US"/>
        </w:rPr>
        <w:t>Project Management Journal, 47</w:t>
      </w:r>
      <w:r w:rsidRPr="00AC2632">
        <w:rPr>
          <w:rFonts w:eastAsiaTheme="minorEastAsia"/>
          <w:lang w:val="en-US"/>
        </w:rPr>
        <w:t xml:space="preserve">(5), 6–17. </w:t>
      </w:r>
      <w:hyperlink r:id="rId26">
        <w:r w:rsidRPr="00AC2632">
          <w:rPr>
            <w:rStyle w:val="Hyperlink"/>
            <w:color w:val="auto"/>
            <w:lang w:val="en-US"/>
          </w:rPr>
          <w:t>https://doi.org/10.1177/875697281604700502</w:t>
        </w:r>
      </w:hyperlink>
      <w:r w:rsidRPr="00AC2632">
        <w:rPr>
          <w:rFonts w:eastAsiaTheme="minorEastAsia"/>
          <w:lang w:val="en-US"/>
        </w:rPr>
        <w:t xml:space="preserve"> </w:t>
      </w:r>
    </w:p>
    <w:p w14:paraId="1AB1AE76" w14:textId="0DF39AE5" w:rsidR="23783DFD" w:rsidRPr="00E41267" w:rsidRDefault="20E336E1" w:rsidP="20E336E1">
      <w:pPr>
        <w:ind w:left="283" w:hanging="283"/>
        <w:rPr>
          <w:rFonts w:eastAsiaTheme="minorEastAsia"/>
        </w:rPr>
      </w:pPr>
      <w:r w:rsidRPr="00AC2632">
        <w:rPr>
          <w:rFonts w:eastAsiaTheme="minorEastAsia"/>
          <w:lang w:val="en-US"/>
        </w:rPr>
        <w:t xml:space="preserve">Deming, W. E. (1986). </w:t>
      </w:r>
      <w:r w:rsidRPr="00AC2632">
        <w:rPr>
          <w:rFonts w:eastAsiaTheme="minorEastAsia"/>
          <w:i/>
          <w:iCs/>
          <w:lang w:val="en-US"/>
        </w:rPr>
        <w:t>Out of the Crisis</w:t>
      </w:r>
      <w:r w:rsidRPr="00AC2632">
        <w:rPr>
          <w:rFonts w:eastAsiaTheme="minorEastAsia"/>
          <w:lang w:val="en-US"/>
        </w:rPr>
        <w:t xml:space="preserve">. </w:t>
      </w:r>
      <w:r w:rsidRPr="00E41267">
        <w:rPr>
          <w:rFonts w:eastAsiaTheme="minorEastAsia"/>
        </w:rPr>
        <w:t>MIT Press Ltd.</w:t>
      </w:r>
    </w:p>
    <w:p w14:paraId="3CD18F39" w14:textId="4DCA0DF2" w:rsidR="3C227DDB" w:rsidRDefault="20E336E1" w:rsidP="20E336E1">
      <w:pPr>
        <w:ind w:left="283" w:hanging="283"/>
        <w:rPr>
          <w:rFonts w:eastAsiaTheme="minorEastAsia"/>
        </w:rPr>
      </w:pPr>
      <w:r w:rsidRPr="20E336E1">
        <w:rPr>
          <w:rFonts w:eastAsiaTheme="minorEastAsia"/>
        </w:rPr>
        <w:t>Dessing, N., &amp; Haas, W.</w:t>
      </w:r>
      <w:r w:rsidR="00E91203">
        <w:rPr>
          <w:rFonts w:eastAsiaTheme="minorEastAsia"/>
        </w:rPr>
        <w:t xml:space="preserve"> de.</w:t>
      </w:r>
      <w:r w:rsidRPr="20E336E1">
        <w:rPr>
          <w:rFonts w:eastAsiaTheme="minorEastAsia"/>
        </w:rPr>
        <w:t xml:space="preserve"> (2017). </w:t>
      </w:r>
      <w:r w:rsidRPr="20E336E1">
        <w:rPr>
          <w:rFonts w:eastAsiaTheme="minorEastAsia"/>
          <w:i/>
          <w:iCs/>
        </w:rPr>
        <w:t>Succesvol innoveren: raamwerk en toolkit voor innovatoren in het landelijk gebied.</w:t>
      </w:r>
      <w:r w:rsidRPr="20E336E1">
        <w:rPr>
          <w:rFonts w:eastAsiaTheme="minorEastAsia"/>
        </w:rPr>
        <w:t xml:space="preserve"> </w:t>
      </w:r>
      <w:hyperlink r:id="rId27">
        <w:r w:rsidRPr="20E336E1">
          <w:rPr>
            <w:rStyle w:val="Hyperlink"/>
            <w:rFonts w:eastAsiaTheme="minorEastAsia"/>
            <w:color w:val="auto"/>
          </w:rPr>
          <w:t>https://issuu.com/succesvolinnoveren/docs/succesvol_innoveren_issuu</w:t>
        </w:r>
      </w:hyperlink>
      <w:r w:rsidRPr="20E336E1">
        <w:rPr>
          <w:rFonts w:eastAsiaTheme="minorEastAsia"/>
        </w:rPr>
        <w:t xml:space="preserve"> </w:t>
      </w:r>
    </w:p>
    <w:p w14:paraId="01CD852B" w14:textId="307813AA" w:rsidR="33DD619B" w:rsidRPr="000403BE" w:rsidRDefault="20E336E1" w:rsidP="20E336E1">
      <w:pPr>
        <w:ind w:left="283" w:hanging="283"/>
        <w:rPr>
          <w:rFonts w:eastAsiaTheme="minorEastAsia"/>
        </w:rPr>
      </w:pPr>
      <w:r w:rsidRPr="20E336E1">
        <w:rPr>
          <w:rFonts w:eastAsiaTheme="minorEastAsia"/>
        </w:rPr>
        <w:t>Digitale overheid. (z.d.A).</w:t>
      </w:r>
      <w:r w:rsidRPr="20E336E1">
        <w:rPr>
          <w:rFonts w:eastAsiaTheme="minorEastAsia"/>
          <w:i/>
          <w:iCs/>
        </w:rPr>
        <w:t xml:space="preserve"> </w:t>
      </w:r>
      <w:r w:rsidRPr="00CC172B">
        <w:rPr>
          <w:rFonts w:eastAsiaTheme="minorEastAsia"/>
          <w:i/>
          <w:iCs/>
        </w:rPr>
        <w:t>Innovatie.</w:t>
      </w:r>
      <w:r w:rsidR="000403BE" w:rsidRPr="00CC172B">
        <w:rPr>
          <w:rFonts w:eastAsiaTheme="minorEastAsia"/>
          <w:i/>
          <w:iCs/>
        </w:rPr>
        <w:t xml:space="preserve"> </w:t>
      </w:r>
      <w:r w:rsidR="000403BE" w:rsidRPr="0015358C">
        <w:rPr>
          <w:rFonts w:eastAsiaTheme="minorEastAsia"/>
        </w:rPr>
        <w:t xml:space="preserve">Geraadpleegd op </w:t>
      </w:r>
      <w:r w:rsidR="0015358C" w:rsidRPr="0015358C">
        <w:rPr>
          <w:rFonts w:eastAsiaTheme="minorEastAsia"/>
        </w:rPr>
        <w:t>13 april 2024, van</w:t>
      </w:r>
      <w:r w:rsidRPr="0015358C">
        <w:rPr>
          <w:rFonts w:eastAsiaTheme="minorEastAsia"/>
        </w:rPr>
        <w:t xml:space="preserve"> </w:t>
      </w:r>
      <w:hyperlink r:id="rId28">
        <w:r w:rsidRPr="000403BE">
          <w:rPr>
            <w:rStyle w:val="Hyperlink"/>
            <w:rFonts w:eastAsiaTheme="minorEastAsia"/>
            <w:color w:val="auto"/>
          </w:rPr>
          <w:t>https://www.digitaleoverheid.nl/overzicht-van-alle-onderwerpen/innovatie/</w:t>
        </w:r>
      </w:hyperlink>
      <w:r w:rsidRPr="000403BE">
        <w:rPr>
          <w:rFonts w:eastAsiaTheme="minorEastAsia"/>
        </w:rPr>
        <w:t xml:space="preserve"> </w:t>
      </w:r>
    </w:p>
    <w:p w14:paraId="11C5D464" w14:textId="57684C81" w:rsidR="4E66CEE1" w:rsidRDefault="20E336E1" w:rsidP="20E336E1">
      <w:pPr>
        <w:ind w:left="283" w:hanging="283"/>
        <w:rPr>
          <w:rFonts w:eastAsiaTheme="minorEastAsia"/>
        </w:rPr>
      </w:pPr>
      <w:r w:rsidRPr="20E336E1">
        <w:rPr>
          <w:rFonts w:eastAsiaTheme="minorEastAsia"/>
        </w:rPr>
        <w:t xml:space="preserve">Digitale overheid. (z.d.B). </w:t>
      </w:r>
      <w:r w:rsidRPr="20E336E1">
        <w:rPr>
          <w:rFonts w:eastAsiaTheme="minorEastAsia"/>
          <w:i/>
          <w:iCs/>
        </w:rPr>
        <w:t>Monitor, evalueer en stel bij.</w:t>
      </w:r>
      <w:r w:rsidR="0015358C">
        <w:rPr>
          <w:rFonts w:eastAsiaTheme="minorEastAsia"/>
          <w:i/>
          <w:iCs/>
        </w:rPr>
        <w:t xml:space="preserve"> </w:t>
      </w:r>
      <w:r w:rsidR="0015358C" w:rsidRPr="0015358C">
        <w:rPr>
          <w:rFonts w:eastAsiaTheme="minorEastAsia"/>
        </w:rPr>
        <w:t xml:space="preserve">Geraadpleegd op 13 april 2024, van </w:t>
      </w:r>
      <w:hyperlink r:id="rId29" w:history="1">
        <w:r w:rsidR="0015358C" w:rsidRPr="0015358C">
          <w:rPr>
            <w:rStyle w:val="Hyperlink"/>
            <w:rFonts w:eastAsiaTheme="minorEastAsia"/>
            <w:color w:val="auto"/>
          </w:rPr>
          <w:t>https://www.digitaleoverheid.nl/overzicht-van-alle-onderwerpen/nieuwe-technologieen-data-en-ethiek/publieke-waarden/toolbox-voor-ethisch-verantwoorde-innovatie/monitoren-en-evalueren/</w:t>
        </w:r>
      </w:hyperlink>
      <w:r w:rsidRPr="0015358C">
        <w:rPr>
          <w:rFonts w:eastAsiaTheme="minorEastAsia"/>
        </w:rPr>
        <w:t xml:space="preserve">  </w:t>
      </w:r>
    </w:p>
    <w:p w14:paraId="4164227A" w14:textId="065D4C7B" w:rsidR="5CE9E455" w:rsidRPr="00AC2632" w:rsidRDefault="20E336E1" w:rsidP="20E336E1">
      <w:pPr>
        <w:ind w:left="283" w:hanging="283"/>
        <w:rPr>
          <w:rFonts w:eastAsiaTheme="minorEastAsia"/>
          <w:lang w:val="en-US"/>
        </w:rPr>
      </w:pPr>
      <w:r w:rsidRPr="00AC2632">
        <w:rPr>
          <w:rFonts w:eastAsiaTheme="minorEastAsia"/>
          <w:lang w:val="en-US"/>
        </w:rPr>
        <w:t>Espedal, B. (2017). Understanding how balancing autonomy and power might occur in leading organizational change.</w:t>
      </w:r>
      <w:r w:rsidRPr="00AC2632">
        <w:rPr>
          <w:rFonts w:eastAsiaTheme="minorEastAsia"/>
          <w:i/>
          <w:iCs/>
          <w:lang w:val="en-US"/>
        </w:rPr>
        <w:t xml:space="preserve"> European Management Journal, 35</w:t>
      </w:r>
      <w:r w:rsidRPr="00AC2632">
        <w:rPr>
          <w:rFonts w:eastAsiaTheme="minorEastAsia"/>
          <w:lang w:val="en-US"/>
        </w:rPr>
        <w:t xml:space="preserve">(2), 155-163. </w:t>
      </w:r>
      <w:hyperlink r:id="rId30">
        <w:r w:rsidRPr="00AC2632">
          <w:rPr>
            <w:rStyle w:val="Hyperlink"/>
            <w:rFonts w:eastAsiaTheme="minorEastAsia"/>
            <w:color w:val="auto"/>
            <w:lang w:val="en-US"/>
          </w:rPr>
          <w:t>https://doi.org/10.1016/j.emj.2016.08.005</w:t>
        </w:r>
      </w:hyperlink>
      <w:r w:rsidRPr="00AC2632">
        <w:rPr>
          <w:rFonts w:eastAsiaTheme="minorEastAsia"/>
          <w:lang w:val="en-US"/>
        </w:rPr>
        <w:t xml:space="preserve"> </w:t>
      </w:r>
    </w:p>
    <w:p w14:paraId="18E04B52" w14:textId="0B99F3CA" w:rsidR="5CE9E455" w:rsidRPr="00AC2632" w:rsidRDefault="20E336E1" w:rsidP="20E336E1">
      <w:pPr>
        <w:ind w:left="283" w:hanging="283"/>
        <w:rPr>
          <w:rFonts w:eastAsiaTheme="minorEastAsia"/>
          <w:lang w:val="en-US"/>
        </w:rPr>
      </w:pPr>
      <w:r w:rsidRPr="00AC2632">
        <w:rPr>
          <w:rFonts w:eastAsiaTheme="minorEastAsia"/>
          <w:lang w:val="en-US"/>
        </w:rPr>
        <w:t xml:space="preserve">Fernandez, S., &amp; Rainey, H.G. (2006). Managing successful organizational change in the public sector. </w:t>
      </w:r>
      <w:r w:rsidRPr="00AC2632">
        <w:rPr>
          <w:rFonts w:eastAsiaTheme="minorEastAsia"/>
          <w:i/>
          <w:iCs/>
          <w:lang w:val="en-US"/>
        </w:rPr>
        <w:t>Public Administration Review, 66</w:t>
      </w:r>
      <w:r w:rsidRPr="00AC2632">
        <w:rPr>
          <w:rFonts w:eastAsiaTheme="minorEastAsia"/>
          <w:lang w:val="en-US"/>
        </w:rPr>
        <w:t xml:space="preserve">(2), 168-176. </w:t>
      </w:r>
      <w:hyperlink r:id="rId31">
        <w:r w:rsidRPr="00AC2632">
          <w:rPr>
            <w:rStyle w:val="Hyperlink"/>
            <w:rFonts w:eastAsiaTheme="minorEastAsia"/>
            <w:color w:val="auto"/>
            <w:lang w:val="en-US"/>
          </w:rPr>
          <w:t>Https://doi.org/10.1111/j.1540-6210.2006.00570.x</w:t>
        </w:r>
      </w:hyperlink>
      <w:r w:rsidRPr="00AC2632">
        <w:rPr>
          <w:rFonts w:eastAsiaTheme="minorEastAsia"/>
          <w:lang w:val="en-US"/>
        </w:rPr>
        <w:t xml:space="preserve"> </w:t>
      </w:r>
    </w:p>
    <w:p w14:paraId="267663AC" w14:textId="6D4DF536" w:rsidR="5CE9E455" w:rsidRPr="00AC2632" w:rsidRDefault="532F1467" w:rsidP="20E336E1">
      <w:pPr>
        <w:ind w:left="283" w:hanging="283"/>
        <w:rPr>
          <w:rFonts w:eastAsiaTheme="minorEastAsia"/>
          <w:lang w:val="en-US"/>
        </w:rPr>
      </w:pPr>
      <w:r w:rsidRPr="00AC2632">
        <w:rPr>
          <w:rFonts w:eastAsiaTheme="minorEastAsia"/>
          <w:lang w:val="en-US"/>
        </w:rPr>
        <w:t xml:space="preserve">García-Morales, V.J., Jiménez-Barrionuevo, M.M., &amp; Gutiérrez-Gutiérrez, L. (2012). Transformational leadership influence on organizational performance through organizational learning and innovation. </w:t>
      </w:r>
      <w:r w:rsidRPr="00AC2632">
        <w:rPr>
          <w:rFonts w:eastAsiaTheme="minorEastAsia"/>
          <w:i/>
          <w:iCs/>
          <w:lang w:val="en-US"/>
        </w:rPr>
        <w:t>Journal of Business Research,</w:t>
      </w:r>
      <w:r w:rsidRPr="00AC2632">
        <w:rPr>
          <w:rFonts w:eastAsiaTheme="minorEastAsia"/>
          <w:lang w:val="en-US"/>
        </w:rPr>
        <w:t xml:space="preserve"> </w:t>
      </w:r>
      <w:r w:rsidRPr="00AC2632">
        <w:rPr>
          <w:rFonts w:eastAsiaTheme="minorEastAsia"/>
          <w:i/>
          <w:iCs/>
          <w:lang w:val="en-US"/>
        </w:rPr>
        <w:t>65</w:t>
      </w:r>
      <w:r w:rsidRPr="00AC2632">
        <w:rPr>
          <w:rFonts w:eastAsiaTheme="minorEastAsia"/>
          <w:lang w:val="en-US"/>
        </w:rPr>
        <w:t xml:space="preserve">(7), 1040-1050. </w:t>
      </w:r>
      <w:hyperlink r:id="rId32">
        <w:r w:rsidRPr="00AC2632">
          <w:rPr>
            <w:rStyle w:val="Hyperlink"/>
            <w:rFonts w:eastAsiaTheme="minorEastAsia"/>
            <w:color w:val="auto"/>
            <w:lang w:val="en-US"/>
          </w:rPr>
          <w:t>https://doi.org/10.1016/j.jbusres.2011.03.005</w:t>
        </w:r>
      </w:hyperlink>
      <w:r w:rsidRPr="00AC2632">
        <w:rPr>
          <w:rFonts w:eastAsiaTheme="minorEastAsia"/>
          <w:lang w:val="en-US"/>
        </w:rPr>
        <w:t xml:space="preserve"> </w:t>
      </w:r>
    </w:p>
    <w:p w14:paraId="7C1738CF" w14:textId="7D2BC4D9" w:rsidR="33DD619B" w:rsidRDefault="20E336E1" w:rsidP="20E336E1">
      <w:pPr>
        <w:ind w:left="283" w:hanging="283"/>
        <w:rPr>
          <w:rFonts w:eastAsiaTheme="minorEastAsia"/>
        </w:rPr>
      </w:pPr>
      <w:r w:rsidRPr="00AC2632">
        <w:rPr>
          <w:rFonts w:eastAsiaTheme="minorEastAsia"/>
          <w:lang w:val="en-US"/>
        </w:rPr>
        <w:t xml:space="preserve">Gieske, H. (2019). </w:t>
      </w:r>
      <w:r w:rsidRPr="20E336E1">
        <w:rPr>
          <w:rFonts w:eastAsiaTheme="minorEastAsia"/>
          <w:i/>
          <w:iCs/>
        </w:rPr>
        <w:t>Hoe kunnen waterschappen in samenhang Innoveren én optimaliseren om beter te presteren</w:t>
      </w:r>
      <w:r w:rsidR="00FD2AE4">
        <w:rPr>
          <w:rFonts w:eastAsiaTheme="minorEastAsia"/>
          <w:i/>
          <w:iCs/>
        </w:rPr>
        <w:t>?</w:t>
      </w:r>
      <w:r w:rsidRPr="20E336E1">
        <w:rPr>
          <w:rFonts w:eastAsiaTheme="minorEastAsia"/>
          <w:i/>
          <w:iCs/>
        </w:rPr>
        <w:t xml:space="preserve"> </w:t>
      </w:r>
      <w:r w:rsidRPr="20E336E1">
        <w:rPr>
          <w:rFonts w:eastAsiaTheme="minorEastAsia"/>
        </w:rPr>
        <w:t>[Proefschrift, Erasmus Universiteit]</w:t>
      </w:r>
      <w:r w:rsidR="00FD2AE4">
        <w:rPr>
          <w:rFonts w:eastAsiaTheme="minorEastAsia"/>
        </w:rPr>
        <w:t>.</w:t>
      </w:r>
      <w:r w:rsidRPr="20E336E1">
        <w:rPr>
          <w:rFonts w:eastAsiaTheme="minorEastAsia"/>
        </w:rPr>
        <w:t xml:space="preserve"> </w:t>
      </w:r>
      <w:hyperlink r:id="rId33">
        <w:r w:rsidRPr="20E336E1">
          <w:rPr>
            <w:rStyle w:val="Hyperlink"/>
            <w:rFonts w:eastAsiaTheme="minorEastAsia"/>
            <w:color w:val="auto"/>
          </w:rPr>
          <w:t>https://docplayer.nl/162221083-Hoe-kunnen-waterschappen-in-samenhang-innoveren-en-optimaliseren-om-beter-te-presteren.html</w:t>
        </w:r>
      </w:hyperlink>
      <w:r w:rsidRPr="20E336E1">
        <w:rPr>
          <w:rFonts w:eastAsiaTheme="minorEastAsia"/>
        </w:rPr>
        <w:t xml:space="preserve"> </w:t>
      </w:r>
    </w:p>
    <w:p w14:paraId="0B0860AA" w14:textId="0C3604C0" w:rsidR="5CE9E455" w:rsidRDefault="20E336E1" w:rsidP="20E336E1">
      <w:pPr>
        <w:ind w:left="283" w:hanging="283"/>
        <w:rPr>
          <w:rFonts w:eastAsiaTheme="minorEastAsia"/>
          <w:lang w:val="en-US"/>
        </w:rPr>
      </w:pPr>
      <w:r w:rsidRPr="006A6EFF">
        <w:rPr>
          <w:rFonts w:eastAsiaTheme="minorEastAsia"/>
        </w:rPr>
        <w:t xml:space="preserve">Goodstein, L.D., &amp; Burke, W.W. (1991). </w:t>
      </w:r>
      <w:r w:rsidRPr="20E336E1">
        <w:rPr>
          <w:rFonts w:eastAsiaTheme="minorEastAsia"/>
          <w:lang w:val="en-US"/>
        </w:rPr>
        <w:t>Creating successful organization change.</w:t>
      </w:r>
      <w:r w:rsidRPr="20E336E1">
        <w:rPr>
          <w:rFonts w:eastAsiaTheme="minorEastAsia"/>
          <w:i/>
          <w:iCs/>
          <w:lang w:val="en-US"/>
        </w:rPr>
        <w:t xml:space="preserve"> Organizational Dynamics, 19</w:t>
      </w:r>
      <w:r w:rsidRPr="20E336E1">
        <w:rPr>
          <w:rFonts w:eastAsiaTheme="minorEastAsia"/>
          <w:lang w:val="en-US"/>
        </w:rPr>
        <w:t xml:space="preserve">(4), 5-17. </w:t>
      </w:r>
      <w:hyperlink r:id="rId34">
        <w:r w:rsidRPr="20E336E1">
          <w:rPr>
            <w:rStyle w:val="Hyperlink"/>
            <w:rFonts w:eastAsiaTheme="minorEastAsia"/>
            <w:color w:val="auto"/>
            <w:lang w:val="en-US"/>
          </w:rPr>
          <w:t>https://doi.org/10.1016/0090-2616(91)90050-J</w:t>
        </w:r>
      </w:hyperlink>
      <w:r w:rsidRPr="20E336E1">
        <w:rPr>
          <w:rFonts w:eastAsiaTheme="minorEastAsia"/>
          <w:lang w:val="en-US"/>
        </w:rPr>
        <w:t xml:space="preserve"> </w:t>
      </w:r>
    </w:p>
    <w:p w14:paraId="4A1D2921" w14:textId="775F4E56" w:rsidR="5CE9E455" w:rsidRDefault="20E336E1" w:rsidP="20E336E1">
      <w:pPr>
        <w:ind w:left="283" w:hanging="283"/>
        <w:rPr>
          <w:rFonts w:eastAsiaTheme="minorEastAsia"/>
          <w:lang w:val="en-US"/>
        </w:rPr>
      </w:pPr>
      <w:r w:rsidRPr="20E336E1">
        <w:rPr>
          <w:rFonts w:eastAsiaTheme="minorEastAsia"/>
          <w:lang w:val="en-US"/>
        </w:rPr>
        <w:t xml:space="preserve">Goh, S.C. (1998). Toward a learning organization: the strategic building blocks. </w:t>
      </w:r>
      <w:r w:rsidRPr="20E336E1">
        <w:rPr>
          <w:rFonts w:eastAsiaTheme="minorEastAsia"/>
          <w:i/>
          <w:iCs/>
          <w:lang w:val="en-US"/>
        </w:rPr>
        <w:t>SAM Advanced Management Journal</w:t>
      </w:r>
      <w:r w:rsidR="00F676A8">
        <w:rPr>
          <w:rFonts w:eastAsiaTheme="minorEastAsia"/>
          <w:i/>
          <w:iCs/>
          <w:lang w:val="en-US"/>
        </w:rPr>
        <w:t>,</w:t>
      </w:r>
      <w:r w:rsidRPr="20E336E1">
        <w:rPr>
          <w:rFonts w:eastAsiaTheme="minorEastAsia"/>
          <w:i/>
          <w:iCs/>
          <w:lang w:val="en-US"/>
        </w:rPr>
        <w:t xml:space="preserve"> 63</w:t>
      </w:r>
      <w:r w:rsidRPr="20E336E1">
        <w:rPr>
          <w:rFonts w:eastAsiaTheme="minorEastAsia"/>
          <w:lang w:val="en-US"/>
        </w:rPr>
        <w:t xml:space="preserve">(2), 15-22. </w:t>
      </w:r>
      <w:hyperlink r:id="rId35">
        <w:r w:rsidRPr="20E336E1">
          <w:rPr>
            <w:rStyle w:val="Hyperlink"/>
            <w:rFonts w:eastAsiaTheme="minorEastAsia"/>
            <w:color w:val="auto"/>
            <w:lang w:val="en-US"/>
          </w:rPr>
          <w:t>http://www.frogandgoat.com/wp-content/uploads/2008/07/toward-a-learning-organization.pdf</w:t>
        </w:r>
      </w:hyperlink>
      <w:r w:rsidRPr="20E336E1">
        <w:rPr>
          <w:rFonts w:eastAsiaTheme="minorEastAsia"/>
          <w:lang w:val="en-US"/>
        </w:rPr>
        <w:t xml:space="preserve"> </w:t>
      </w:r>
    </w:p>
    <w:p w14:paraId="090BCAB6" w14:textId="77777777" w:rsidR="003D3384" w:rsidRDefault="003D3384" w:rsidP="003D3384">
      <w:pPr>
        <w:ind w:left="283" w:hanging="283"/>
        <w:rPr>
          <w:rFonts w:eastAsiaTheme="minorEastAsia"/>
        </w:rPr>
      </w:pPr>
      <w:r w:rsidRPr="00AC2632">
        <w:rPr>
          <w:rFonts w:eastAsiaTheme="minorEastAsia"/>
          <w:lang w:val="en-US"/>
        </w:rPr>
        <w:t xml:space="preserve">Groot, B. </w:t>
      </w:r>
      <w:r>
        <w:rPr>
          <w:rFonts w:eastAsiaTheme="minorEastAsia"/>
          <w:lang w:val="en-US"/>
        </w:rPr>
        <w:t xml:space="preserve">de. </w:t>
      </w:r>
      <w:r w:rsidRPr="00AC2632">
        <w:rPr>
          <w:rFonts w:eastAsiaTheme="minorEastAsia"/>
          <w:lang w:val="en-US"/>
        </w:rPr>
        <w:t xml:space="preserve">(2023). </w:t>
      </w:r>
      <w:r w:rsidRPr="00AC2632">
        <w:rPr>
          <w:rFonts w:eastAsiaTheme="minorEastAsia"/>
          <w:i/>
          <w:iCs/>
          <w:lang w:val="en-US"/>
        </w:rPr>
        <w:t>Learning to become adaptive. How hubs facilitate collective learning in project-oriented organisation in infrastructure planning</w:t>
      </w:r>
      <w:r w:rsidRPr="00AC2632">
        <w:rPr>
          <w:rFonts w:eastAsiaTheme="minorEastAsia"/>
          <w:lang w:val="en-US"/>
        </w:rPr>
        <w:t xml:space="preserve">. </w:t>
      </w:r>
      <w:r w:rsidRPr="20E336E1">
        <w:rPr>
          <w:rFonts w:eastAsiaTheme="minorEastAsia"/>
        </w:rPr>
        <w:t xml:space="preserve">[Proefschrift, Universiteit Groningen]. </w:t>
      </w:r>
      <w:hyperlink r:id="rId36">
        <w:r w:rsidRPr="20E336E1">
          <w:rPr>
            <w:rStyle w:val="Hyperlink"/>
            <w:rFonts w:eastAsiaTheme="minorEastAsia"/>
            <w:color w:val="auto"/>
          </w:rPr>
          <w:t>https://doi.org/10.33612/diss.603413720</w:t>
        </w:r>
      </w:hyperlink>
      <w:r w:rsidRPr="20E336E1">
        <w:rPr>
          <w:rFonts w:eastAsiaTheme="minorEastAsia"/>
        </w:rPr>
        <w:t xml:space="preserve"> </w:t>
      </w:r>
    </w:p>
    <w:p w14:paraId="528D0870" w14:textId="720B3695" w:rsidR="2A2D67F7" w:rsidRDefault="20E336E1" w:rsidP="003D3384">
      <w:pPr>
        <w:rPr>
          <w:rFonts w:eastAsiaTheme="minorEastAsia"/>
          <w:lang w:val="pt-BR"/>
        </w:rPr>
      </w:pPr>
      <w:r w:rsidRPr="20E336E1">
        <w:rPr>
          <w:rFonts w:eastAsiaTheme="minorEastAsia"/>
          <w:lang w:val="pt-BR"/>
        </w:rPr>
        <w:t xml:space="preserve">Hart, W. &amp; Buiting, M. (2012). </w:t>
      </w:r>
      <w:r w:rsidRPr="20E336E1">
        <w:rPr>
          <w:rFonts w:eastAsiaTheme="minorEastAsia"/>
          <w:i/>
          <w:iCs/>
          <w:lang w:val="pt-BR"/>
        </w:rPr>
        <w:t>Verdraaide organisaties. Terug naar de bedoeling.</w:t>
      </w:r>
      <w:r w:rsidRPr="20E336E1">
        <w:rPr>
          <w:rFonts w:eastAsiaTheme="minorEastAsia"/>
          <w:lang w:val="pt-BR"/>
        </w:rPr>
        <w:t xml:space="preserve"> Deventer: Kluwer</w:t>
      </w:r>
    </w:p>
    <w:p w14:paraId="07510100" w14:textId="61546C9C" w:rsidR="5CE9E455" w:rsidRDefault="20E336E1" w:rsidP="20E336E1">
      <w:pPr>
        <w:ind w:left="283" w:hanging="283"/>
        <w:rPr>
          <w:rFonts w:eastAsiaTheme="minorEastAsia"/>
          <w:lang w:val="pt-BR"/>
        </w:rPr>
      </w:pPr>
      <w:r w:rsidRPr="20E336E1">
        <w:rPr>
          <w:rFonts w:eastAsiaTheme="minorEastAsia"/>
          <w:lang w:val="pt-BR"/>
        </w:rPr>
        <w:t>Hill, R. (1996). A measure of the learning organization.</w:t>
      </w:r>
      <w:r w:rsidRPr="20E336E1">
        <w:rPr>
          <w:rFonts w:eastAsiaTheme="minorEastAsia"/>
          <w:i/>
          <w:iCs/>
          <w:lang w:val="pt-BR"/>
        </w:rPr>
        <w:t xml:space="preserve"> Industrial and Commercial Training</w:t>
      </w:r>
      <w:r w:rsidRPr="20E336E1">
        <w:rPr>
          <w:rFonts w:eastAsiaTheme="minorEastAsia"/>
          <w:lang w:val="pt-BR"/>
        </w:rPr>
        <w:t xml:space="preserve">, </w:t>
      </w:r>
      <w:r w:rsidRPr="20E336E1">
        <w:rPr>
          <w:rFonts w:eastAsiaTheme="minorEastAsia"/>
          <w:i/>
          <w:iCs/>
          <w:lang w:val="pt-BR"/>
        </w:rPr>
        <w:t>28</w:t>
      </w:r>
      <w:r w:rsidRPr="20E336E1">
        <w:rPr>
          <w:rFonts w:eastAsiaTheme="minorEastAsia"/>
          <w:lang w:val="pt-BR"/>
        </w:rPr>
        <w:t xml:space="preserve">(1), 19-25. </w:t>
      </w:r>
      <w:hyperlink r:id="rId37">
        <w:r w:rsidRPr="20E336E1">
          <w:rPr>
            <w:rStyle w:val="Hyperlink"/>
            <w:rFonts w:eastAsiaTheme="minorEastAsia"/>
            <w:color w:val="auto"/>
            <w:lang w:val="pt-BR"/>
          </w:rPr>
          <w:t>https://doi.org/10.1108/00197859610105440</w:t>
        </w:r>
      </w:hyperlink>
      <w:r w:rsidRPr="20E336E1">
        <w:rPr>
          <w:rFonts w:eastAsiaTheme="minorEastAsia"/>
          <w:lang w:val="pt-BR"/>
        </w:rPr>
        <w:t xml:space="preserve"> </w:t>
      </w:r>
    </w:p>
    <w:p w14:paraId="112C7918" w14:textId="0F60E0DE" w:rsidR="5CE9E455" w:rsidRDefault="20E336E1" w:rsidP="20E336E1">
      <w:pPr>
        <w:ind w:left="283" w:hanging="283"/>
        <w:rPr>
          <w:rFonts w:eastAsiaTheme="minorEastAsia"/>
          <w:lang w:val="pt-BR"/>
        </w:rPr>
      </w:pPr>
      <w:r w:rsidRPr="20E336E1">
        <w:rPr>
          <w:rFonts w:eastAsiaTheme="minorEastAsia"/>
          <w:lang w:val="pt-BR"/>
        </w:rPr>
        <w:t xml:space="preserve">Hornung, S., &amp; Rousseau, D.M. (2007). Active on the job—proactive in change: How autonomy at work contributes to employee support for organizational change. </w:t>
      </w:r>
      <w:r w:rsidRPr="20E336E1">
        <w:rPr>
          <w:rFonts w:eastAsiaTheme="minorEastAsia"/>
          <w:i/>
          <w:iCs/>
          <w:lang w:val="pt-BR"/>
        </w:rPr>
        <w:t>The Journal of Applied Behavioral Science,</w:t>
      </w:r>
      <w:r w:rsidRPr="20E336E1">
        <w:rPr>
          <w:rFonts w:eastAsiaTheme="minorEastAsia"/>
          <w:lang w:val="pt-BR"/>
        </w:rPr>
        <w:t xml:space="preserve"> </w:t>
      </w:r>
      <w:r w:rsidRPr="00F676A8">
        <w:rPr>
          <w:rFonts w:eastAsiaTheme="minorEastAsia"/>
          <w:i/>
          <w:iCs/>
          <w:lang w:val="pt-BR"/>
        </w:rPr>
        <w:t>43</w:t>
      </w:r>
      <w:r w:rsidRPr="20E336E1">
        <w:rPr>
          <w:rFonts w:eastAsiaTheme="minorEastAsia"/>
          <w:lang w:val="pt-BR"/>
        </w:rPr>
        <w:t xml:space="preserve">(4), 401-426. </w:t>
      </w:r>
      <w:hyperlink r:id="rId38">
        <w:r w:rsidRPr="20E336E1">
          <w:rPr>
            <w:rStyle w:val="Hyperlink"/>
            <w:rFonts w:eastAsiaTheme="minorEastAsia"/>
            <w:color w:val="auto"/>
            <w:lang w:val="pt-BR"/>
          </w:rPr>
          <w:t>https://doi.org/10.1177/0021886307307555</w:t>
        </w:r>
      </w:hyperlink>
      <w:r w:rsidRPr="20E336E1">
        <w:rPr>
          <w:rFonts w:eastAsiaTheme="minorEastAsia"/>
          <w:lang w:val="pt-BR"/>
        </w:rPr>
        <w:t xml:space="preserve"> </w:t>
      </w:r>
    </w:p>
    <w:p w14:paraId="787B0710" w14:textId="6AB01532" w:rsidR="33DD619B" w:rsidRPr="00AC2632" w:rsidRDefault="20E336E1" w:rsidP="20E336E1">
      <w:pPr>
        <w:ind w:left="283" w:hanging="283"/>
        <w:rPr>
          <w:rFonts w:eastAsiaTheme="minorEastAsia"/>
          <w:lang w:val="en-US"/>
        </w:rPr>
      </w:pPr>
      <w:r w:rsidRPr="20E336E1">
        <w:rPr>
          <w:rFonts w:eastAsiaTheme="minorEastAsia"/>
          <w:lang w:val="pt-BR"/>
        </w:rPr>
        <w:t>Huizingh, E. (2019).</w:t>
      </w:r>
      <w:r w:rsidRPr="20E336E1">
        <w:rPr>
          <w:rFonts w:eastAsiaTheme="minorEastAsia"/>
          <w:i/>
          <w:iCs/>
          <w:lang w:val="pt-BR"/>
        </w:rPr>
        <w:t xml:space="preserve"> Innovatiemanagement </w:t>
      </w:r>
      <w:r w:rsidRPr="00A07E73">
        <w:rPr>
          <w:rFonts w:eastAsiaTheme="minorEastAsia"/>
          <w:lang w:val="pt-BR"/>
        </w:rPr>
        <w:t>(4e druk).</w:t>
      </w:r>
      <w:r w:rsidRPr="20E336E1">
        <w:rPr>
          <w:rFonts w:eastAsiaTheme="minorEastAsia"/>
          <w:lang w:val="pt-BR"/>
        </w:rPr>
        <w:t xml:space="preserve"> Pearson Benelux. </w:t>
      </w:r>
    </w:p>
    <w:p w14:paraId="33B4D9FB" w14:textId="24F84869" w:rsidR="5028AA64" w:rsidRPr="00AC2632" w:rsidRDefault="20E336E1" w:rsidP="20E336E1">
      <w:pPr>
        <w:ind w:left="283" w:hanging="283"/>
        <w:rPr>
          <w:rFonts w:eastAsiaTheme="minorEastAsia"/>
          <w:lang w:val="en-US"/>
        </w:rPr>
      </w:pPr>
      <w:r w:rsidRPr="00AC2632">
        <w:rPr>
          <w:rFonts w:eastAsiaTheme="minorEastAsia"/>
          <w:lang w:val="en-US"/>
        </w:rPr>
        <w:t xml:space="preserve">Koch, P., &amp; Hauknes, J. (2005). </w:t>
      </w:r>
      <w:r w:rsidRPr="00AC2632">
        <w:rPr>
          <w:rFonts w:eastAsiaTheme="minorEastAsia"/>
          <w:i/>
          <w:iCs/>
          <w:lang w:val="en-US"/>
        </w:rPr>
        <w:t xml:space="preserve">On innovation in the public sector </w:t>
      </w:r>
      <w:r w:rsidRPr="00241EF0">
        <w:rPr>
          <w:rFonts w:eastAsiaTheme="minorEastAsia"/>
          <w:lang w:val="en-US"/>
        </w:rPr>
        <w:t>[Report No. D20].</w:t>
      </w:r>
      <w:r w:rsidRPr="00AC2632">
        <w:rPr>
          <w:rFonts w:eastAsiaTheme="minorEastAsia"/>
          <w:lang w:val="en-US"/>
        </w:rPr>
        <w:t xml:space="preserve"> Publin. </w:t>
      </w:r>
      <w:hyperlink r:id="rId39">
        <w:r w:rsidRPr="00AC2632">
          <w:rPr>
            <w:rStyle w:val="Hyperlink"/>
            <w:rFonts w:eastAsiaTheme="minorEastAsia"/>
            <w:color w:val="auto"/>
            <w:lang w:val="en-US"/>
          </w:rPr>
          <w:t>https://www.researchgate.net/publication/265318205_On_Innovation_in_the_Public_Sector</w:t>
        </w:r>
      </w:hyperlink>
      <w:r w:rsidRPr="00AC2632">
        <w:rPr>
          <w:rFonts w:eastAsiaTheme="minorEastAsia"/>
          <w:lang w:val="en-US"/>
        </w:rPr>
        <w:t xml:space="preserve">  </w:t>
      </w:r>
    </w:p>
    <w:p w14:paraId="5C70FFBB" w14:textId="70EC65FB" w:rsidR="5CE9E455" w:rsidRDefault="20E336E1" w:rsidP="20E336E1">
      <w:pPr>
        <w:ind w:left="283" w:hanging="283"/>
        <w:rPr>
          <w:rFonts w:eastAsiaTheme="minorEastAsia"/>
        </w:rPr>
      </w:pPr>
      <w:r w:rsidRPr="00AC2632">
        <w:rPr>
          <w:rFonts w:eastAsiaTheme="minorEastAsia"/>
          <w:lang w:val="en-US"/>
        </w:rPr>
        <w:t>McGill, I., &amp; Beaty, L. (2013).</w:t>
      </w:r>
      <w:r w:rsidRPr="00AC2632">
        <w:rPr>
          <w:rFonts w:eastAsiaTheme="minorEastAsia"/>
          <w:i/>
          <w:iCs/>
          <w:lang w:val="en-US"/>
        </w:rPr>
        <w:t xml:space="preserve"> Action learning: A practitioner's guide</w:t>
      </w:r>
      <w:r w:rsidRPr="00AC2632">
        <w:rPr>
          <w:rFonts w:eastAsiaTheme="minorEastAsia"/>
          <w:lang w:val="en-US"/>
        </w:rPr>
        <w:t xml:space="preserve">. </w:t>
      </w:r>
      <w:r w:rsidRPr="20E336E1">
        <w:rPr>
          <w:rFonts w:eastAsiaTheme="minorEastAsia"/>
        </w:rPr>
        <w:t xml:space="preserve">Routledge. </w:t>
      </w:r>
      <w:hyperlink r:id="rId40">
        <w:r w:rsidRPr="20E336E1">
          <w:rPr>
            <w:rStyle w:val="Hyperlink"/>
            <w:rFonts w:eastAsiaTheme="minorEastAsia"/>
            <w:color w:val="auto"/>
          </w:rPr>
          <w:t>https://doi.org/10.4324/9781315042480</w:t>
        </w:r>
      </w:hyperlink>
      <w:r w:rsidRPr="20E336E1">
        <w:rPr>
          <w:rFonts w:eastAsiaTheme="minorEastAsia"/>
        </w:rPr>
        <w:t xml:space="preserve"> </w:t>
      </w:r>
    </w:p>
    <w:p w14:paraId="5E52128C" w14:textId="45100342" w:rsidR="4E66CEE1" w:rsidRDefault="20E336E1" w:rsidP="20E336E1">
      <w:pPr>
        <w:ind w:left="283" w:hanging="283"/>
        <w:rPr>
          <w:rFonts w:eastAsiaTheme="minorEastAsia"/>
        </w:rPr>
      </w:pPr>
      <w:r w:rsidRPr="20E336E1">
        <w:rPr>
          <w:rFonts w:eastAsiaTheme="minorEastAsia"/>
        </w:rPr>
        <w:t xml:space="preserve">Meijer, A. (2023). </w:t>
      </w:r>
      <w:r w:rsidRPr="20E336E1">
        <w:rPr>
          <w:rFonts w:eastAsiaTheme="minorEastAsia"/>
          <w:i/>
          <w:iCs/>
        </w:rPr>
        <w:t xml:space="preserve">Innovaties in het publieke domein opschalen: 3 succesfactoren. </w:t>
      </w:r>
      <w:r w:rsidRPr="20E336E1">
        <w:rPr>
          <w:rFonts w:eastAsiaTheme="minorEastAsia"/>
        </w:rPr>
        <w:t>Geraadpleegd op 28 maart 2024</w:t>
      </w:r>
      <w:r w:rsidR="001F2F3C">
        <w:rPr>
          <w:rFonts w:eastAsiaTheme="minorEastAsia"/>
        </w:rPr>
        <w:t>,</w:t>
      </w:r>
      <w:r w:rsidRPr="20E336E1">
        <w:rPr>
          <w:rFonts w:eastAsiaTheme="minorEastAsia"/>
        </w:rPr>
        <w:t xml:space="preserve"> van </w:t>
      </w:r>
      <w:hyperlink r:id="rId41">
        <w:r w:rsidRPr="20E336E1">
          <w:rPr>
            <w:rStyle w:val="Hyperlink"/>
            <w:rFonts w:eastAsiaTheme="minorEastAsia"/>
            <w:color w:val="auto"/>
          </w:rPr>
          <w:t>https://www.innovatiex.nl/nieuws/nieuws/2023/09/18/innovaties-in-het-publieke-domein-opschalen-3-succesfactoren</w:t>
        </w:r>
      </w:hyperlink>
      <w:r w:rsidRPr="20E336E1">
        <w:rPr>
          <w:rFonts w:eastAsiaTheme="minorEastAsia"/>
        </w:rPr>
        <w:t xml:space="preserve"> </w:t>
      </w:r>
    </w:p>
    <w:p w14:paraId="28BCB75B" w14:textId="1259CA8E" w:rsidR="5CE9E455" w:rsidRPr="00AC2632" w:rsidRDefault="20E336E1" w:rsidP="20E336E1">
      <w:pPr>
        <w:ind w:left="283" w:hanging="283"/>
        <w:rPr>
          <w:rFonts w:eastAsiaTheme="minorEastAsia"/>
          <w:lang w:val="en-US"/>
        </w:rPr>
      </w:pPr>
      <w:r w:rsidRPr="00AC2632">
        <w:rPr>
          <w:rFonts w:eastAsiaTheme="minorEastAsia"/>
          <w:lang w:val="en-US"/>
        </w:rPr>
        <w:t>Mergel, I. (2018). Open innovation in the public sector: drivers and barriers for the adoption of Challenge.gov.</w:t>
      </w:r>
      <w:r w:rsidRPr="00AC2632">
        <w:rPr>
          <w:rFonts w:eastAsiaTheme="minorEastAsia"/>
          <w:i/>
          <w:iCs/>
          <w:lang w:val="en-US"/>
        </w:rPr>
        <w:t xml:space="preserve"> Public Management Review, 20</w:t>
      </w:r>
      <w:r w:rsidRPr="00AC2632">
        <w:rPr>
          <w:rFonts w:eastAsiaTheme="minorEastAsia"/>
          <w:lang w:val="en-US"/>
        </w:rPr>
        <w:t xml:space="preserve">(5), 726-745. </w:t>
      </w:r>
      <w:hyperlink r:id="rId42">
        <w:r w:rsidRPr="00AC2632">
          <w:rPr>
            <w:rStyle w:val="Hyperlink"/>
            <w:rFonts w:eastAsiaTheme="minorEastAsia"/>
            <w:color w:val="auto"/>
            <w:lang w:val="en-US"/>
          </w:rPr>
          <w:t>https://dx.doi.org/10.1080/14719037.2017.1320044</w:t>
        </w:r>
      </w:hyperlink>
      <w:r w:rsidRPr="00AC2632">
        <w:rPr>
          <w:rFonts w:eastAsiaTheme="minorEastAsia"/>
          <w:lang w:val="en-US"/>
        </w:rPr>
        <w:t xml:space="preserve"> </w:t>
      </w:r>
    </w:p>
    <w:p w14:paraId="7CE9C150" w14:textId="331E1DBA" w:rsidR="5CE9E455" w:rsidRPr="00AC2632" w:rsidRDefault="20E336E1" w:rsidP="20E336E1">
      <w:pPr>
        <w:ind w:left="283" w:hanging="283"/>
        <w:rPr>
          <w:rFonts w:eastAsiaTheme="minorEastAsia"/>
          <w:lang w:val="en-US"/>
        </w:rPr>
      </w:pPr>
      <w:r w:rsidRPr="00AC2632">
        <w:rPr>
          <w:rFonts w:eastAsiaTheme="minorEastAsia"/>
          <w:lang w:val="en-US"/>
        </w:rPr>
        <w:t xml:space="preserve">Miller, V.D., Johnson, J.R., &amp; Grau, J. (1994). Antecedents to willingness to participate in a planned organizational change. </w:t>
      </w:r>
      <w:r w:rsidRPr="00AC2632">
        <w:rPr>
          <w:rFonts w:eastAsiaTheme="minorEastAsia"/>
          <w:i/>
          <w:iCs/>
          <w:lang w:val="en-US"/>
        </w:rPr>
        <w:t>Journal of Applied Communication Research, 22</w:t>
      </w:r>
      <w:r w:rsidRPr="00AC2632">
        <w:rPr>
          <w:rFonts w:eastAsiaTheme="minorEastAsia"/>
          <w:lang w:val="en-US"/>
        </w:rPr>
        <w:t xml:space="preserve">(1), 59–80. </w:t>
      </w:r>
      <w:hyperlink r:id="rId43">
        <w:r w:rsidRPr="00AC2632">
          <w:rPr>
            <w:rStyle w:val="Hyperlink"/>
            <w:rFonts w:eastAsiaTheme="minorEastAsia"/>
            <w:color w:val="auto"/>
            <w:lang w:val="en-US"/>
          </w:rPr>
          <w:t>https://doi.org/10.1080/00909889409365387</w:t>
        </w:r>
      </w:hyperlink>
    </w:p>
    <w:p w14:paraId="41ADDFB9" w14:textId="256743E9" w:rsidR="33DD619B" w:rsidRDefault="20E336E1" w:rsidP="20E336E1">
      <w:pPr>
        <w:ind w:left="283" w:hanging="283"/>
        <w:rPr>
          <w:rFonts w:eastAsiaTheme="minorEastAsia"/>
        </w:rPr>
      </w:pPr>
      <w:r w:rsidRPr="00AC2632">
        <w:rPr>
          <w:rFonts w:eastAsiaTheme="minorEastAsia"/>
          <w:lang w:val="en-US"/>
        </w:rPr>
        <w:t xml:space="preserve">Naranjo-Valencia, J.C., Jiménez-Jiménez, D., &amp; Sanz-Valle, R. (2011). Innovation or imitation? The role of organizational culture. </w:t>
      </w:r>
      <w:r w:rsidRPr="00AC2632">
        <w:rPr>
          <w:rFonts w:eastAsiaTheme="minorEastAsia"/>
          <w:i/>
          <w:iCs/>
          <w:lang w:val="en-US"/>
        </w:rPr>
        <w:t>Management Decision,</w:t>
      </w:r>
      <w:r w:rsidRPr="00AC2632">
        <w:rPr>
          <w:rFonts w:eastAsiaTheme="minorEastAsia"/>
          <w:lang w:val="en-US"/>
        </w:rPr>
        <w:t xml:space="preserve"> </w:t>
      </w:r>
      <w:r w:rsidRPr="00F676A8">
        <w:rPr>
          <w:rFonts w:eastAsiaTheme="minorEastAsia"/>
          <w:i/>
          <w:iCs/>
          <w:lang w:val="en-US"/>
        </w:rPr>
        <w:t>49</w:t>
      </w:r>
      <w:r w:rsidRPr="00AC2632">
        <w:rPr>
          <w:rFonts w:eastAsiaTheme="minorEastAsia"/>
          <w:lang w:val="en-US"/>
        </w:rPr>
        <w:t xml:space="preserve">(1), 55-72. </w:t>
      </w:r>
      <w:hyperlink r:id="rId44">
        <w:r w:rsidRPr="20E336E1">
          <w:rPr>
            <w:rStyle w:val="Hyperlink"/>
            <w:rFonts w:eastAsiaTheme="minorEastAsia"/>
            <w:color w:val="auto"/>
          </w:rPr>
          <w:t>Https://10.1108/00251741111094437</w:t>
        </w:r>
      </w:hyperlink>
      <w:r w:rsidRPr="20E336E1">
        <w:rPr>
          <w:rFonts w:eastAsiaTheme="minorEastAsia"/>
        </w:rPr>
        <w:t xml:space="preserve"> </w:t>
      </w:r>
    </w:p>
    <w:p w14:paraId="36691BC7" w14:textId="1E6E43FA" w:rsidR="00D470AD" w:rsidRDefault="00D470AD" w:rsidP="00D470AD">
      <w:pPr>
        <w:ind w:left="283" w:hanging="283"/>
        <w:rPr>
          <w:rFonts w:eastAsiaTheme="minorEastAsia"/>
        </w:rPr>
      </w:pPr>
      <w:r w:rsidRPr="20E336E1">
        <w:rPr>
          <w:rFonts w:eastAsiaTheme="minorEastAsia"/>
        </w:rPr>
        <w:t>Leeuwen, D.J.</w:t>
      </w:r>
      <w:r>
        <w:rPr>
          <w:rFonts w:eastAsiaTheme="minorEastAsia"/>
        </w:rPr>
        <w:t xml:space="preserve"> van.</w:t>
      </w:r>
      <w:r w:rsidRPr="20E336E1">
        <w:rPr>
          <w:rFonts w:eastAsiaTheme="minorEastAsia"/>
        </w:rPr>
        <w:t xml:space="preserve"> &amp; Hörnig, L. (2024). </w:t>
      </w:r>
      <w:r w:rsidRPr="20E336E1">
        <w:rPr>
          <w:rFonts w:eastAsiaTheme="minorEastAsia"/>
          <w:i/>
          <w:iCs/>
        </w:rPr>
        <w:t>Innoveren met Impact (StIP).</w:t>
      </w:r>
      <w:r w:rsidRPr="20E336E1">
        <w:rPr>
          <w:rFonts w:eastAsiaTheme="minorEastAsia"/>
        </w:rPr>
        <w:t xml:space="preserve"> </w:t>
      </w:r>
      <w:hyperlink r:id="rId45">
        <w:r w:rsidRPr="20E336E1">
          <w:rPr>
            <w:rStyle w:val="Hyperlink"/>
            <w:rFonts w:eastAsiaTheme="minorEastAsia"/>
            <w:color w:val="auto"/>
          </w:rPr>
          <w:t>https://www.rijksorganisatieodi.nl/documenten/handleidingen/2023/02/03/stappenplan-innovatieprojecten</w:t>
        </w:r>
      </w:hyperlink>
      <w:r w:rsidRPr="20E336E1">
        <w:rPr>
          <w:rFonts w:eastAsiaTheme="minorEastAsia"/>
        </w:rPr>
        <w:t xml:space="preserve"> </w:t>
      </w:r>
    </w:p>
    <w:p w14:paraId="14389F6F" w14:textId="41184EBF" w:rsidR="33DD619B" w:rsidRDefault="20E336E1" w:rsidP="20E336E1">
      <w:pPr>
        <w:ind w:left="283" w:hanging="283"/>
        <w:rPr>
          <w:rFonts w:eastAsiaTheme="minorEastAsia"/>
        </w:rPr>
      </w:pPr>
      <w:r w:rsidRPr="20E336E1">
        <w:rPr>
          <w:rFonts w:eastAsiaTheme="minorEastAsia"/>
        </w:rPr>
        <w:t xml:space="preserve">Lekkerkerk, L.J. (2012). </w:t>
      </w:r>
      <w:r w:rsidRPr="20E336E1">
        <w:rPr>
          <w:rFonts w:eastAsiaTheme="minorEastAsia"/>
          <w:i/>
          <w:iCs/>
        </w:rPr>
        <w:t>Innovatie- en Organisatie</w:t>
      </w:r>
      <w:r w:rsidR="004467DA">
        <w:rPr>
          <w:rFonts w:eastAsiaTheme="minorEastAsia"/>
          <w:i/>
          <w:iCs/>
        </w:rPr>
        <w:t>s</w:t>
      </w:r>
      <w:r w:rsidRPr="20E336E1">
        <w:rPr>
          <w:rFonts w:eastAsiaTheme="minorEastAsia"/>
          <w:i/>
          <w:iCs/>
        </w:rPr>
        <w:t>tructuur. Ontwikkeling en test van een functiemodel voor structuuronderzoek en -diagnose.</w:t>
      </w:r>
      <w:r w:rsidRPr="20E336E1">
        <w:rPr>
          <w:rFonts w:eastAsiaTheme="minorEastAsia"/>
        </w:rPr>
        <w:t xml:space="preserve"> [Proefschrift, Radboud Universiteit]. </w:t>
      </w:r>
      <w:hyperlink r:id="rId46">
        <w:r w:rsidRPr="20E336E1">
          <w:rPr>
            <w:rStyle w:val="Hyperlink"/>
            <w:rFonts w:eastAsiaTheme="minorEastAsia"/>
            <w:color w:val="auto"/>
          </w:rPr>
          <w:t>https://repository.ubn.ru.nl/bitstream/handle/2066/93601/93601.pdf?sequence=1&amp;isAllowed=y</w:t>
        </w:r>
      </w:hyperlink>
      <w:r w:rsidRPr="20E336E1">
        <w:rPr>
          <w:rFonts w:eastAsiaTheme="minorEastAsia"/>
        </w:rPr>
        <w:t xml:space="preserve"> </w:t>
      </w:r>
    </w:p>
    <w:p w14:paraId="4936794D" w14:textId="1698F887" w:rsidR="33DD619B" w:rsidRPr="00AC2632" w:rsidRDefault="20E336E1" w:rsidP="20E336E1">
      <w:pPr>
        <w:ind w:left="283" w:hanging="283"/>
        <w:rPr>
          <w:rFonts w:eastAsiaTheme="minorEastAsia"/>
          <w:lang w:val="en-US"/>
        </w:rPr>
      </w:pPr>
      <w:r w:rsidRPr="00AC2632">
        <w:rPr>
          <w:rFonts w:eastAsiaTheme="minorEastAsia"/>
          <w:lang w:val="en-US"/>
        </w:rPr>
        <w:t xml:space="preserve">Organisation of Economic Co-operation and Development. (2017). </w:t>
      </w:r>
      <w:r w:rsidRPr="00AC2632">
        <w:rPr>
          <w:rFonts w:eastAsiaTheme="minorEastAsia"/>
          <w:i/>
          <w:iCs/>
          <w:lang w:val="en-US"/>
        </w:rPr>
        <w:t>Fostering Innovation in the Public Sector</w:t>
      </w:r>
      <w:r w:rsidRPr="00AC2632">
        <w:rPr>
          <w:rFonts w:eastAsiaTheme="minorEastAsia"/>
          <w:lang w:val="en-US"/>
        </w:rPr>
        <w:t xml:space="preserve">. OECD Publishing.  </w:t>
      </w:r>
      <w:hyperlink r:id="rId47">
        <w:r w:rsidRPr="00AC2632">
          <w:rPr>
            <w:rStyle w:val="Hyperlink"/>
            <w:rFonts w:eastAsiaTheme="minorEastAsia"/>
            <w:color w:val="auto"/>
            <w:lang w:val="en-US"/>
          </w:rPr>
          <w:t>https://doi-org.ru.idm.oclc.org/10.1787/9789264270879-7-en</w:t>
        </w:r>
      </w:hyperlink>
      <w:r w:rsidRPr="00AC2632">
        <w:rPr>
          <w:rFonts w:eastAsiaTheme="minorEastAsia"/>
          <w:lang w:val="en-US"/>
        </w:rPr>
        <w:t xml:space="preserve"> </w:t>
      </w:r>
    </w:p>
    <w:p w14:paraId="025C3937" w14:textId="6EF8B12A" w:rsidR="33DD619B" w:rsidRDefault="20E336E1" w:rsidP="20E336E1">
      <w:pPr>
        <w:ind w:left="283" w:hanging="283"/>
        <w:rPr>
          <w:rFonts w:eastAsiaTheme="minorEastAsia"/>
        </w:rPr>
      </w:pPr>
      <w:r w:rsidRPr="00AC2632">
        <w:rPr>
          <w:rFonts w:eastAsiaTheme="minorEastAsia"/>
          <w:lang w:val="en-US"/>
        </w:rPr>
        <w:t xml:space="preserve">O' Sullivan, D. &amp; Dooley, L. (2009). </w:t>
      </w:r>
      <w:r w:rsidRPr="00AC2632">
        <w:rPr>
          <w:rFonts w:eastAsiaTheme="minorEastAsia"/>
          <w:i/>
          <w:iCs/>
          <w:lang w:val="en-US"/>
        </w:rPr>
        <w:t>Applying innovation</w:t>
      </w:r>
      <w:r w:rsidRPr="00AC2632">
        <w:rPr>
          <w:rFonts w:eastAsiaTheme="minorEastAsia"/>
          <w:lang w:val="en-US"/>
        </w:rPr>
        <w:t xml:space="preserve">. Sage Publications Inc. </w:t>
      </w:r>
      <w:hyperlink r:id="rId48" w:anchor="v=onepage&amp;q&amp;f=false">
        <w:r w:rsidRPr="20E336E1">
          <w:rPr>
            <w:rStyle w:val="Hyperlink"/>
            <w:rFonts w:eastAsiaTheme="minorEastAsia"/>
            <w:color w:val="auto"/>
          </w:rPr>
          <w:t>https://books.google.nl/books?id=azgXBAAAQBAJ&amp;pg=PR3&amp;hl=nl&amp;source=gbs_selected_pages&amp;cad=1#v=onepage&amp;q&amp;f=false</w:t>
        </w:r>
      </w:hyperlink>
      <w:r w:rsidRPr="20E336E1">
        <w:rPr>
          <w:rFonts w:eastAsiaTheme="minorEastAsia"/>
        </w:rPr>
        <w:t xml:space="preserve"> </w:t>
      </w:r>
    </w:p>
    <w:p w14:paraId="6E16D3E1" w14:textId="55931EEE" w:rsidR="5CE9E455" w:rsidRPr="00AC2632" w:rsidRDefault="20E336E1" w:rsidP="20E336E1">
      <w:pPr>
        <w:ind w:left="283" w:hanging="283"/>
        <w:rPr>
          <w:rFonts w:eastAsiaTheme="minorEastAsia"/>
          <w:lang w:val="en-US"/>
        </w:rPr>
      </w:pPr>
      <w:r w:rsidRPr="00AC2632">
        <w:rPr>
          <w:rFonts w:eastAsiaTheme="minorEastAsia"/>
          <w:lang w:val="en-US"/>
        </w:rPr>
        <w:t xml:space="preserve">Pawar, B.S., &amp; Eastman, K.K. (1997). The nature and implications of contextual influences on transformational leadership: A conceptual examination. </w:t>
      </w:r>
      <w:r w:rsidRPr="00AC2632">
        <w:rPr>
          <w:rFonts w:eastAsiaTheme="minorEastAsia"/>
          <w:i/>
          <w:iCs/>
          <w:lang w:val="en-US"/>
        </w:rPr>
        <w:t>The Academy of Management Review, 22</w:t>
      </w:r>
      <w:r w:rsidRPr="00AC2632">
        <w:rPr>
          <w:rFonts w:eastAsiaTheme="minorEastAsia"/>
          <w:lang w:val="en-US"/>
        </w:rPr>
        <w:t xml:space="preserve">(1), 80–109. </w:t>
      </w:r>
      <w:hyperlink r:id="rId49">
        <w:r w:rsidRPr="00AC2632">
          <w:rPr>
            <w:rStyle w:val="Hyperlink"/>
            <w:rFonts w:eastAsiaTheme="minorEastAsia"/>
            <w:color w:val="auto"/>
            <w:lang w:val="en-US"/>
          </w:rPr>
          <w:t>https://doi.org/10.2307/259225</w:t>
        </w:r>
      </w:hyperlink>
      <w:r w:rsidRPr="00AC2632">
        <w:rPr>
          <w:rFonts w:eastAsiaTheme="minorEastAsia"/>
          <w:lang w:val="en-US"/>
        </w:rPr>
        <w:t xml:space="preserve"> </w:t>
      </w:r>
    </w:p>
    <w:p w14:paraId="54552C8D" w14:textId="5D778C29" w:rsidR="5CE9E455" w:rsidRPr="00AC2632" w:rsidRDefault="20E336E1" w:rsidP="20E336E1">
      <w:pPr>
        <w:ind w:left="283" w:hanging="283"/>
        <w:rPr>
          <w:rFonts w:eastAsiaTheme="minorEastAsia"/>
          <w:lang w:val="en-US"/>
        </w:rPr>
      </w:pPr>
      <w:r w:rsidRPr="00AC2632">
        <w:rPr>
          <w:rFonts w:eastAsiaTheme="minorEastAsia"/>
          <w:lang w:val="en-US"/>
        </w:rPr>
        <w:t xml:space="preserve">Peus, C., Frey, D., Gerkhardt, M., Fischer, P., &amp; Traut-Mattausch, E. (2009). Leading and Managing Organizational Change Initiatives. </w:t>
      </w:r>
      <w:r w:rsidRPr="00AC2632">
        <w:rPr>
          <w:rFonts w:eastAsiaTheme="minorEastAsia"/>
          <w:i/>
          <w:iCs/>
          <w:lang w:val="en-US"/>
        </w:rPr>
        <w:t>Management Revue</w:t>
      </w:r>
      <w:r w:rsidRPr="00F676A8">
        <w:rPr>
          <w:rFonts w:eastAsiaTheme="minorEastAsia"/>
          <w:i/>
          <w:iCs/>
          <w:lang w:val="en-US"/>
        </w:rPr>
        <w:t>, 20</w:t>
      </w:r>
      <w:r w:rsidRPr="00AC2632">
        <w:rPr>
          <w:rFonts w:eastAsiaTheme="minorEastAsia"/>
          <w:lang w:val="en-US"/>
        </w:rPr>
        <w:t xml:space="preserve">(2), 158-175. </w:t>
      </w:r>
      <w:hyperlink r:id="rId50">
        <w:r w:rsidRPr="00AC2632">
          <w:rPr>
            <w:rStyle w:val="Hyperlink"/>
            <w:rFonts w:eastAsiaTheme="minorEastAsia"/>
            <w:color w:val="auto"/>
            <w:lang w:val="en-US"/>
          </w:rPr>
          <w:t>https://doi.org/10.5771/0935-9915-2009-2-158</w:t>
        </w:r>
      </w:hyperlink>
      <w:r w:rsidRPr="00AC2632">
        <w:rPr>
          <w:rFonts w:eastAsiaTheme="minorEastAsia"/>
          <w:lang w:val="en-US"/>
        </w:rPr>
        <w:t xml:space="preserve"> </w:t>
      </w:r>
    </w:p>
    <w:p w14:paraId="77905463" w14:textId="3583B4BE" w:rsidR="5CE9E455" w:rsidRPr="00AC2632" w:rsidRDefault="20E336E1" w:rsidP="20E336E1">
      <w:pPr>
        <w:ind w:left="283" w:hanging="283"/>
        <w:rPr>
          <w:rFonts w:eastAsiaTheme="minorEastAsia"/>
          <w:lang w:val="en-US"/>
        </w:rPr>
      </w:pPr>
      <w:r w:rsidRPr="00CC172B">
        <w:rPr>
          <w:rFonts w:eastAsiaTheme="minorEastAsia"/>
          <w:lang w:val="en-US"/>
        </w:rPr>
        <w:t xml:space="preserve">Podsakoff, P.M., MacKenzie, S.B., Moorman, R.H., &amp; Fetter, R. (1990). </w:t>
      </w:r>
      <w:r w:rsidRPr="00AC2632">
        <w:rPr>
          <w:rFonts w:eastAsiaTheme="minorEastAsia"/>
          <w:lang w:val="en-US"/>
        </w:rPr>
        <w:t xml:space="preserve">Transformational leader behaviors and their effects on followers' trust in leader, satisfaction, and organizational citizenship behaviors. </w:t>
      </w:r>
      <w:r w:rsidRPr="00AC2632">
        <w:rPr>
          <w:rFonts w:eastAsiaTheme="minorEastAsia"/>
          <w:i/>
          <w:iCs/>
          <w:lang w:val="en-US"/>
        </w:rPr>
        <w:t>The Leadership Quarterly, 1</w:t>
      </w:r>
      <w:r w:rsidRPr="00AC2632">
        <w:rPr>
          <w:rFonts w:eastAsiaTheme="minorEastAsia"/>
          <w:lang w:val="en-US"/>
        </w:rPr>
        <w:t xml:space="preserve">(2), 107-142. </w:t>
      </w:r>
      <w:hyperlink r:id="rId51">
        <w:r w:rsidRPr="00AC2632">
          <w:rPr>
            <w:rStyle w:val="Hyperlink"/>
            <w:rFonts w:eastAsiaTheme="minorEastAsia"/>
            <w:color w:val="auto"/>
            <w:lang w:val="en-US"/>
          </w:rPr>
          <w:t>https://doi.org/10.1016/1048-9843(90)90009-7</w:t>
        </w:r>
      </w:hyperlink>
      <w:r w:rsidRPr="00AC2632">
        <w:rPr>
          <w:rFonts w:eastAsiaTheme="minorEastAsia"/>
          <w:lang w:val="en-US"/>
        </w:rPr>
        <w:t xml:space="preserve"> </w:t>
      </w:r>
    </w:p>
    <w:p w14:paraId="4D556356" w14:textId="47851E67" w:rsidR="20E336E1" w:rsidRPr="00CC172B" w:rsidRDefault="20E336E1" w:rsidP="20E336E1">
      <w:pPr>
        <w:ind w:left="283" w:hanging="283"/>
        <w:rPr>
          <w:rFonts w:eastAsiaTheme="minorEastAsia"/>
        </w:rPr>
      </w:pPr>
      <w:r w:rsidRPr="00AC2632">
        <w:rPr>
          <w:rFonts w:eastAsiaTheme="minorEastAsia"/>
          <w:lang w:val="en-US"/>
        </w:rPr>
        <w:t xml:space="preserve">Qu, S.Q. and Dumay, J. (2011), "The qualitative research interview". </w:t>
      </w:r>
      <w:r w:rsidRPr="00CC172B">
        <w:rPr>
          <w:rFonts w:eastAsiaTheme="minorEastAsia"/>
          <w:i/>
          <w:iCs/>
        </w:rPr>
        <w:t>Qualitative Research in</w:t>
      </w:r>
      <w:r w:rsidRPr="00CC172B">
        <w:rPr>
          <w:rFonts w:eastAsiaTheme="minorEastAsia"/>
        </w:rPr>
        <w:t xml:space="preserve"> </w:t>
      </w:r>
      <w:r w:rsidRPr="00CC172B">
        <w:rPr>
          <w:rFonts w:eastAsiaTheme="minorEastAsia"/>
          <w:i/>
          <w:iCs/>
        </w:rPr>
        <w:t>Accounting &amp; Management, 8</w:t>
      </w:r>
      <w:r w:rsidRPr="00CC172B">
        <w:rPr>
          <w:rFonts w:eastAsiaTheme="minorEastAsia"/>
        </w:rPr>
        <w:t xml:space="preserve">(3), 238-264. </w:t>
      </w:r>
      <w:hyperlink r:id="rId52">
        <w:r w:rsidRPr="00CC172B">
          <w:rPr>
            <w:rStyle w:val="Hyperlink"/>
            <w:color w:val="auto"/>
          </w:rPr>
          <w:t>https://doi.org/10.1108/11766091111162070</w:t>
        </w:r>
      </w:hyperlink>
      <w:r w:rsidRPr="00CC172B">
        <w:rPr>
          <w:rFonts w:eastAsiaTheme="minorEastAsia"/>
        </w:rPr>
        <w:t xml:space="preserve"> </w:t>
      </w:r>
    </w:p>
    <w:p w14:paraId="2B077882" w14:textId="67FDD03A" w:rsidR="33DD619B" w:rsidRPr="00B56AF9" w:rsidRDefault="20E336E1" w:rsidP="20E336E1">
      <w:pPr>
        <w:ind w:left="283" w:hanging="283"/>
        <w:rPr>
          <w:rFonts w:eastAsiaTheme="minorEastAsia"/>
        </w:rPr>
      </w:pPr>
      <w:r w:rsidRPr="00CC172B">
        <w:rPr>
          <w:rFonts w:eastAsiaTheme="minorEastAsia"/>
        </w:rPr>
        <w:t xml:space="preserve">Rijkswaterstaat. (z.d.). </w:t>
      </w:r>
      <w:r w:rsidRPr="00CC172B">
        <w:rPr>
          <w:rFonts w:eastAsiaTheme="minorEastAsia"/>
          <w:i/>
          <w:iCs/>
        </w:rPr>
        <w:t>Onze historie</w:t>
      </w:r>
      <w:r w:rsidRPr="00CC172B">
        <w:rPr>
          <w:rFonts w:eastAsiaTheme="minorEastAsia"/>
        </w:rPr>
        <w:t xml:space="preserve">. </w:t>
      </w:r>
      <w:r w:rsidR="00B56AF9" w:rsidRPr="00B56AF9">
        <w:rPr>
          <w:rFonts w:eastAsiaTheme="minorEastAsia"/>
        </w:rPr>
        <w:t xml:space="preserve">Geraadpleegd </w:t>
      </w:r>
      <w:r w:rsidR="00B56AF9">
        <w:rPr>
          <w:rFonts w:eastAsiaTheme="minorEastAsia"/>
        </w:rPr>
        <w:t>op 20 maart</w:t>
      </w:r>
      <w:r w:rsidR="007C0813">
        <w:rPr>
          <w:rFonts w:eastAsiaTheme="minorEastAsia"/>
        </w:rPr>
        <w:t xml:space="preserve"> 2024, van </w:t>
      </w:r>
      <w:hyperlink r:id="rId53" w:history="1">
        <w:r w:rsidR="007C0813" w:rsidRPr="007C0813">
          <w:rPr>
            <w:rStyle w:val="Hyperlink"/>
            <w:rFonts w:eastAsiaTheme="minorEastAsia"/>
            <w:color w:val="auto"/>
          </w:rPr>
          <w:t>https://www.rijkswaterstaat.nl/over-ons/onze-organisatie/onze-historie</w:t>
        </w:r>
      </w:hyperlink>
      <w:r w:rsidRPr="007C0813">
        <w:rPr>
          <w:rFonts w:eastAsiaTheme="minorEastAsia"/>
        </w:rPr>
        <w:t xml:space="preserve"> </w:t>
      </w:r>
    </w:p>
    <w:p w14:paraId="725DD587" w14:textId="16D4A195" w:rsidR="33DD619B" w:rsidRDefault="20E336E1" w:rsidP="20E336E1">
      <w:pPr>
        <w:ind w:left="283" w:hanging="283"/>
        <w:rPr>
          <w:rFonts w:eastAsiaTheme="minorEastAsia"/>
        </w:rPr>
      </w:pPr>
      <w:r w:rsidRPr="20E336E1">
        <w:rPr>
          <w:rFonts w:eastAsiaTheme="minorEastAsia"/>
        </w:rPr>
        <w:t xml:space="preserve">Rijkswaterstaat. (2022a). </w:t>
      </w:r>
      <w:r w:rsidRPr="20E336E1">
        <w:rPr>
          <w:rFonts w:eastAsiaTheme="minorEastAsia"/>
          <w:i/>
          <w:iCs/>
        </w:rPr>
        <w:t>Van Expeditie RWS2050 naar Kompas RWS.</w:t>
      </w:r>
      <w:r w:rsidRPr="20E336E1">
        <w:rPr>
          <w:rFonts w:eastAsiaTheme="minorEastAsia"/>
        </w:rPr>
        <w:t xml:space="preserve"> </w:t>
      </w:r>
      <w:hyperlink r:id="rId54">
        <w:r w:rsidRPr="20E336E1">
          <w:rPr>
            <w:rStyle w:val="Hyperlink"/>
            <w:rFonts w:eastAsiaTheme="minorEastAsia"/>
            <w:color w:val="auto"/>
          </w:rPr>
          <w:t>https://redactie.rijksportaal.overheid-i.nl/site/binaries/content/assets/rijksportaal/organizations/minrws/dit-zijn-wij/rws_kompas_opmaak_online_dv_def.pdf</w:t>
        </w:r>
      </w:hyperlink>
      <w:r w:rsidRPr="20E336E1">
        <w:rPr>
          <w:rFonts w:eastAsiaTheme="minorEastAsia"/>
        </w:rPr>
        <w:t xml:space="preserve"> </w:t>
      </w:r>
    </w:p>
    <w:p w14:paraId="6244996D" w14:textId="0E83F32E" w:rsidR="23783DFD" w:rsidRDefault="20E336E1" w:rsidP="20E336E1">
      <w:pPr>
        <w:ind w:left="283" w:hanging="283"/>
        <w:rPr>
          <w:rFonts w:eastAsiaTheme="minorEastAsia"/>
        </w:rPr>
      </w:pPr>
      <w:r w:rsidRPr="20E336E1">
        <w:rPr>
          <w:rFonts w:eastAsiaTheme="minorEastAsia"/>
        </w:rPr>
        <w:t xml:space="preserve">Rijkswaterstaat. (2022b). </w:t>
      </w:r>
      <w:r w:rsidRPr="20E336E1">
        <w:rPr>
          <w:rFonts w:eastAsiaTheme="minorEastAsia"/>
          <w:i/>
          <w:iCs/>
        </w:rPr>
        <w:t>Opgavegericht samenwerken aan opschalen van innovaties: Hoe Living Labs kunnen helpen innovaties sneller en succesvoller op te schalen in het primaire proces Aanleg en onderhoud.</w:t>
      </w:r>
      <w:r w:rsidRPr="20E336E1">
        <w:rPr>
          <w:rFonts w:eastAsiaTheme="minorEastAsia"/>
        </w:rPr>
        <w:t xml:space="preserve"> </w:t>
      </w:r>
      <w:hyperlink r:id="rId55">
        <w:r w:rsidRPr="20E336E1">
          <w:rPr>
            <w:rStyle w:val="Hyperlink"/>
            <w:rFonts w:eastAsiaTheme="minorEastAsia"/>
            <w:color w:val="auto"/>
          </w:rPr>
          <w:t>https://samenwerken.sp01.intranet.rws.nl/sites/M231201781/Gedeelde%20%20documenten/Achtergrond%20informatie/Living_Labs_Whitepaper.pdf</w:t>
        </w:r>
      </w:hyperlink>
      <w:r w:rsidRPr="20E336E1">
        <w:rPr>
          <w:rFonts w:eastAsiaTheme="minorEastAsia"/>
        </w:rPr>
        <w:t xml:space="preserve"> </w:t>
      </w:r>
    </w:p>
    <w:p w14:paraId="00C42C7C" w14:textId="3C5BBFA0" w:rsidR="33DD619B" w:rsidRPr="00CC172B" w:rsidRDefault="20E336E1" w:rsidP="20E336E1">
      <w:pPr>
        <w:ind w:left="283" w:hanging="283"/>
        <w:rPr>
          <w:rFonts w:eastAsiaTheme="minorEastAsia"/>
        </w:rPr>
      </w:pPr>
      <w:r w:rsidRPr="20E336E1">
        <w:rPr>
          <w:rFonts w:eastAsiaTheme="minorEastAsia"/>
        </w:rPr>
        <w:t xml:space="preserve">Rijkswaterstaat. (2023). </w:t>
      </w:r>
      <w:r w:rsidRPr="20E336E1">
        <w:rPr>
          <w:rFonts w:eastAsiaTheme="minorEastAsia"/>
          <w:i/>
          <w:iCs/>
        </w:rPr>
        <w:t>Innovatieagenda 2030 Samen sneller met focus innoveren Update 2023.</w:t>
      </w:r>
      <w:r w:rsidRPr="20E336E1">
        <w:rPr>
          <w:rFonts w:eastAsiaTheme="minorEastAsia"/>
        </w:rPr>
        <w:t xml:space="preserve"> </w:t>
      </w:r>
      <w:r w:rsidR="007C0813">
        <w:rPr>
          <w:rFonts w:eastAsiaTheme="minorEastAsia"/>
        </w:rPr>
        <w:t xml:space="preserve">Geraadpleegd op 20 maart 2024, van </w:t>
      </w:r>
      <w:hyperlink r:id="rId56" w:history="1">
        <w:r w:rsidR="007C0813" w:rsidRPr="00CC172B">
          <w:rPr>
            <w:rStyle w:val="Hyperlink"/>
            <w:rFonts w:eastAsiaTheme="minorEastAsia"/>
            <w:color w:val="auto"/>
          </w:rPr>
          <w:t>https://rwsinnoveert.nl/</w:t>
        </w:r>
      </w:hyperlink>
      <w:r w:rsidRPr="00CC172B">
        <w:rPr>
          <w:rFonts w:eastAsiaTheme="minorEastAsia"/>
        </w:rPr>
        <w:t xml:space="preserve"> </w:t>
      </w:r>
    </w:p>
    <w:p w14:paraId="0A347D5C" w14:textId="25B1F45D" w:rsidR="5CE9E455" w:rsidRPr="00AC2632" w:rsidRDefault="20E336E1" w:rsidP="20E336E1">
      <w:pPr>
        <w:ind w:left="283" w:hanging="283"/>
        <w:rPr>
          <w:rFonts w:eastAsiaTheme="minorEastAsia"/>
          <w:lang w:val="en-US"/>
        </w:rPr>
      </w:pPr>
      <w:r w:rsidRPr="00CC172B">
        <w:rPr>
          <w:rFonts w:eastAsiaTheme="minorEastAsia"/>
        </w:rPr>
        <w:t>Rowley, J. (1999). What is knowledge management?</w:t>
      </w:r>
      <w:r w:rsidRPr="00CC172B">
        <w:rPr>
          <w:rFonts w:eastAsiaTheme="minorEastAsia"/>
          <w:i/>
          <w:iCs/>
        </w:rPr>
        <w:t xml:space="preserve"> </w:t>
      </w:r>
      <w:r w:rsidRPr="00AC2632">
        <w:rPr>
          <w:rFonts w:eastAsiaTheme="minorEastAsia"/>
          <w:i/>
          <w:iCs/>
          <w:lang w:val="en-US"/>
        </w:rPr>
        <w:t>Library Management</w:t>
      </w:r>
      <w:r w:rsidRPr="00AC2632">
        <w:rPr>
          <w:rFonts w:eastAsiaTheme="minorEastAsia"/>
          <w:lang w:val="en-US"/>
        </w:rPr>
        <w:t xml:space="preserve">, </w:t>
      </w:r>
      <w:r w:rsidRPr="00F676A8">
        <w:rPr>
          <w:rFonts w:eastAsiaTheme="minorEastAsia"/>
          <w:i/>
          <w:iCs/>
          <w:lang w:val="en-US"/>
        </w:rPr>
        <w:t>20</w:t>
      </w:r>
      <w:r w:rsidRPr="00AC2632">
        <w:rPr>
          <w:rFonts w:eastAsiaTheme="minorEastAsia"/>
          <w:lang w:val="en-US"/>
        </w:rPr>
        <w:t xml:space="preserve">(8), 416-419. </w:t>
      </w:r>
      <w:hyperlink r:id="rId57">
        <w:r w:rsidRPr="00AC2632">
          <w:rPr>
            <w:rStyle w:val="Hyperlink"/>
            <w:rFonts w:eastAsiaTheme="minorEastAsia"/>
            <w:color w:val="auto"/>
            <w:lang w:val="en-US"/>
          </w:rPr>
          <w:t>https://doi.org/10.1108/01435129910291175</w:t>
        </w:r>
      </w:hyperlink>
      <w:r w:rsidRPr="00AC2632">
        <w:rPr>
          <w:rFonts w:eastAsiaTheme="minorEastAsia"/>
          <w:lang w:val="en-US"/>
        </w:rPr>
        <w:t xml:space="preserve"> </w:t>
      </w:r>
    </w:p>
    <w:p w14:paraId="59EDF3BC" w14:textId="275A1AB5" w:rsidR="0FEACCAC" w:rsidRPr="00AC2632" w:rsidRDefault="20E336E1" w:rsidP="20E336E1">
      <w:pPr>
        <w:ind w:left="283" w:hanging="283"/>
        <w:rPr>
          <w:rFonts w:eastAsiaTheme="minorEastAsia"/>
          <w:lang w:val="en-US"/>
        </w:rPr>
      </w:pPr>
      <w:r w:rsidRPr="00AC2632">
        <w:rPr>
          <w:rFonts w:eastAsiaTheme="minorEastAsia"/>
          <w:lang w:val="en-US"/>
        </w:rPr>
        <w:t xml:space="preserve">Scarbrough, H., Swan, J., Laurent, S., Bresnen, M., Edelman, L., &amp; Newell, S. (2004). Project-based learning and the role of learning boundaries. </w:t>
      </w:r>
      <w:r w:rsidRPr="00AC2632">
        <w:rPr>
          <w:rFonts w:eastAsiaTheme="minorEastAsia"/>
          <w:i/>
          <w:iCs/>
          <w:lang w:val="en-US"/>
        </w:rPr>
        <w:t>Organization Studies, 25</w:t>
      </w:r>
      <w:r w:rsidRPr="00AC2632">
        <w:rPr>
          <w:rFonts w:eastAsiaTheme="minorEastAsia"/>
          <w:lang w:val="en-US"/>
        </w:rPr>
        <w:t xml:space="preserve">(9), 1579–1600. </w:t>
      </w:r>
      <w:hyperlink r:id="rId58">
        <w:r w:rsidRPr="00AC2632">
          <w:rPr>
            <w:rStyle w:val="Hyperlink"/>
            <w:color w:val="auto"/>
            <w:lang w:val="en-US"/>
          </w:rPr>
          <w:t>https://doi.org/10.1177/0170840604048001</w:t>
        </w:r>
      </w:hyperlink>
      <w:r w:rsidRPr="00AC2632">
        <w:rPr>
          <w:rFonts w:eastAsiaTheme="minorEastAsia"/>
          <w:lang w:val="en-US"/>
        </w:rPr>
        <w:t xml:space="preserve"> </w:t>
      </w:r>
    </w:p>
    <w:p w14:paraId="31931BD0" w14:textId="11A1BC1D" w:rsidR="2A2D67F7" w:rsidRPr="00AC2632" w:rsidRDefault="20E336E1" w:rsidP="20E336E1">
      <w:pPr>
        <w:ind w:left="283" w:hanging="283"/>
        <w:rPr>
          <w:rFonts w:eastAsiaTheme="minorEastAsia"/>
          <w:lang w:val="en-US"/>
        </w:rPr>
      </w:pPr>
      <w:r w:rsidRPr="00AC2632">
        <w:rPr>
          <w:rFonts w:eastAsiaTheme="minorEastAsia"/>
          <w:lang w:val="en-US"/>
        </w:rPr>
        <w:t xml:space="preserve">Shenhar, A. J. (2001). One size does not fit all projects: Exploring classical contingency domains. </w:t>
      </w:r>
      <w:r w:rsidRPr="00AC2632">
        <w:rPr>
          <w:rFonts w:eastAsiaTheme="minorEastAsia"/>
          <w:i/>
          <w:iCs/>
          <w:lang w:val="en-US"/>
        </w:rPr>
        <w:t>Management Science,</w:t>
      </w:r>
      <w:r w:rsidRPr="00AC2632">
        <w:rPr>
          <w:rFonts w:eastAsiaTheme="minorEastAsia"/>
          <w:lang w:val="en-US"/>
        </w:rPr>
        <w:t xml:space="preserve"> </w:t>
      </w:r>
      <w:r w:rsidRPr="00AC2632">
        <w:rPr>
          <w:rFonts w:eastAsiaTheme="minorEastAsia"/>
          <w:i/>
          <w:iCs/>
          <w:lang w:val="en-US"/>
        </w:rPr>
        <w:t>47</w:t>
      </w:r>
      <w:r w:rsidRPr="00AC2632">
        <w:rPr>
          <w:rFonts w:eastAsiaTheme="minorEastAsia"/>
          <w:lang w:val="en-US"/>
        </w:rPr>
        <w:t xml:space="preserve">(3), 394–414. </w:t>
      </w:r>
      <w:hyperlink r:id="rId59">
        <w:r w:rsidRPr="00AC2632">
          <w:rPr>
            <w:rStyle w:val="Hyperlink"/>
            <w:color w:val="auto"/>
            <w:lang w:val="en-US"/>
          </w:rPr>
          <w:t>https://www.jstor.org/stable/2661507</w:t>
        </w:r>
      </w:hyperlink>
      <w:r w:rsidRPr="00AC2632">
        <w:rPr>
          <w:rFonts w:eastAsiaTheme="minorEastAsia"/>
          <w:lang w:val="en-US"/>
        </w:rPr>
        <w:t xml:space="preserve"> </w:t>
      </w:r>
    </w:p>
    <w:p w14:paraId="66B47B72" w14:textId="0F2A23FB" w:rsidR="33DD619B" w:rsidRPr="00CC172B" w:rsidRDefault="20E336E1" w:rsidP="20E336E1">
      <w:pPr>
        <w:ind w:left="283" w:hanging="283"/>
        <w:rPr>
          <w:rFonts w:eastAsiaTheme="minorEastAsia"/>
        </w:rPr>
      </w:pPr>
      <w:r w:rsidRPr="00AC2632">
        <w:rPr>
          <w:rFonts w:eastAsiaTheme="minorEastAsia"/>
          <w:lang w:val="en-US"/>
        </w:rPr>
        <w:t xml:space="preserve">Shepherd, C. and Ahmed, P.K. (2000). "From product innovation to solutions innovation: a new paradigm for competitive advantage". </w:t>
      </w:r>
      <w:r w:rsidRPr="00CC172B">
        <w:rPr>
          <w:rFonts w:eastAsiaTheme="minorEastAsia"/>
          <w:i/>
          <w:iCs/>
        </w:rPr>
        <w:t>European Journal of Innovation Management, 3</w:t>
      </w:r>
      <w:r w:rsidRPr="00CC172B">
        <w:rPr>
          <w:rFonts w:eastAsiaTheme="minorEastAsia"/>
        </w:rPr>
        <w:t xml:space="preserve">(2), pp. 100-106. </w:t>
      </w:r>
      <w:hyperlink r:id="rId60">
        <w:r w:rsidRPr="00CC172B">
          <w:rPr>
            <w:rStyle w:val="Hyperlink"/>
            <w:rFonts w:eastAsiaTheme="minorEastAsia"/>
            <w:color w:val="auto"/>
          </w:rPr>
          <w:t>https://doi.org/10.1108/14601060010322293</w:t>
        </w:r>
      </w:hyperlink>
      <w:r w:rsidRPr="00CC172B">
        <w:rPr>
          <w:rFonts w:eastAsiaTheme="minorEastAsia"/>
        </w:rPr>
        <w:t xml:space="preserve"> </w:t>
      </w:r>
    </w:p>
    <w:p w14:paraId="3DFB0534" w14:textId="303CAEAC" w:rsidR="00E91203" w:rsidRPr="00E91203" w:rsidRDefault="00E91203" w:rsidP="00E91203">
      <w:pPr>
        <w:ind w:left="283" w:hanging="283"/>
        <w:rPr>
          <w:rFonts w:eastAsiaTheme="minorEastAsia"/>
        </w:rPr>
      </w:pPr>
      <w:r w:rsidRPr="20E336E1">
        <w:rPr>
          <w:rFonts w:eastAsiaTheme="minorEastAsia"/>
        </w:rPr>
        <w:t>Spiegelaere, S.</w:t>
      </w:r>
      <w:r>
        <w:rPr>
          <w:rFonts w:eastAsiaTheme="minorEastAsia"/>
        </w:rPr>
        <w:t xml:space="preserve"> de,</w:t>
      </w:r>
      <w:r w:rsidRPr="20E336E1">
        <w:rPr>
          <w:rFonts w:eastAsiaTheme="minorEastAsia"/>
        </w:rPr>
        <w:t xml:space="preserve"> Gyes,</w:t>
      </w:r>
      <w:r>
        <w:rPr>
          <w:rFonts w:eastAsiaTheme="minorEastAsia"/>
        </w:rPr>
        <w:t xml:space="preserve"> </w:t>
      </w:r>
      <w:r w:rsidRPr="20E336E1">
        <w:rPr>
          <w:rFonts w:eastAsiaTheme="minorEastAsia"/>
        </w:rPr>
        <w:t>G.</w:t>
      </w:r>
      <w:r>
        <w:rPr>
          <w:rFonts w:eastAsiaTheme="minorEastAsia"/>
        </w:rPr>
        <w:t xml:space="preserve"> van. </w:t>
      </w:r>
      <w:r w:rsidRPr="20E336E1">
        <w:rPr>
          <w:rFonts w:eastAsiaTheme="minorEastAsia"/>
        </w:rPr>
        <w:t>&amp; Hootegem, G.</w:t>
      </w:r>
      <w:r>
        <w:rPr>
          <w:rFonts w:eastAsiaTheme="minorEastAsia"/>
        </w:rPr>
        <w:t xml:space="preserve"> van.</w:t>
      </w:r>
      <w:r w:rsidRPr="20E336E1">
        <w:rPr>
          <w:rFonts w:eastAsiaTheme="minorEastAsia"/>
        </w:rPr>
        <w:t xml:space="preserve"> (2014). Innovatief Werkgedrag als concept: definiëring en oriëntering. </w:t>
      </w:r>
      <w:r w:rsidRPr="20E336E1">
        <w:rPr>
          <w:rFonts w:eastAsiaTheme="minorEastAsia"/>
          <w:i/>
          <w:iCs/>
        </w:rPr>
        <w:t>Gedrag &amp; Organisatie</w:t>
      </w:r>
      <w:r w:rsidRPr="20E336E1">
        <w:rPr>
          <w:rFonts w:eastAsiaTheme="minorEastAsia"/>
        </w:rPr>
        <w:t xml:space="preserve">, </w:t>
      </w:r>
      <w:r w:rsidRPr="00F676A8">
        <w:rPr>
          <w:rFonts w:eastAsiaTheme="minorEastAsia"/>
          <w:i/>
          <w:iCs/>
        </w:rPr>
        <w:t>27</w:t>
      </w:r>
      <w:r w:rsidRPr="20E336E1">
        <w:rPr>
          <w:rFonts w:eastAsiaTheme="minorEastAsia"/>
        </w:rPr>
        <w:t xml:space="preserve">(2), 139-156. </w:t>
      </w:r>
      <w:hyperlink r:id="rId61">
        <w:r w:rsidRPr="20E336E1">
          <w:rPr>
            <w:rStyle w:val="Hyperlink"/>
            <w:rFonts w:eastAsiaTheme="minorEastAsia"/>
            <w:color w:val="auto"/>
          </w:rPr>
          <w:t>Https://10.5553/GenO/092150772014027001002</w:t>
        </w:r>
      </w:hyperlink>
      <w:r w:rsidRPr="20E336E1">
        <w:rPr>
          <w:rFonts w:eastAsiaTheme="minorEastAsia"/>
        </w:rPr>
        <w:t xml:space="preserve">  </w:t>
      </w:r>
    </w:p>
    <w:p w14:paraId="2E91483C" w14:textId="1625AA18" w:rsidR="0FEACCAC" w:rsidRPr="00AC2632" w:rsidRDefault="20E336E1" w:rsidP="20E336E1">
      <w:pPr>
        <w:ind w:left="283" w:hanging="283"/>
        <w:rPr>
          <w:rFonts w:eastAsiaTheme="minorEastAsia"/>
          <w:lang w:val="en-US"/>
        </w:rPr>
      </w:pPr>
      <w:r w:rsidRPr="00CC172B">
        <w:rPr>
          <w:rFonts w:eastAsiaTheme="minorEastAsia"/>
        </w:rPr>
        <w:t xml:space="preserve">Sydow, J., Lindkvist, L., &amp; DeFillippi, R. (2004). </w:t>
      </w:r>
      <w:r w:rsidRPr="00AC2632">
        <w:rPr>
          <w:rFonts w:eastAsiaTheme="minorEastAsia"/>
          <w:lang w:val="en-US"/>
        </w:rPr>
        <w:t>Project-based organizations, embeddedness and repositories of knowledge:</w:t>
      </w:r>
      <w:r w:rsidRPr="00AC2632">
        <w:rPr>
          <w:rFonts w:eastAsiaTheme="minorEastAsia"/>
          <w:i/>
          <w:iCs/>
          <w:lang w:val="en-US"/>
        </w:rPr>
        <w:t xml:space="preserve"> </w:t>
      </w:r>
      <w:r w:rsidRPr="007C0813">
        <w:rPr>
          <w:rFonts w:eastAsiaTheme="minorEastAsia"/>
          <w:lang w:val="en-US"/>
        </w:rPr>
        <w:t>Editorial</w:t>
      </w:r>
      <w:r w:rsidRPr="00AC2632">
        <w:rPr>
          <w:rFonts w:eastAsiaTheme="minorEastAsia"/>
          <w:i/>
          <w:iCs/>
          <w:lang w:val="en-US"/>
        </w:rPr>
        <w:t xml:space="preserve">. Organization Studies, </w:t>
      </w:r>
      <w:r w:rsidRPr="00F676A8">
        <w:rPr>
          <w:rFonts w:eastAsiaTheme="minorEastAsia"/>
          <w:i/>
          <w:iCs/>
          <w:lang w:val="en-US"/>
        </w:rPr>
        <w:t>25(</w:t>
      </w:r>
      <w:r w:rsidRPr="00AC2632">
        <w:rPr>
          <w:rFonts w:eastAsiaTheme="minorEastAsia"/>
          <w:lang w:val="en-US"/>
        </w:rPr>
        <w:t xml:space="preserve">9), 1475–1489. </w:t>
      </w:r>
      <w:hyperlink r:id="rId62">
        <w:r w:rsidRPr="00AC2632">
          <w:rPr>
            <w:rStyle w:val="Hyperlink"/>
            <w:color w:val="auto"/>
            <w:lang w:val="en-US"/>
          </w:rPr>
          <w:t>https://doi.org/10.1177/0170840604048162</w:t>
        </w:r>
      </w:hyperlink>
      <w:r w:rsidRPr="00AC2632">
        <w:rPr>
          <w:rFonts w:eastAsiaTheme="minorEastAsia"/>
          <w:lang w:val="en-US"/>
        </w:rPr>
        <w:t xml:space="preserve"> </w:t>
      </w:r>
    </w:p>
    <w:p w14:paraId="39C5E0CB" w14:textId="088D0131" w:rsidR="2A2D67F7" w:rsidRPr="00AC2632" w:rsidRDefault="20E336E1" w:rsidP="20E336E1">
      <w:pPr>
        <w:ind w:left="283" w:hanging="283"/>
        <w:rPr>
          <w:rFonts w:eastAsiaTheme="minorEastAsia"/>
          <w:lang w:val="en-US"/>
        </w:rPr>
      </w:pPr>
      <w:r w:rsidRPr="00AC2632">
        <w:rPr>
          <w:rFonts w:eastAsiaTheme="minorEastAsia"/>
          <w:lang w:val="en-US"/>
        </w:rPr>
        <w:t xml:space="preserve">Thamhain, H. (2013). Managing risks in complex projects. </w:t>
      </w:r>
      <w:r w:rsidRPr="00AC2632">
        <w:rPr>
          <w:rFonts w:eastAsiaTheme="minorEastAsia"/>
          <w:i/>
          <w:iCs/>
          <w:lang w:val="en-US"/>
        </w:rPr>
        <w:t>Project Management Journal, 44</w:t>
      </w:r>
      <w:r w:rsidRPr="00AC2632">
        <w:rPr>
          <w:rFonts w:eastAsiaTheme="minorEastAsia"/>
          <w:lang w:val="en-US"/>
        </w:rPr>
        <w:t xml:space="preserve">(2), 20–35. </w:t>
      </w:r>
      <w:hyperlink r:id="rId63">
        <w:r w:rsidRPr="00AC2632">
          <w:rPr>
            <w:rStyle w:val="Hyperlink"/>
            <w:color w:val="auto"/>
            <w:lang w:val="en-US"/>
          </w:rPr>
          <w:t>https://doi.org/10.1002/pmj.21325</w:t>
        </w:r>
      </w:hyperlink>
      <w:r w:rsidRPr="00AC2632">
        <w:rPr>
          <w:rFonts w:eastAsiaTheme="minorEastAsia"/>
          <w:lang w:val="en-US"/>
        </w:rPr>
        <w:t xml:space="preserve"> </w:t>
      </w:r>
    </w:p>
    <w:p w14:paraId="6DE212E3" w14:textId="5C91DB83" w:rsidR="33DD619B" w:rsidRPr="00AC2632" w:rsidRDefault="20E336E1" w:rsidP="20E336E1">
      <w:pPr>
        <w:ind w:left="283" w:hanging="283"/>
        <w:rPr>
          <w:rFonts w:eastAsiaTheme="minorEastAsia"/>
          <w:lang w:val="en-US"/>
        </w:rPr>
      </w:pPr>
      <w:r w:rsidRPr="00AC2632">
        <w:rPr>
          <w:rFonts w:eastAsiaTheme="minorEastAsia"/>
          <w:lang w:val="en-US"/>
        </w:rPr>
        <w:t xml:space="preserve">Tidd, J., &amp; Bessant, J.R. (2020). </w:t>
      </w:r>
      <w:r w:rsidRPr="00AC2632">
        <w:rPr>
          <w:rFonts w:eastAsiaTheme="minorEastAsia"/>
          <w:i/>
          <w:iCs/>
          <w:lang w:val="en-US"/>
        </w:rPr>
        <w:t>Managing Innovation</w:t>
      </w:r>
      <w:r w:rsidR="004467DA">
        <w:rPr>
          <w:rFonts w:eastAsiaTheme="minorEastAsia"/>
          <w:i/>
          <w:iCs/>
          <w:lang w:val="en-US"/>
        </w:rPr>
        <w:t xml:space="preserve"> </w:t>
      </w:r>
      <w:r w:rsidRPr="00AC2632">
        <w:rPr>
          <w:rFonts w:eastAsiaTheme="minorEastAsia"/>
          <w:i/>
          <w:iCs/>
          <w:lang w:val="en-US"/>
        </w:rPr>
        <w:t>Integrating Technological, Market and Organizational Chang</w:t>
      </w:r>
      <w:r w:rsidRPr="00AC2632">
        <w:rPr>
          <w:rFonts w:eastAsiaTheme="minorEastAsia"/>
          <w:lang w:val="en-US"/>
        </w:rPr>
        <w:t>e</w:t>
      </w:r>
      <w:r w:rsidRPr="00AC2632">
        <w:rPr>
          <w:rFonts w:eastAsiaTheme="minorEastAsia"/>
          <w:i/>
          <w:iCs/>
          <w:lang w:val="en-US"/>
        </w:rPr>
        <w:t xml:space="preserve"> </w:t>
      </w:r>
      <w:r w:rsidRPr="007C0813">
        <w:rPr>
          <w:rFonts w:eastAsiaTheme="minorEastAsia"/>
          <w:lang w:val="en-US"/>
        </w:rPr>
        <w:t>(7th ed.).</w:t>
      </w:r>
      <w:r w:rsidRPr="00AC2632">
        <w:rPr>
          <w:rFonts w:eastAsiaTheme="minorEastAsia"/>
          <w:lang w:val="en-US"/>
        </w:rPr>
        <w:t xml:space="preserve"> John Wiley &amp; Sons Inc. </w:t>
      </w:r>
    </w:p>
    <w:p w14:paraId="7B7561EC" w14:textId="13E0BF97" w:rsidR="5CE9E455" w:rsidRPr="00CC172B" w:rsidRDefault="20E336E1" w:rsidP="20E336E1">
      <w:pPr>
        <w:ind w:left="283" w:hanging="283"/>
        <w:rPr>
          <w:rFonts w:eastAsiaTheme="minorEastAsia"/>
          <w:lang w:val="en-US"/>
        </w:rPr>
      </w:pPr>
      <w:r w:rsidRPr="00AC2632">
        <w:rPr>
          <w:rFonts w:eastAsiaTheme="minorEastAsia"/>
          <w:lang w:val="en-US"/>
        </w:rPr>
        <w:t xml:space="preserve">Tracey, J.B., &amp; Hinkin, T.R. (1998). Transformational leadership or effective managerial practices? </w:t>
      </w:r>
      <w:r w:rsidRPr="00CC172B">
        <w:rPr>
          <w:rFonts w:eastAsiaTheme="minorEastAsia"/>
          <w:i/>
          <w:iCs/>
          <w:lang w:val="en-US"/>
        </w:rPr>
        <w:t>Group &amp; Organization Management, 23</w:t>
      </w:r>
      <w:r w:rsidRPr="00CC172B">
        <w:rPr>
          <w:rFonts w:eastAsiaTheme="minorEastAsia"/>
          <w:lang w:val="en-US"/>
        </w:rPr>
        <w:t xml:space="preserve">(3), 220–236. </w:t>
      </w:r>
      <w:hyperlink r:id="rId64">
        <w:r w:rsidRPr="00CC172B">
          <w:rPr>
            <w:rStyle w:val="Hyperlink"/>
            <w:rFonts w:eastAsiaTheme="minorEastAsia"/>
            <w:color w:val="auto"/>
            <w:lang w:val="en-US"/>
          </w:rPr>
          <w:t>https://doi.org/10.1177/1059601198233002</w:t>
        </w:r>
      </w:hyperlink>
      <w:r w:rsidRPr="00CC172B">
        <w:rPr>
          <w:rFonts w:eastAsiaTheme="minorEastAsia"/>
          <w:lang w:val="en-US"/>
        </w:rPr>
        <w:t xml:space="preserve"> </w:t>
      </w:r>
    </w:p>
    <w:p w14:paraId="0C300FDA" w14:textId="6EB81520" w:rsidR="5028AA64" w:rsidRDefault="5E3EBE56" w:rsidP="5E3EBE56">
      <w:pPr>
        <w:ind w:left="283" w:hanging="283"/>
        <w:rPr>
          <w:rFonts w:eastAsiaTheme="minorEastAsia"/>
        </w:rPr>
      </w:pPr>
      <w:r w:rsidRPr="00CC172B">
        <w:rPr>
          <w:rFonts w:eastAsiaTheme="minorEastAsia"/>
          <w:lang w:val="en-US"/>
        </w:rPr>
        <w:t>Wierdsma, A.F.M., Swieringa, J. (2011).</w:t>
      </w:r>
      <w:r w:rsidRPr="00CC172B">
        <w:rPr>
          <w:rFonts w:eastAsiaTheme="minorEastAsia"/>
          <w:i/>
          <w:iCs/>
          <w:lang w:val="en-US"/>
        </w:rPr>
        <w:t xml:space="preserve"> </w:t>
      </w:r>
      <w:r w:rsidRPr="5E3EBE56">
        <w:rPr>
          <w:rFonts w:eastAsiaTheme="minorEastAsia"/>
          <w:i/>
          <w:iCs/>
        </w:rPr>
        <w:t xml:space="preserve">Lerend organiseren en veranderen </w:t>
      </w:r>
      <w:r w:rsidRPr="00F676A8">
        <w:rPr>
          <w:rFonts w:eastAsiaTheme="minorEastAsia"/>
        </w:rPr>
        <w:t>(3e druk).</w:t>
      </w:r>
      <w:r w:rsidRPr="5E3EBE56">
        <w:rPr>
          <w:rFonts w:eastAsiaTheme="minorEastAsia"/>
        </w:rPr>
        <w:t xml:space="preserve"> Noordhoff Uitgevers bv. </w:t>
      </w:r>
    </w:p>
    <w:p w14:paraId="4EA58DE3" w14:textId="04D534A5" w:rsidR="5028AA64" w:rsidRPr="00AC2632" w:rsidRDefault="20E336E1" w:rsidP="20E336E1">
      <w:pPr>
        <w:ind w:left="283" w:hanging="283"/>
        <w:rPr>
          <w:rFonts w:eastAsiaTheme="minorEastAsia"/>
          <w:lang w:val="en-US"/>
        </w:rPr>
      </w:pPr>
      <w:r w:rsidRPr="20E336E1">
        <w:rPr>
          <w:rFonts w:eastAsiaTheme="minorEastAsia"/>
        </w:rPr>
        <w:t xml:space="preserve">Wipulanusat, W., Panuwatwanich, K., Stewart, K.A., &amp; Sunkpho, J. (2019). </w:t>
      </w:r>
      <w:r w:rsidRPr="00AC2632">
        <w:rPr>
          <w:rFonts w:eastAsiaTheme="minorEastAsia"/>
          <w:lang w:val="en-US"/>
        </w:rPr>
        <w:t xml:space="preserve">Drivers and barriers to innovation in the Australian public service: a qualitative thematic analysis. </w:t>
      </w:r>
      <w:r w:rsidRPr="00AC2632">
        <w:rPr>
          <w:rFonts w:eastAsiaTheme="minorEastAsia"/>
          <w:i/>
          <w:iCs/>
          <w:lang w:val="en-US"/>
        </w:rPr>
        <w:t>Engineering Management in Production and Services, 11</w:t>
      </w:r>
      <w:r w:rsidRPr="00AC2632">
        <w:rPr>
          <w:rFonts w:eastAsiaTheme="minorEastAsia"/>
          <w:lang w:val="en-US"/>
        </w:rPr>
        <w:t xml:space="preserve">(1), 7-22. </w:t>
      </w:r>
      <w:hyperlink r:id="rId65">
        <w:r w:rsidRPr="00AC2632">
          <w:rPr>
            <w:rStyle w:val="Hyperlink"/>
            <w:rFonts w:eastAsiaTheme="minorEastAsia"/>
            <w:color w:val="auto"/>
            <w:lang w:val="en-US"/>
          </w:rPr>
          <w:t>https://doi.org/10.2478/emj-2019-0001</w:t>
        </w:r>
      </w:hyperlink>
      <w:r w:rsidRPr="00AC2632">
        <w:rPr>
          <w:rFonts w:eastAsiaTheme="minorEastAsia"/>
          <w:lang w:val="en-US"/>
        </w:rPr>
        <w:t xml:space="preserve"> </w:t>
      </w:r>
    </w:p>
    <w:p w14:paraId="59BC9147" w14:textId="7C2C389F" w:rsidR="20E336E1" w:rsidRPr="00AC2632" w:rsidRDefault="20E336E1" w:rsidP="20E336E1">
      <w:pPr>
        <w:ind w:left="283" w:hanging="283"/>
        <w:rPr>
          <w:rFonts w:eastAsiaTheme="minorEastAsia"/>
          <w:lang w:val="en-US"/>
        </w:rPr>
      </w:pPr>
      <w:r w:rsidRPr="00AC2632">
        <w:rPr>
          <w:rFonts w:eastAsiaTheme="minorEastAsia"/>
          <w:lang w:val="en-US"/>
        </w:rPr>
        <w:t xml:space="preserve">Yin, R.K. (2014). </w:t>
      </w:r>
      <w:r w:rsidRPr="00AC2632">
        <w:rPr>
          <w:rFonts w:eastAsiaTheme="minorEastAsia"/>
          <w:i/>
          <w:iCs/>
          <w:lang w:val="en-US"/>
        </w:rPr>
        <w:t xml:space="preserve">Case Study Research Design and Methods </w:t>
      </w:r>
      <w:r w:rsidRPr="00F676A8">
        <w:rPr>
          <w:rFonts w:eastAsiaTheme="minorEastAsia"/>
          <w:lang w:val="en-US"/>
        </w:rPr>
        <w:t>(</w:t>
      </w:r>
      <w:r w:rsidR="00F676A8" w:rsidRPr="00F676A8">
        <w:rPr>
          <w:rFonts w:eastAsiaTheme="minorEastAsia"/>
          <w:lang w:val="en-US"/>
        </w:rPr>
        <w:t>3rd</w:t>
      </w:r>
      <w:r w:rsidRPr="00F676A8">
        <w:rPr>
          <w:rFonts w:eastAsiaTheme="minorEastAsia"/>
          <w:lang w:val="en-US"/>
        </w:rPr>
        <w:t xml:space="preserve"> ed</w:t>
      </w:r>
      <w:r w:rsidR="00F676A8" w:rsidRPr="00F676A8">
        <w:rPr>
          <w:rFonts w:eastAsiaTheme="minorEastAsia"/>
          <w:lang w:val="en-US"/>
        </w:rPr>
        <w:t>ition</w:t>
      </w:r>
      <w:r w:rsidRPr="00F676A8">
        <w:rPr>
          <w:rFonts w:eastAsiaTheme="minorEastAsia"/>
          <w:lang w:val="en-US"/>
        </w:rPr>
        <w:t>).</w:t>
      </w:r>
      <w:r w:rsidRPr="00AC2632">
        <w:rPr>
          <w:rFonts w:eastAsiaTheme="minorEastAsia"/>
          <w:lang w:val="en-US"/>
        </w:rPr>
        <w:t xml:space="preserve"> Sage Publications Inc. </w:t>
      </w:r>
      <w:hyperlink r:id="rId66">
        <w:r w:rsidRPr="00AC2632">
          <w:rPr>
            <w:rStyle w:val="Hyperlink"/>
            <w:color w:val="auto"/>
            <w:lang w:val="en-US"/>
          </w:rPr>
          <w:t>https://iwansuharyanto.wordpress.com/wp-content/uploads/2013/04/robert_k-_yin_case_study_research_design_and_mebookfi-org.pdf</w:t>
        </w:r>
      </w:hyperlink>
      <w:r w:rsidRPr="00AC2632">
        <w:rPr>
          <w:rFonts w:eastAsiaTheme="minorEastAsia"/>
          <w:lang w:val="en-US"/>
        </w:rPr>
        <w:t xml:space="preserve"> </w:t>
      </w:r>
    </w:p>
    <w:p w14:paraId="7CA256D3" w14:textId="649EDEB9" w:rsidR="041CA8C9" w:rsidRPr="00AC2632" w:rsidRDefault="20E336E1" w:rsidP="20E336E1">
      <w:pPr>
        <w:ind w:left="283" w:hanging="283"/>
        <w:rPr>
          <w:rFonts w:eastAsiaTheme="minorEastAsia"/>
          <w:lang w:val="en-US"/>
        </w:rPr>
      </w:pPr>
      <w:r w:rsidRPr="00AC2632">
        <w:rPr>
          <w:rFonts w:eastAsiaTheme="minorEastAsia"/>
          <w:lang w:val="en-US"/>
        </w:rPr>
        <w:t xml:space="preserve">You, U., Hu, Z., Li, J., Wang, Y. &amp; Xu, M. (2022). The Effect of Organizational Innovation Climate on Employee Innovative Behavior: The Role of Psychological Ownership and Task Interdependence. </w:t>
      </w:r>
      <w:r w:rsidRPr="00AC2632">
        <w:rPr>
          <w:rFonts w:eastAsiaTheme="minorEastAsia"/>
          <w:i/>
          <w:iCs/>
          <w:lang w:val="en-US"/>
        </w:rPr>
        <w:t>Organizational Psychology</w:t>
      </w:r>
      <w:r w:rsidRPr="00AC2632">
        <w:rPr>
          <w:rFonts w:eastAsiaTheme="minorEastAsia"/>
          <w:lang w:val="en-US"/>
        </w:rPr>
        <w:t xml:space="preserve">, </w:t>
      </w:r>
      <w:r w:rsidRPr="00F676A8">
        <w:rPr>
          <w:rFonts w:eastAsiaTheme="minorEastAsia"/>
          <w:i/>
          <w:iCs/>
          <w:lang w:val="en-US"/>
        </w:rPr>
        <w:t>13,</w:t>
      </w:r>
      <w:r w:rsidRPr="00AC2632">
        <w:rPr>
          <w:rFonts w:eastAsiaTheme="minorEastAsia"/>
          <w:lang w:val="en-US"/>
        </w:rPr>
        <w:t xml:space="preserve"> 1-13. </w:t>
      </w:r>
      <w:hyperlink r:id="rId67">
        <w:r w:rsidRPr="00AC2632">
          <w:rPr>
            <w:rStyle w:val="Hyperlink"/>
            <w:color w:val="auto"/>
            <w:lang w:val="en-US"/>
          </w:rPr>
          <w:t>https://doi.org/10.3389/fpsyg.2022.856407</w:t>
        </w:r>
      </w:hyperlink>
      <w:r w:rsidRPr="00AC2632">
        <w:rPr>
          <w:rFonts w:eastAsiaTheme="minorEastAsia"/>
          <w:lang w:val="en-US"/>
        </w:rPr>
        <w:t xml:space="preserve"> </w:t>
      </w:r>
    </w:p>
    <w:p w14:paraId="3AD3D1D9" w14:textId="1D7EE8E3" w:rsidR="23783DFD" w:rsidRDefault="6A8431F6" w:rsidP="6A8431F6">
      <w:pPr>
        <w:ind w:left="283" w:hanging="283"/>
        <w:rPr>
          <w:rFonts w:eastAsiaTheme="minorEastAsia"/>
        </w:rPr>
      </w:pPr>
      <w:r w:rsidRPr="00AC2632">
        <w:rPr>
          <w:rFonts w:eastAsiaTheme="minorEastAsia"/>
          <w:lang w:val="en-US"/>
        </w:rPr>
        <w:t xml:space="preserve">Zhou, E. (2020). The “too-much-of-a-good-thing” effect of job autonomy and its explanation mechanism. </w:t>
      </w:r>
      <w:r w:rsidRPr="6A8431F6">
        <w:rPr>
          <w:rFonts w:eastAsiaTheme="minorEastAsia"/>
          <w:i/>
          <w:iCs/>
        </w:rPr>
        <w:t>Psychology</w:t>
      </w:r>
      <w:r w:rsidRPr="6A8431F6">
        <w:rPr>
          <w:rFonts w:eastAsiaTheme="minorEastAsia"/>
        </w:rPr>
        <w:t xml:space="preserve">, </w:t>
      </w:r>
      <w:r w:rsidRPr="00F676A8">
        <w:rPr>
          <w:rFonts w:eastAsiaTheme="minorEastAsia"/>
          <w:i/>
          <w:iCs/>
        </w:rPr>
        <w:t>11</w:t>
      </w:r>
      <w:r w:rsidRPr="6A8431F6">
        <w:rPr>
          <w:rFonts w:eastAsiaTheme="minorEastAsia"/>
        </w:rPr>
        <w:t xml:space="preserve">(2), 299-313. </w:t>
      </w:r>
      <w:hyperlink r:id="rId68">
        <w:r w:rsidRPr="6A8431F6">
          <w:rPr>
            <w:rStyle w:val="Hyperlink"/>
            <w:rFonts w:eastAsiaTheme="minorEastAsia"/>
            <w:color w:val="auto"/>
          </w:rPr>
          <w:t>https://doi.org/10.4236/psych.2020.112019</w:t>
        </w:r>
      </w:hyperlink>
      <w:r w:rsidRPr="6A8431F6">
        <w:rPr>
          <w:rFonts w:eastAsiaTheme="minorEastAsia"/>
        </w:rPr>
        <w:t xml:space="preserve">   </w:t>
      </w:r>
    </w:p>
    <w:p w14:paraId="48E24FFF" w14:textId="283B7C7E" w:rsidR="6A8431F6" w:rsidRDefault="6A8431F6">
      <w:r>
        <w:br w:type="page"/>
      </w:r>
    </w:p>
    <w:p w14:paraId="11C2FDAC" w14:textId="78CBAA88" w:rsidR="6A8431F6" w:rsidRPr="00344EEF" w:rsidRDefault="0AB624A7" w:rsidP="6A8431F6">
      <w:pPr>
        <w:pStyle w:val="Kop1"/>
      </w:pPr>
      <w:bookmarkStart w:id="48" w:name="_Toc171411070"/>
      <w:r w:rsidRPr="00344EEF">
        <w:t>Bijlagen</w:t>
      </w:r>
      <w:bookmarkEnd w:id="48"/>
      <w:r w:rsidRPr="00344EEF">
        <w:t xml:space="preserve"> </w:t>
      </w:r>
    </w:p>
    <w:p w14:paraId="1CA2583B" w14:textId="105212FD" w:rsidR="6A8431F6" w:rsidRDefault="0AB624A7" w:rsidP="0AB624A7">
      <w:pPr>
        <w:pStyle w:val="Kop2"/>
        <w:rPr>
          <w:rFonts w:asciiTheme="minorHAnsi" w:eastAsiaTheme="minorEastAsia" w:hAnsiTheme="minorHAnsi" w:cstheme="minorBidi"/>
          <w:color w:val="auto"/>
          <w:sz w:val="22"/>
          <w:szCs w:val="22"/>
        </w:rPr>
      </w:pPr>
      <w:bookmarkStart w:id="49" w:name="_Toc171411071"/>
      <w:r>
        <w:t>Bijlage 1 Interviewguide interview IUP-werkwijze</w:t>
      </w:r>
      <w:bookmarkEnd w:id="49"/>
    </w:p>
    <w:p w14:paraId="7B7D50FE" w14:textId="7EFD95ED" w:rsidR="23783DFD" w:rsidRDefault="6A8431F6" w:rsidP="00144FF2">
      <w:pPr>
        <w:rPr>
          <w:rFonts w:eastAsiaTheme="minorEastAsia"/>
          <w:b/>
          <w:bCs/>
        </w:rPr>
      </w:pPr>
      <w:r w:rsidRPr="6A8431F6">
        <w:rPr>
          <w:rFonts w:eastAsiaTheme="minorEastAsia"/>
          <w:b/>
          <w:bCs/>
        </w:rPr>
        <w:t>Algemeen</w:t>
      </w:r>
    </w:p>
    <w:p w14:paraId="071BA3C9" w14:textId="1BE7FA16" w:rsidR="23783DFD" w:rsidRDefault="6A8431F6" w:rsidP="00F2659E">
      <w:pPr>
        <w:pStyle w:val="Lijstalinea"/>
        <w:numPr>
          <w:ilvl w:val="0"/>
          <w:numId w:val="7"/>
        </w:numPr>
        <w:rPr>
          <w:rFonts w:eastAsiaTheme="minorEastAsia"/>
        </w:rPr>
      </w:pPr>
      <w:r w:rsidRPr="6A8431F6">
        <w:rPr>
          <w:rFonts w:eastAsiaTheme="minorEastAsia"/>
        </w:rPr>
        <w:t xml:space="preserve">Korte introductie over mezelf, wat het onderzoek inhoudt en wat er in het interview besproken gaat worden. </w:t>
      </w:r>
    </w:p>
    <w:p w14:paraId="464A6069" w14:textId="6054AFD8" w:rsidR="23783DFD" w:rsidRDefault="6A8431F6" w:rsidP="00F2659E">
      <w:pPr>
        <w:pStyle w:val="Lijstalinea"/>
        <w:numPr>
          <w:ilvl w:val="0"/>
          <w:numId w:val="7"/>
        </w:numPr>
        <w:rPr>
          <w:rFonts w:eastAsiaTheme="minorEastAsia"/>
        </w:rPr>
      </w:pPr>
      <w:r w:rsidRPr="6A8431F6">
        <w:rPr>
          <w:rFonts w:eastAsiaTheme="minorEastAsia"/>
        </w:rPr>
        <w:t>Toestemming vragen om het gesprek op te nemen</w:t>
      </w:r>
      <w:r w:rsidR="00D02423">
        <w:rPr>
          <w:rFonts w:eastAsiaTheme="minorEastAsia"/>
        </w:rPr>
        <w:t>,</w:t>
      </w:r>
      <w:r w:rsidRPr="6A8431F6">
        <w:rPr>
          <w:rFonts w:eastAsiaTheme="minorEastAsia"/>
        </w:rPr>
        <w:t xml:space="preserve"> zodat de interviews later getranscribeerd kunnen worden</w:t>
      </w:r>
      <w:r w:rsidR="00ED4C17">
        <w:rPr>
          <w:rFonts w:eastAsiaTheme="minorEastAsia"/>
        </w:rPr>
        <w:t>,</w:t>
      </w:r>
      <w:r w:rsidRPr="6A8431F6">
        <w:rPr>
          <w:rFonts w:eastAsiaTheme="minorEastAsia"/>
        </w:rPr>
        <w:t xml:space="preserve"> wat helpt bij de uitwerking van de resultaten en het trekken van conclusies.</w:t>
      </w:r>
    </w:p>
    <w:p w14:paraId="005B108E" w14:textId="138D6D18" w:rsidR="23783DFD" w:rsidRDefault="6A8431F6" w:rsidP="00F2659E">
      <w:pPr>
        <w:pStyle w:val="Lijstalinea"/>
        <w:numPr>
          <w:ilvl w:val="0"/>
          <w:numId w:val="7"/>
        </w:numPr>
        <w:rPr>
          <w:rFonts w:eastAsiaTheme="minorEastAsia"/>
        </w:rPr>
      </w:pPr>
      <w:r w:rsidRPr="6A8431F6">
        <w:rPr>
          <w:rFonts w:eastAsiaTheme="minorEastAsia"/>
        </w:rPr>
        <w:t xml:space="preserve">Aangeven dat ik bereid ben om het transcript toe te sturen voor een dubbele check en om eventuele interpretatieverschillen recht te zetten. </w:t>
      </w:r>
    </w:p>
    <w:p w14:paraId="220338CC" w14:textId="464596AB" w:rsidR="23783DFD" w:rsidRDefault="6A8431F6" w:rsidP="00F2659E">
      <w:pPr>
        <w:pStyle w:val="Lijstalinea"/>
        <w:numPr>
          <w:ilvl w:val="0"/>
          <w:numId w:val="7"/>
        </w:numPr>
        <w:rPr>
          <w:rFonts w:eastAsiaTheme="minorEastAsia"/>
        </w:rPr>
      </w:pPr>
      <w:r w:rsidRPr="6A8431F6">
        <w:rPr>
          <w:rFonts w:eastAsiaTheme="minorEastAsia"/>
        </w:rPr>
        <w:t xml:space="preserve">Aan de respondent vragen om een korte introductie: wat voor functie/werk? Hoe lang al werkzaam? Op welke manier in aanraking met de IUP-werkwijze? </w:t>
      </w:r>
    </w:p>
    <w:p w14:paraId="3246B2FF" w14:textId="058018CA" w:rsidR="23783DFD" w:rsidRDefault="6A8431F6" w:rsidP="6A8431F6">
      <w:pPr>
        <w:rPr>
          <w:rFonts w:eastAsiaTheme="minorEastAsia"/>
        </w:rPr>
      </w:pPr>
      <w:r w:rsidRPr="6A8431F6">
        <w:rPr>
          <w:rFonts w:eastAsiaTheme="minorEastAsia"/>
        </w:rPr>
        <w:t>De eerste inhoudelijke vragen gaan over hoe de IUP-werkwijze helpt om de innovatieprocessen binnen Rijkswaterstaat te structureren. Daarna wordt er pas ingegaan op de factoren uit de literatuur die aanwezig moeten zijn in zo’n gestructureerd proces. Deze algemene vragen worden gesteld om informatie te genereren over het praktisch gebruik van de IUP-werkwijze. Hoe werkt deze tool nu in de praktijk en hoe zou hij volgens de respondenten gebruikt moeten worden</w:t>
      </w:r>
      <w:r w:rsidR="004C0E56">
        <w:rPr>
          <w:rFonts w:eastAsiaTheme="minorEastAsia"/>
        </w:rPr>
        <w:t>?</w:t>
      </w:r>
      <w:r w:rsidRPr="6A8431F6">
        <w:rPr>
          <w:rFonts w:eastAsiaTheme="minorEastAsia"/>
        </w:rPr>
        <w:t xml:space="preserve"> </w:t>
      </w:r>
    </w:p>
    <w:p w14:paraId="408ACD53" w14:textId="75E2E0F4" w:rsidR="23783DFD" w:rsidRDefault="6A8431F6" w:rsidP="6A8431F6">
      <w:pPr>
        <w:rPr>
          <w:rFonts w:eastAsiaTheme="minorEastAsia"/>
        </w:rPr>
      </w:pPr>
      <w:r w:rsidRPr="6A8431F6">
        <w:rPr>
          <w:rFonts w:eastAsiaTheme="minorEastAsia"/>
        </w:rPr>
        <w:t>Algemene vragen over de IUP-werkwijze</w:t>
      </w:r>
    </w:p>
    <w:p w14:paraId="7828F17D" w14:textId="57869815" w:rsidR="23783DFD" w:rsidRDefault="670F6F82" w:rsidP="00F2659E">
      <w:pPr>
        <w:pStyle w:val="Lijstalinea"/>
        <w:numPr>
          <w:ilvl w:val="0"/>
          <w:numId w:val="6"/>
        </w:numPr>
        <w:rPr>
          <w:rFonts w:eastAsiaTheme="minorEastAsia"/>
        </w:rPr>
      </w:pPr>
      <w:r w:rsidRPr="670F6F82">
        <w:rPr>
          <w:rFonts w:eastAsiaTheme="minorEastAsia"/>
        </w:rPr>
        <w:t xml:space="preserve">De literatuur vertelt ons dat het als organisatie aan te raden is om innovatieprocessen te structureren en als het ware in een procesbeschrijving te gieten. Op welke manier helpt in jouw ogen de IUP-werkwijze om dit proces binnen Rijkswaterstaat goed te structureren?  </w:t>
      </w:r>
    </w:p>
    <w:p w14:paraId="64B5D71C" w14:textId="5381CF68" w:rsidR="23783DFD" w:rsidRDefault="670F6F82" w:rsidP="00F2659E">
      <w:pPr>
        <w:pStyle w:val="Lijstalinea"/>
        <w:numPr>
          <w:ilvl w:val="0"/>
          <w:numId w:val="6"/>
        </w:numPr>
        <w:rPr>
          <w:rFonts w:eastAsiaTheme="minorEastAsia"/>
        </w:rPr>
      </w:pPr>
      <w:r w:rsidRPr="670F6F82">
        <w:rPr>
          <w:rFonts w:eastAsiaTheme="minorEastAsia"/>
        </w:rPr>
        <w:t xml:space="preserve">Zijn er in jouw ogen minpunten aan deze IUP-werkwijze te noemen? En zo ja, welke dan? </w:t>
      </w:r>
    </w:p>
    <w:p w14:paraId="76E617D0" w14:textId="5EE91028" w:rsidR="23783DFD" w:rsidRDefault="670F6F82" w:rsidP="00F2659E">
      <w:pPr>
        <w:pStyle w:val="Lijstalinea"/>
        <w:numPr>
          <w:ilvl w:val="0"/>
          <w:numId w:val="6"/>
        </w:numPr>
        <w:rPr>
          <w:rFonts w:eastAsiaTheme="minorEastAsia"/>
        </w:rPr>
      </w:pPr>
      <w:r w:rsidRPr="670F6F82">
        <w:rPr>
          <w:rFonts w:eastAsiaTheme="minorEastAsia"/>
        </w:rPr>
        <w:t xml:space="preserve">Zou er in jouw ogen een meer directe sturing moeten komen op de IUP-werkwijze?  </w:t>
      </w:r>
    </w:p>
    <w:p w14:paraId="066C92F7" w14:textId="51B61388" w:rsidR="23783DFD" w:rsidRDefault="6A8431F6" w:rsidP="6A8431F6">
      <w:pPr>
        <w:rPr>
          <w:rFonts w:eastAsiaTheme="minorEastAsia"/>
        </w:rPr>
      </w:pPr>
      <w:r w:rsidRPr="6A8431F6">
        <w:rPr>
          <w:rFonts w:eastAsiaTheme="minorEastAsia"/>
        </w:rPr>
        <w:t xml:space="preserve">Nu deze algemene vragen beantwoord zijn, is het goed om in te gaan op de factoren die de literatuur per innovatiefase voorschrijft. </w:t>
      </w:r>
    </w:p>
    <w:p w14:paraId="15EC9D4B" w14:textId="343B8FEE" w:rsidR="23783DFD" w:rsidRDefault="6A8431F6" w:rsidP="6A8431F6">
      <w:pPr>
        <w:rPr>
          <w:rFonts w:eastAsiaTheme="minorEastAsia"/>
          <w:b/>
          <w:bCs/>
        </w:rPr>
      </w:pPr>
      <w:r w:rsidRPr="6A8431F6">
        <w:rPr>
          <w:rFonts w:eastAsiaTheme="minorEastAsia"/>
          <w:b/>
          <w:bCs/>
        </w:rPr>
        <w:t xml:space="preserve">Exploreerfase </w:t>
      </w:r>
    </w:p>
    <w:tbl>
      <w:tblPr>
        <w:tblStyle w:val="Tabelraster"/>
        <w:tblW w:w="9776" w:type="dxa"/>
        <w:tblLayout w:type="fixed"/>
        <w:tblLook w:val="06A0" w:firstRow="1" w:lastRow="0" w:firstColumn="1" w:lastColumn="0" w:noHBand="1" w:noVBand="1"/>
      </w:tblPr>
      <w:tblGrid>
        <w:gridCol w:w="9776"/>
      </w:tblGrid>
      <w:tr w:rsidR="6A8431F6" w14:paraId="539853E4" w14:textId="77777777" w:rsidTr="00144FF2">
        <w:trPr>
          <w:trHeight w:val="300"/>
        </w:trPr>
        <w:tc>
          <w:tcPr>
            <w:tcW w:w="9776" w:type="dxa"/>
            <w:shd w:val="clear" w:color="auto" w:fill="D9E2F3" w:themeFill="accent1" w:themeFillTint="33"/>
          </w:tcPr>
          <w:p w14:paraId="5859FEA9" w14:textId="3F348730" w:rsidR="6A8431F6" w:rsidRDefault="6A8431F6" w:rsidP="6A8431F6">
            <w:pPr>
              <w:rPr>
                <w:rFonts w:eastAsiaTheme="minorEastAsia"/>
                <w:b/>
                <w:bCs/>
              </w:rPr>
            </w:pPr>
            <w:r w:rsidRPr="6A8431F6">
              <w:rPr>
                <w:rFonts w:eastAsiaTheme="minorEastAsia"/>
                <w:b/>
                <w:bCs/>
              </w:rPr>
              <w:t>Indicatoren</w:t>
            </w:r>
          </w:p>
          <w:p w14:paraId="0685A903" w14:textId="77777777" w:rsidR="00F6122C" w:rsidRDefault="00F6122C" w:rsidP="00F6122C">
            <w:r w:rsidRPr="6A8431F6">
              <w:rPr>
                <w:rFonts w:eastAsiaTheme="minorEastAsia"/>
              </w:rPr>
              <w:t xml:space="preserve">-Er is in beeld </w:t>
            </w:r>
            <w:r>
              <w:t>wat de aanleiding is innovatie (</w:t>
            </w:r>
            <w:r w:rsidRPr="6A8431F6">
              <w:rPr>
                <w:rFonts w:eastAsiaTheme="minorEastAsia"/>
              </w:rPr>
              <w:t>waarom en voor wie een probleem</w:t>
            </w:r>
            <w:r>
              <w:t>?)</w:t>
            </w:r>
          </w:p>
          <w:p w14:paraId="3A098E30" w14:textId="133AD358" w:rsidR="00F6122C" w:rsidRDefault="00F6122C" w:rsidP="00F6122C">
            <w:pPr>
              <w:rPr>
                <w:rFonts w:eastAsiaTheme="minorEastAsia"/>
              </w:rPr>
            </w:pPr>
            <w:r>
              <w:t>-Er is in beeld wat het doel van de oplossing is</w:t>
            </w:r>
            <w:r w:rsidRPr="6A8431F6">
              <w:rPr>
                <w:rFonts w:eastAsiaTheme="minorEastAsia"/>
              </w:rPr>
              <w:t xml:space="preserve"> </w:t>
            </w:r>
          </w:p>
          <w:p w14:paraId="30EA3B7E" w14:textId="52CA7F94" w:rsidR="00F6122C" w:rsidRDefault="00F6122C" w:rsidP="00F6122C">
            <w:r w:rsidRPr="6A8431F6">
              <w:rPr>
                <w:rFonts w:eastAsiaTheme="minorEastAsia"/>
              </w:rPr>
              <w:t xml:space="preserve">-Er is gecheckt of er een opdrachtgever is voor de kansrijke oplossing </w:t>
            </w:r>
          </w:p>
          <w:p w14:paraId="53018E21" w14:textId="77777777" w:rsidR="00F6122C" w:rsidRDefault="00F6122C" w:rsidP="00F6122C">
            <w:r>
              <w:t>-Er is gecheckt of de oplossing past de bij de doelen van de organisatie</w:t>
            </w:r>
          </w:p>
          <w:p w14:paraId="7DB665F2" w14:textId="77777777" w:rsidR="00F6122C" w:rsidRDefault="00F6122C" w:rsidP="00F6122C">
            <w:r>
              <w:t xml:space="preserve">-Er is gecheckt of er al een bestaande oplossing is voor het probleem elders in de organisatie </w:t>
            </w:r>
          </w:p>
          <w:p w14:paraId="5971EC93" w14:textId="77777777" w:rsidR="00F6122C" w:rsidRDefault="00F6122C" w:rsidP="00F6122C">
            <w:r>
              <w:t>-Impactanalyse: in beeld op welke stakeholders en organisatiedelen/structuren/processen oplossing impact heeft (risico's: welke barrières te voorzien voor oplossing)</w:t>
            </w:r>
          </w:p>
          <w:p w14:paraId="038AA75E" w14:textId="6B6CB9EF" w:rsidR="6A8431F6" w:rsidRDefault="00F6122C" w:rsidP="00F6122C">
            <w:r w:rsidRPr="6A8431F6">
              <w:rPr>
                <w:rFonts w:eastAsiaTheme="minorEastAsia"/>
              </w:rPr>
              <w:t>-Er is feedback opgehaald bij deze stakeholders voor de bedachte oplossing (valideren)</w:t>
            </w:r>
          </w:p>
        </w:tc>
      </w:tr>
    </w:tbl>
    <w:p w14:paraId="5AA6B261" w14:textId="43264D31" w:rsidR="23783DFD" w:rsidRDefault="670F6F82" w:rsidP="00F2659E">
      <w:pPr>
        <w:pStyle w:val="Lijstalinea"/>
        <w:numPr>
          <w:ilvl w:val="0"/>
          <w:numId w:val="6"/>
        </w:numPr>
        <w:rPr>
          <w:rFonts w:eastAsiaTheme="minorEastAsia"/>
        </w:rPr>
      </w:pPr>
      <w:r w:rsidRPr="670F6F82">
        <w:rPr>
          <w:rFonts w:eastAsiaTheme="minorEastAsia"/>
        </w:rPr>
        <w:t xml:space="preserve">In hoeverre komen de indicatoren voor de exploreerfase terug in het praktisch gebruik van de IUP-werkwijze? </w:t>
      </w:r>
    </w:p>
    <w:p w14:paraId="3FAE562A" w14:textId="2665A7F6" w:rsidR="23783DFD" w:rsidRDefault="670F6F82" w:rsidP="00F2659E">
      <w:pPr>
        <w:pStyle w:val="Lijstalinea"/>
        <w:numPr>
          <w:ilvl w:val="0"/>
          <w:numId w:val="6"/>
        </w:numPr>
        <w:rPr>
          <w:rFonts w:eastAsiaTheme="minorEastAsia"/>
        </w:rPr>
      </w:pPr>
      <w:r w:rsidRPr="670F6F82">
        <w:rPr>
          <w:rFonts w:eastAsiaTheme="minorEastAsia"/>
        </w:rPr>
        <w:t xml:space="preserve">Zijn er in jouw ogen nog aspecten die terugkomen in de IUP-werkwijze die in deze fase horen, maar niet benoemd zijn door de literatuur? </w:t>
      </w:r>
    </w:p>
    <w:p w14:paraId="2E6B33D5" w14:textId="2E5A7994" w:rsidR="23783DFD" w:rsidRDefault="6A8431F6" w:rsidP="6A8431F6">
      <w:pPr>
        <w:ind w:left="283" w:hanging="283"/>
        <w:rPr>
          <w:rFonts w:eastAsiaTheme="minorEastAsia"/>
        </w:rPr>
      </w:pPr>
      <w:r w:rsidRPr="6A8431F6">
        <w:rPr>
          <w:rFonts w:eastAsiaTheme="minorEastAsia"/>
        </w:rPr>
        <w:t>Ontwikkel- en experimenteerfase</w:t>
      </w:r>
    </w:p>
    <w:tbl>
      <w:tblPr>
        <w:tblStyle w:val="Tabelraster"/>
        <w:tblW w:w="9493" w:type="dxa"/>
        <w:tblInd w:w="283" w:type="dxa"/>
        <w:tblLayout w:type="fixed"/>
        <w:tblLook w:val="06A0" w:firstRow="1" w:lastRow="0" w:firstColumn="1" w:lastColumn="0" w:noHBand="1" w:noVBand="1"/>
      </w:tblPr>
      <w:tblGrid>
        <w:gridCol w:w="9493"/>
      </w:tblGrid>
      <w:tr w:rsidR="6A8431F6" w14:paraId="7B702882" w14:textId="77777777" w:rsidTr="00144FF2">
        <w:trPr>
          <w:trHeight w:val="300"/>
        </w:trPr>
        <w:tc>
          <w:tcPr>
            <w:tcW w:w="9493" w:type="dxa"/>
            <w:shd w:val="clear" w:color="auto" w:fill="D9E2F3" w:themeFill="accent1" w:themeFillTint="33"/>
          </w:tcPr>
          <w:p w14:paraId="4862E96D" w14:textId="23231C43" w:rsidR="6A8431F6" w:rsidRDefault="6A8431F6" w:rsidP="6A8431F6">
            <w:pPr>
              <w:rPr>
                <w:rFonts w:eastAsiaTheme="minorEastAsia"/>
                <w:b/>
                <w:bCs/>
              </w:rPr>
            </w:pPr>
            <w:r w:rsidRPr="6A8431F6">
              <w:rPr>
                <w:rFonts w:eastAsiaTheme="minorEastAsia"/>
                <w:b/>
                <w:bCs/>
              </w:rPr>
              <w:t>Indicatoren</w:t>
            </w:r>
          </w:p>
          <w:p w14:paraId="06AB2728" w14:textId="1B04F5B6" w:rsidR="6A8431F6" w:rsidRDefault="6A8431F6" w:rsidP="6A8431F6">
            <w:pPr>
              <w:rPr>
                <w:rFonts w:eastAsiaTheme="minorEastAsia"/>
              </w:rPr>
            </w:pPr>
            <w:r w:rsidRPr="6A8431F6">
              <w:rPr>
                <w:rFonts w:eastAsiaTheme="minorEastAsia"/>
              </w:rPr>
              <w:t xml:space="preserve">-De kansrijke oplossing kan de innovatiedoelen halen </w:t>
            </w:r>
          </w:p>
          <w:p w14:paraId="3CA69A2E" w14:textId="23420512" w:rsidR="6A8431F6" w:rsidRDefault="6A8431F6" w:rsidP="6A8431F6">
            <w:r w:rsidRPr="6A8431F6">
              <w:rPr>
                <w:rFonts w:eastAsiaTheme="minorEastAsia"/>
              </w:rPr>
              <w:t xml:space="preserve">-De kansrijke oplossing heeft economisch en maatschappelijk nut </w:t>
            </w:r>
          </w:p>
          <w:p w14:paraId="458ADF03" w14:textId="6EFF3EB1" w:rsidR="6A8431F6" w:rsidRDefault="6A8431F6" w:rsidP="6A8431F6">
            <w:r w:rsidRPr="6A8431F6">
              <w:rPr>
                <w:rFonts w:eastAsiaTheme="minorEastAsia"/>
              </w:rPr>
              <w:t>-Er is een test (pilot) gedraaid met een product/dienst/werkwijze die alle kenmerken vertoond van een eindproduct (</w:t>
            </w:r>
            <w:r w:rsidRPr="6A8431F6">
              <w:rPr>
                <w:rFonts w:eastAsiaTheme="minorEastAsia"/>
                <w:i/>
                <w:iCs/>
              </w:rPr>
              <w:t>Minimum viable product</w:t>
            </w:r>
            <w:r w:rsidRPr="6A8431F6">
              <w:rPr>
                <w:rFonts w:eastAsiaTheme="minorEastAsia"/>
              </w:rPr>
              <w:t xml:space="preserve">) </w:t>
            </w:r>
          </w:p>
          <w:p w14:paraId="32F12D13" w14:textId="64EF60C9" w:rsidR="6A8431F6" w:rsidRDefault="6A8431F6" w:rsidP="6A8431F6">
            <w:r w:rsidRPr="6A8431F6">
              <w:rPr>
                <w:rFonts w:eastAsiaTheme="minorEastAsia"/>
              </w:rPr>
              <w:t xml:space="preserve">-Er is data verzameld over deze test en verwerkt in de daadwerkelijke eindversie </w:t>
            </w:r>
          </w:p>
          <w:p w14:paraId="1FE168D2" w14:textId="295DD92D" w:rsidR="6A8431F6" w:rsidRDefault="6A8431F6" w:rsidP="6A8431F6">
            <w:r w:rsidRPr="6A8431F6">
              <w:rPr>
                <w:rFonts w:eastAsiaTheme="minorEastAsia"/>
              </w:rPr>
              <w:t xml:space="preserve">-Er is contact gezocht met andere afdelingen om te vragen of de haalbare oplossing ook voor hen geschikt is </w:t>
            </w:r>
          </w:p>
          <w:p w14:paraId="747FE1C1" w14:textId="7AFC3177" w:rsidR="6A8431F6" w:rsidRDefault="6A8431F6" w:rsidP="6A8431F6">
            <w:r w:rsidRPr="6A8431F6">
              <w:rPr>
                <w:rFonts w:eastAsiaTheme="minorEastAsia"/>
              </w:rPr>
              <w:t>-Er gedurende deze en voorgaande fase een projectdossier bijgehouden</w:t>
            </w:r>
          </w:p>
        </w:tc>
      </w:tr>
    </w:tbl>
    <w:p w14:paraId="490FB9EB" w14:textId="256BA899" w:rsidR="23783DFD" w:rsidRDefault="670F6F82" w:rsidP="00F2659E">
      <w:pPr>
        <w:pStyle w:val="Lijstalinea"/>
        <w:numPr>
          <w:ilvl w:val="0"/>
          <w:numId w:val="6"/>
        </w:numPr>
        <w:rPr>
          <w:rFonts w:eastAsiaTheme="minorEastAsia"/>
        </w:rPr>
      </w:pPr>
      <w:r w:rsidRPr="670F6F82">
        <w:rPr>
          <w:rFonts w:eastAsiaTheme="minorEastAsia"/>
        </w:rPr>
        <w:t xml:space="preserve">In hoeverre komen de indicatoren voor de ontwikkel- en experimenteerfase terug in het praktisch gebruik van de IUP-werkwijze? </w:t>
      </w:r>
    </w:p>
    <w:p w14:paraId="0395E0C6" w14:textId="20FB2E3D" w:rsidR="23783DFD" w:rsidRDefault="670F6F82" w:rsidP="00F2659E">
      <w:pPr>
        <w:pStyle w:val="Lijstalinea"/>
        <w:numPr>
          <w:ilvl w:val="0"/>
          <w:numId w:val="6"/>
        </w:numPr>
        <w:rPr>
          <w:rFonts w:eastAsiaTheme="minorEastAsia"/>
        </w:rPr>
      </w:pPr>
      <w:r w:rsidRPr="670F6F82">
        <w:rPr>
          <w:rFonts w:eastAsiaTheme="minorEastAsia"/>
        </w:rPr>
        <w:t xml:space="preserve">Zijn er in jouw ogen nog aspecten die terugkomen in de IUP-werkwijze die in deze fase horen, maar niet benoemd zijn door de literatuur? </w:t>
      </w:r>
    </w:p>
    <w:p w14:paraId="2F67F542" w14:textId="7471595F" w:rsidR="23783DFD" w:rsidRDefault="6A8431F6" w:rsidP="6A8431F6">
      <w:pPr>
        <w:rPr>
          <w:rFonts w:eastAsiaTheme="minorEastAsia"/>
          <w:b/>
          <w:bCs/>
        </w:rPr>
      </w:pPr>
      <w:r w:rsidRPr="6A8431F6">
        <w:rPr>
          <w:rFonts w:eastAsiaTheme="minorEastAsia"/>
          <w:b/>
          <w:bCs/>
        </w:rPr>
        <w:t>Implementatiefase</w:t>
      </w:r>
    </w:p>
    <w:tbl>
      <w:tblPr>
        <w:tblStyle w:val="Tabelraster"/>
        <w:tblW w:w="9776" w:type="dxa"/>
        <w:tblLayout w:type="fixed"/>
        <w:tblLook w:val="06A0" w:firstRow="1" w:lastRow="0" w:firstColumn="1" w:lastColumn="0" w:noHBand="1" w:noVBand="1"/>
      </w:tblPr>
      <w:tblGrid>
        <w:gridCol w:w="9776"/>
      </w:tblGrid>
      <w:tr w:rsidR="6A8431F6" w14:paraId="3160DFE7" w14:textId="77777777" w:rsidTr="00144FF2">
        <w:trPr>
          <w:trHeight w:val="300"/>
        </w:trPr>
        <w:tc>
          <w:tcPr>
            <w:tcW w:w="9776" w:type="dxa"/>
            <w:shd w:val="clear" w:color="auto" w:fill="D9E2F3" w:themeFill="accent1" w:themeFillTint="33"/>
          </w:tcPr>
          <w:p w14:paraId="438B0D19" w14:textId="6DBECD64" w:rsidR="6A8431F6" w:rsidRDefault="6A8431F6" w:rsidP="6A8431F6">
            <w:pPr>
              <w:rPr>
                <w:rFonts w:eastAsiaTheme="minorEastAsia"/>
                <w:b/>
                <w:bCs/>
              </w:rPr>
            </w:pPr>
            <w:r w:rsidRPr="6A8431F6">
              <w:rPr>
                <w:rFonts w:eastAsiaTheme="minorEastAsia"/>
                <w:b/>
                <w:bCs/>
              </w:rPr>
              <w:t>Indicatoren</w:t>
            </w:r>
          </w:p>
          <w:p w14:paraId="649F792B" w14:textId="6FA59EDC" w:rsidR="6A8431F6" w:rsidRDefault="6A8431F6" w:rsidP="6A8431F6">
            <w:pPr>
              <w:rPr>
                <w:rFonts w:eastAsiaTheme="minorEastAsia"/>
              </w:rPr>
            </w:pPr>
            <w:r w:rsidRPr="6A8431F6">
              <w:rPr>
                <w:rFonts w:eastAsiaTheme="minorEastAsia"/>
              </w:rPr>
              <w:t xml:space="preserve">-Er is een opschalingsstrategie opgesteld </w:t>
            </w:r>
          </w:p>
          <w:p w14:paraId="0AA0B9FD" w14:textId="110EE953" w:rsidR="6A8431F6" w:rsidRDefault="6A8431F6" w:rsidP="6A8431F6">
            <w:r w:rsidRPr="6A8431F6">
              <w:rPr>
                <w:rFonts w:eastAsiaTheme="minorEastAsia"/>
              </w:rPr>
              <w:t xml:space="preserve">-Er is capaciteit en expertise geregeld voor opschalen </w:t>
            </w:r>
            <w:r w:rsidR="00AE4E9C">
              <w:rPr>
                <w:rFonts w:eastAsiaTheme="minorEastAsia"/>
              </w:rPr>
              <w:t>en implementeren</w:t>
            </w:r>
            <w:r w:rsidR="00D2412D">
              <w:rPr>
                <w:rFonts w:eastAsiaTheme="minorEastAsia"/>
              </w:rPr>
              <w:t>.</w:t>
            </w:r>
          </w:p>
          <w:p w14:paraId="444DF111" w14:textId="4B81F8EF" w:rsidR="6A8431F6" w:rsidRDefault="6A8431F6" w:rsidP="6A8431F6">
            <w:r w:rsidRPr="6A8431F6">
              <w:rPr>
                <w:rFonts w:eastAsiaTheme="minorEastAsia"/>
              </w:rPr>
              <w:t xml:space="preserve">-De innovatie wordt losgelaten en geadopteerd door afdelingen/organisatieonderdelen die er baat bij hebben.  </w:t>
            </w:r>
          </w:p>
        </w:tc>
      </w:tr>
    </w:tbl>
    <w:p w14:paraId="5D1B201E" w14:textId="74768795" w:rsidR="23783DFD" w:rsidRDefault="670F6F82" w:rsidP="00F2659E">
      <w:pPr>
        <w:pStyle w:val="Lijstalinea"/>
        <w:numPr>
          <w:ilvl w:val="0"/>
          <w:numId w:val="6"/>
        </w:numPr>
        <w:rPr>
          <w:rFonts w:eastAsiaTheme="minorEastAsia"/>
        </w:rPr>
      </w:pPr>
      <w:r w:rsidRPr="670F6F82">
        <w:rPr>
          <w:rFonts w:eastAsiaTheme="minorEastAsia"/>
        </w:rPr>
        <w:t xml:space="preserve">In hoeverre komen de indicatoren voor de implementatiefase terug in het praktisch gebruik van de IUP-werkwijze? </w:t>
      </w:r>
    </w:p>
    <w:p w14:paraId="5F22E8D1" w14:textId="63140629" w:rsidR="23783DFD" w:rsidRDefault="670F6F82" w:rsidP="00F2659E">
      <w:pPr>
        <w:pStyle w:val="Lijstalinea"/>
        <w:numPr>
          <w:ilvl w:val="0"/>
          <w:numId w:val="6"/>
        </w:numPr>
        <w:rPr>
          <w:rFonts w:eastAsiaTheme="minorEastAsia"/>
        </w:rPr>
      </w:pPr>
      <w:r w:rsidRPr="670F6F82">
        <w:rPr>
          <w:rFonts w:eastAsiaTheme="minorEastAsia"/>
        </w:rPr>
        <w:t xml:space="preserve">Zijn er in jouw ogen nog aspecten die terugkomen in de IUP-werkwijze die in deze fase horen, maar niet benoemd zijn door de literatuur? </w:t>
      </w:r>
    </w:p>
    <w:p w14:paraId="0CAC532B" w14:textId="0AEDF239" w:rsidR="23783DFD" w:rsidRDefault="6A8431F6" w:rsidP="6A8431F6">
      <w:pPr>
        <w:rPr>
          <w:rFonts w:eastAsiaTheme="minorEastAsia"/>
          <w:b/>
          <w:bCs/>
        </w:rPr>
      </w:pPr>
      <w:r w:rsidRPr="6A8431F6">
        <w:rPr>
          <w:rFonts w:eastAsiaTheme="minorEastAsia"/>
          <w:b/>
          <w:bCs/>
        </w:rPr>
        <w:t xml:space="preserve">Evaluatiefase </w:t>
      </w:r>
    </w:p>
    <w:tbl>
      <w:tblPr>
        <w:tblStyle w:val="Tabelraster"/>
        <w:tblW w:w="9776" w:type="dxa"/>
        <w:tblLayout w:type="fixed"/>
        <w:tblLook w:val="06A0" w:firstRow="1" w:lastRow="0" w:firstColumn="1" w:lastColumn="0" w:noHBand="1" w:noVBand="1"/>
      </w:tblPr>
      <w:tblGrid>
        <w:gridCol w:w="9776"/>
      </w:tblGrid>
      <w:tr w:rsidR="6A8431F6" w14:paraId="14D47737" w14:textId="77777777" w:rsidTr="00144FF2">
        <w:trPr>
          <w:trHeight w:val="300"/>
        </w:trPr>
        <w:tc>
          <w:tcPr>
            <w:tcW w:w="9776" w:type="dxa"/>
            <w:shd w:val="clear" w:color="auto" w:fill="D9E2F3" w:themeFill="accent1" w:themeFillTint="33"/>
          </w:tcPr>
          <w:p w14:paraId="32661859" w14:textId="276CEC69" w:rsidR="6A8431F6" w:rsidRDefault="6A8431F6" w:rsidP="6A8431F6">
            <w:pPr>
              <w:rPr>
                <w:rFonts w:eastAsiaTheme="minorEastAsia"/>
                <w:b/>
                <w:bCs/>
              </w:rPr>
            </w:pPr>
            <w:r w:rsidRPr="6A8431F6">
              <w:rPr>
                <w:rFonts w:eastAsiaTheme="minorEastAsia"/>
                <w:b/>
                <w:bCs/>
              </w:rPr>
              <w:t>Indicatoren</w:t>
            </w:r>
          </w:p>
          <w:p w14:paraId="6DE892C3" w14:textId="78A32874" w:rsidR="6A8431F6" w:rsidRDefault="6A8431F6" w:rsidP="6A8431F6">
            <w:pPr>
              <w:rPr>
                <w:rFonts w:eastAsiaTheme="minorEastAsia"/>
              </w:rPr>
            </w:pPr>
            <w:r w:rsidRPr="6A8431F6">
              <w:rPr>
                <w:rFonts w:eastAsiaTheme="minorEastAsia"/>
              </w:rPr>
              <w:t xml:space="preserve">-Monitoring is een onderdeel van het ontwikkelproces van fase 1 t/m 3 </w:t>
            </w:r>
          </w:p>
          <w:p w14:paraId="2A863486" w14:textId="2E828950" w:rsidR="6A8431F6" w:rsidRDefault="6A8431F6" w:rsidP="6A8431F6">
            <w:pPr>
              <w:rPr>
                <w:rFonts w:eastAsiaTheme="minorEastAsia"/>
              </w:rPr>
            </w:pPr>
            <w:r w:rsidRPr="6A8431F6">
              <w:rPr>
                <w:rFonts w:eastAsiaTheme="minorEastAsia"/>
              </w:rPr>
              <w:t xml:space="preserve">-Gedurende de fases zijn er correctiemogelijkheden ingebouwd </w:t>
            </w:r>
          </w:p>
          <w:p w14:paraId="16B01E81" w14:textId="728E4648" w:rsidR="6A8431F6" w:rsidRDefault="6A8431F6" w:rsidP="6A8431F6">
            <w:pPr>
              <w:rPr>
                <w:rFonts w:eastAsiaTheme="minorEastAsia"/>
              </w:rPr>
            </w:pPr>
            <w:r w:rsidRPr="6A8431F6">
              <w:rPr>
                <w:rFonts w:eastAsiaTheme="minorEastAsia"/>
              </w:rPr>
              <w:t xml:space="preserve">-Rapporteer de monitoring en correcties in het projectdossier </w:t>
            </w:r>
          </w:p>
          <w:p w14:paraId="21D5FFC9" w14:textId="4514B6CF" w:rsidR="6A8431F6" w:rsidRDefault="6A8431F6" w:rsidP="6A8431F6">
            <w:pPr>
              <w:rPr>
                <w:rFonts w:eastAsiaTheme="minorEastAsia"/>
              </w:rPr>
            </w:pPr>
            <w:r w:rsidRPr="6A8431F6">
              <w:rPr>
                <w:rFonts w:eastAsiaTheme="minorEastAsia"/>
              </w:rPr>
              <w:t>-Sluit dit projectdossier af met een evaluatie van het gehele innovatietraject (leerpunten voor de toekomst)</w:t>
            </w:r>
          </w:p>
        </w:tc>
      </w:tr>
    </w:tbl>
    <w:p w14:paraId="0A3775F0" w14:textId="6137BE0F" w:rsidR="23783DFD" w:rsidRDefault="670F6F82" w:rsidP="00F2659E">
      <w:pPr>
        <w:pStyle w:val="Lijstalinea"/>
        <w:numPr>
          <w:ilvl w:val="0"/>
          <w:numId w:val="6"/>
        </w:numPr>
        <w:rPr>
          <w:rFonts w:eastAsiaTheme="minorEastAsia"/>
        </w:rPr>
      </w:pPr>
      <w:r w:rsidRPr="670F6F82">
        <w:rPr>
          <w:rFonts w:eastAsiaTheme="minorEastAsia"/>
        </w:rPr>
        <w:t xml:space="preserve">In hoeverre komen de indicatoren voor de evaluatiefase terug in het praktisch gebruik van de IUP-werkwijze?  </w:t>
      </w:r>
    </w:p>
    <w:p w14:paraId="7C7D0F47" w14:textId="6C7B4A8F" w:rsidR="23783DFD" w:rsidRDefault="670F6F82" w:rsidP="00F2659E">
      <w:pPr>
        <w:pStyle w:val="Lijstalinea"/>
        <w:numPr>
          <w:ilvl w:val="0"/>
          <w:numId w:val="6"/>
        </w:numPr>
        <w:rPr>
          <w:rFonts w:eastAsiaTheme="minorEastAsia"/>
        </w:rPr>
      </w:pPr>
      <w:r w:rsidRPr="670F6F82">
        <w:rPr>
          <w:rFonts w:eastAsiaTheme="minorEastAsia"/>
        </w:rPr>
        <w:t>Zijn er in jouw ogen nog aspecten die terugkomen in de IUP-werkwijze die in deze fase horen, maar niet benoemd zijn door de literatuur?</w:t>
      </w:r>
    </w:p>
    <w:p w14:paraId="79E556D9" w14:textId="592E40BA" w:rsidR="23783DFD" w:rsidRDefault="670F6F82" w:rsidP="00F2659E">
      <w:pPr>
        <w:pStyle w:val="Lijstalinea"/>
        <w:numPr>
          <w:ilvl w:val="0"/>
          <w:numId w:val="6"/>
        </w:numPr>
        <w:rPr>
          <w:rFonts w:eastAsiaTheme="minorEastAsia"/>
        </w:rPr>
      </w:pPr>
      <w:r w:rsidRPr="670F6F82">
        <w:rPr>
          <w:rFonts w:eastAsiaTheme="minorEastAsia"/>
        </w:rPr>
        <w:t xml:space="preserve">Kan het delen van de lessen uit en het vragen van feedback aan andere collega's in de innovatietrajecten nog beter worden opgenomen in de IUP-werkwijze?  </w:t>
      </w:r>
    </w:p>
    <w:p w14:paraId="3ABFEF87" w14:textId="4AF92D07" w:rsidR="23783DFD" w:rsidRDefault="6A8431F6" w:rsidP="6A8431F6">
      <w:pPr>
        <w:rPr>
          <w:rFonts w:eastAsiaTheme="minorEastAsia"/>
        </w:rPr>
      </w:pPr>
      <w:r w:rsidRPr="6A8431F6">
        <w:rPr>
          <w:rFonts w:eastAsiaTheme="minorEastAsia"/>
        </w:rPr>
        <w:t xml:space="preserve">Tot slot is het van belang om nog vragen te stellen over de organisatiegerelateerde succesfactoren uit de literatuur en in hoeverre deze factoren (meer) opgenomen kunnen/moeten worden in de IUP-werkwijze. </w:t>
      </w:r>
    </w:p>
    <w:p w14:paraId="732F6508" w14:textId="0DAFE97C" w:rsidR="23783DFD" w:rsidRDefault="670F6F82" w:rsidP="00F2659E">
      <w:pPr>
        <w:pStyle w:val="Lijstalinea"/>
        <w:numPr>
          <w:ilvl w:val="0"/>
          <w:numId w:val="6"/>
        </w:numPr>
        <w:rPr>
          <w:rFonts w:eastAsiaTheme="minorEastAsia"/>
        </w:rPr>
      </w:pPr>
      <w:r w:rsidRPr="670F6F82">
        <w:rPr>
          <w:rFonts w:eastAsiaTheme="minorEastAsia"/>
        </w:rPr>
        <w:t xml:space="preserve">Op welke manier komt benutten van andere expertises voor de </w:t>
      </w:r>
      <w:r w:rsidR="004467DA" w:rsidRPr="670F6F82">
        <w:rPr>
          <w:rFonts w:eastAsiaTheme="minorEastAsia"/>
        </w:rPr>
        <w:t>risicoanalyse</w:t>
      </w:r>
      <w:r w:rsidRPr="670F6F82">
        <w:rPr>
          <w:rFonts w:eastAsiaTheme="minorEastAsia"/>
        </w:rPr>
        <w:t xml:space="preserve"> terug in de IUP-werkwijze en zou dit nog verbeterd kunnen worden?   </w:t>
      </w:r>
    </w:p>
    <w:p w14:paraId="2C4BEA04" w14:textId="496C0197" w:rsidR="23783DFD" w:rsidRDefault="2C3FA80D" w:rsidP="00F2659E">
      <w:pPr>
        <w:pStyle w:val="Lijstalinea"/>
        <w:numPr>
          <w:ilvl w:val="0"/>
          <w:numId w:val="6"/>
        </w:numPr>
        <w:rPr>
          <w:rFonts w:eastAsiaTheme="minorEastAsia"/>
        </w:rPr>
      </w:pPr>
      <w:r w:rsidRPr="2C3FA80D">
        <w:rPr>
          <w:rFonts w:eastAsiaTheme="minorEastAsia"/>
        </w:rPr>
        <w:t>Op welke manier wordt het innoveren, zonder rekening te houden met de organisatiebelangen, verminderd met de IUP-werkwijze? Zijn hierin nog aanvullingen te bedenken?</w:t>
      </w:r>
    </w:p>
    <w:p w14:paraId="2BB2F52D" w14:textId="5B685E7F" w:rsidR="23783DFD" w:rsidRDefault="2C3FA80D" w:rsidP="00F2659E">
      <w:pPr>
        <w:pStyle w:val="Lijstalinea"/>
        <w:numPr>
          <w:ilvl w:val="0"/>
          <w:numId w:val="6"/>
        </w:numPr>
        <w:rPr>
          <w:rFonts w:eastAsiaTheme="minorEastAsia"/>
        </w:rPr>
      </w:pPr>
      <w:r w:rsidRPr="2C3FA80D">
        <w:rPr>
          <w:rFonts w:eastAsiaTheme="minorEastAsia"/>
        </w:rPr>
        <w:t xml:space="preserve">Is het raadzaam om aan het aanwijzen van een proceseigenaar voor implementatie op te nemen in de IUP-werkwijze? Welke rol kan de opdrachtgever van de innovatie of focuspunthouder hierin spelen?  </w:t>
      </w:r>
    </w:p>
    <w:p w14:paraId="6C037DD6" w14:textId="71D7623E" w:rsidR="2C3FA80D" w:rsidRDefault="2C3FA80D">
      <w:r>
        <w:br w:type="page"/>
      </w:r>
    </w:p>
    <w:p w14:paraId="13BE013D" w14:textId="676D7D55" w:rsidR="23783DFD" w:rsidRDefault="0AB624A7" w:rsidP="0AB624A7">
      <w:pPr>
        <w:pStyle w:val="Kop2"/>
        <w:rPr>
          <w:rFonts w:asciiTheme="minorHAnsi" w:eastAsiaTheme="minorEastAsia" w:hAnsiTheme="minorHAnsi" w:cstheme="minorBidi"/>
          <w:color w:val="auto"/>
          <w:sz w:val="22"/>
          <w:szCs w:val="22"/>
        </w:rPr>
      </w:pPr>
      <w:bookmarkStart w:id="50" w:name="_Toc171411072"/>
      <w:r>
        <w:t>Bijlage 2 Interviewguide interview organisatiegerelateerde succesfactoren</w:t>
      </w:r>
      <w:bookmarkEnd w:id="50"/>
    </w:p>
    <w:p w14:paraId="52DC4A4A" w14:textId="31E6B26C" w:rsidR="23783DFD" w:rsidRDefault="23783DFD" w:rsidP="6A8431F6">
      <w:pPr>
        <w:ind w:left="283" w:hanging="283"/>
        <w:rPr>
          <w:rFonts w:eastAsiaTheme="minorEastAsia"/>
        </w:rPr>
      </w:pPr>
    </w:p>
    <w:p w14:paraId="3C6C23A4" w14:textId="7EFD95ED" w:rsidR="23783DFD" w:rsidRDefault="6A8431F6" w:rsidP="6A8431F6">
      <w:pPr>
        <w:ind w:left="283" w:hanging="283"/>
        <w:rPr>
          <w:rFonts w:eastAsiaTheme="minorEastAsia"/>
          <w:b/>
          <w:bCs/>
        </w:rPr>
      </w:pPr>
      <w:r w:rsidRPr="6A8431F6">
        <w:rPr>
          <w:rFonts w:eastAsiaTheme="minorEastAsia"/>
          <w:b/>
          <w:bCs/>
        </w:rPr>
        <w:t>Algemeen</w:t>
      </w:r>
    </w:p>
    <w:p w14:paraId="7E3FA0B2" w14:textId="1BE7FA16" w:rsidR="23783DFD" w:rsidRDefault="6A8431F6" w:rsidP="00F2659E">
      <w:pPr>
        <w:pStyle w:val="Lijstalinea"/>
        <w:numPr>
          <w:ilvl w:val="0"/>
          <w:numId w:val="7"/>
        </w:numPr>
        <w:rPr>
          <w:rFonts w:eastAsiaTheme="minorEastAsia"/>
        </w:rPr>
      </w:pPr>
      <w:r w:rsidRPr="6A8431F6">
        <w:rPr>
          <w:rFonts w:eastAsiaTheme="minorEastAsia"/>
        </w:rPr>
        <w:t xml:space="preserve">Korte introductie over mezelf, wat het onderzoek inhoudt en wat er in het interview besproken gaat worden. </w:t>
      </w:r>
    </w:p>
    <w:p w14:paraId="04571C79" w14:textId="040A7390" w:rsidR="23783DFD" w:rsidRDefault="6A8431F6" w:rsidP="00F2659E">
      <w:pPr>
        <w:pStyle w:val="Lijstalinea"/>
        <w:numPr>
          <w:ilvl w:val="0"/>
          <w:numId w:val="7"/>
        </w:numPr>
        <w:rPr>
          <w:rFonts w:eastAsiaTheme="minorEastAsia"/>
        </w:rPr>
      </w:pPr>
      <w:r w:rsidRPr="6A8431F6">
        <w:rPr>
          <w:rFonts w:eastAsiaTheme="minorEastAsia"/>
        </w:rPr>
        <w:t>Toestemming vragen om het gesprek op te nemen</w:t>
      </w:r>
      <w:r w:rsidR="0017315A">
        <w:rPr>
          <w:rFonts w:eastAsiaTheme="minorEastAsia"/>
        </w:rPr>
        <w:t>,</w:t>
      </w:r>
      <w:r w:rsidRPr="6A8431F6">
        <w:rPr>
          <w:rFonts w:eastAsiaTheme="minorEastAsia"/>
        </w:rPr>
        <w:t xml:space="preserve"> zodat de interviews later getranscribeerd kunnen worden</w:t>
      </w:r>
      <w:r w:rsidR="0017315A">
        <w:rPr>
          <w:rFonts w:eastAsiaTheme="minorEastAsia"/>
        </w:rPr>
        <w:t>,</w:t>
      </w:r>
      <w:r w:rsidRPr="6A8431F6">
        <w:rPr>
          <w:rFonts w:eastAsiaTheme="minorEastAsia"/>
        </w:rPr>
        <w:t xml:space="preserve"> wat helpt bij de uitwerking van de resultaten en het trekken van conclusies.</w:t>
      </w:r>
    </w:p>
    <w:p w14:paraId="23155F4F" w14:textId="138D6D18" w:rsidR="23783DFD" w:rsidRDefault="6A8431F6" w:rsidP="00F2659E">
      <w:pPr>
        <w:pStyle w:val="Lijstalinea"/>
        <w:numPr>
          <w:ilvl w:val="0"/>
          <w:numId w:val="7"/>
        </w:numPr>
        <w:rPr>
          <w:rFonts w:eastAsiaTheme="minorEastAsia"/>
        </w:rPr>
      </w:pPr>
      <w:r w:rsidRPr="6A8431F6">
        <w:rPr>
          <w:rFonts w:eastAsiaTheme="minorEastAsia"/>
        </w:rPr>
        <w:t xml:space="preserve">Aangeven dat ik bereid ben om het transcript toe te sturen voor een dubbele check en om eventuele interpretatieverschillen recht te zetten. </w:t>
      </w:r>
    </w:p>
    <w:p w14:paraId="652D18EA" w14:textId="3DEAE58E" w:rsidR="23783DFD" w:rsidRDefault="6A8431F6" w:rsidP="00F2659E">
      <w:pPr>
        <w:pStyle w:val="Lijstalinea"/>
        <w:numPr>
          <w:ilvl w:val="0"/>
          <w:numId w:val="7"/>
        </w:numPr>
        <w:rPr>
          <w:rFonts w:eastAsiaTheme="minorEastAsia"/>
        </w:rPr>
      </w:pPr>
      <w:r w:rsidRPr="6A8431F6">
        <w:rPr>
          <w:rFonts w:eastAsiaTheme="minorEastAsia"/>
        </w:rPr>
        <w:t xml:space="preserve">Aan de respondent vragen om een korte introductie: </w:t>
      </w:r>
      <w:r w:rsidR="0017315A">
        <w:rPr>
          <w:rFonts w:eastAsiaTheme="minorEastAsia"/>
        </w:rPr>
        <w:t>W</w:t>
      </w:r>
      <w:r w:rsidRPr="6A8431F6">
        <w:rPr>
          <w:rFonts w:eastAsiaTheme="minorEastAsia"/>
        </w:rPr>
        <w:t xml:space="preserve">at voor functie/werk? Hoe lang al werkzaam? Op welke manier in aanraking met innovaties? </w:t>
      </w:r>
    </w:p>
    <w:p w14:paraId="2D5B4C32" w14:textId="182864B2" w:rsidR="23783DFD" w:rsidRDefault="6A8431F6" w:rsidP="6A8431F6">
      <w:pPr>
        <w:rPr>
          <w:rFonts w:eastAsiaTheme="minorEastAsia"/>
        </w:rPr>
      </w:pPr>
      <w:r w:rsidRPr="6A8431F6">
        <w:rPr>
          <w:rFonts w:eastAsiaTheme="minorEastAsia"/>
        </w:rPr>
        <w:t xml:space="preserve">De eerste inhoudelijke vragen gaan over hoe Rijkswaterstaat in de ogen van de respondent omgaat met innovaties. Dit geeft de respondenten de kans om zelf met factoren te komen die in hun ogen op dit moment wel en niet bijdragen aan het innovatiesucces van RWS. Later in dit interview worden de succesfactoren uit de literatuur betrokken. Hiermee wordt de kans verkleind om het interview en de antwoorden van de respondenten te veel te sturen. </w:t>
      </w:r>
    </w:p>
    <w:p w14:paraId="0056F95E" w14:textId="5996375D" w:rsidR="23783DFD" w:rsidRDefault="6A8431F6" w:rsidP="6A8431F6">
      <w:pPr>
        <w:rPr>
          <w:rFonts w:eastAsiaTheme="minorEastAsia"/>
        </w:rPr>
      </w:pPr>
      <w:r w:rsidRPr="6A8431F6">
        <w:rPr>
          <w:rFonts w:eastAsiaTheme="minorEastAsia"/>
        </w:rPr>
        <w:t>Algemene vragen over het huidige innovatievermogen van RWS</w:t>
      </w:r>
      <w:r w:rsidR="00745328">
        <w:rPr>
          <w:rFonts w:eastAsiaTheme="minorEastAsia"/>
        </w:rPr>
        <w:t>:</w:t>
      </w:r>
    </w:p>
    <w:p w14:paraId="3590731C" w14:textId="0D22A32F" w:rsidR="23783DFD" w:rsidRDefault="6A8431F6" w:rsidP="00F2659E">
      <w:pPr>
        <w:pStyle w:val="Lijstalinea"/>
        <w:numPr>
          <w:ilvl w:val="0"/>
          <w:numId w:val="5"/>
        </w:numPr>
        <w:rPr>
          <w:rFonts w:eastAsiaTheme="minorEastAsia"/>
        </w:rPr>
      </w:pPr>
      <w:r w:rsidRPr="6A8431F6">
        <w:rPr>
          <w:rFonts w:eastAsiaTheme="minorEastAsia"/>
        </w:rPr>
        <w:t xml:space="preserve">Ben jij bekend met de IUP-werkwijze? En zo ja, kan in jouw ogen deze IUP-werkwijze bijdragen aan het versterken van dit innovatievermogen? </w:t>
      </w:r>
    </w:p>
    <w:p w14:paraId="3280A0E3" w14:textId="22746F45" w:rsidR="23783DFD" w:rsidRDefault="0F8EFB49" w:rsidP="00F2659E">
      <w:pPr>
        <w:pStyle w:val="Lijstalinea"/>
        <w:numPr>
          <w:ilvl w:val="0"/>
          <w:numId w:val="5"/>
        </w:numPr>
        <w:rPr>
          <w:rFonts w:eastAsiaTheme="minorEastAsia"/>
        </w:rPr>
      </w:pPr>
      <w:r w:rsidRPr="0F8EFB49">
        <w:rPr>
          <w:rFonts w:eastAsiaTheme="minorEastAsia"/>
        </w:rPr>
        <w:t xml:space="preserve">Hoe is het in jouw ogen gesteld met het innovatievermogen van RWS? Met innovatievermogen wordt dan niet enkel bedoeld het bedenken van creatieve ideeën en oplossingen, maar ook het succesvol implementeren van haalbare en kansrijke oplossingen. </w:t>
      </w:r>
    </w:p>
    <w:p w14:paraId="7D34E014" w14:textId="18912119" w:rsidR="23783DFD" w:rsidRDefault="6A8431F6" w:rsidP="6A8431F6">
      <w:pPr>
        <w:rPr>
          <w:rFonts w:eastAsiaTheme="minorEastAsia"/>
        </w:rPr>
      </w:pPr>
      <w:r w:rsidRPr="6A8431F6">
        <w:rPr>
          <w:rFonts w:eastAsiaTheme="minorEastAsia"/>
        </w:rPr>
        <w:t xml:space="preserve">De onderstaande vragen spitsen zich telkens toe op de succesfactoren gevonden in de literatuurlijnen van innovatiemanagement en de lerende organisatie. </w:t>
      </w:r>
    </w:p>
    <w:p w14:paraId="16A83CB0" w14:textId="1AA54473" w:rsidR="23783DFD" w:rsidRDefault="6A8431F6" w:rsidP="6A8431F6">
      <w:pPr>
        <w:rPr>
          <w:rFonts w:eastAsiaTheme="minorEastAsia"/>
        </w:rPr>
      </w:pPr>
      <w:r w:rsidRPr="6A8431F6">
        <w:rPr>
          <w:rFonts w:eastAsiaTheme="minorEastAsia"/>
        </w:rPr>
        <w:t xml:space="preserve">Lerende organisatie: </w:t>
      </w:r>
    </w:p>
    <w:p w14:paraId="44D5E9FB" w14:textId="27DC40E9" w:rsidR="23783DFD" w:rsidRDefault="6A8431F6" w:rsidP="6A8431F6">
      <w:pPr>
        <w:rPr>
          <w:rFonts w:eastAsiaTheme="minorEastAsia"/>
          <w:b/>
          <w:bCs/>
        </w:rPr>
      </w:pPr>
      <w:r w:rsidRPr="6A8431F6">
        <w:rPr>
          <w:rFonts w:eastAsiaTheme="minorEastAsia"/>
          <w:b/>
          <w:bCs/>
        </w:rPr>
        <w:t>Organisatieleercultuur</w:t>
      </w:r>
    </w:p>
    <w:p w14:paraId="414348ED" w14:textId="248B5184" w:rsidR="23783DFD" w:rsidRDefault="0F8EFB49" w:rsidP="00F2659E">
      <w:pPr>
        <w:pStyle w:val="Lijstalinea"/>
        <w:numPr>
          <w:ilvl w:val="0"/>
          <w:numId w:val="5"/>
        </w:numPr>
        <w:rPr>
          <w:rFonts w:eastAsiaTheme="minorEastAsia"/>
        </w:rPr>
      </w:pPr>
      <w:r w:rsidRPr="0F8EFB49">
        <w:rPr>
          <w:rFonts w:eastAsiaTheme="minorEastAsia"/>
        </w:rPr>
        <w:t xml:space="preserve">Is het collectief leren van elkaar innovaties in jouw ogen voldoende aanwezig binnen PPO? Dit gaat dan om het geven van feedback aan elkaar in innovaties, maar ook om het leren van successen en fouten en dit vervolgens delen met andere collega's binnen PPO of andere organisatieonderdelen. </w:t>
      </w:r>
    </w:p>
    <w:p w14:paraId="2F83F75E" w14:textId="2DCBFF31" w:rsidR="23783DFD" w:rsidRDefault="0F8EFB49" w:rsidP="00F2659E">
      <w:pPr>
        <w:pStyle w:val="Lijstalinea"/>
        <w:numPr>
          <w:ilvl w:val="0"/>
          <w:numId w:val="5"/>
        </w:numPr>
        <w:rPr>
          <w:rFonts w:eastAsiaTheme="minorEastAsia"/>
        </w:rPr>
      </w:pPr>
      <w:r w:rsidRPr="0F8EFB49">
        <w:rPr>
          <w:rFonts w:eastAsiaTheme="minorEastAsia"/>
        </w:rPr>
        <w:t xml:space="preserve">Wordt het experimenteren op wat voor een manier dan ook beloond binnen PPO?  </w:t>
      </w:r>
    </w:p>
    <w:p w14:paraId="3EAC0DD8" w14:textId="256A03A0" w:rsidR="23783DFD" w:rsidRDefault="6A8431F6" w:rsidP="6A8431F6">
      <w:r w:rsidRPr="6A8431F6">
        <w:rPr>
          <w:rFonts w:eastAsiaTheme="minorEastAsia"/>
          <w:b/>
          <w:bCs/>
        </w:rPr>
        <w:t>Kennismanagement- en deling</w:t>
      </w:r>
    </w:p>
    <w:p w14:paraId="1D397DE9" w14:textId="74D7F771" w:rsidR="23783DFD" w:rsidRDefault="0F8EFB49" w:rsidP="00F2659E">
      <w:pPr>
        <w:pStyle w:val="Lijstalinea"/>
        <w:numPr>
          <w:ilvl w:val="0"/>
          <w:numId w:val="5"/>
        </w:numPr>
        <w:rPr>
          <w:rFonts w:eastAsiaTheme="minorEastAsia"/>
        </w:rPr>
      </w:pPr>
      <w:r w:rsidRPr="0F8EFB49">
        <w:rPr>
          <w:rFonts w:eastAsiaTheme="minorEastAsia"/>
        </w:rPr>
        <w:t xml:space="preserve"> Is er in jouw ogen een voldoende informeel netwerk binnen PPO, waarin collega's zonder al te veel barrières contact met elkaar kunnen opnemen? En hoe is dat in jouw ogen in relatie </w:t>
      </w:r>
      <w:r w:rsidR="00A23A05">
        <w:rPr>
          <w:rFonts w:eastAsiaTheme="minorEastAsia"/>
        </w:rPr>
        <w:t>tot</w:t>
      </w:r>
      <w:r w:rsidRPr="0F8EFB49">
        <w:rPr>
          <w:rFonts w:eastAsiaTheme="minorEastAsia"/>
        </w:rPr>
        <w:t xml:space="preserve"> PPO met andere organisatieonderdelen?  </w:t>
      </w:r>
    </w:p>
    <w:p w14:paraId="79F47652" w14:textId="2ECB2DB3" w:rsidR="23783DFD" w:rsidRDefault="0F8EFB49" w:rsidP="00F2659E">
      <w:pPr>
        <w:pStyle w:val="Lijstalinea"/>
        <w:numPr>
          <w:ilvl w:val="0"/>
          <w:numId w:val="5"/>
        </w:numPr>
        <w:rPr>
          <w:rFonts w:eastAsiaTheme="minorEastAsia"/>
        </w:rPr>
      </w:pPr>
      <w:r w:rsidRPr="0F8EFB49">
        <w:rPr>
          <w:rFonts w:eastAsiaTheme="minorEastAsia"/>
        </w:rPr>
        <w:t>Treffen collega's van PPO elkaar volgens jou in voldoende mate in (in)formele bijeenkomsten of in zogenoemde cross-functionele teams (</w:t>
      </w:r>
      <w:r w:rsidR="004467DA" w:rsidRPr="0F8EFB49">
        <w:rPr>
          <w:rFonts w:eastAsiaTheme="minorEastAsia"/>
        </w:rPr>
        <w:t>taakonderlinge</w:t>
      </w:r>
      <w:r w:rsidRPr="0F8EFB49">
        <w:rPr>
          <w:rFonts w:eastAsiaTheme="minorEastAsia"/>
        </w:rPr>
        <w:t xml:space="preserve"> afhankelijkheid)?  Zou een van deze twee dingen wellicht nog beter kunnen in jouw ogen? </w:t>
      </w:r>
    </w:p>
    <w:p w14:paraId="2C3F44F9" w14:textId="2E1DA527" w:rsidR="23783DFD" w:rsidRDefault="0F8EFB49" w:rsidP="00F2659E">
      <w:pPr>
        <w:pStyle w:val="Lijstalinea"/>
        <w:numPr>
          <w:ilvl w:val="0"/>
          <w:numId w:val="5"/>
        </w:numPr>
        <w:rPr>
          <w:rFonts w:eastAsiaTheme="minorEastAsia"/>
        </w:rPr>
      </w:pPr>
      <w:r w:rsidRPr="0F8EFB49">
        <w:rPr>
          <w:rFonts w:eastAsiaTheme="minorEastAsia"/>
        </w:rPr>
        <w:t xml:space="preserve">Wordt er in jouw ogen binnen PPO voldoende gebruik gemaakt van de expertise van collega's buiten de innovatietrajecten om op deze manier beter de risico's van de innovatie in kaart te brengen?  </w:t>
      </w:r>
    </w:p>
    <w:p w14:paraId="23D409FC" w14:textId="415B46DD" w:rsidR="23783DFD" w:rsidRDefault="6A8431F6" w:rsidP="6A8431F6">
      <w:pPr>
        <w:rPr>
          <w:rFonts w:eastAsiaTheme="minorEastAsia"/>
          <w:b/>
          <w:bCs/>
        </w:rPr>
      </w:pPr>
      <w:r w:rsidRPr="6A8431F6">
        <w:rPr>
          <w:rFonts w:eastAsiaTheme="minorEastAsia"/>
          <w:b/>
          <w:bCs/>
        </w:rPr>
        <w:t xml:space="preserve">Autonomie </w:t>
      </w:r>
    </w:p>
    <w:p w14:paraId="245B5FB4" w14:textId="14421AEF" w:rsidR="23783DFD" w:rsidRDefault="0F8EFB49" w:rsidP="00F2659E">
      <w:pPr>
        <w:pStyle w:val="Lijstalinea"/>
        <w:numPr>
          <w:ilvl w:val="0"/>
          <w:numId w:val="5"/>
        </w:numPr>
        <w:rPr>
          <w:rFonts w:eastAsiaTheme="minorEastAsia"/>
        </w:rPr>
      </w:pPr>
      <w:r w:rsidRPr="0F8EFB49">
        <w:rPr>
          <w:rFonts w:eastAsiaTheme="minorEastAsia"/>
        </w:rPr>
        <w:t xml:space="preserve">Kunnen werknemers in jouw ogen experimenteren in een regelluwe omgeving? Dit betreft een omgeving, waarin de normale regels, procedures en beperkingen tijdelijk worden geminimaliseerd?  </w:t>
      </w:r>
    </w:p>
    <w:p w14:paraId="014AEA63" w14:textId="16C722A2" w:rsidR="23783DFD" w:rsidRDefault="0F8EFB49" w:rsidP="00F2659E">
      <w:pPr>
        <w:pStyle w:val="Lijstalinea"/>
        <w:numPr>
          <w:ilvl w:val="0"/>
          <w:numId w:val="5"/>
        </w:numPr>
        <w:rPr>
          <w:rFonts w:eastAsiaTheme="minorEastAsia"/>
        </w:rPr>
      </w:pPr>
      <w:r w:rsidRPr="0F8EFB49">
        <w:rPr>
          <w:rFonts w:eastAsiaTheme="minorEastAsia"/>
        </w:rPr>
        <w:t>Indien niet: Hoe belemmert dit de creativiteit van werknemers? /Indien wel: Hoe stimuleert dit de creativiteit van werknemers?</w:t>
      </w:r>
    </w:p>
    <w:p w14:paraId="2B23317F" w14:textId="31234FA3" w:rsidR="23783DFD" w:rsidRDefault="0F8EFB49" w:rsidP="00F2659E">
      <w:pPr>
        <w:pStyle w:val="Lijstalinea"/>
        <w:numPr>
          <w:ilvl w:val="0"/>
          <w:numId w:val="5"/>
        </w:numPr>
        <w:rPr>
          <w:rFonts w:eastAsiaTheme="minorEastAsia"/>
        </w:rPr>
      </w:pPr>
      <w:r w:rsidRPr="0F8EFB49">
        <w:rPr>
          <w:rFonts w:eastAsiaTheme="minorEastAsia"/>
        </w:rPr>
        <w:t xml:space="preserve">Is er in jouw ogen regelmatig ook een te vergaande autonomie in innovaties, waardoor men innoveert zonder daarbij rekening te houden met wat de belangen zijn van de organisatie? Zo ja, hoe uit zich dat? Wat zijn de gevolgen?  </w:t>
      </w:r>
    </w:p>
    <w:p w14:paraId="22575808" w14:textId="190CB02C" w:rsidR="670F6F82" w:rsidRDefault="670F6F82" w:rsidP="670F6F82">
      <w:pPr>
        <w:rPr>
          <w:rFonts w:eastAsiaTheme="minorEastAsia"/>
        </w:rPr>
      </w:pPr>
      <w:r w:rsidRPr="670F6F82">
        <w:rPr>
          <w:rFonts w:eastAsiaTheme="minorEastAsia"/>
        </w:rPr>
        <w:t xml:space="preserve">Innovatiemanagement: </w:t>
      </w:r>
    </w:p>
    <w:p w14:paraId="4D6FCBBB" w14:textId="34FCEA94" w:rsidR="23783DFD" w:rsidRDefault="6A8431F6" w:rsidP="6A8431F6">
      <w:pPr>
        <w:rPr>
          <w:rFonts w:eastAsiaTheme="minorEastAsia"/>
        </w:rPr>
      </w:pPr>
      <w:r w:rsidRPr="6A8431F6">
        <w:rPr>
          <w:rFonts w:eastAsiaTheme="minorEastAsia"/>
          <w:b/>
          <w:bCs/>
        </w:rPr>
        <w:t xml:space="preserve">Innovatiebeleid </w:t>
      </w:r>
      <w:r w:rsidRPr="6A8431F6">
        <w:rPr>
          <w:rFonts w:eastAsiaTheme="minorEastAsia"/>
        </w:rPr>
        <w:t xml:space="preserve"> </w:t>
      </w:r>
    </w:p>
    <w:p w14:paraId="2B480296" w14:textId="60F59EA5" w:rsidR="23783DFD" w:rsidRDefault="0F8EFB49" w:rsidP="00F2659E">
      <w:pPr>
        <w:pStyle w:val="Lijstalinea"/>
        <w:numPr>
          <w:ilvl w:val="0"/>
          <w:numId w:val="5"/>
        </w:numPr>
        <w:rPr>
          <w:rFonts w:eastAsiaTheme="minorEastAsia"/>
        </w:rPr>
      </w:pPr>
      <w:r w:rsidRPr="0F8EFB49">
        <w:rPr>
          <w:rFonts w:eastAsiaTheme="minorEastAsia"/>
        </w:rPr>
        <w:t xml:space="preserve">Straalt het topmanagement volgens jou voldoende uit dat er de ruimte is om risico's te nemen bij experimenten om op die manier beter om te kunnen gaan met de toekomstige complexe opgaven?  </w:t>
      </w:r>
    </w:p>
    <w:p w14:paraId="209E1A78" w14:textId="41DAE66D" w:rsidR="23783DFD" w:rsidRDefault="0F8EFB49" w:rsidP="00F2659E">
      <w:pPr>
        <w:pStyle w:val="Lijstalinea"/>
        <w:numPr>
          <w:ilvl w:val="0"/>
          <w:numId w:val="5"/>
        </w:numPr>
        <w:rPr>
          <w:rFonts w:eastAsiaTheme="minorEastAsia"/>
        </w:rPr>
      </w:pPr>
      <w:r w:rsidRPr="0F8EFB49">
        <w:rPr>
          <w:rFonts w:eastAsiaTheme="minorEastAsia"/>
        </w:rPr>
        <w:t xml:space="preserve">Indien een leidinggevende rol: in hoeverre voel jij je door het management gesteund om deze gedachtegang van risico's nemen uit te dragen?  </w:t>
      </w:r>
    </w:p>
    <w:p w14:paraId="6B637068" w14:textId="77F4944E" w:rsidR="23783DFD" w:rsidRDefault="0F8EFB49" w:rsidP="00F2659E">
      <w:pPr>
        <w:pStyle w:val="Lijstalinea"/>
        <w:numPr>
          <w:ilvl w:val="0"/>
          <w:numId w:val="5"/>
        </w:numPr>
        <w:rPr>
          <w:rFonts w:eastAsiaTheme="minorEastAsia"/>
        </w:rPr>
      </w:pPr>
      <w:r w:rsidRPr="0F8EFB49">
        <w:rPr>
          <w:rFonts w:eastAsiaTheme="minorEastAsia"/>
        </w:rPr>
        <w:t xml:space="preserve">Heeft RWS een duidelijke innovatiestrategie met daarin de doelstellingen voor innovatie en met welke middelen en binnen welke tijdspanne deze doelstellingen bereikt moeten zijn? Wordt er daarin voldoende de input vanuit de mensen in de organisatie meegenomen in jouw ogen? Geeft deze innovatiestrategie jou voldoende duidelijkheid welke keuzes jij kan maken wat betreft innovaties t.a.v. deze opgenomen doelen? </w:t>
      </w:r>
    </w:p>
    <w:p w14:paraId="02C3709B" w14:textId="711451C2" w:rsidR="23783DFD" w:rsidRDefault="0F8EFB49" w:rsidP="00F2659E">
      <w:pPr>
        <w:pStyle w:val="Lijstalinea"/>
        <w:numPr>
          <w:ilvl w:val="0"/>
          <w:numId w:val="5"/>
        </w:numPr>
      </w:pPr>
      <w:r>
        <w:t xml:space="preserve">Worden innovatieprojecten met een gelijksoortig thema binnen RWS verzameld, beoordeeld en geselecteerd in een zogenoemd portfolio? Indien dit niet of te weinig gebeurt: Op welke manier zou dit een aanwinst zijn voor RWS met het oog op het maken van betere keuzes welke innovaties publieke waarde toevoegen?  </w:t>
      </w:r>
    </w:p>
    <w:p w14:paraId="0200582D" w14:textId="6CC2B6B9" w:rsidR="23783DFD" w:rsidRDefault="6A8431F6" w:rsidP="6A8431F6">
      <w:pPr>
        <w:rPr>
          <w:b/>
          <w:bCs/>
        </w:rPr>
      </w:pPr>
      <w:r w:rsidRPr="6A8431F6">
        <w:rPr>
          <w:b/>
          <w:bCs/>
        </w:rPr>
        <w:t>Leiderschap</w:t>
      </w:r>
    </w:p>
    <w:p w14:paraId="244C1727" w14:textId="123BC2B8" w:rsidR="23783DFD" w:rsidRDefault="0F8EFB49" w:rsidP="00F2659E">
      <w:pPr>
        <w:pStyle w:val="Lijstalinea"/>
        <w:numPr>
          <w:ilvl w:val="0"/>
          <w:numId w:val="5"/>
        </w:numPr>
      </w:pPr>
      <w:r>
        <w:t xml:space="preserve">Wordt er in jouw ogen voldoende sturing gegeven aan het implementatie- en opschalingsproces van innovaties? Zo niet, hoe zou die sturing er dan uit moeten zien? Vergaande sturing in de vorm van beloningen en straffen of meer in de vorm van regelmatige controles/er dichter op zitten?  </w:t>
      </w:r>
    </w:p>
    <w:p w14:paraId="5773BC6E" w14:textId="15CDC913" w:rsidR="23783DFD" w:rsidRDefault="6A8431F6" w:rsidP="6A8431F6">
      <w:pPr>
        <w:rPr>
          <w:b/>
          <w:bCs/>
        </w:rPr>
      </w:pPr>
      <w:r w:rsidRPr="6A8431F6">
        <w:rPr>
          <w:b/>
          <w:bCs/>
        </w:rPr>
        <w:t>Eigenaarschap</w:t>
      </w:r>
    </w:p>
    <w:p w14:paraId="5DD01CB4" w14:textId="77FA2989" w:rsidR="23783DFD" w:rsidRDefault="0F8EFB49" w:rsidP="00F2659E">
      <w:pPr>
        <w:pStyle w:val="Lijstalinea"/>
        <w:numPr>
          <w:ilvl w:val="0"/>
          <w:numId w:val="5"/>
        </w:numPr>
      </w:pPr>
      <w:r>
        <w:t xml:space="preserve">Is er in jouw ogen voldoende sprake van echte betrokkenheid (psychologisch eigenaarschap) van werknemers bij het doel van succesvolle innovaties? Is het bij werknemers doordrongen dat iedereen daaraan moet bijdragen?  </w:t>
      </w:r>
    </w:p>
    <w:p w14:paraId="2927CC8E" w14:textId="53D634F2" w:rsidR="23783DFD" w:rsidRDefault="0F8EFB49" w:rsidP="00F2659E">
      <w:pPr>
        <w:pStyle w:val="Lijstalinea"/>
        <w:numPr>
          <w:ilvl w:val="0"/>
          <w:numId w:val="5"/>
        </w:numPr>
      </w:pPr>
      <w:r>
        <w:t xml:space="preserve">Wordt er in innovatietrajecten een of meerdere personen aangewezen die verantwoordelijk zijn en een ambassadeursrol hebben voor de implementatie- en opschaling van innovaties?   </w:t>
      </w:r>
    </w:p>
    <w:p w14:paraId="3B7D0E02" w14:textId="68A5E36D" w:rsidR="23783DFD" w:rsidRDefault="23783DFD" w:rsidP="6A8431F6">
      <w:pPr>
        <w:rPr>
          <w:rFonts w:eastAsiaTheme="minorEastAsia"/>
          <w:b/>
          <w:bCs/>
        </w:rPr>
      </w:pPr>
    </w:p>
    <w:sectPr w:rsidR="23783DFD">
      <w:footerReference w:type="default" r:id="rId6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B26525" w14:textId="77777777" w:rsidR="00F705B7" w:rsidRDefault="00F705B7" w:rsidP="008D31B8">
      <w:pPr>
        <w:spacing w:after="0" w:line="240" w:lineRule="auto"/>
      </w:pPr>
      <w:r>
        <w:separator/>
      </w:r>
    </w:p>
  </w:endnote>
  <w:endnote w:type="continuationSeparator" w:id="0">
    <w:p w14:paraId="414AB4AC" w14:textId="77777777" w:rsidR="00F705B7" w:rsidRDefault="00F705B7" w:rsidP="008D31B8">
      <w:pPr>
        <w:spacing w:after="0" w:line="240" w:lineRule="auto"/>
      </w:pPr>
      <w:r>
        <w:continuationSeparator/>
      </w:r>
    </w:p>
  </w:endnote>
  <w:endnote w:type="continuationNotice" w:id="1">
    <w:p w14:paraId="69A65EBF" w14:textId="77777777" w:rsidR="00F705B7" w:rsidRDefault="00F705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5051E1" w14:textId="52C3323A" w:rsidR="000A75BB" w:rsidRDefault="000A75BB">
    <w:pPr>
      <w:pStyle w:val="Voettekst"/>
      <w:jc w:val="right"/>
    </w:pPr>
  </w:p>
  <w:p w14:paraId="6F12737E" w14:textId="77777777" w:rsidR="000A75BB" w:rsidRDefault="000A75BB">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69869861"/>
      <w:docPartObj>
        <w:docPartGallery w:val="Page Numbers (Bottom of Page)"/>
        <w:docPartUnique/>
      </w:docPartObj>
    </w:sdtPr>
    <w:sdtEndPr/>
    <w:sdtContent>
      <w:p w14:paraId="01CB89AC" w14:textId="77777777" w:rsidR="000A75BB" w:rsidRDefault="000A75BB">
        <w:pPr>
          <w:pStyle w:val="Voettekst"/>
          <w:jc w:val="right"/>
        </w:pPr>
        <w:r>
          <w:fldChar w:fldCharType="begin"/>
        </w:r>
        <w:r>
          <w:instrText>PAGE   \* MERGEFORMAT</w:instrText>
        </w:r>
        <w:r>
          <w:fldChar w:fldCharType="separate"/>
        </w:r>
        <w:r>
          <w:t>2</w:t>
        </w:r>
        <w:r>
          <w:fldChar w:fldCharType="end"/>
        </w:r>
      </w:p>
    </w:sdtContent>
  </w:sdt>
  <w:p w14:paraId="786D372A" w14:textId="77777777" w:rsidR="000A75BB" w:rsidRDefault="000A75BB">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B64EC7" w14:textId="77777777" w:rsidR="00F705B7" w:rsidRDefault="00F705B7" w:rsidP="008D31B8">
      <w:pPr>
        <w:spacing w:after="0" w:line="240" w:lineRule="auto"/>
      </w:pPr>
      <w:r>
        <w:separator/>
      </w:r>
    </w:p>
  </w:footnote>
  <w:footnote w:type="continuationSeparator" w:id="0">
    <w:p w14:paraId="53E99E01" w14:textId="77777777" w:rsidR="00F705B7" w:rsidRDefault="00F705B7" w:rsidP="008D31B8">
      <w:pPr>
        <w:spacing w:after="0" w:line="240" w:lineRule="auto"/>
      </w:pPr>
      <w:r>
        <w:continuationSeparator/>
      </w:r>
    </w:p>
  </w:footnote>
  <w:footnote w:type="continuationNotice" w:id="1">
    <w:p w14:paraId="1A930E0F" w14:textId="77777777" w:rsidR="00F705B7" w:rsidRDefault="00F705B7">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A2EPtgpU+mIDDY" int2:id="1tgfxqEv">
      <int2:state int2:value="Rejected" int2:type="AugLoop_Text_Critique"/>
    </int2:textHash>
    <int2:textHash int2:hashCode="12SQzn9tAMRsO/" int2:id="ILoCW72q">
      <int2:state int2:value="Rejected" int2:type="AugLoop_Text_Critique"/>
    </int2:textHash>
    <int2:textHash int2:hashCode="ErBeTwl4Hg9ncs" int2:id="sLiGD0Oz">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E333AC"/>
    <w:multiLevelType w:val="hybridMultilevel"/>
    <w:tmpl w:val="1C6CA8DA"/>
    <w:lvl w:ilvl="0" w:tplc="04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BA67FF2"/>
    <w:multiLevelType w:val="hybridMultilevel"/>
    <w:tmpl w:val="1E90F97C"/>
    <w:lvl w:ilvl="0" w:tplc="349CB700">
      <w:start w:val="5"/>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2A426468"/>
    <w:multiLevelType w:val="hybridMultilevel"/>
    <w:tmpl w:val="8E72326A"/>
    <w:lvl w:ilvl="0" w:tplc="9AAE8432">
      <w:start w:val="1"/>
      <w:numFmt w:val="decimal"/>
      <w:lvlText w:val="%1."/>
      <w:lvlJc w:val="left"/>
      <w:pPr>
        <w:ind w:left="720" w:hanging="360"/>
      </w:pPr>
    </w:lvl>
    <w:lvl w:ilvl="1" w:tplc="17BC0D90">
      <w:start w:val="1"/>
      <w:numFmt w:val="lowerLetter"/>
      <w:lvlText w:val="%2."/>
      <w:lvlJc w:val="left"/>
      <w:pPr>
        <w:ind w:left="1440" w:hanging="360"/>
      </w:pPr>
    </w:lvl>
    <w:lvl w:ilvl="2" w:tplc="B7D4E8DC">
      <w:start w:val="1"/>
      <w:numFmt w:val="lowerRoman"/>
      <w:lvlText w:val="%3."/>
      <w:lvlJc w:val="right"/>
      <w:pPr>
        <w:ind w:left="2160" w:hanging="180"/>
      </w:pPr>
    </w:lvl>
    <w:lvl w:ilvl="3" w:tplc="E5907ACC">
      <w:start w:val="1"/>
      <w:numFmt w:val="decimal"/>
      <w:lvlText w:val="%4."/>
      <w:lvlJc w:val="left"/>
      <w:pPr>
        <w:ind w:left="2880" w:hanging="360"/>
      </w:pPr>
    </w:lvl>
    <w:lvl w:ilvl="4" w:tplc="4740F7F4">
      <w:start w:val="1"/>
      <w:numFmt w:val="lowerLetter"/>
      <w:lvlText w:val="%5."/>
      <w:lvlJc w:val="left"/>
      <w:pPr>
        <w:ind w:left="3600" w:hanging="360"/>
      </w:pPr>
    </w:lvl>
    <w:lvl w:ilvl="5" w:tplc="FC6A3C02">
      <w:start w:val="1"/>
      <w:numFmt w:val="lowerRoman"/>
      <w:lvlText w:val="%6."/>
      <w:lvlJc w:val="right"/>
      <w:pPr>
        <w:ind w:left="4320" w:hanging="180"/>
      </w:pPr>
    </w:lvl>
    <w:lvl w:ilvl="6" w:tplc="92401370">
      <w:start w:val="1"/>
      <w:numFmt w:val="decimal"/>
      <w:lvlText w:val="%7."/>
      <w:lvlJc w:val="left"/>
      <w:pPr>
        <w:ind w:left="5040" w:hanging="360"/>
      </w:pPr>
    </w:lvl>
    <w:lvl w:ilvl="7" w:tplc="F2F2DBD4">
      <w:start w:val="1"/>
      <w:numFmt w:val="lowerLetter"/>
      <w:lvlText w:val="%8."/>
      <w:lvlJc w:val="left"/>
      <w:pPr>
        <w:ind w:left="5760" w:hanging="360"/>
      </w:pPr>
    </w:lvl>
    <w:lvl w:ilvl="8" w:tplc="F106FA8A">
      <w:start w:val="1"/>
      <w:numFmt w:val="lowerRoman"/>
      <w:lvlText w:val="%9."/>
      <w:lvlJc w:val="right"/>
      <w:pPr>
        <w:ind w:left="6480" w:hanging="180"/>
      </w:pPr>
    </w:lvl>
  </w:abstractNum>
  <w:abstractNum w:abstractNumId="3" w15:restartNumberingAfterBreak="0">
    <w:nsid w:val="311307DF"/>
    <w:multiLevelType w:val="hybridMultilevel"/>
    <w:tmpl w:val="5316CAE4"/>
    <w:lvl w:ilvl="0" w:tplc="4816CD82">
      <w:start w:val="1"/>
      <w:numFmt w:val="bullet"/>
      <w:lvlText w:val=""/>
      <w:lvlJc w:val="left"/>
      <w:pPr>
        <w:ind w:left="720" w:hanging="360"/>
      </w:pPr>
      <w:rPr>
        <w:rFonts w:ascii="Wingdings" w:hAnsi="Wingdings" w:hint="default"/>
      </w:rPr>
    </w:lvl>
    <w:lvl w:ilvl="1" w:tplc="7CF2D7E8">
      <w:start w:val="1"/>
      <w:numFmt w:val="bullet"/>
      <w:lvlText w:val="o"/>
      <w:lvlJc w:val="left"/>
      <w:pPr>
        <w:ind w:left="1440" w:hanging="360"/>
      </w:pPr>
      <w:rPr>
        <w:rFonts w:ascii="Courier New" w:hAnsi="Courier New" w:hint="default"/>
      </w:rPr>
    </w:lvl>
    <w:lvl w:ilvl="2" w:tplc="74E84AF6">
      <w:start w:val="1"/>
      <w:numFmt w:val="bullet"/>
      <w:lvlText w:val=""/>
      <w:lvlJc w:val="left"/>
      <w:pPr>
        <w:ind w:left="2160" w:hanging="360"/>
      </w:pPr>
      <w:rPr>
        <w:rFonts w:ascii="Wingdings" w:hAnsi="Wingdings" w:hint="default"/>
      </w:rPr>
    </w:lvl>
    <w:lvl w:ilvl="3" w:tplc="1B20093A">
      <w:start w:val="1"/>
      <w:numFmt w:val="bullet"/>
      <w:lvlText w:val=""/>
      <w:lvlJc w:val="left"/>
      <w:pPr>
        <w:ind w:left="2880" w:hanging="360"/>
      </w:pPr>
      <w:rPr>
        <w:rFonts w:ascii="Symbol" w:hAnsi="Symbol" w:hint="default"/>
      </w:rPr>
    </w:lvl>
    <w:lvl w:ilvl="4" w:tplc="392A904C">
      <w:start w:val="1"/>
      <w:numFmt w:val="bullet"/>
      <w:lvlText w:val="o"/>
      <w:lvlJc w:val="left"/>
      <w:pPr>
        <w:ind w:left="3600" w:hanging="360"/>
      </w:pPr>
      <w:rPr>
        <w:rFonts w:ascii="Courier New" w:hAnsi="Courier New" w:hint="default"/>
      </w:rPr>
    </w:lvl>
    <w:lvl w:ilvl="5" w:tplc="40BCEEE2">
      <w:start w:val="1"/>
      <w:numFmt w:val="bullet"/>
      <w:lvlText w:val=""/>
      <w:lvlJc w:val="left"/>
      <w:pPr>
        <w:ind w:left="4320" w:hanging="360"/>
      </w:pPr>
      <w:rPr>
        <w:rFonts w:ascii="Wingdings" w:hAnsi="Wingdings" w:hint="default"/>
      </w:rPr>
    </w:lvl>
    <w:lvl w:ilvl="6" w:tplc="093246E4">
      <w:start w:val="1"/>
      <w:numFmt w:val="bullet"/>
      <w:lvlText w:val=""/>
      <w:lvlJc w:val="left"/>
      <w:pPr>
        <w:ind w:left="5040" w:hanging="360"/>
      </w:pPr>
      <w:rPr>
        <w:rFonts w:ascii="Symbol" w:hAnsi="Symbol" w:hint="default"/>
      </w:rPr>
    </w:lvl>
    <w:lvl w:ilvl="7" w:tplc="2A0C7078">
      <w:start w:val="1"/>
      <w:numFmt w:val="bullet"/>
      <w:lvlText w:val="o"/>
      <w:lvlJc w:val="left"/>
      <w:pPr>
        <w:ind w:left="5760" w:hanging="360"/>
      </w:pPr>
      <w:rPr>
        <w:rFonts w:ascii="Courier New" w:hAnsi="Courier New" w:hint="default"/>
      </w:rPr>
    </w:lvl>
    <w:lvl w:ilvl="8" w:tplc="0554C63E">
      <w:start w:val="1"/>
      <w:numFmt w:val="bullet"/>
      <w:lvlText w:val=""/>
      <w:lvlJc w:val="left"/>
      <w:pPr>
        <w:ind w:left="6480" w:hanging="360"/>
      </w:pPr>
      <w:rPr>
        <w:rFonts w:ascii="Wingdings" w:hAnsi="Wingdings" w:hint="default"/>
      </w:rPr>
    </w:lvl>
  </w:abstractNum>
  <w:abstractNum w:abstractNumId="4" w15:restartNumberingAfterBreak="0">
    <w:nsid w:val="35ED82E5"/>
    <w:multiLevelType w:val="hybridMultilevel"/>
    <w:tmpl w:val="26D8B084"/>
    <w:lvl w:ilvl="0" w:tplc="6CD6EDBE">
      <w:start w:val="1"/>
      <w:numFmt w:val="bullet"/>
      <w:lvlText w:val=""/>
      <w:lvlJc w:val="left"/>
      <w:pPr>
        <w:ind w:left="720" w:hanging="360"/>
      </w:pPr>
      <w:rPr>
        <w:rFonts w:ascii="Wingdings" w:hAnsi="Wingdings" w:hint="default"/>
      </w:rPr>
    </w:lvl>
    <w:lvl w:ilvl="1" w:tplc="50903E4E">
      <w:start w:val="1"/>
      <w:numFmt w:val="bullet"/>
      <w:lvlText w:val="o"/>
      <w:lvlJc w:val="left"/>
      <w:pPr>
        <w:ind w:left="1440" w:hanging="360"/>
      </w:pPr>
      <w:rPr>
        <w:rFonts w:ascii="Courier New" w:hAnsi="Courier New" w:hint="default"/>
      </w:rPr>
    </w:lvl>
    <w:lvl w:ilvl="2" w:tplc="860CE6F8">
      <w:start w:val="1"/>
      <w:numFmt w:val="bullet"/>
      <w:lvlText w:val=""/>
      <w:lvlJc w:val="left"/>
      <w:pPr>
        <w:ind w:left="2160" w:hanging="360"/>
      </w:pPr>
      <w:rPr>
        <w:rFonts w:ascii="Wingdings" w:hAnsi="Wingdings" w:hint="default"/>
      </w:rPr>
    </w:lvl>
    <w:lvl w:ilvl="3" w:tplc="5D5ABC76">
      <w:start w:val="1"/>
      <w:numFmt w:val="bullet"/>
      <w:lvlText w:val=""/>
      <w:lvlJc w:val="left"/>
      <w:pPr>
        <w:ind w:left="2880" w:hanging="360"/>
      </w:pPr>
      <w:rPr>
        <w:rFonts w:ascii="Symbol" w:hAnsi="Symbol" w:hint="default"/>
      </w:rPr>
    </w:lvl>
    <w:lvl w:ilvl="4" w:tplc="966AD17C">
      <w:start w:val="1"/>
      <w:numFmt w:val="bullet"/>
      <w:lvlText w:val="o"/>
      <w:lvlJc w:val="left"/>
      <w:pPr>
        <w:ind w:left="3600" w:hanging="360"/>
      </w:pPr>
      <w:rPr>
        <w:rFonts w:ascii="Courier New" w:hAnsi="Courier New" w:hint="default"/>
      </w:rPr>
    </w:lvl>
    <w:lvl w:ilvl="5" w:tplc="20CED438">
      <w:start w:val="1"/>
      <w:numFmt w:val="bullet"/>
      <w:lvlText w:val=""/>
      <w:lvlJc w:val="left"/>
      <w:pPr>
        <w:ind w:left="4320" w:hanging="360"/>
      </w:pPr>
      <w:rPr>
        <w:rFonts w:ascii="Wingdings" w:hAnsi="Wingdings" w:hint="default"/>
      </w:rPr>
    </w:lvl>
    <w:lvl w:ilvl="6" w:tplc="061481C4">
      <w:start w:val="1"/>
      <w:numFmt w:val="bullet"/>
      <w:lvlText w:val=""/>
      <w:lvlJc w:val="left"/>
      <w:pPr>
        <w:ind w:left="5040" w:hanging="360"/>
      </w:pPr>
      <w:rPr>
        <w:rFonts w:ascii="Symbol" w:hAnsi="Symbol" w:hint="default"/>
      </w:rPr>
    </w:lvl>
    <w:lvl w:ilvl="7" w:tplc="D05CFADC">
      <w:start w:val="1"/>
      <w:numFmt w:val="bullet"/>
      <w:lvlText w:val="o"/>
      <w:lvlJc w:val="left"/>
      <w:pPr>
        <w:ind w:left="5760" w:hanging="360"/>
      </w:pPr>
      <w:rPr>
        <w:rFonts w:ascii="Courier New" w:hAnsi="Courier New" w:hint="default"/>
      </w:rPr>
    </w:lvl>
    <w:lvl w:ilvl="8" w:tplc="6BD8B5C0">
      <w:start w:val="1"/>
      <w:numFmt w:val="bullet"/>
      <w:lvlText w:val=""/>
      <w:lvlJc w:val="left"/>
      <w:pPr>
        <w:ind w:left="6480" w:hanging="360"/>
      </w:pPr>
      <w:rPr>
        <w:rFonts w:ascii="Wingdings" w:hAnsi="Wingdings" w:hint="default"/>
      </w:rPr>
    </w:lvl>
  </w:abstractNum>
  <w:abstractNum w:abstractNumId="5" w15:restartNumberingAfterBreak="0">
    <w:nsid w:val="408C4DE9"/>
    <w:multiLevelType w:val="hybridMultilevel"/>
    <w:tmpl w:val="FFFFFFFF"/>
    <w:lvl w:ilvl="0" w:tplc="16D6697E">
      <w:start w:val="1"/>
      <w:numFmt w:val="bullet"/>
      <w:lvlText w:val=""/>
      <w:lvlJc w:val="left"/>
      <w:pPr>
        <w:ind w:left="720" w:hanging="360"/>
      </w:pPr>
      <w:rPr>
        <w:rFonts w:ascii="Wingdings" w:hAnsi="Wingdings" w:hint="default"/>
      </w:rPr>
    </w:lvl>
    <w:lvl w:ilvl="1" w:tplc="993C413A">
      <w:start w:val="1"/>
      <w:numFmt w:val="bullet"/>
      <w:lvlText w:val="o"/>
      <w:lvlJc w:val="left"/>
      <w:pPr>
        <w:ind w:left="1440" w:hanging="360"/>
      </w:pPr>
      <w:rPr>
        <w:rFonts w:ascii="Courier New" w:hAnsi="Courier New" w:hint="default"/>
      </w:rPr>
    </w:lvl>
    <w:lvl w:ilvl="2" w:tplc="AF76E03A">
      <w:start w:val="1"/>
      <w:numFmt w:val="bullet"/>
      <w:lvlText w:val=""/>
      <w:lvlJc w:val="left"/>
      <w:pPr>
        <w:ind w:left="2160" w:hanging="360"/>
      </w:pPr>
      <w:rPr>
        <w:rFonts w:ascii="Wingdings" w:hAnsi="Wingdings" w:hint="default"/>
      </w:rPr>
    </w:lvl>
    <w:lvl w:ilvl="3" w:tplc="C5EEEC98">
      <w:start w:val="1"/>
      <w:numFmt w:val="bullet"/>
      <w:lvlText w:val=""/>
      <w:lvlJc w:val="left"/>
      <w:pPr>
        <w:ind w:left="2880" w:hanging="360"/>
      </w:pPr>
      <w:rPr>
        <w:rFonts w:ascii="Symbol" w:hAnsi="Symbol" w:hint="default"/>
      </w:rPr>
    </w:lvl>
    <w:lvl w:ilvl="4" w:tplc="2842F9C2">
      <w:start w:val="1"/>
      <w:numFmt w:val="bullet"/>
      <w:lvlText w:val="o"/>
      <w:lvlJc w:val="left"/>
      <w:pPr>
        <w:ind w:left="3600" w:hanging="360"/>
      </w:pPr>
      <w:rPr>
        <w:rFonts w:ascii="Courier New" w:hAnsi="Courier New" w:hint="default"/>
      </w:rPr>
    </w:lvl>
    <w:lvl w:ilvl="5" w:tplc="147640FA">
      <w:start w:val="1"/>
      <w:numFmt w:val="bullet"/>
      <w:lvlText w:val=""/>
      <w:lvlJc w:val="left"/>
      <w:pPr>
        <w:ind w:left="4320" w:hanging="360"/>
      </w:pPr>
      <w:rPr>
        <w:rFonts w:ascii="Wingdings" w:hAnsi="Wingdings" w:hint="default"/>
      </w:rPr>
    </w:lvl>
    <w:lvl w:ilvl="6" w:tplc="0BF2C074">
      <w:start w:val="1"/>
      <w:numFmt w:val="bullet"/>
      <w:lvlText w:val=""/>
      <w:lvlJc w:val="left"/>
      <w:pPr>
        <w:ind w:left="5040" w:hanging="360"/>
      </w:pPr>
      <w:rPr>
        <w:rFonts w:ascii="Symbol" w:hAnsi="Symbol" w:hint="default"/>
      </w:rPr>
    </w:lvl>
    <w:lvl w:ilvl="7" w:tplc="DAEABFD8">
      <w:start w:val="1"/>
      <w:numFmt w:val="bullet"/>
      <w:lvlText w:val="o"/>
      <w:lvlJc w:val="left"/>
      <w:pPr>
        <w:ind w:left="5760" w:hanging="360"/>
      </w:pPr>
      <w:rPr>
        <w:rFonts w:ascii="Courier New" w:hAnsi="Courier New" w:hint="default"/>
      </w:rPr>
    </w:lvl>
    <w:lvl w:ilvl="8" w:tplc="62E42426">
      <w:start w:val="1"/>
      <w:numFmt w:val="bullet"/>
      <w:lvlText w:val=""/>
      <w:lvlJc w:val="left"/>
      <w:pPr>
        <w:ind w:left="6480" w:hanging="360"/>
      </w:pPr>
      <w:rPr>
        <w:rFonts w:ascii="Wingdings" w:hAnsi="Wingdings" w:hint="default"/>
      </w:rPr>
    </w:lvl>
  </w:abstractNum>
  <w:abstractNum w:abstractNumId="6" w15:restartNumberingAfterBreak="0">
    <w:nsid w:val="437238B5"/>
    <w:multiLevelType w:val="hybridMultilevel"/>
    <w:tmpl w:val="6E16C1C6"/>
    <w:lvl w:ilvl="0" w:tplc="3130866C">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5788ED86"/>
    <w:multiLevelType w:val="hybridMultilevel"/>
    <w:tmpl w:val="EC74C43E"/>
    <w:lvl w:ilvl="0" w:tplc="3130866C">
      <w:start w:val="1"/>
      <w:numFmt w:val="bullet"/>
      <w:lvlText w:val=""/>
      <w:lvlJc w:val="left"/>
      <w:pPr>
        <w:ind w:left="720" w:hanging="360"/>
      </w:pPr>
      <w:rPr>
        <w:rFonts w:ascii="Wingdings" w:hAnsi="Wingdings" w:hint="default"/>
      </w:rPr>
    </w:lvl>
    <w:lvl w:ilvl="1" w:tplc="86841E5A">
      <w:start w:val="1"/>
      <w:numFmt w:val="bullet"/>
      <w:lvlText w:val="o"/>
      <w:lvlJc w:val="left"/>
      <w:pPr>
        <w:ind w:left="1440" w:hanging="360"/>
      </w:pPr>
      <w:rPr>
        <w:rFonts w:ascii="Courier New" w:hAnsi="Courier New" w:hint="default"/>
      </w:rPr>
    </w:lvl>
    <w:lvl w:ilvl="2" w:tplc="BAC22092">
      <w:start w:val="1"/>
      <w:numFmt w:val="bullet"/>
      <w:lvlText w:val=""/>
      <w:lvlJc w:val="left"/>
      <w:pPr>
        <w:ind w:left="2160" w:hanging="360"/>
      </w:pPr>
      <w:rPr>
        <w:rFonts w:ascii="Wingdings" w:hAnsi="Wingdings" w:hint="default"/>
      </w:rPr>
    </w:lvl>
    <w:lvl w:ilvl="3" w:tplc="E7FA06F2">
      <w:start w:val="1"/>
      <w:numFmt w:val="bullet"/>
      <w:lvlText w:val=""/>
      <w:lvlJc w:val="left"/>
      <w:pPr>
        <w:ind w:left="2880" w:hanging="360"/>
      </w:pPr>
      <w:rPr>
        <w:rFonts w:ascii="Symbol" w:hAnsi="Symbol" w:hint="default"/>
      </w:rPr>
    </w:lvl>
    <w:lvl w:ilvl="4" w:tplc="B4F230AE">
      <w:start w:val="1"/>
      <w:numFmt w:val="bullet"/>
      <w:lvlText w:val="o"/>
      <w:lvlJc w:val="left"/>
      <w:pPr>
        <w:ind w:left="3600" w:hanging="360"/>
      </w:pPr>
      <w:rPr>
        <w:rFonts w:ascii="Courier New" w:hAnsi="Courier New" w:hint="default"/>
      </w:rPr>
    </w:lvl>
    <w:lvl w:ilvl="5" w:tplc="CB087B12">
      <w:start w:val="1"/>
      <w:numFmt w:val="bullet"/>
      <w:lvlText w:val=""/>
      <w:lvlJc w:val="left"/>
      <w:pPr>
        <w:ind w:left="4320" w:hanging="360"/>
      </w:pPr>
      <w:rPr>
        <w:rFonts w:ascii="Wingdings" w:hAnsi="Wingdings" w:hint="default"/>
      </w:rPr>
    </w:lvl>
    <w:lvl w:ilvl="6" w:tplc="DF822E38">
      <w:start w:val="1"/>
      <w:numFmt w:val="bullet"/>
      <w:lvlText w:val=""/>
      <w:lvlJc w:val="left"/>
      <w:pPr>
        <w:ind w:left="5040" w:hanging="360"/>
      </w:pPr>
      <w:rPr>
        <w:rFonts w:ascii="Symbol" w:hAnsi="Symbol" w:hint="default"/>
      </w:rPr>
    </w:lvl>
    <w:lvl w:ilvl="7" w:tplc="988CC038">
      <w:start w:val="1"/>
      <w:numFmt w:val="bullet"/>
      <w:lvlText w:val="o"/>
      <w:lvlJc w:val="left"/>
      <w:pPr>
        <w:ind w:left="5760" w:hanging="360"/>
      </w:pPr>
      <w:rPr>
        <w:rFonts w:ascii="Courier New" w:hAnsi="Courier New" w:hint="default"/>
      </w:rPr>
    </w:lvl>
    <w:lvl w:ilvl="8" w:tplc="C8D891EC">
      <w:start w:val="1"/>
      <w:numFmt w:val="bullet"/>
      <w:lvlText w:val=""/>
      <w:lvlJc w:val="left"/>
      <w:pPr>
        <w:ind w:left="6480" w:hanging="360"/>
      </w:pPr>
      <w:rPr>
        <w:rFonts w:ascii="Wingdings" w:hAnsi="Wingdings" w:hint="default"/>
      </w:rPr>
    </w:lvl>
  </w:abstractNum>
  <w:abstractNum w:abstractNumId="8" w15:restartNumberingAfterBreak="0">
    <w:nsid w:val="5D65C653"/>
    <w:multiLevelType w:val="hybridMultilevel"/>
    <w:tmpl w:val="54747FBC"/>
    <w:lvl w:ilvl="0" w:tplc="E7CC3776">
      <w:start w:val="1"/>
      <w:numFmt w:val="bullet"/>
      <w:lvlText w:val=""/>
      <w:lvlJc w:val="left"/>
      <w:pPr>
        <w:ind w:left="720" w:hanging="360"/>
      </w:pPr>
      <w:rPr>
        <w:rFonts w:ascii="Wingdings" w:hAnsi="Wingdings" w:hint="default"/>
      </w:rPr>
    </w:lvl>
    <w:lvl w:ilvl="1" w:tplc="17BA8A66">
      <w:start w:val="1"/>
      <w:numFmt w:val="bullet"/>
      <w:lvlText w:val="o"/>
      <w:lvlJc w:val="left"/>
      <w:pPr>
        <w:ind w:left="1440" w:hanging="360"/>
      </w:pPr>
      <w:rPr>
        <w:rFonts w:ascii="Courier New" w:hAnsi="Courier New" w:hint="default"/>
      </w:rPr>
    </w:lvl>
    <w:lvl w:ilvl="2" w:tplc="F5F66AF6">
      <w:start w:val="1"/>
      <w:numFmt w:val="bullet"/>
      <w:lvlText w:val=""/>
      <w:lvlJc w:val="left"/>
      <w:pPr>
        <w:ind w:left="2160" w:hanging="360"/>
      </w:pPr>
      <w:rPr>
        <w:rFonts w:ascii="Wingdings" w:hAnsi="Wingdings" w:hint="default"/>
      </w:rPr>
    </w:lvl>
    <w:lvl w:ilvl="3" w:tplc="F46EE48E">
      <w:start w:val="1"/>
      <w:numFmt w:val="bullet"/>
      <w:lvlText w:val=""/>
      <w:lvlJc w:val="left"/>
      <w:pPr>
        <w:ind w:left="2880" w:hanging="360"/>
      </w:pPr>
      <w:rPr>
        <w:rFonts w:ascii="Symbol" w:hAnsi="Symbol" w:hint="default"/>
      </w:rPr>
    </w:lvl>
    <w:lvl w:ilvl="4" w:tplc="995CF062">
      <w:start w:val="1"/>
      <w:numFmt w:val="bullet"/>
      <w:lvlText w:val="o"/>
      <w:lvlJc w:val="left"/>
      <w:pPr>
        <w:ind w:left="3600" w:hanging="360"/>
      </w:pPr>
      <w:rPr>
        <w:rFonts w:ascii="Courier New" w:hAnsi="Courier New" w:hint="default"/>
      </w:rPr>
    </w:lvl>
    <w:lvl w:ilvl="5" w:tplc="9D2655A2">
      <w:start w:val="1"/>
      <w:numFmt w:val="bullet"/>
      <w:lvlText w:val=""/>
      <w:lvlJc w:val="left"/>
      <w:pPr>
        <w:ind w:left="4320" w:hanging="360"/>
      </w:pPr>
      <w:rPr>
        <w:rFonts w:ascii="Wingdings" w:hAnsi="Wingdings" w:hint="default"/>
      </w:rPr>
    </w:lvl>
    <w:lvl w:ilvl="6" w:tplc="7C009C90">
      <w:start w:val="1"/>
      <w:numFmt w:val="bullet"/>
      <w:lvlText w:val=""/>
      <w:lvlJc w:val="left"/>
      <w:pPr>
        <w:ind w:left="5040" w:hanging="360"/>
      </w:pPr>
      <w:rPr>
        <w:rFonts w:ascii="Symbol" w:hAnsi="Symbol" w:hint="default"/>
      </w:rPr>
    </w:lvl>
    <w:lvl w:ilvl="7" w:tplc="EB64D8E4">
      <w:start w:val="1"/>
      <w:numFmt w:val="bullet"/>
      <w:lvlText w:val="o"/>
      <w:lvlJc w:val="left"/>
      <w:pPr>
        <w:ind w:left="5760" w:hanging="360"/>
      </w:pPr>
      <w:rPr>
        <w:rFonts w:ascii="Courier New" w:hAnsi="Courier New" w:hint="default"/>
      </w:rPr>
    </w:lvl>
    <w:lvl w:ilvl="8" w:tplc="50043FD6">
      <w:start w:val="1"/>
      <w:numFmt w:val="bullet"/>
      <w:lvlText w:val=""/>
      <w:lvlJc w:val="left"/>
      <w:pPr>
        <w:ind w:left="6480" w:hanging="360"/>
      </w:pPr>
      <w:rPr>
        <w:rFonts w:ascii="Wingdings" w:hAnsi="Wingdings" w:hint="default"/>
      </w:rPr>
    </w:lvl>
  </w:abstractNum>
  <w:abstractNum w:abstractNumId="9" w15:restartNumberingAfterBreak="0">
    <w:nsid w:val="6E0DE40D"/>
    <w:multiLevelType w:val="hybridMultilevel"/>
    <w:tmpl w:val="C5CA47F8"/>
    <w:lvl w:ilvl="0" w:tplc="7A58DCD0">
      <w:start w:val="1"/>
      <w:numFmt w:val="decimal"/>
      <w:lvlText w:val="%1."/>
      <w:lvlJc w:val="left"/>
      <w:pPr>
        <w:ind w:left="720" w:hanging="360"/>
      </w:pPr>
    </w:lvl>
    <w:lvl w:ilvl="1" w:tplc="ABD8147A">
      <w:start w:val="1"/>
      <w:numFmt w:val="lowerLetter"/>
      <w:lvlText w:val="%2."/>
      <w:lvlJc w:val="left"/>
      <w:pPr>
        <w:ind w:left="1440" w:hanging="360"/>
      </w:pPr>
    </w:lvl>
    <w:lvl w:ilvl="2" w:tplc="0088CEB8">
      <w:start w:val="1"/>
      <w:numFmt w:val="lowerRoman"/>
      <w:lvlText w:val="%3."/>
      <w:lvlJc w:val="right"/>
      <w:pPr>
        <w:ind w:left="2160" w:hanging="180"/>
      </w:pPr>
    </w:lvl>
    <w:lvl w:ilvl="3" w:tplc="F20683B6">
      <w:start w:val="1"/>
      <w:numFmt w:val="decimal"/>
      <w:lvlText w:val="%4."/>
      <w:lvlJc w:val="left"/>
      <w:pPr>
        <w:ind w:left="2880" w:hanging="360"/>
      </w:pPr>
    </w:lvl>
    <w:lvl w:ilvl="4" w:tplc="4BDA58A2">
      <w:start w:val="1"/>
      <w:numFmt w:val="lowerLetter"/>
      <w:lvlText w:val="%5."/>
      <w:lvlJc w:val="left"/>
      <w:pPr>
        <w:ind w:left="3600" w:hanging="360"/>
      </w:pPr>
    </w:lvl>
    <w:lvl w:ilvl="5" w:tplc="90384834">
      <w:start w:val="1"/>
      <w:numFmt w:val="lowerRoman"/>
      <w:lvlText w:val="%6."/>
      <w:lvlJc w:val="right"/>
      <w:pPr>
        <w:ind w:left="4320" w:hanging="180"/>
      </w:pPr>
    </w:lvl>
    <w:lvl w:ilvl="6" w:tplc="8B302872">
      <w:start w:val="1"/>
      <w:numFmt w:val="decimal"/>
      <w:lvlText w:val="%7."/>
      <w:lvlJc w:val="left"/>
      <w:pPr>
        <w:ind w:left="5040" w:hanging="360"/>
      </w:pPr>
    </w:lvl>
    <w:lvl w:ilvl="7" w:tplc="EDFC7DBC">
      <w:start w:val="1"/>
      <w:numFmt w:val="lowerLetter"/>
      <w:lvlText w:val="%8."/>
      <w:lvlJc w:val="left"/>
      <w:pPr>
        <w:ind w:left="5760" w:hanging="360"/>
      </w:pPr>
    </w:lvl>
    <w:lvl w:ilvl="8" w:tplc="F4306028">
      <w:start w:val="1"/>
      <w:numFmt w:val="lowerRoman"/>
      <w:lvlText w:val="%9."/>
      <w:lvlJc w:val="right"/>
      <w:pPr>
        <w:ind w:left="6480" w:hanging="180"/>
      </w:pPr>
    </w:lvl>
  </w:abstractNum>
  <w:abstractNum w:abstractNumId="10" w15:restartNumberingAfterBreak="0">
    <w:nsid w:val="71BD1E9F"/>
    <w:multiLevelType w:val="hybridMultilevel"/>
    <w:tmpl w:val="ECDE8F08"/>
    <w:lvl w:ilvl="0" w:tplc="3130866C">
      <w:start w:val="1"/>
      <w:numFmt w:val="bullet"/>
      <w:lvlText w:val=""/>
      <w:lvlJc w:val="left"/>
      <w:pPr>
        <w:ind w:left="3600" w:hanging="360"/>
      </w:pPr>
      <w:rPr>
        <w:rFonts w:ascii="Wingdings" w:hAnsi="Wingdings"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11" w15:restartNumberingAfterBreak="0">
    <w:nsid w:val="7AED9ECB"/>
    <w:multiLevelType w:val="hybridMultilevel"/>
    <w:tmpl w:val="494A2E06"/>
    <w:lvl w:ilvl="0" w:tplc="20B2B47A">
      <w:start w:val="1"/>
      <w:numFmt w:val="bullet"/>
      <w:lvlText w:val=""/>
      <w:lvlJc w:val="left"/>
      <w:pPr>
        <w:ind w:left="720" w:hanging="360"/>
      </w:pPr>
      <w:rPr>
        <w:rFonts w:ascii="Wingdings" w:hAnsi="Wingdings" w:hint="default"/>
      </w:rPr>
    </w:lvl>
    <w:lvl w:ilvl="1" w:tplc="33524318">
      <w:start w:val="1"/>
      <w:numFmt w:val="bullet"/>
      <w:lvlText w:val="o"/>
      <w:lvlJc w:val="left"/>
      <w:pPr>
        <w:ind w:left="1440" w:hanging="360"/>
      </w:pPr>
      <w:rPr>
        <w:rFonts w:ascii="Courier New" w:hAnsi="Courier New" w:hint="default"/>
      </w:rPr>
    </w:lvl>
    <w:lvl w:ilvl="2" w:tplc="5BAC6262">
      <w:start w:val="1"/>
      <w:numFmt w:val="bullet"/>
      <w:lvlText w:val=""/>
      <w:lvlJc w:val="left"/>
      <w:pPr>
        <w:ind w:left="2160" w:hanging="360"/>
      </w:pPr>
      <w:rPr>
        <w:rFonts w:ascii="Wingdings" w:hAnsi="Wingdings" w:hint="default"/>
      </w:rPr>
    </w:lvl>
    <w:lvl w:ilvl="3" w:tplc="DF8EFF28">
      <w:start w:val="1"/>
      <w:numFmt w:val="bullet"/>
      <w:lvlText w:val=""/>
      <w:lvlJc w:val="left"/>
      <w:pPr>
        <w:ind w:left="2880" w:hanging="360"/>
      </w:pPr>
      <w:rPr>
        <w:rFonts w:ascii="Symbol" w:hAnsi="Symbol" w:hint="default"/>
      </w:rPr>
    </w:lvl>
    <w:lvl w:ilvl="4" w:tplc="3056D2A4">
      <w:start w:val="1"/>
      <w:numFmt w:val="bullet"/>
      <w:lvlText w:val="o"/>
      <w:lvlJc w:val="left"/>
      <w:pPr>
        <w:ind w:left="3600" w:hanging="360"/>
      </w:pPr>
      <w:rPr>
        <w:rFonts w:ascii="Courier New" w:hAnsi="Courier New" w:hint="default"/>
      </w:rPr>
    </w:lvl>
    <w:lvl w:ilvl="5" w:tplc="749AB2AA">
      <w:start w:val="1"/>
      <w:numFmt w:val="bullet"/>
      <w:lvlText w:val=""/>
      <w:lvlJc w:val="left"/>
      <w:pPr>
        <w:ind w:left="4320" w:hanging="360"/>
      </w:pPr>
      <w:rPr>
        <w:rFonts w:ascii="Wingdings" w:hAnsi="Wingdings" w:hint="default"/>
      </w:rPr>
    </w:lvl>
    <w:lvl w:ilvl="6" w:tplc="931C3B4A">
      <w:start w:val="1"/>
      <w:numFmt w:val="bullet"/>
      <w:lvlText w:val=""/>
      <w:lvlJc w:val="left"/>
      <w:pPr>
        <w:ind w:left="5040" w:hanging="360"/>
      </w:pPr>
      <w:rPr>
        <w:rFonts w:ascii="Symbol" w:hAnsi="Symbol" w:hint="default"/>
      </w:rPr>
    </w:lvl>
    <w:lvl w:ilvl="7" w:tplc="1924BC24">
      <w:start w:val="1"/>
      <w:numFmt w:val="bullet"/>
      <w:lvlText w:val="o"/>
      <w:lvlJc w:val="left"/>
      <w:pPr>
        <w:ind w:left="5760" w:hanging="360"/>
      </w:pPr>
      <w:rPr>
        <w:rFonts w:ascii="Courier New" w:hAnsi="Courier New" w:hint="default"/>
      </w:rPr>
    </w:lvl>
    <w:lvl w:ilvl="8" w:tplc="567651D0">
      <w:start w:val="1"/>
      <w:numFmt w:val="bullet"/>
      <w:lvlText w:val=""/>
      <w:lvlJc w:val="left"/>
      <w:pPr>
        <w:ind w:left="6480" w:hanging="360"/>
      </w:pPr>
      <w:rPr>
        <w:rFonts w:ascii="Wingdings" w:hAnsi="Wingdings" w:hint="default"/>
      </w:rPr>
    </w:lvl>
  </w:abstractNum>
  <w:abstractNum w:abstractNumId="12" w15:restartNumberingAfterBreak="0">
    <w:nsid w:val="7B04EBD2"/>
    <w:multiLevelType w:val="hybridMultilevel"/>
    <w:tmpl w:val="C6765AA2"/>
    <w:lvl w:ilvl="0" w:tplc="4E326A42">
      <w:start w:val="1"/>
      <w:numFmt w:val="decimal"/>
      <w:lvlText w:val="%1."/>
      <w:lvlJc w:val="left"/>
      <w:pPr>
        <w:ind w:left="720" w:hanging="360"/>
      </w:pPr>
      <w:rPr>
        <w:rFonts w:ascii="Calibri" w:hAnsi="Calibri" w:hint="default"/>
      </w:rPr>
    </w:lvl>
    <w:lvl w:ilvl="1" w:tplc="EE6664E4">
      <w:start w:val="1"/>
      <w:numFmt w:val="lowerLetter"/>
      <w:lvlText w:val="%2."/>
      <w:lvlJc w:val="left"/>
      <w:pPr>
        <w:ind w:left="1440" w:hanging="360"/>
      </w:pPr>
    </w:lvl>
    <w:lvl w:ilvl="2" w:tplc="FADC7B26">
      <w:start w:val="1"/>
      <w:numFmt w:val="lowerRoman"/>
      <w:lvlText w:val="%3."/>
      <w:lvlJc w:val="right"/>
      <w:pPr>
        <w:ind w:left="2160" w:hanging="180"/>
      </w:pPr>
    </w:lvl>
    <w:lvl w:ilvl="3" w:tplc="CD4A3F0E">
      <w:start w:val="1"/>
      <w:numFmt w:val="decimal"/>
      <w:lvlText w:val="%4."/>
      <w:lvlJc w:val="left"/>
      <w:pPr>
        <w:ind w:left="2880" w:hanging="360"/>
      </w:pPr>
    </w:lvl>
    <w:lvl w:ilvl="4" w:tplc="90FEFE60">
      <w:start w:val="1"/>
      <w:numFmt w:val="lowerLetter"/>
      <w:lvlText w:val="%5."/>
      <w:lvlJc w:val="left"/>
      <w:pPr>
        <w:ind w:left="3600" w:hanging="360"/>
      </w:pPr>
    </w:lvl>
    <w:lvl w:ilvl="5" w:tplc="3112EAAE">
      <w:start w:val="1"/>
      <w:numFmt w:val="lowerRoman"/>
      <w:lvlText w:val="%6."/>
      <w:lvlJc w:val="right"/>
      <w:pPr>
        <w:ind w:left="4320" w:hanging="180"/>
      </w:pPr>
    </w:lvl>
    <w:lvl w:ilvl="6" w:tplc="A46405DA">
      <w:start w:val="1"/>
      <w:numFmt w:val="decimal"/>
      <w:lvlText w:val="%7."/>
      <w:lvlJc w:val="left"/>
      <w:pPr>
        <w:ind w:left="5040" w:hanging="360"/>
      </w:pPr>
    </w:lvl>
    <w:lvl w:ilvl="7" w:tplc="000407E8">
      <w:start w:val="1"/>
      <w:numFmt w:val="lowerLetter"/>
      <w:lvlText w:val="%8."/>
      <w:lvlJc w:val="left"/>
      <w:pPr>
        <w:ind w:left="5760" w:hanging="360"/>
      </w:pPr>
    </w:lvl>
    <w:lvl w:ilvl="8" w:tplc="9A006BF8">
      <w:start w:val="1"/>
      <w:numFmt w:val="lowerRoman"/>
      <w:lvlText w:val="%9."/>
      <w:lvlJc w:val="right"/>
      <w:pPr>
        <w:ind w:left="6480" w:hanging="180"/>
      </w:pPr>
    </w:lvl>
  </w:abstractNum>
  <w:abstractNum w:abstractNumId="13" w15:restartNumberingAfterBreak="0">
    <w:nsid w:val="7D1D313E"/>
    <w:multiLevelType w:val="hybridMultilevel"/>
    <w:tmpl w:val="9AC4F6CA"/>
    <w:lvl w:ilvl="0" w:tplc="37123488">
      <w:start w:val="1"/>
      <w:numFmt w:val="bullet"/>
      <w:lvlText w:val=""/>
      <w:lvlJc w:val="left"/>
      <w:pPr>
        <w:ind w:left="720" w:hanging="360"/>
      </w:pPr>
      <w:rPr>
        <w:rFonts w:ascii="Wingdings" w:hAnsi="Wingdings" w:hint="default"/>
      </w:rPr>
    </w:lvl>
    <w:lvl w:ilvl="1" w:tplc="8C72896C">
      <w:start w:val="1"/>
      <w:numFmt w:val="bullet"/>
      <w:lvlText w:val="o"/>
      <w:lvlJc w:val="left"/>
      <w:pPr>
        <w:ind w:left="1440" w:hanging="360"/>
      </w:pPr>
      <w:rPr>
        <w:rFonts w:ascii="Courier New" w:hAnsi="Courier New" w:hint="default"/>
      </w:rPr>
    </w:lvl>
    <w:lvl w:ilvl="2" w:tplc="7CFEB868">
      <w:start w:val="1"/>
      <w:numFmt w:val="bullet"/>
      <w:lvlText w:val=""/>
      <w:lvlJc w:val="left"/>
      <w:pPr>
        <w:ind w:left="2160" w:hanging="360"/>
      </w:pPr>
      <w:rPr>
        <w:rFonts w:ascii="Wingdings" w:hAnsi="Wingdings" w:hint="default"/>
      </w:rPr>
    </w:lvl>
    <w:lvl w:ilvl="3" w:tplc="236422A2">
      <w:start w:val="1"/>
      <w:numFmt w:val="bullet"/>
      <w:lvlText w:val=""/>
      <w:lvlJc w:val="left"/>
      <w:pPr>
        <w:ind w:left="2880" w:hanging="360"/>
      </w:pPr>
      <w:rPr>
        <w:rFonts w:ascii="Symbol" w:hAnsi="Symbol" w:hint="default"/>
      </w:rPr>
    </w:lvl>
    <w:lvl w:ilvl="4" w:tplc="FBE2A67E">
      <w:start w:val="1"/>
      <w:numFmt w:val="bullet"/>
      <w:lvlText w:val="o"/>
      <w:lvlJc w:val="left"/>
      <w:pPr>
        <w:ind w:left="3600" w:hanging="360"/>
      </w:pPr>
      <w:rPr>
        <w:rFonts w:ascii="Courier New" w:hAnsi="Courier New" w:hint="default"/>
      </w:rPr>
    </w:lvl>
    <w:lvl w:ilvl="5" w:tplc="D6FAD5E2">
      <w:start w:val="1"/>
      <w:numFmt w:val="bullet"/>
      <w:lvlText w:val=""/>
      <w:lvlJc w:val="left"/>
      <w:pPr>
        <w:ind w:left="4320" w:hanging="360"/>
      </w:pPr>
      <w:rPr>
        <w:rFonts w:ascii="Wingdings" w:hAnsi="Wingdings" w:hint="default"/>
      </w:rPr>
    </w:lvl>
    <w:lvl w:ilvl="6" w:tplc="E6283D0A">
      <w:start w:val="1"/>
      <w:numFmt w:val="bullet"/>
      <w:lvlText w:val=""/>
      <w:lvlJc w:val="left"/>
      <w:pPr>
        <w:ind w:left="5040" w:hanging="360"/>
      </w:pPr>
      <w:rPr>
        <w:rFonts w:ascii="Symbol" w:hAnsi="Symbol" w:hint="default"/>
      </w:rPr>
    </w:lvl>
    <w:lvl w:ilvl="7" w:tplc="FEE419A0">
      <w:start w:val="1"/>
      <w:numFmt w:val="bullet"/>
      <w:lvlText w:val="o"/>
      <w:lvlJc w:val="left"/>
      <w:pPr>
        <w:ind w:left="5760" w:hanging="360"/>
      </w:pPr>
      <w:rPr>
        <w:rFonts w:ascii="Courier New" w:hAnsi="Courier New" w:hint="default"/>
      </w:rPr>
    </w:lvl>
    <w:lvl w:ilvl="8" w:tplc="855A73B2">
      <w:start w:val="1"/>
      <w:numFmt w:val="bullet"/>
      <w:lvlText w:val=""/>
      <w:lvlJc w:val="left"/>
      <w:pPr>
        <w:ind w:left="6480" w:hanging="360"/>
      </w:pPr>
      <w:rPr>
        <w:rFonts w:ascii="Wingdings" w:hAnsi="Wingdings" w:hint="default"/>
      </w:rPr>
    </w:lvl>
  </w:abstractNum>
  <w:num w:numId="1" w16cid:durableId="1619291500">
    <w:abstractNumId w:val="7"/>
  </w:num>
  <w:num w:numId="2" w16cid:durableId="1373765902">
    <w:abstractNumId w:val="8"/>
  </w:num>
  <w:num w:numId="3" w16cid:durableId="517163755">
    <w:abstractNumId w:val="13"/>
  </w:num>
  <w:num w:numId="4" w16cid:durableId="63837874">
    <w:abstractNumId w:val="5"/>
  </w:num>
  <w:num w:numId="5" w16cid:durableId="1524592097">
    <w:abstractNumId w:val="9"/>
  </w:num>
  <w:num w:numId="6" w16cid:durableId="45298291">
    <w:abstractNumId w:val="2"/>
  </w:num>
  <w:num w:numId="7" w16cid:durableId="2044862231">
    <w:abstractNumId w:val="11"/>
  </w:num>
  <w:num w:numId="8" w16cid:durableId="1486774807">
    <w:abstractNumId w:val="4"/>
  </w:num>
  <w:num w:numId="9" w16cid:durableId="2060662813">
    <w:abstractNumId w:val="12"/>
  </w:num>
  <w:num w:numId="10" w16cid:durableId="489299333">
    <w:abstractNumId w:val="3"/>
  </w:num>
  <w:num w:numId="11" w16cid:durableId="1597009941">
    <w:abstractNumId w:val="1"/>
  </w:num>
  <w:num w:numId="12" w16cid:durableId="1724527388">
    <w:abstractNumId w:val="10"/>
  </w:num>
  <w:num w:numId="13" w16cid:durableId="1583484689">
    <w:abstractNumId w:val="6"/>
  </w:num>
  <w:num w:numId="14" w16cid:durableId="2096633740">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visionView w:inkAnnotations="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438EC43"/>
    <w:rsid w:val="00000144"/>
    <w:rsid w:val="00000458"/>
    <w:rsid w:val="00002283"/>
    <w:rsid w:val="00003922"/>
    <w:rsid w:val="00003F91"/>
    <w:rsid w:val="00005CE4"/>
    <w:rsid w:val="00010C09"/>
    <w:rsid w:val="0001141E"/>
    <w:rsid w:val="000121CD"/>
    <w:rsid w:val="000123C0"/>
    <w:rsid w:val="00013979"/>
    <w:rsid w:val="000147BA"/>
    <w:rsid w:val="00014B7D"/>
    <w:rsid w:val="000161DC"/>
    <w:rsid w:val="000162BF"/>
    <w:rsid w:val="00016AD0"/>
    <w:rsid w:val="00020201"/>
    <w:rsid w:val="00021269"/>
    <w:rsid w:val="00022BF0"/>
    <w:rsid w:val="000234F9"/>
    <w:rsid w:val="0002441E"/>
    <w:rsid w:val="000250DF"/>
    <w:rsid w:val="00025A41"/>
    <w:rsid w:val="0003002B"/>
    <w:rsid w:val="00031BCA"/>
    <w:rsid w:val="00032A15"/>
    <w:rsid w:val="000333FA"/>
    <w:rsid w:val="00034411"/>
    <w:rsid w:val="000348FE"/>
    <w:rsid w:val="0003599F"/>
    <w:rsid w:val="0003628E"/>
    <w:rsid w:val="00036D56"/>
    <w:rsid w:val="00037BE8"/>
    <w:rsid w:val="000403BE"/>
    <w:rsid w:val="00040994"/>
    <w:rsid w:val="00040BFE"/>
    <w:rsid w:val="0004579D"/>
    <w:rsid w:val="0005006B"/>
    <w:rsid w:val="00050F3D"/>
    <w:rsid w:val="0005210E"/>
    <w:rsid w:val="000537BF"/>
    <w:rsid w:val="00053C43"/>
    <w:rsid w:val="0005409B"/>
    <w:rsid w:val="00054FD3"/>
    <w:rsid w:val="000555EF"/>
    <w:rsid w:val="00057A37"/>
    <w:rsid w:val="00057BF5"/>
    <w:rsid w:val="00057EB8"/>
    <w:rsid w:val="00057EC4"/>
    <w:rsid w:val="00060210"/>
    <w:rsid w:val="0006034B"/>
    <w:rsid w:val="00060EE8"/>
    <w:rsid w:val="0006241B"/>
    <w:rsid w:val="00062D35"/>
    <w:rsid w:val="00063B4B"/>
    <w:rsid w:val="00065802"/>
    <w:rsid w:val="00065A58"/>
    <w:rsid w:val="00065ED9"/>
    <w:rsid w:val="0006703B"/>
    <w:rsid w:val="0006782E"/>
    <w:rsid w:val="0007034D"/>
    <w:rsid w:val="000709A3"/>
    <w:rsid w:val="00070DE1"/>
    <w:rsid w:val="000719E1"/>
    <w:rsid w:val="00072EA4"/>
    <w:rsid w:val="00074C67"/>
    <w:rsid w:val="000758B9"/>
    <w:rsid w:val="00076E7F"/>
    <w:rsid w:val="00081E79"/>
    <w:rsid w:val="000844C0"/>
    <w:rsid w:val="000844C6"/>
    <w:rsid w:val="00084567"/>
    <w:rsid w:val="00085C71"/>
    <w:rsid w:val="0008730F"/>
    <w:rsid w:val="00090179"/>
    <w:rsid w:val="00091D97"/>
    <w:rsid w:val="00093743"/>
    <w:rsid w:val="00095068"/>
    <w:rsid w:val="0009658C"/>
    <w:rsid w:val="00096B25"/>
    <w:rsid w:val="000A15C2"/>
    <w:rsid w:val="000A3FD2"/>
    <w:rsid w:val="000A4200"/>
    <w:rsid w:val="000A44B9"/>
    <w:rsid w:val="000A5783"/>
    <w:rsid w:val="000A5E31"/>
    <w:rsid w:val="000A75BB"/>
    <w:rsid w:val="000B3929"/>
    <w:rsid w:val="000B3E80"/>
    <w:rsid w:val="000B4732"/>
    <w:rsid w:val="000B4B53"/>
    <w:rsid w:val="000B5F14"/>
    <w:rsid w:val="000C0335"/>
    <w:rsid w:val="000C117D"/>
    <w:rsid w:val="000C39F6"/>
    <w:rsid w:val="000C4035"/>
    <w:rsid w:val="000C4288"/>
    <w:rsid w:val="000C5391"/>
    <w:rsid w:val="000D0CDB"/>
    <w:rsid w:val="000D24F1"/>
    <w:rsid w:val="000D5F63"/>
    <w:rsid w:val="000E2114"/>
    <w:rsid w:val="000E2A54"/>
    <w:rsid w:val="000E57D3"/>
    <w:rsid w:val="000E67FF"/>
    <w:rsid w:val="000E7E84"/>
    <w:rsid w:val="000F02E7"/>
    <w:rsid w:val="000F1495"/>
    <w:rsid w:val="000F2529"/>
    <w:rsid w:val="000F2B5E"/>
    <w:rsid w:val="000F337F"/>
    <w:rsid w:val="000F40B1"/>
    <w:rsid w:val="000F457F"/>
    <w:rsid w:val="000F4634"/>
    <w:rsid w:val="000F46BF"/>
    <w:rsid w:val="000F54B3"/>
    <w:rsid w:val="000F6AB8"/>
    <w:rsid w:val="000F77EB"/>
    <w:rsid w:val="0010058C"/>
    <w:rsid w:val="00100A42"/>
    <w:rsid w:val="0010119A"/>
    <w:rsid w:val="00101585"/>
    <w:rsid w:val="00102B6A"/>
    <w:rsid w:val="00102F76"/>
    <w:rsid w:val="0010383F"/>
    <w:rsid w:val="00105727"/>
    <w:rsid w:val="001064CE"/>
    <w:rsid w:val="001069B0"/>
    <w:rsid w:val="00106A7B"/>
    <w:rsid w:val="00107D97"/>
    <w:rsid w:val="00110B94"/>
    <w:rsid w:val="00111E13"/>
    <w:rsid w:val="001126EB"/>
    <w:rsid w:val="00112BD0"/>
    <w:rsid w:val="001131D6"/>
    <w:rsid w:val="00114158"/>
    <w:rsid w:val="0011437C"/>
    <w:rsid w:val="00114457"/>
    <w:rsid w:val="00114790"/>
    <w:rsid w:val="0011757B"/>
    <w:rsid w:val="00120234"/>
    <w:rsid w:val="0012032B"/>
    <w:rsid w:val="00122F3D"/>
    <w:rsid w:val="001234FD"/>
    <w:rsid w:val="001255BA"/>
    <w:rsid w:val="00125D51"/>
    <w:rsid w:val="0012739D"/>
    <w:rsid w:val="00132880"/>
    <w:rsid w:val="001328CA"/>
    <w:rsid w:val="001330F2"/>
    <w:rsid w:val="00133D0F"/>
    <w:rsid w:val="00134DB1"/>
    <w:rsid w:val="0013584F"/>
    <w:rsid w:val="00136261"/>
    <w:rsid w:val="001379A5"/>
    <w:rsid w:val="00137CC6"/>
    <w:rsid w:val="0014242B"/>
    <w:rsid w:val="00144BCE"/>
    <w:rsid w:val="00144FF2"/>
    <w:rsid w:val="00146966"/>
    <w:rsid w:val="001502F7"/>
    <w:rsid w:val="001515D3"/>
    <w:rsid w:val="0015358C"/>
    <w:rsid w:val="001548AB"/>
    <w:rsid w:val="00154C83"/>
    <w:rsid w:val="00155C69"/>
    <w:rsid w:val="00156843"/>
    <w:rsid w:val="00156A50"/>
    <w:rsid w:val="0015707A"/>
    <w:rsid w:val="001608E9"/>
    <w:rsid w:val="00161421"/>
    <w:rsid w:val="00161A44"/>
    <w:rsid w:val="00162EF7"/>
    <w:rsid w:val="00163D23"/>
    <w:rsid w:val="00166092"/>
    <w:rsid w:val="00167B6E"/>
    <w:rsid w:val="00171093"/>
    <w:rsid w:val="0017315A"/>
    <w:rsid w:val="00173354"/>
    <w:rsid w:val="0017440C"/>
    <w:rsid w:val="0018043A"/>
    <w:rsid w:val="001805D5"/>
    <w:rsid w:val="0018073A"/>
    <w:rsid w:val="00182A4A"/>
    <w:rsid w:val="00183004"/>
    <w:rsid w:val="00183506"/>
    <w:rsid w:val="0018414D"/>
    <w:rsid w:val="00184315"/>
    <w:rsid w:val="00184B59"/>
    <w:rsid w:val="0018640E"/>
    <w:rsid w:val="00187857"/>
    <w:rsid w:val="00191901"/>
    <w:rsid w:val="001942BF"/>
    <w:rsid w:val="00194387"/>
    <w:rsid w:val="0019513F"/>
    <w:rsid w:val="00197CF8"/>
    <w:rsid w:val="001A032D"/>
    <w:rsid w:val="001A068C"/>
    <w:rsid w:val="001A236B"/>
    <w:rsid w:val="001A3324"/>
    <w:rsid w:val="001A4781"/>
    <w:rsid w:val="001A527E"/>
    <w:rsid w:val="001A580A"/>
    <w:rsid w:val="001A68A1"/>
    <w:rsid w:val="001A6CCA"/>
    <w:rsid w:val="001A76C5"/>
    <w:rsid w:val="001A7755"/>
    <w:rsid w:val="001B0658"/>
    <w:rsid w:val="001B0688"/>
    <w:rsid w:val="001B187B"/>
    <w:rsid w:val="001B42B8"/>
    <w:rsid w:val="001B5397"/>
    <w:rsid w:val="001B6103"/>
    <w:rsid w:val="001B6F28"/>
    <w:rsid w:val="001B79A6"/>
    <w:rsid w:val="001C0B76"/>
    <w:rsid w:val="001C155A"/>
    <w:rsid w:val="001C1C87"/>
    <w:rsid w:val="001C2A9C"/>
    <w:rsid w:val="001C2DD5"/>
    <w:rsid w:val="001C2DEA"/>
    <w:rsid w:val="001C5BEF"/>
    <w:rsid w:val="001C64FE"/>
    <w:rsid w:val="001C7BA4"/>
    <w:rsid w:val="001D04F9"/>
    <w:rsid w:val="001D07D2"/>
    <w:rsid w:val="001D175F"/>
    <w:rsid w:val="001D1B53"/>
    <w:rsid w:val="001D204C"/>
    <w:rsid w:val="001D3D3F"/>
    <w:rsid w:val="001D4079"/>
    <w:rsid w:val="001D5598"/>
    <w:rsid w:val="001D757B"/>
    <w:rsid w:val="001D75C5"/>
    <w:rsid w:val="001E2022"/>
    <w:rsid w:val="001E4841"/>
    <w:rsid w:val="001E4EED"/>
    <w:rsid w:val="001E5EC4"/>
    <w:rsid w:val="001E60C7"/>
    <w:rsid w:val="001F120F"/>
    <w:rsid w:val="001F128B"/>
    <w:rsid w:val="001F1348"/>
    <w:rsid w:val="001F168A"/>
    <w:rsid w:val="001F2509"/>
    <w:rsid w:val="001F29AB"/>
    <w:rsid w:val="001F2F3C"/>
    <w:rsid w:val="001F41A8"/>
    <w:rsid w:val="001F4409"/>
    <w:rsid w:val="001F6F15"/>
    <w:rsid w:val="001F7E07"/>
    <w:rsid w:val="002002E6"/>
    <w:rsid w:val="002008A1"/>
    <w:rsid w:val="00201A45"/>
    <w:rsid w:val="00201ED8"/>
    <w:rsid w:val="00202E38"/>
    <w:rsid w:val="002034AA"/>
    <w:rsid w:val="00203582"/>
    <w:rsid w:val="00203D53"/>
    <w:rsid w:val="00204580"/>
    <w:rsid w:val="00204F5B"/>
    <w:rsid w:val="0020593E"/>
    <w:rsid w:val="00205CFC"/>
    <w:rsid w:val="00205D2C"/>
    <w:rsid w:val="00206037"/>
    <w:rsid w:val="002060D4"/>
    <w:rsid w:val="0020615A"/>
    <w:rsid w:val="00206E4D"/>
    <w:rsid w:val="002077A5"/>
    <w:rsid w:val="0021004A"/>
    <w:rsid w:val="0021013E"/>
    <w:rsid w:val="002109AC"/>
    <w:rsid w:val="00210D9A"/>
    <w:rsid w:val="0021151E"/>
    <w:rsid w:val="00211F6C"/>
    <w:rsid w:val="00212937"/>
    <w:rsid w:val="002137AE"/>
    <w:rsid w:val="0021443B"/>
    <w:rsid w:val="00215E61"/>
    <w:rsid w:val="00216063"/>
    <w:rsid w:val="00217567"/>
    <w:rsid w:val="00217686"/>
    <w:rsid w:val="00217D0D"/>
    <w:rsid w:val="00220BE5"/>
    <w:rsid w:val="0022166A"/>
    <w:rsid w:val="0022176F"/>
    <w:rsid w:val="00224AEB"/>
    <w:rsid w:val="0022524B"/>
    <w:rsid w:val="002255CD"/>
    <w:rsid w:val="00225939"/>
    <w:rsid w:val="00225A4C"/>
    <w:rsid w:val="00227863"/>
    <w:rsid w:val="00227E53"/>
    <w:rsid w:val="00233352"/>
    <w:rsid w:val="002338BB"/>
    <w:rsid w:val="00233DE2"/>
    <w:rsid w:val="0023429F"/>
    <w:rsid w:val="0023510F"/>
    <w:rsid w:val="002358A3"/>
    <w:rsid w:val="00240060"/>
    <w:rsid w:val="00240EBF"/>
    <w:rsid w:val="00241EF0"/>
    <w:rsid w:val="00244939"/>
    <w:rsid w:val="00245279"/>
    <w:rsid w:val="0024617C"/>
    <w:rsid w:val="00247F55"/>
    <w:rsid w:val="00250ADD"/>
    <w:rsid w:val="00251231"/>
    <w:rsid w:val="0025155E"/>
    <w:rsid w:val="0025287D"/>
    <w:rsid w:val="00253435"/>
    <w:rsid w:val="002542FE"/>
    <w:rsid w:val="00255944"/>
    <w:rsid w:val="00257F5B"/>
    <w:rsid w:val="00261043"/>
    <w:rsid w:val="002630B7"/>
    <w:rsid w:val="002632C7"/>
    <w:rsid w:val="00264CEB"/>
    <w:rsid w:val="00264E03"/>
    <w:rsid w:val="002658E1"/>
    <w:rsid w:val="00265B5E"/>
    <w:rsid w:val="00267A95"/>
    <w:rsid w:val="002701CC"/>
    <w:rsid w:val="00270FDE"/>
    <w:rsid w:val="0027315A"/>
    <w:rsid w:val="002731EE"/>
    <w:rsid w:val="00273BD9"/>
    <w:rsid w:val="00280BE1"/>
    <w:rsid w:val="0028286E"/>
    <w:rsid w:val="00282B9D"/>
    <w:rsid w:val="00282D2A"/>
    <w:rsid w:val="00283C02"/>
    <w:rsid w:val="00284C27"/>
    <w:rsid w:val="00286F18"/>
    <w:rsid w:val="00287345"/>
    <w:rsid w:val="0029064A"/>
    <w:rsid w:val="00290C7C"/>
    <w:rsid w:val="002921B7"/>
    <w:rsid w:val="002953BB"/>
    <w:rsid w:val="00297019"/>
    <w:rsid w:val="002A0517"/>
    <w:rsid w:val="002A0AEA"/>
    <w:rsid w:val="002A0F98"/>
    <w:rsid w:val="002A102C"/>
    <w:rsid w:val="002A329C"/>
    <w:rsid w:val="002A469C"/>
    <w:rsid w:val="002A53FA"/>
    <w:rsid w:val="002A5D84"/>
    <w:rsid w:val="002A647C"/>
    <w:rsid w:val="002A699A"/>
    <w:rsid w:val="002A6C7E"/>
    <w:rsid w:val="002A7853"/>
    <w:rsid w:val="002A7897"/>
    <w:rsid w:val="002A7898"/>
    <w:rsid w:val="002B0BBF"/>
    <w:rsid w:val="002B1CCC"/>
    <w:rsid w:val="002B4739"/>
    <w:rsid w:val="002B47CD"/>
    <w:rsid w:val="002B5467"/>
    <w:rsid w:val="002B5BCD"/>
    <w:rsid w:val="002C0389"/>
    <w:rsid w:val="002C0529"/>
    <w:rsid w:val="002C05E2"/>
    <w:rsid w:val="002C55A3"/>
    <w:rsid w:val="002C5FFA"/>
    <w:rsid w:val="002D0379"/>
    <w:rsid w:val="002D07C5"/>
    <w:rsid w:val="002D085F"/>
    <w:rsid w:val="002D181E"/>
    <w:rsid w:val="002D19A3"/>
    <w:rsid w:val="002D35C0"/>
    <w:rsid w:val="002D3A3B"/>
    <w:rsid w:val="002D6390"/>
    <w:rsid w:val="002D7037"/>
    <w:rsid w:val="002D7125"/>
    <w:rsid w:val="002D76FA"/>
    <w:rsid w:val="002E1CE1"/>
    <w:rsid w:val="002E1EDE"/>
    <w:rsid w:val="002E3BBE"/>
    <w:rsid w:val="002E7A2B"/>
    <w:rsid w:val="002F104E"/>
    <w:rsid w:val="002F4655"/>
    <w:rsid w:val="002F498F"/>
    <w:rsid w:val="002F6089"/>
    <w:rsid w:val="002F70B8"/>
    <w:rsid w:val="002F7F7A"/>
    <w:rsid w:val="00300184"/>
    <w:rsid w:val="00300A6A"/>
    <w:rsid w:val="00300FCD"/>
    <w:rsid w:val="00304B8F"/>
    <w:rsid w:val="00304E75"/>
    <w:rsid w:val="00305137"/>
    <w:rsid w:val="00305277"/>
    <w:rsid w:val="00305ECC"/>
    <w:rsid w:val="003074CA"/>
    <w:rsid w:val="00307724"/>
    <w:rsid w:val="0031040A"/>
    <w:rsid w:val="003105FD"/>
    <w:rsid w:val="00311773"/>
    <w:rsid w:val="00311E49"/>
    <w:rsid w:val="00312AE7"/>
    <w:rsid w:val="00313B2C"/>
    <w:rsid w:val="00313BC2"/>
    <w:rsid w:val="00314633"/>
    <w:rsid w:val="003177FA"/>
    <w:rsid w:val="00317D35"/>
    <w:rsid w:val="0031B3CF"/>
    <w:rsid w:val="00320C7E"/>
    <w:rsid w:val="00321D5B"/>
    <w:rsid w:val="00321FDC"/>
    <w:rsid w:val="00326896"/>
    <w:rsid w:val="00326BC3"/>
    <w:rsid w:val="0033021F"/>
    <w:rsid w:val="00330511"/>
    <w:rsid w:val="00330780"/>
    <w:rsid w:val="00331706"/>
    <w:rsid w:val="00335815"/>
    <w:rsid w:val="00335ACC"/>
    <w:rsid w:val="0033616B"/>
    <w:rsid w:val="003368C1"/>
    <w:rsid w:val="003368C8"/>
    <w:rsid w:val="00337A07"/>
    <w:rsid w:val="0034107C"/>
    <w:rsid w:val="00341475"/>
    <w:rsid w:val="00341B68"/>
    <w:rsid w:val="00341E91"/>
    <w:rsid w:val="00342027"/>
    <w:rsid w:val="00342802"/>
    <w:rsid w:val="00342A9C"/>
    <w:rsid w:val="00343C5E"/>
    <w:rsid w:val="0034419D"/>
    <w:rsid w:val="00344EEF"/>
    <w:rsid w:val="00346FBE"/>
    <w:rsid w:val="0035099A"/>
    <w:rsid w:val="00350E36"/>
    <w:rsid w:val="0035164F"/>
    <w:rsid w:val="00352016"/>
    <w:rsid w:val="00352462"/>
    <w:rsid w:val="003531BC"/>
    <w:rsid w:val="003539DB"/>
    <w:rsid w:val="00354083"/>
    <w:rsid w:val="00354F84"/>
    <w:rsid w:val="00354FF0"/>
    <w:rsid w:val="0035525E"/>
    <w:rsid w:val="003552F2"/>
    <w:rsid w:val="00356901"/>
    <w:rsid w:val="00357A36"/>
    <w:rsid w:val="003602E2"/>
    <w:rsid w:val="0036046B"/>
    <w:rsid w:val="00361959"/>
    <w:rsid w:val="00361B60"/>
    <w:rsid w:val="003633AF"/>
    <w:rsid w:val="0036385C"/>
    <w:rsid w:val="00363D48"/>
    <w:rsid w:val="0036592F"/>
    <w:rsid w:val="00365C03"/>
    <w:rsid w:val="003662A2"/>
    <w:rsid w:val="00367761"/>
    <w:rsid w:val="00370907"/>
    <w:rsid w:val="00370B37"/>
    <w:rsid w:val="00370B5A"/>
    <w:rsid w:val="00370F7E"/>
    <w:rsid w:val="003727F4"/>
    <w:rsid w:val="00373D02"/>
    <w:rsid w:val="00373F98"/>
    <w:rsid w:val="0037428C"/>
    <w:rsid w:val="00376326"/>
    <w:rsid w:val="00376832"/>
    <w:rsid w:val="00380B2A"/>
    <w:rsid w:val="003810EC"/>
    <w:rsid w:val="00381754"/>
    <w:rsid w:val="003818A8"/>
    <w:rsid w:val="00381C65"/>
    <w:rsid w:val="00381DB7"/>
    <w:rsid w:val="00382BAA"/>
    <w:rsid w:val="00382FA8"/>
    <w:rsid w:val="003838AA"/>
    <w:rsid w:val="003850EA"/>
    <w:rsid w:val="00385850"/>
    <w:rsid w:val="00385DE4"/>
    <w:rsid w:val="00385F80"/>
    <w:rsid w:val="003860B8"/>
    <w:rsid w:val="003864D6"/>
    <w:rsid w:val="003905CF"/>
    <w:rsid w:val="003906A5"/>
    <w:rsid w:val="00390A58"/>
    <w:rsid w:val="00391289"/>
    <w:rsid w:val="00391863"/>
    <w:rsid w:val="00391CC1"/>
    <w:rsid w:val="0039297F"/>
    <w:rsid w:val="003931A9"/>
    <w:rsid w:val="003934DE"/>
    <w:rsid w:val="003945AF"/>
    <w:rsid w:val="0039597A"/>
    <w:rsid w:val="00395E61"/>
    <w:rsid w:val="0039628F"/>
    <w:rsid w:val="00396FC6"/>
    <w:rsid w:val="003974CA"/>
    <w:rsid w:val="003979FB"/>
    <w:rsid w:val="00397D25"/>
    <w:rsid w:val="003A1C28"/>
    <w:rsid w:val="003A28C9"/>
    <w:rsid w:val="003A3A54"/>
    <w:rsid w:val="003A415A"/>
    <w:rsid w:val="003A51A7"/>
    <w:rsid w:val="003A5A94"/>
    <w:rsid w:val="003A6ED6"/>
    <w:rsid w:val="003A72F5"/>
    <w:rsid w:val="003B0282"/>
    <w:rsid w:val="003B0365"/>
    <w:rsid w:val="003B1077"/>
    <w:rsid w:val="003B493B"/>
    <w:rsid w:val="003B4D0B"/>
    <w:rsid w:val="003B5242"/>
    <w:rsid w:val="003B54ED"/>
    <w:rsid w:val="003B6333"/>
    <w:rsid w:val="003C0177"/>
    <w:rsid w:val="003C1092"/>
    <w:rsid w:val="003C398E"/>
    <w:rsid w:val="003C3D16"/>
    <w:rsid w:val="003C3F43"/>
    <w:rsid w:val="003C475C"/>
    <w:rsid w:val="003C659F"/>
    <w:rsid w:val="003C7124"/>
    <w:rsid w:val="003D0108"/>
    <w:rsid w:val="003D1028"/>
    <w:rsid w:val="003D19A2"/>
    <w:rsid w:val="003D26C4"/>
    <w:rsid w:val="003D3384"/>
    <w:rsid w:val="003D3725"/>
    <w:rsid w:val="003D77EA"/>
    <w:rsid w:val="003D7DE4"/>
    <w:rsid w:val="003E017F"/>
    <w:rsid w:val="003E1712"/>
    <w:rsid w:val="003E200E"/>
    <w:rsid w:val="003E2CC5"/>
    <w:rsid w:val="003E30E6"/>
    <w:rsid w:val="003E650A"/>
    <w:rsid w:val="003E6B2F"/>
    <w:rsid w:val="003F05EF"/>
    <w:rsid w:val="003F1879"/>
    <w:rsid w:val="003F1A77"/>
    <w:rsid w:val="003F1E1F"/>
    <w:rsid w:val="003F2676"/>
    <w:rsid w:val="003F546A"/>
    <w:rsid w:val="003F5F77"/>
    <w:rsid w:val="003F601A"/>
    <w:rsid w:val="003F704E"/>
    <w:rsid w:val="003F7861"/>
    <w:rsid w:val="004005E0"/>
    <w:rsid w:val="00401EE2"/>
    <w:rsid w:val="00402268"/>
    <w:rsid w:val="0040232B"/>
    <w:rsid w:val="00402F2A"/>
    <w:rsid w:val="00403514"/>
    <w:rsid w:val="00404193"/>
    <w:rsid w:val="004114C3"/>
    <w:rsid w:val="00412212"/>
    <w:rsid w:val="0041278F"/>
    <w:rsid w:val="0041378A"/>
    <w:rsid w:val="00413940"/>
    <w:rsid w:val="004148B4"/>
    <w:rsid w:val="00414E7C"/>
    <w:rsid w:val="00415564"/>
    <w:rsid w:val="0041586E"/>
    <w:rsid w:val="0041615C"/>
    <w:rsid w:val="00416727"/>
    <w:rsid w:val="004167E8"/>
    <w:rsid w:val="00416A64"/>
    <w:rsid w:val="00416E3F"/>
    <w:rsid w:val="00420169"/>
    <w:rsid w:val="00420325"/>
    <w:rsid w:val="00421296"/>
    <w:rsid w:val="0042154E"/>
    <w:rsid w:val="0042259A"/>
    <w:rsid w:val="00425094"/>
    <w:rsid w:val="00425288"/>
    <w:rsid w:val="00425F60"/>
    <w:rsid w:val="00426FD0"/>
    <w:rsid w:val="004272F9"/>
    <w:rsid w:val="004278B9"/>
    <w:rsid w:val="00427A25"/>
    <w:rsid w:val="00430992"/>
    <w:rsid w:val="00430EE9"/>
    <w:rsid w:val="00431921"/>
    <w:rsid w:val="004324E6"/>
    <w:rsid w:val="00432BCB"/>
    <w:rsid w:val="00434702"/>
    <w:rsid w:val="0043519C"/>
    <w:rsid w:val="004356F4"/>
    <w:rsid w:val="00435E73"/>
    <w:rsid w:val="00437F10"/>
    <w:rsid w:val="00437F22"/>
    <w:rsid w:val="00440010"/>
    <w:rsid w:val="00442E8D"/>
    <w:rsid w:val="004448CA"/>
    <w:rsid w:val="0044513E"/>
    <w:rsid w:val="00445299"/>
    <w:rsid w:val="004467DA"/>
    <w:rsid w:val="00450907"/>
    <w:rsid w:val="00450EE5"/>
    <w:rsid w:val="00450F89"/>
    <w:rsid w:val="00451B84"/>
    <w:rsid w:val="00451DD7"/>
    <w:rsid w:val="0045229A"/>
    <w:rsid w:val="004534B7"/>
    <w:rsid w:val="00453EE5"/>
    <w:rsid w:val="00455099"/>
    <w:rsid w:val="00455FC0"/>
    <w:rsid w:val="004560DB"/>
    <w:rsid w:val="00456832"/>
    <w:rsid w:val="004575F2"/>
    <w:rsid w:val="00460225"/>
    <w:rsid w:val="00461E4E"/>
    <w:rsid w:val="004629A8"/>
    <w:rsid w:val="004631A1"/>
    <w:rsid w:val="004633A4"/>
    <w:rsid w:val="00466165"/>
    <w:rsid w:val="00466A65"/>
    <w:rsid w:val="00466FBB"/>
    <w:rsid w:val="00467396"/>
    <w:rsid w:val="0046797C"/>
    <w:rsid w:val="00467BFC"/>
    <w:rsid w:val="00470D74"/>
    <w:rsid w:val="0047149C"/>
    <w:rsid w:val="00471FBF"/>
    <w:rsid w:val="00473DDA"/>
    <w:rsid w:val="0047422F"/>
    <w:rsid w:val="00474778"/>
    <w:rsid w:val="00474CEA"/>
    <w:rsid w:val="00475C88"/>
    <w:rsid w:val="0047666F"/>
    <w:rsid w:val="00477946"/>
    <w:rsid w:val="00477FDC"/>
    <w:rsid w:val="00480948"/>
    <w:rsid w:val="00480B88"/>
    <w:rsid w:val="004820BB"/>
    <w:rsid w:val="004820BF"/>
    <w:rsid w:val="004826BD"/>
    <w:rsid w:val="00482A65"/>
    <w:rsid w:val="004830BF"/>
    <w:rsid w:val="00483421"/>
    <w:rsid w:val="00483DA6"/>
    <w:rsid w:val="0048409C"/>
    <w:rsid w:val="00485591"/>
    <w:rsid w:val="00485C47"/>
    <w:rsid w:val="00487070"/>
    <w:rsid w:val="0048750F"/>
    <w:rsid w:val="00490145"/>
    <w:rsid w:val="004927E5"/>
    <w:rsid w:val="00492F5D"/>
    <w:rsid w:val="00493BF3"/>
    <w:rsid w:val="00494F50"/>
    <w:rsid w:val="00495426"/>
    <w:rsid w:val="00496DDD"/>
    <w:rsid w:val="00496E1F"/>
    <w:rsid w:val="004979EA"/>
    <w:rsid w:val="004A00A9"/>
    <w:rsid w:val="004A0D7C"/>
    <w:rsid w:val="004A15AB"/>
    <w:rsid w:val="004A2977"/>
    <w:rsid w:val="004A41DD"/>
    <w:rsid w:val="004A499E"/>
    <w:rsid w:val="004A4C65"/>
    <w:rsid w:val="004A5929"/>
    <w:rsid w:val="004A655D"/>
    <w:rsid w:val="004A740B"/>
    <w:rsid w:val="004B2BA8"/>
    <w:rsid w:val="004B2E7A"/>
    <w:rsid w:val="004B303F"/>
    <w:rsid w:val="004B343F"/>
    <w:rsid w:val="004B3B67"/>
    <w:rsid w:val="004B56CA"/>
    <w:rsid w:val="004B6F68"/>
    <w:rsid w:val="004C04C1"/>
    <w:rsid w:val="004C0E56"/>
    <w:rsid w:val="004C29CB"/>
    <w:rsid w:val="004C2DB4"/>
    <w:rsid w:val="004C2ED6"/>
    <w:rsid w:val="004C3250"/>
    <w:rsid w:val="004C39EA"/>
    <w:rsid w:val="004C3FA4"/>
    <w:rsid w:val="004C41E7"/>
    <w:rsid w:val="004C4852"/>
    <w:rsid w:val="004C6970"/>
    <w:rsid w:val="004D068A"/>
    <w:rsid w:val="004D0E76"/>
    <w:rsid w:val="004D0F87"/>
    <w:rsid w:val="004D3869"/>
    <w:rsid w:val="004D3A98"/>
    <w:rsid w:val="004D402B"/>
    <w:rsid w:val="004D50B8"/>
    <w:rsid w:val="004D540D"/>
    <w:rsid w:val="004D7470"/>
    <w:rsid w:val="004E03A5"/>
    <w:rsid w:val="004E08AC"/>
    <w:rsid w:val="004E23AD"/>
    <w:rsid w:val="004E256A"/>
    <w:rsid w:val="004E26CF"/>
    <w:rsid w:val="004E2FB8"/>
    <w:rsid w:val="004E3658"/>
    <w:rsid w:val="004E4432"/>
    <w:rsid w:val="004E73A8"/>
    <w:rsid w:val="004E73F5"/>
    <w:rsid w:val="004F059C"/>
    <w:rsid w:val="004F160C"/>
    <w:rsid w:val="004F49F4"/>
    <w:rsid w:val="004F4F13"/>
    <w:rsid w:val="004F5704"/>
    <w:rsid w:val="004F5807"/>
    <w:rsid w:val="004F5B71"/>
    <w:rsid w:val="004F6725"/>
    <w:rsid w:val="004F7A8E"/>
    <w:rsid w:val="00500B19"/>
    <w:rsid w:val="00500B80"/>
    <w:rsid w:val="005014C9"/>
    <w:rsid w:val="005016CE"/>
    <w:rsid w:val="00501B4D"/>
    <w:rsid w:val="0050396F"/>
    <w:rsid w:val="00503B29"/>
    <w:rsid w:val="005044C8"/>
    <w:rsid w:val="005062B1"/>
    <w:rsid w:val="005069C5"/>
    <w:rsid w:val="00506D81"/>
    <w:rsid w:val="00507344"/>
    <w:rsid w:val="00511362"/>
    <w:rsid w:val="005115F4"/>
    <w:rsid w:val="005125D1"/>
    <w:rsid w:val="00512D41"/>
    <w:rsid w:val="00512FDE"/>
    <w:rsid w:val="0051376C"/>
    <w:rsid w:val="00513A65"/>
    <w:rsid w:val="005161BC"/>
    <w:rsid w:val="005166A3"/>
    <w:rsid w:val="005169A0"/>
    <w:rsid w:val="00520661"/>
    <w:rsid w:val="00520974"/>
    <w:rsid w:val="00522A99"/>
    <w:rsid w:val="005238EC"/>
    <w:rsid w:val="00526A9F"/>
    <w:rsid w:val="00527023"/>
    <w:rsid w:val="005308D0"/>
    <w:rsid w:val="00531318"/>
    <w:rsid w:val="0053168A"/>
    <w:rsid w:val="005321B5"/>
    <w:rsid w:val="00534E95"/>
    <w:rsid w:val="00535040"/>
    <w:rsid w:val="0053580D"/>
    <w:rsid w:val="00540C5E"/>
    <w:rsid w:val="00542289"/>
    <w:rsid w:val="0054259D"/>
    <w:rsid w:val="00542ECD"/>
    <w:rsid w:val="00542F8F"/>
    <w:rsid w:val="00544617"/>
    <w:rsid w:val="00550EC0"/>
    <w:rsid w:val="0055160F"/>
    <w:rsid w:val="00551E33"/>
    <w:rsid w:val="005523A6"/>
    <w:rsid w:val="00553317"/>
    <w:rsid w:val="00553745"/>
    <w:rsid w:val="00554601"/>
    <w:rsid w:val="00555689"/>
    <w:rsid w:val="0055640D"/>
    <w:rsid w:val="00560257"/>
    <w:rsid w:val="005607AD"/>
    <w:rsid w:val="00560B60"/>
    <w:rsid w:val="00561076"/>
    <w:rsid w:val="00561A84"/>
    <w:rsid w:val="005621AE"/>
    <w:rsid w:val="005621E7"/>
    <w:rsid w:val="00563016"/>
    <w:rsid w:val="005647C8"/>
    <w:rsid w:val="00564D74"/>
    <w:rsid w:val="00566CAD"/>
    <w:rsid w:val="00566FED"/>
    <w:rsid w:val="005672CD"/>
    <w:rsid w:val="00567A5D"/>
    <w:rsid w:val="00567C12"/>
    <w:rsid w:val="00571666"/>
    <w:rsid w:val="005738DF"/>
    <w:rsid w:val="00573E5D"/>
    <w:rsid w:val="0057409A"/>
    <w:rsid w:val="00576036"/>
    <w:rsid w:val="00577317"/>
    <w:rsid w:val="00577C55"/>
    <w:rsid w:val="0058088C"/>
    <w:rsid w:val="005808FC"/>
    <w:rsid w:val="00580B89"/>
    <w:rsid w:val="00582830"/>
    <w:rsid w:val="00582F00"/>
    <w:rsid w:val="00584492"/>
    <w:rsid w:val="00585C61"/>
    <w:rsid w:val="00585EE0"/>
    <w:rsid w:val="00586445"/>
    <w:rsid w:val="005864B1"/>
    <w:rsid w:val="00586974"/>
    <w:rsid w:val="00586D6E"/>
    <w:rsid w:val="0059222F"/>
    <w:rsid w:val="005928CA"/>
    <w:rsid w:val="00592957"/>
    <w:rsid w:val="00593618"/>
    <w:rsid w:val="005955E3"/>
    <w:rsid w:val="00595F00"/>
    <w:rsid w:val="005A1576"/>
    <w:rsid w:val="005A1F96"/>
    <w:rsid w:val="005A21CD"/>
    <w:rsid w:val="005A387F"/>
    <w:rsid w:val="005A3F27"/>
    <w:rsid w:val="005A4783"/>
    <w:rsid w:val="005A47D9"/>
    <w:rsid w:val="005A63B7"/>
    <w:rsid w:val="005B00F6"/>
    <w:rsid w:val="005B0E80"/>
    <w:rsid w:val="005B1F72"/>
    <w:rsid w:val="005B3CCB"/>
    <w:rsid w:val="005B58F4"/>
    <w:rsid w:val="005B5A11"/>
    <w:rsid w:val="005B5C80"/>
    <w:rsid w:val="005B61A3"/>
    <w:rsid w:val="005B6381"/>
    <w:rsid w:val="005C0751"/>
    <w:rsid w:val="005C157D"/>
    <w:rsid w:val="005C2902"/>
    <w:rsid w:val="005C37C9"/>
    <w:rsid w:val="005C4E47"/>
    <w:rsid w:val="005C58B5"/>
    <w:rsid w:val="005C71F2"/>
    <w:rsid w:val="005D092C"/>
    <w:rsid w:val="005D2684"/>
    <w:rsid w:val="005D3FB9"/>
    <w:rsid w:val="005D4291"/>
    <w:rsid w:val="005D42E9"/>
    <w:rsid w:val="005D43D0"/>
    <w:rsid w:val="005D4C87"/>
    <w:rsid w:val="005D51C0"/>
    <w:rsid w:val="005D57FB"/>
    <w:rsid w:val="005D5DA3"/>
    <w:rsid w:val="005D677B"/>
    <w:rsid w:val="005D7040"/>
    <w:rsid w:val="005D78B9"/>
    <w:rsid w:val="005D7AB8"/>
    <w:rsid w:val="005E56CD"/>
    <w:rsid w:val="005E57AE"/>
    <w:rsid w:val="005E5882"/>
    <w:rsid w:val="005E60C5"/>
    <w:rsid w:val="005F41B6"/>
    <w:rsid w:val="005F4B68"/>
    <w:rsid w:val="005F5D3D"/>
    <w:rsid w:val="005F6F3A"/>
    <w:rsid w:val="005F75C7"/>
    <w:rsid w:val="00602087"/>
    <w:rsid w:val="00604385"/>
    <w:rsid w:val="00604DE5"/>
    <w:rsid w:val="00606CB0"/>
    <w:rsid w:val="00611D96"/>
    <w:rsid w:val="00612539"/>
    <w:rsid w:val="00612D0A"/>
    <w:rsid w:val="00612E57"/>
    <w:rsid w:val="00612FD1"/>
    <w:rsid w:val="006133D9"/>
    <w:rsid w:val="0061430F"/>
    <w:rsid w:val="00614D2A"/>
    <w:rsid w:val="006156A2"/>
    <w:rsid w:val="006165F7"/>
    <w:rsid w:val="00616718"/>
    <w:rsid w:val="00616CB7"/>
    <w:rsid w:val="006172E8"/>
    <w:rsid w:val="006207CF"/>
    <w:rsid w:val="0062152B"/>
    <w:rsid w:val="006229A6"/>
    <w:rsid w:val="00623A0F"/>
    <w:rsid w:val="00623DCF"/>
    <w:rsid w:val="00627A3E"/>
    <w:rsid w:val="00627F58"/>
    <w:rsid w:val="0063000F"/>
    <w:rsid w:val="006309C4"/>
    <w:rsid w:val="00631E15"/>
    <w:rsid w:val="00631EC4"/>
    <w:rsid w:val="00633115"/>
    <w:rsid w:val="0063324A"/>
    <w:rsid w:val="00633276"/>
    <w:rsid w:val="00635E67"/>
    <w:rsid w:val="00640192"/>
    <w:rsid w:val="0064160C"/>
    <w:rsid w:val="00641868"/>
    <w:rsid w:val="0064352D"/>
    <w:rsid w:val="00645BE2"/>
    <w:rsid w:val="00646985"/>
    <w:rsid w:val="00646B2A"/>
    <w:rsid w:val="00646BA2"/>
    <w:rsid w:val="00647447"/>
    <w:rsid w:val="00647BF9"/>
    <w:rsid w:val="00647BFA"/>
    <w:rsid w:val="00647C9C"/>
    <w:rsid w:val="00650483"/>
    <w:rsid w:val="00651F36"/>
    <w:rsid w:val="006523CB"/>
    <w:rsid w:val="00653CE0"/>
    <w:rsid w:val="00654B9D"/>
    <w:rsid w:val="006553E5"/>
    <w:rsid w:val="00656520"/>
    <w:rsid w:val="00656F6B"/>
    <w:rsid w:val="00657642"/>
    <w:rsid w:val="00661965"/>
    <w:rsid w:val="0066225A"/>
    <w:rsid w:val="006625FC"/>
    <w:rsid w:val="006629B4"/>
    <w:rsid w:val="00664CCF"/>
    <w:rsid w:val="006654F9"/>
    <w:rsid w:val="006656BA"/>
    <w:rsid w:val="00665F3F"/>
    <w:rsid w:val="00666CC3"/>
    <w:rsid w:val="00667866"/>
    <w:rsid w:val="006706C1"/>
    <w:rsid w:val="00671366"/>
    <w:rsid w:val="006715B3"/>
    <w:rsid w:val="006724B3"/>
    <w:rsid w:val="0067270D"/>
    <w:rsid w:val="006761BB"/>
    <w:rsid w:val="00677056"/>
    <w:rsid w:val="00677634"/>
    <w:rsid w:val="00683AC8"/>
    <w:rsid w:val="0068527C"/>
    <w:rsid w:val="00685F22"/>
    <w:rsid w:val="0068666C"/>
    <w:rsid w:val="00686B43"/>
    <w:rsid w:val="00692961"/>
    <w:rsid w:val="006931F6"/>
    <w:rsid w:val="00693849"/>
    <w:rsid w:val="00695092"/>
    <w:rsid w:val="00697AD4"/>
    <w:rsid w:val="006A0595"/>
    <w:rsid w:val="006A137A"/>
    <w:rsid w:val="006A164A"/>
    <w:rsid w:val="006A164C"/>
    <w:rsid w:val="006A1EB5"/>
    <w:rsid w:val="006A275A"/>
    <w:rsid w:val="006A2849"/>
    <w:rsid w:val="006A29B2"/>
    <w:rsid w:val="006A4017"/>
    <w:rsid w:val="006A53DF"/>
    <w:rsid w:val="006A5CF8"/>
    <w:rsid w:val="006A63BA"/>
    <w:rsid w:val="006A6BAF"/>
    <w:rsid w:val="006A6EFF"/>
    <w:rsid w:val="006A798D"/>
    <w:rsid w:val="006B1B44"/>
    <w:rsid w:val="006B2004"/>
    <w:rsid w:val="006B25F8"/>
    <w:rsid w:val="006B33C4"/>
    <w:rsid w:val="006B4321"/>
    <w:rsid w:val="006B4A27"/>
    <w:rsid w:val="006B6464"/>
    <w:rsid w:val="006B6A67"/>
    <w:rsid w:val="006B79ED"/>
    <w:rsid w:val="006C004B"/>
    <w:rsid w:val="006C00E9"/>
    <w:rsid w:val="006C02BC"/>
    <w:rsid w:val="006C1565"/>
    <w:rsid w:val="006C2645"/>
    <w:rsid w:val="006C429F"/>
    <w:rsid w:val="006C5A5C"/>
    <w:rsid w:val="006C5AE6"/>
    <w:rsid w:val="006C6F3B"/>
    <w:rsid w:val="006D287E"/>
    <w:rsid w:val="006D36B5"/>
    <w:rsid w:val="006D3B84"/>
    <w:rsid w:val="006D45AE"/>
    <w:rsid w:val="006D4BBC"/>
    <w:rsid w:val="006D6130"/>
    <w:rsid w:val="006E015B"/>
    <w:rsid w:val="006E043F"/>
    <w:rsid w:val="006E0D0E"/>
    <w:rsid w:val="006E1B8D"/>
    <w:rsid w:val="006E37B4"/>
    <w:rsid w:val="006E409F"/>
    <w:rsid w:val="006E493E"/>
    <w:rsid w:val="006E61BF"/>
    <w:rsid w:val="006E7F78"/>
    <w:rsid w:val="006F0B40"/>
    <w:rsid w:val="006F104A"/>
    <w:rsid w:val="006F1479"/>
    <w:rsid w:val="006F5026"/>
    <w:rsid w:val="006F5209"/>
    <w:rsid w:val="006F65A9"/>
    <w:rsid w:val="006F778D"/>
    <w:rsid w:val="006F7DF1"/>
    <w:rsid w:val="0070090F"/>
    <w:rsid w:val="00703B69"/>
    <w:rsid w:val="007042C4"/>
    <w:rsid w:val="007042D5"/>
    <w:rsid w:val="007046AC"/>
    <w:rsid w:val="0070638C"/>
    <w:rsid w:val="007064C0"/>
    <w:rsid w:val="00710624"/>
    <w:rsid w:val="007124A2"/>
    <w:rsid w:val="00712FD8"/>
    <w:rsid w:val="007173ED"/>
    <w:rsid w:val="00720CCC"/>
    <w:rsid w:val="00723057"/>
    <w:rsid w:val="00723924"/>
    <w:rsid w:val="0072451C"/>
    <w:rsid w:val="00726A71"/>
    <w:rsid w:val="00726DA3"/>
    <w:rsid w:val="0072799B"/>
    <w:rsid w:val="00727B59"/>
    <w:rsid w:val="00727FF9"/>
    <w:rsid w:val="007301B4"/>
    <w:rsid w:val="00731286"/>
    <w:rsid w:val="00732D1E"/>
    <w:rsid w:val="007330D5"/>
    <w:rsid w:val="007339FF"/>
    <w:rsid w:val="00733B64"/>
    <w:rsid w:val="0073596E"/>
    <w:rsid w:val="00735C1D"/>
    <w:rsid w:val="00736246"/>
    <w:rsid w:val="00741B34"/>
    <w:rsid w:val="00744348"/>
    <w:rsid w:val="00744E23"/>
    <w:rsid w:val="00745328"/>
    <w:rsid w:val="007464D6"/>
    <w:rsid w:val="00750A5C"/>
    <w:rsid w:val="00751E76"/>
    <w:rsid w:val="00751EF8"/>
    <w:rsid w:val="007520BF"/>
    <w:rsid w:val="00753471"/>
    <w:rsid w:val="0075448E"/>
    <w:rsid w:val="00761983"/>
    <w:rsid w:val="00762108"/>
    <w:rsid w:val="007629BA"/>
    <w:rsid w:val="00762CB5"/>
    <w:rsid w:val="00762F9A"/>
    <w:rsid w:val="00763215"/>
    <w:rsid w:val="00763C1E"/>
    <w:rsid w:val="00765F86"/>
    <w:rsid w:val="0076637D"/>
    <w:rsid w:val="00766865"/>
    <w:rsid w:val="007669CA"/>
    <w:rsid w:val="0077036A"/>
    <w:rsid w:val="0077210B"/>
    <w:rsid w:val="007721BA"/>
    <w:rsid w:val="00772B0B"/>
    <w:rsid w:val="00773487"/>
    <w:rsid w:val="0077463E"/>
    <w:rsid w:val="007758F8"/>
    <w:rsid w:val="00776256"/>
    <w:rsid w:val="00776533"/>
    <w:rsid w:val="00777079"/>
    <w:rsid w:val="00782344"/>
    <w:rsid w:val="00782384"/>
    <w:rsid w:val="00786722"/>
    <w:rsid w:val="00786D80"/>
    <w:rsid w:val="00787042"/>
    <w:rsid w:val="007916C0"/>
    <w:rsid w:val="00792E63"/>
    <w:rsid w:val="007A034E"/>
    <w:rsid w:val="007A114D"/>
    <w:rsid w:val="007A182F"/>
    <w:rsid w:val="007A28DD"/>
    <w:rsid w:val="007A3A2A"/>
    <w:rsid w:val="007A7A5F"/>
    <w:rsid w:val="007A7AB1"/>
    <w:rsid w:val="007B0A4E"/>
    <w:rsid w:val="007B0C26"/>
    <w:rsid w:val="007B24B8"/>
    <w:rsid w:val="007B293B"/>
    <w:rsid w:val="007B3AB6"/>
    <w:rsid w:val="007B3DAA"/>
    <w:rsid w:val="007B497F"/>
    <w:rsid w:val="007B5446"/>
    <w:rsid w:val="007B705A"/>
    <w:rsid w:val="007B7094"/>
    <w:rsid w:val="007C0057"/>
    <w:rsid w:val="007C0802"/>
    <w:rsid w:val="007C0813"/>
    <w:rsid w:val="007C08A9"/>
    <w:rsid w:val="007C2D44"/>
    <w:rsid w:val="007C3C31"/>
    <w:rsid w:val="007C4F9B"/>
    <w:rsid w:val="007C5C4F"/>
    <w:rsid w:val="007C7AD5"/>
    <w:rsid w:val="007C7E8A"/>
    <w:rsid w:val="007D17E8"/>
    <w:rsid w:val="007D2B24"/>
    <w:rsid w:val="007D320B"/>
    <w:rsid w:val="007D4718"/>
    <w:rsid w:val="007D5856"/>
    <w:rsid w:val="007E1AF0"/>
    <w:rsid w:val="007E236C"/>
    <w:rsid w:val="007E48FF"/>
    <w:rsid w:val="007E530E"/>
    <w:rsid w:val="007E55CF"/>
    <w:rsid w:val="007E69F6"/>
    <w:rsid w:val="007E7AE3"/>
    <w:rsid w:val="007F049F"/>
    <w:rsid w:val="007F1B21"/>
    <w:rsid w:val="007F2458"/>
    <w:rsid w:val="007F27F1"/>
    <w:rsid w:val="007F2FF7"/>
    <w:rsid w:val="007F4421"/>
    <w:rsid w:val="007F5230"/>
    <w:rsid w:val="007F5897"/>
    <w:rsid w:val="007F5C49"/>
    <w:rsid w:val="007F642B"/>
    <w:rsid w:val="007F6B0B"/>
    <w:rsid w:val="007F74DA"/>
    <w:rsid w:val="00803367"/>
    <w:rsid w:val="008042EE"/>
    <w:rsid w:val="008055B6"/>
    <w:rsid w:val="00807118"/>
    <w:rsid w:val="00807980"/>
    <w:rsid w:val="008114B4"/>
    <w:rsid w:val="0081182B"/>
    <w:rsid w:val="00812532"/>
    <w:rsid w:val="008134AA"/>
    <w:rsid w:val="00814416"/>
    <w:rsid w:val="00815604"/>
    <w:rsid w:val="00817436"/>
    <w:rsid w:val="00821BD7"/>
    <w:rsid w:val="008224A5"/>
    <w:rsid w:val="00822E90"/>
    <w:rsid w:val="00823D05"/>
    <w:rsid w:val="00824805"/>
    <w:rsid w:val="00824AB0"/>
    <w:rsid w:val="0082525F"/>
    <w:rsid w:val="00825D36"/>
    <w:rsid w:val="00826E7D"/>
    <w:rsid w:val="0082763A"/>
    <w:rsid w:val="00827F8A"/>
    <w:rsid w:val="0083142E"/>
    <w:rsid w:val="008318AA"/>
    <w:rsid w:val="00831C94"/>
    <w:rsid w:val="008363E1"/>
    <w:rsid w:val="00836A4F"/>
    <w:rsid w:val="008408FA"/>
    <w:rsid w:val="00842525"/>
    <w:rsid w:val="008454F3"/>
    <w:rsid w:val="00845B3A"/>
    <w:rsid w:val="008460AF"/>
    <w:rsid w:val="0084704F"/>
    <w:rsid w:val="00847E00"/>
    <w:rsid w:val="008510A6"/>
    <w:rsid w:val="00853D8E"/>
    <w:rsid w:val="00853DD7"/>
    <w:rsid w:val="008540FB"/>
    <w:rsid w:val="00857995"/>
    <w:rsid w:val="008614D2"/>
    <w:rsid w:val="00863F9B"/>
    <w:rsid w:val="0086487A"/>
    <w:rsid w:val="00867B6C"/>
    <w:rsid w:val="00871EBB"/>
    <w:rsid w:val="00871EC4"/>
    <w:rsid w:val="00872189"/>
    <w:rsid w:val="00872430"/>
    <w:rsid w:val="00872615"/>
    <w:rsid w:val="00873741"/>
    <w:rsid w:val="00874AE9"/>
    <w:rsid w:val="00875CA6"/>
    <w:rsid w:val="00875FC7"/>
    <w:rsid w:val="00876259"/>
    <w:rsid w:val="00876D27"/>
    <w:rsid w:val="00876E81"/>
    <w:rsid w:val="008776CB"/>
    <w:rsid w:val="00881222"/>
    <w:rsid w:val="00883043"/>
    <w:rsid w:val="00883F54"/>
    <w:rsid w:val="0088485C"/>
    <w:rsid w:val="00884E77"/>
    <w:rsid w:val="00884FA8"/>
    <w:rsid w:val="008862D8"/>
    <w:rsid w:val="008864E9"/>
    <w:rsid w:val="008921B3"/>
    <w:rsid w:val="008930BD"/>
    <w:rsid w:val="00893381"/>
    <w:rsid w:val="00893C60"/>
    <w:rsid w:val="00893DBC"/>
    <w:rsid w:val="008A0781"/>
    <w:rsid w:val="008A15D1"/>
    <w:rsid w:val="008A18D7"/>
    <w:rsid w:val="008A36C0"/>
    <w:rsid w:val="008A3C6B"/>
    <w:rsid w:val="008A59F9"/>
    <w:rsid w:val="008A5B07"/>
    <w:rsid w:val="008A69B3"/>
    <w:rsid w:val="008A7121"/>
    <w:rsid w:val="008B6BB3"/>
    <w:rsid w:val="008B77FD"/>
    <w:rsid w:val="008C1FCF"/>
    <w:rsid w:val="008C3461"/>
    <w:rsid w:val="008C573E"/>
    <w:rsid w:val="008D0987"/>
    <w:rsid w:val="008D2CB3"/>
    <w:rsid w:val="008D31B8"/>
    <w:rsid w:val="008D3C5A"/>
    <w:rsid w:val="008D60C0"/>
    <w:rsid w:val="008D7FF4"/>
    <w:rsid w:val="008E08DD"/>
    <w:rsid w:val="008E0FCD"/>
    <w:rsid w:val="008E1819"/>
    <w:rsid w:val="008E2E05"/>
    <w:rsid w:val="008E349D"/>
    <w:rsid w:val="008E3996"/>
    <w:rsid w:val="008E4AF7"/>
    <w:rsid w:val="008E5657"/>
    <w:rsid w:val="008E681E"/>
    <w:rsid w:val="008E6BA5"/>
    <w:rsid w:val="008E7178"/>
    <w:rsid w:val="008E7EBF"/>
    <w:rsid w:val="008F1019"/>
    <w:rsid w:val="008F193F"/>
    <w:rsid w:val="008F1ED2"/>
    <w:rsid w:val="008F29F8"/>
    <w:rsid w:val="008F30FF"/>
    <w:rsid w:val="008F3AF3"/>
    <w:rsid w:val="008F50E9"/>
    <w:rsid w:val="008F6432"/>
    <w:rsid w:val="008F64F8"/>
    <w:rsid w:val="008F65F0"/>
    <w:rsid w:val="008F7BE5"/>
    <w:rsid w:val="00901746"/>
    <w:rsid w:val="00901C03"/>
    <w:rsid w:val="009026E3"/>
    <w:rsid w:val="00902EE8"/>
    <w:rsid w:val="00903D19"/>
    <w:rsid w:val="00904FBD"/>
    <w:rsid w:val="0090725C"/>
    <w:rsid w:val="00912468"/>
    <w:rsid w:val="00913614"/>
    <w:rsid w:val="00914091"/>
    <w:rsid w:val="009140D1"/>
    <w:rsid w:val="00914795"/>
    <w:rsid w:val="0091642B"/>
    <w:rsid w:val="0091740A"/>
    <w:rsid w:val="0092009C"/>
    <w:rsid w:val="00920E58"/>
    <w:rsid w:val="00922C93"/>
    <w:rsid w:val="00923055"/>
    <w:rsid w:val="00923CD6"/>
    <w:rsid w:val="00923EEE"/>
    <w:rsid w:val="009247A5"/>
    <w:rsid w:val="00924958"/>
    <w:rsid w:val="00925203"/>
    <w:rsid w:val="00926C42"/>
    <w:rsid w:val="00931140"/>
    <w:rsid w:val="00931BA8"/>
    <w:rsid w:val="00932C53"/>
    <w:rsid w:val="00933317"/>
    <w:rsid w:val="00934D22"/>
    <w:rsid w:val="0093541F"/>
    <w:rsid w:val="00936704"/>
    <w:rsid w:val="00937FBE"/>
    <w:rsid w:val="009405B1"/>
    <w:rsid w:val="0094150D"/>
    <w:rsid w:val="0094159E"/>
    <w:rsid w:val="00943483"/>
    <w:rsid w:val="00944502"/>
    <w:rsid w:val="0094469B"/>
    <w:rsid w:val="009448FB"/>
    <w:rsid w:val="00946A5C"/>
    <w:rsid w:val="00947EB9"/>
    <w:rsid w:val="009506FE"/>
    <w:rsid w:val="00950770"/>
    <w:rsid w:val="0095163E"/>
    <w:rsid w:val="009521E4"/>
    <w:rsid w:val="00952A9D"/>
    <w:rsid w:val="00953690"/>
    <w:rsid w:val="009538BA"/>
    <w:rsid w:val="00954747"/>
    <w:rsid w:val="00954A0A"/>
    <w:rsid w:val="00954B03"/>
    <w:rsid w:val="009556A3"/>
    <w:rsid w:val="0095580E"/>
    <w:rsid w:val="00960ED0"/>
    <w:rsid w:val="00960FBF"/>
    <w:rsid w:val="00961A05"/>
    <w:rsid w:val="00962555"/>
    <w:rsid w:val="0096330B"/>
    <w:rsid w:val="0096413F"/>
    <w:rsid w:val="009658CA"/>
    <w:rsid w:val="00971043"/>
    <w:rsid w:val="009716E3"/>
    <w:rsid w:val="00976634"/>
    <w:rsid w:val="009766B9"/>
    <w:rsid w:val="009802F0"/>
    <w:rsid w:val="00980DC4"/>
    <w:rsid w:val="009813F4"/>
    <w:rsid w:val="00981D46"/>
    <w:rsid w:val="009828F6"/>
    <w:rsid w:val="00982AED"/>
    <w:rsid w:val="0098340C"/>
    <w:rsid w:val="00983416"/>
    <w:rsid w:val="00983434"/>
    <w:rsid w:val="00983854"/>
    <w:rsid w:val="00984366"/>
    <w:rsid w:val="00984597"/>
    <w:rsid w:val="00984DB4"/>
    <w:rsid w:val="00985A99"/>
    <w:rsid w:val="00986039"/>
    <w:rsid w:val="0098699C"/>
    <w:rsid w:val="00986F8B"/>
    <w:rsid w:val="009906C1"/>
    <w:rsid w:val="00990955"/>
    <w:rsid w:val="00991047"/>
    <w:rsid w:val="00992488"/>
    <w:rsid w:val="00993402"/>
    <w:rsid w:val="0099541E"/>
    <w:rsid w:val="0099597A"/>
    <w:rsid w:val="00995ADA"/>
    <w:rsid w:val="00997809"/>
    <w:rsid w:val="00997970"/>
    <w:rsid w:val="00997EA0"/>
    <w:rsid w:val="009A004E"/>
    <w:rsid w:val="009A118F"/>
    <w:rsid w:val="009A1CF5"/>
    <w:rsid w:val="009A2B08"/>
    <w:rsid w:val="009A54D3"/>
    <w:rsid w:val="009A5F97"/>
    <w:rsid w:val="009A66EB"/>
    <w:rsid w:val="009A6B85"/>
    <w:rsid w:val="009A739D"/>
    <w:rsid w:val="009B12DA"/>
    <w:rsid w:val="009B34A3"/>
    <w:rsid w:val="009B3D1B"/>
    <w:rsid w:val="009B401C"/>
    <w:rsid w:val="009B471F"/>
    <w:rsid w:val="009B4896"/>
    <w:rsid w:val="009B4F41"/>
    <w:rsid w:val="009B5484"/>
    <w:rsid w:val="009B5870"/>
    <w:rsid w:val="009B77D7"/>
    <w:rsid w:val="009C0423"/>
    <w:rsid w:val="009C05B6"/>
    <w:rsid w:val="009C10F0"/>
    <w:rsid w:val="009C1507"/>
    <w:rsid w:val="009C2FFE"/>
    <w:rsid w:val="009C3AC4"/>
    <w:rsid w:val="009C5317"/>
    <w:rsid w:val="009C7800"/>
    <w:rsid w:val="009D01BC"/>
    <w:rsid w:val="009D140C"/>
    <w:rsid w:val="009D2084"/>
    <w:rsid w:val="009D43F3"/>
    <w:rsid w:val="009D62ED"/>
    <w:rsid w:val="009D7743"/>
    <w:rsid w:val="009D7DEA"/>
    <w:rsid w:val="009E002A"/>
    <w:rsid w:val="009E0472"/>
    <w:rsid w:val="009E0586"/>
    <w:rsid w:val="009E0C08"/>
    <w:rsid w:val="009E38E1"/>
    <w:rsid w:val="009E62C9"/>
    <w:rsid w:val="009E64A3"/>
    <w:rsid w:val="009E67E5"/>
    <w:rsid w:val="009E6D55"/>
    <w:rsid w:val="009E720F"/>
    <w:rsid w:val="009E77A4"/>
    <w:rsid w:val="009E7E38"/>
    <w:rsid w:val="009F045E"/>
    <w:rsid w:val="009F073B"/>
    <w:rsid w:val="009F10FA"/>
    <w:rsid w:val="009F316C"/>
    <w:rsid w:val="009F55E0"/>
    <w:rsid w:val="009F665E"/>
    <w:rsid w:val="00A005D5"/>
    <w:rsid w:val="00A00C26"/>
    <w:rsid w:val="00A022B8"/>
    <w:rsid w:val="00A0252C"/>
    <w:rsid w:val="00A036A9"/>
    <w:rsid w:val="00A03A1B"/>
    <w:rsid w:val="00A0461A"/>
    <w:rsid w:val="00A053A8"/>
    <w:rsid w:val="00A074EC"/>
    <w:rsid w:val="00A0792C"/>
    <w:rsid w:val="00A07E73"/>
    <w:rsid w:val="00A119DB"/>
    <w:rsid w:val="00A11B7A"/>
    <w:rsid w:val="00A1419C"/>
    <w:rsid w:val="00A14246"/>
    <w:rsid w:val="00A14C54"/>
    <w:rsid w:val="00A162BB"/>
    <w:rsid w:val="00A21143"/>
    <w:rsid w:val="00A211CC"/>
    <w:rsid w:val="00A21302"/>
    <w:rsid w:val="00A22EFF"/>
    <w:rsid w:val="00A236EC"/>
    <w:rsid w:val="00A2389F"/>
    <w:rsid w:val="00A23A05"/>
    <w:rsid w:val="00A23F6F"/>
    <w:rsid w:val="00A2459F"/>
    <w:rsid w:val="00A24A09"/>
    <w:rsid w:val="00A24FF2"/>
    <w:rsid w:val="00A2599C"/>
    <w:rsid w:val="00A25FBE"/>
    <w:rsid w:val="00A278E2"/>
    <w:rsid w:val="00A27E75"/>
    <w:rsid w:val="00A30093"/>
    <w:rsid w:val="00A33999"/>
    <w:rsid w:val="00A33B14"/>
    <w:rsid w:val="00A33E80"/>
    <w:rsid w:val="00A34476"/>
    <w:rsid w:val="00A36B03"/>
    <w:rsid w:val="00A37911"/>
    <w:rsid w:val="00A37EEE"/>
    <w:rsid w:val="00A40136"/>
    <w:rsid w:val="00A40BFC"/>
    <w:rsid w:val="00A42C5D"/>
    <w:rsid w:val="00A43B60"/>
    <w:rsid w:val="00A44A29"/>
    <w:rsid w:val="00A45353"/>
    <w:rsid w:val="00A461DF"/>
    <w:rsid w:val="00A46A7C"/>
    <w:rsid w:val="00A47448"/>
    <w:rsid w:val="00A47BD9"/>
    <w:rsid w:val="00A50B1A"/>
    <w:rsid w:val="00A50C88"/>
    <w:rsid w:val="00A51B1F"/>
    <w:rsid w:val="00A51D9B"/>
    <w:rsid w:val="00A5243D"/>
    <w:rsid w:val="00A52F46"/>
    <w:rsid w:val="00A530DE"/>
    <w:rsid w:val="00A5439F"/>
    <w:rsid w:val="00A54908"/>
    <w:rsid w:val="00A55961"/>
    <w:rsid w:val="00A55BD1"/>
    <w:rsid w:val="00A55C8B"/>
    <w:rsid w:val="00A567E3"/>
    <w:rsid w:val="00A57C50"/>
    <w:rsid w:val="00A60514"/>
    <w:rsid w:val="00A62330"/>
    <w:rsid w:val="00A626E0"/>
    <w:rsid w:val="00A63095"/>
    <w:rsid w:val="00A64780"/>
    <w:rsid w:val="00A67589"/>
    <w:rsid w:val="00A70C05"/>
    <w:rsid w:val="00A72BF2"/>
    <w:rsid w:val="00A732F7"/>
    <w:rsid w:val="00A73FBB"/>
    <w:rsid w:val="00A76023"/>
    <w:rsid w:val="00A76D8C"/>
    <w:rsid w:val="00A77FCB"/>
    <w:rsid w:val="00A843DB"/>
    <w:rsid w:val="00A84406"/>
    <w:rsid w:val="00A84AA5"/>
    <w:rsid w:val="00A916CA"/>
    <w:rsid w:val="00A91CE7"/>
    <w:rsid w:val="00A91FBF"/>
    <w:rsid w:val="00A92639"/>
    <w:rsid w:val="00A93548"/>
    <w:rsid w:val="00A94140"/>
    <w:rsid w:val="00A94735"/>
    <w:rsid w:val="00A950AE"/>
    <w:rsid w:val="00A9515B"/>
    <w:rsid w:val="00A97685"/>
    <w:rsid w:val="00AA021F"/>
    <w:rsid w:val="00AA17FD"/>
    <w:rsid w:val="00AA1A49"/>
    <w:rsid w:val="00AA27C1"/>
    <w:rsid w:val="00AA2F11"/>
    <w:rsid w:val="00AA4BA6"/>
    <w:rsid w:val="00AA6A1F"/>
    <w:rsid w:val="00AA6CEC"/>
    <w:rsid w:val="00AA6F1B"/>
    <w:rsid w:val="00AA70DC"/>
    <w:rsid w:val="00AA7D46"/>
    <w:rsid w:val="00AB0D1A"/>
    <w:rsid w:val="00AB0D31"/>
    <w:rsid w:val="00AB10F5"/>
    <w:rsid w:val="00AB5328"/>
    <w:rsid w:val="00AB5FA6"/>
    <w:rsid w:val="00AC2632"/>
    <w:rsid w:val="00AC2895"/>
    <w:rsid w:val="00AC38EC"/>
    <w:rsid w:val="00AC3C33"/>
    <w:rsid w:val="00AC3F6F"/>
    <w:rsid w:val="00AC4F84"/>
    <w:rsid w:val="00AC5BF9"/>
    <w:rsid w:val="00AD1FD1"/>
    <w:rsid w:val="00AD38A6"/>
    <w:rsid w:val="00AD3DC9"/>
    <w:rsid w:val="00AD405C"/>
    <w:rsid w:val="00AD60AB"/>
    <w:rsid w:val="00AD6366"/>
    <w:rsid w:val="00AD75DD"/>
    <w:rsid w:val="00AD79C5"/>
    <w:rsid w:val="00AD7B32"/>
    <w:rsid w:val="00AE1027"/>
    <w:rsid w:val="00AE2647"/>
    <w:rsid w:val="00AE3ECD"/>
    <w:rsid w:val="00AE4E9C"/>
    <w:rsid w:val="00AE6001"/>
    <w:rsid w:val="00AE7900"/>
    <w:rsid w:val="00AF0454"/>
    <w:rsid w:val="00AF3188"/>
    <w:rsid w:val="00AF404C"/>
    <w:rsid w:val="00AF4A12"/>
    <w:rsid w:val="00AF6D32"/>
    <w:rsid w:val="00B00786"/>
    <w:rsid w:val="00B01265"/>
    <w:rsid w:val="00B01618"/>
    <w:rsid w:val="00B02B9C"/>
    <w:rsid w:val="00B041E4"/>
    <w:rsid w:val="00B05395"/>
    <w:rsid w:val="00B0545F"/>
    <w:rsid w:val="00B056FF"/>
    <w:rsid w:val="00B07F21"/>
    <w:rsid w:val="00B10FDF"/>
    <w:rsid w:val="00B111C4"/>
    <w:rsid w:val="00B11942"/>
    <w:rsid w:val="00B11FC4"/>
    <w:rsid w:val="00B122EF"/>
    <w:rsid w:val="00B15F07"/>
    <w:rsid w:val="00B17347"/>
    <w:rsid w:val="00B1750C"/>
    <w:rsid w:val="00B2027D"/>
    <w:rsid w:val="00B216E3"/>
    <w:rsid w:val="00B22990"/>
    <w:rsid w:val="00B238D2"/>
    <w:rsid w:val="00B24D19"/>
    <w:rsid w:val="00B265F8"/>
    <w:rsid w:val="00B2776B"/>
    <w:rsid w:val="00B30630"/>
    <w:rsid w:val="00B3063B"/>
    <w:rsid w:val="00B30AE7"/>
    <w:rsid w:val="00B31216"/>
    <w:rsid w:val="00B33A4E"/>
    <w:rsid w:val="00B33B0C"/>
    <w:rsid w:val="00B34C13"/>
    <w:rsid w:val="00B35282"/>
    <w:rsid w:val="00B352C0"/>
    <w:rsid w:val="00B3580F"/>
    <w:rsid w:val="00B374F0"/>
    <w:rsid w:val="00B37C77"/>
    <w:rsid w:val="00B41AE3"/>
    <w:rsid w:val="00B42531"/>
    <w:rsid w:val="00B42D0A"/>
    <w:rsid w:val="00B431BD"/>
    <w:rsid w:val="00B4368C"/>
    <w:rsid w:val="00B463E3"/>
    <w:rsid w:val="00B4692B"/>
    <w:rsid w:val="00B477CD"/>
    <w:rsid w:val="00B50897"/>
    <w:rsid w:val="00B51762"/>
    <w:rsid w:val="00B51B8F"/>
    <w:rsid w:val="00B551A1"/>
    <w:rsid w:val="00B554DE"/>
    <w:rsid w:val="00B56AF9"/>
    <w:rsid w:val="00B57596"/>
    <w:rsid w:val="00B616A4"/>
    <w:rsid w:val="00B61E35"/>
    <w:rsid w:val="00B63E1D"/>
    <w:rsid w:val="00B65002"/>
    <w:rsid w:val="00B65581"/>
    <w:rsid w:val="00B66556"/>
    <w:rsid w:val="00B676D8"/>
    <w:rsid w:val="00B71249"/>
    <w:rsid w:val="00B71538"/>
    <w:rsid w:val="00B7422E"/>
    <w:rsid w:val="00B7525C"/>
    <w:rsid w:val="00B81B65"/>
    <w:rsid w:val="00B81E5C"/>
    <w:rsid w:val="00B8291A"/>
    <w:rsid w:val="00B82AB1"/>
    <w:rsid w:val="00B83538"/>
    <w:rsid w:val="00B83EB9"/>
    <w:rsid w:val="00B84829"/>
    <w:rsid w:val="00B84C79"/>
    <w:rsid w:val="00B86258"/>
    <w:rsid w:val="00B87EA0"/>
    <w:rsid w:val="00B92967"/>
    <w:rsid w:val="00B92EC5"/>
    <w:rsid w:val="00B935DD"/>
    <w:rsid w:val="00B942EB"/>
    <w:rsid w:val="00B94D6E"/>
    <w:rsid w:val="00B95162"/>
    <w:rsid w:val="00B97ECD"/>
    <w:rsid w:val="00B97FCE"/>
    <w:rsid w:val="00BA17A8"/>
    <w:rsid w:val="00BA2430"/>
    <w:rsid w:val="00BA26DA"/>
    <w:rsid w:val="00BA3CFB"/>
    <w:rsid w:val="00BA4ECA"/>
    <w:rsid w:val="00BA4FED"/>
    <w:rsid w:val="00BA5330"/>
    <w:rsid w:val="00BA578D"/>
    <w:rsid w:val="00BA7C2A"/>
    <w:rsid w:val="00BB0900"/>
    <w:rsid w:val="00BB24FF"/>
    <w:rsid w:val="00BB459F"/>
    <w:rsid w:val="00BB4F0D"/>
    <w:rsid w:val="00BB503A"/>
    <w:rsid w:val="00BB58BD"/>
    <w:rsid w:val="00BB6797"/>
    <w:rsid w:val="00BC0570"/>
    <w:rsid w:val="00BC0B40"/>
    <w:rsid w:val="00BC26B1"/>
    <w:rsid w:val="00BC38DE"/>
    <w:rsid w:val="00BC3C90"/>
    <w:rsid w:val="00BC3CF1"/>
    <w:rsid w:val="00BC4573"/>
    <w:rsid w:val="00BC5D18"/>
    <w:rsid w:val="00BC6107"/>
    <w:rsid w:val="00BC6FC0"/>
    <w:rsid w:val="00BC7367"/>
    <w:rsid w:val="00BC7431"/>
    <w:rsid w:val="00BD0391"/>
    <w:rsid w:val="00BD0499"/>
    <w:rsid w:val="00BD0AB8"/>
    <w:rsid w:val="00BD2E0E"/>
    <w:rsid w:val="00BD588A"/>
    <w:rsid w:val="00BD5CAE"/>
    <w:rsid w:val="00BD6976"/>
    <w:rsid w:val="00BE02F8"/>
    <w:rsid w:val="00BE108B"/>
    <w:rsid w:val="00BE189D"/>
    <w:rsid w:val="00BE1EE4"/>
    <w:rsid w:val="00BE3E39"/>
    <w:rsid w:val="00BE5300"/>
    <w:rsid w:val="00BE678A"/>
    <w:rsid w:val="00BF27DF"/>
    <w:rsid w:val="00BF2DB7"/>
    <w:rsid w:val="00BF38F8"/>
    <w:rsid w:val="00BF3A3C"/>
    <w:rsid w:val="00BF4006"/>
    <w:rsid w:val="00BF470D"/>
    <w:rsid w:val="00BF4B19"/>
    <w:rsid w:val="00BF67A5"/>
    <w:rsid w:val="00BF6C1C"/>
    <w:rsid w:val="00C0357A"/>
    <w:rsid w:val="00C057CC"/>
    <w:rsid w:val="00C07B2C"/>
    <w:rsid w:val="00C11BE7"/>
    <w:rsid w:val="00C12389"/>
    <w:rsid w:val="00C12ACB"/>
    <w:rsid w:val="00C1308C"/>
    <w:rsid w:val="00C14496"/>
    <w:rsid w:val="00C14AF2"/>
    <w:rsid w:val="00C1666A"/>
    <w:rsid w:val="00C166FB"/>
    <w:rsid w:val="00C168C6"/>
    <w:rsid w:val="00C16B7B"/>
    <w:rsid w:val="00C170BD"/>
    <w:rsid w:val="00C2105C"/>
    <w:rsid w:val="00C21A1F"/>
    <w:rsid w:val="00C2430B"/>
    <w:rsid w:val="00C24499"/>
    <w:rsid w:val="00C2593E"/>
    <w:rsid w:val="00C25D64"/>
    <w:rsid w:val="00C260EB"/>
    <w:rsid w:val="00C26723"/>
    <w:rsid w:val="00C27450"/>
    <w:rsid w:val="00C274BE"/>
    <w:rsid w:val="00C2750D"/>
    <w:rsid w:val="00C30368"/>
    <w:rsid w:val="00C31302"/>
    <w:rsid w:val="00C31617"/>
    <w:rsid w:val="00C31B70"/>
    <w:rsid w:val="00C33F29"/>
    <w:rsid w:val="00C33FE4"/>
    <w:rsid w:val="00C34FF8"/>
    <w:rsid w:val="00C357E1"/>
    <w:rsid w:val="00C36583"/>
    <w:rsid w:val="00C41B32"/>
    <w:rsid w:val="00C438E1"/>
    <w:rsid w:val="00C45DFF"/>
    <w:rsid w:val="00C460C9"/>
    <w:rsid w:val="00C467DA"/>
    <w:rsid w:val="00C47B3B"/>
    <w:rsid w:val="00C50C00"/>
    <w:rsid w:val="00C50F4A"/>
    <w:rsid w:val="00C51842"/>
    <w:rsid w:val="00C52D74"/>
    <w:rsid w:val="00C533E8"/>
    <w:rsid w:val="00C54330"/>
    <w:rsid w:val="00C550AA"/>
    <w:rsid w:val="00C55153"/>
    <w:rsid w:val="00C56EA6"/>
    <w:rsid w:val="00C57BFC"/>
    <w:rsid w:val="00C60191"/>
    <w:rsid w:val="00C60520"/>
    <w:rsid w:val="00C60AE9"/>
    <w:rsid w:val="00C6277E"/>
    <w:rsid w:val="00C62BC6"/>
    <w:rsid w:val="00C64C63"/>
    <w:rsid w:val="00C668ED"/>
    <w:rsid w:val="00C670FA"/>
    <w:rsid w:val="00C677B2"/>
    <w:rsid w:val="00C70E6B"/>
    <w:rsid w:val="00C71DFB"/>
    <w:rsid w:val="00C72855"/>
    <w:rsid w:val="00C730F4"/>
    <w:rsid w:val="00C74605"/>
    <w:rsid w:val="00C74D24"/>
    <w:rsid w:val="00C74F13"/>
    <w:rsid w:val="00C80CE9"/>
    <w:rsid w:val="00C82035"/>
    <w:rsid w:val="00C8281B"/>
    <w:rsid w:val="00C82AE6"/>
    <w:rsid w:val="00C831C3"/>
    <w:rsid w:val="00C83D10"/>
    <w:rsid w:val="00C83EA6"/>
    <w:rsid w:val="00C86BC8"/>
    <w:rsid w:val="00C87039"/>
    <w:rsid w:val="00C871CA"/>
    <w:rsid w:val="00C87313"/>
    <w:rsid w:val="00C87B19"/>
    <w:rsid w:val="00C87B2D"/>
    <w:rsid w:val="00C87ED7"/>
    <w:rsid w:val="00C90755"/>
    <w:rsid w:val="00C90E68"/>
    <w:rsid w:val="00C91072"/>
    <w:rsid w:val="00C92CE0"/>
    <w:rsid w:val="00C93945"/>
    <w:rsid w:val="00C94C3F"/>
    <w:rsid w:val="00C967F1"/>
    <w:rsid w:val="00CA3012"/>
    <w:rsid w:val="00CA31A7"/>
    <w:rsid w:val="00CA4937"/>
    <w:rsid w:val="00CA7F3F"/>
    <w:rsid w:val="00CB08E7"/>
    <w:rsid w:val="00CB1348"/>
    <w:rsid w:val="00CB3887"/>
    <w:rsid w:val="00CB38F8"/>
    <w:rsid w:val="00CB47F1"/>
    <w:rsid w:val="00CB480B"/>
    <w:rsid w:val="00CB5433"/>
    <w:rsid w:val="00CB67D6"/>
    <w:rsid w:val="00CB6E67"/>
    <w:rsid w:val="00CC0C91"/>
    <w:rsid w:val="00CC172B"/>
    <w:rsid w:val="00CC1941"/>
    <w:rsid w:val="00CC22BC"/>
    <w:rsid w:val="00CC3E97"/>
    <w:rsid w:val="00CC3F5D"/>
    <w:rsid w:val="00CC4FF8"/>
    <w:rsid w:val="00CC6D7E"/>
    <w:rsid w:val="00CC6E1D"/>
    <w:rsid w:val="00CC7514"/>
    <w:rsid w:val="00CC7888"/>
    <w:rsid w:val="00CC79C5"/>
    <w:rsid w:val="00CD0733"/>
    <w:rsid w:val="00CD0CB0"/>
    <w:rsid w:val="00CD1EFB"/>
    <w:rsid w:val="00CD216A"/>
    <w:rsid w:val="00CD26EC"/>
    <w:rsid w:val="00CD3286"/>
    <w:rsid w:val="00CD3646"/>
    <w:rsid w:val="00CD4966"/>
    <w:rsid w:val="00CD4CCA"/>
    <w:rsid w:val="00CD53B8"/>
    <w:rsid w:val="00CD575D"/>
    <w:rsid w:val="00CE003C"/>
    <w:rsid w:val="00CE0C0C"/>
    <w:rsid w:val="00CE237F"/>
    <w:rsid w:val="00CE2692"/>
    <w:rsid w:val="00CE3CCD"/>
    <w:rsid w:val="00CE575E"/>
    <w:rsid w:val="00CF0421"/>
    <w:rsid w:val="00CF10B6"/>
    <w:rsid w:val="00CF36B6"/>
    <w:rsid w:val="00CF4672"/>
    <w:rsid w:val="00CF5CDD"/>
    <w:rsid w:val="00CF658F"/>
    <w:rsid w:val="00CF7740"/>
    <w:rsid w:val="00CF7ADD"/>
    <w:rsid w:val="00D00149"/>
    <w:rsid w:val="00D00AA9"/>
    <w:rsid w:val="00D02423"/>
    <w:rsid w:val="00D02863"/>
    <w:rsid w:val="00D0412E"/>
    <w:rsid w:val="00D052A3"/>
    <w:rsid w:val="00D06209"/>
    <w:rsid w:val="00D07C46"/>
    <w:rsid w:val="00D100AF"/>
    <w:rsid w:val="00D11238"/>
    <w:rsid w:val="00D11271"/>
    <w:rsid w:val="00D112AC"/>
    <w:rsid w:val="00D11D50"/>
    <w:rsid w:val="00D11D67"/>
    <w:rsid w:val="00D11F7C"/>
    <w:rsid w:val="00D126E8"/>
    <w:rsid w:val="00D12B29"/>
    <w:rsid w:val="00D144E7"/>
    <w:rsid w:val="00D16186"/>
    <w:rsid w:val="00D17C9A"/>
    <w:rsid w:val="00D2117E"/>
    <w:rsid w:val="00D22692"/>
    <w:rsid w:val="00D2412D"/>
    <w:rsid w:val="00D2644D"/>
    <w:rsid w:val="00D26F67"/>
    <w:rsid w:val="00D302F1"/>
    <w:rsid w:val="00D30FB9"/>
    <w:rsid w:val="00D31365"/>
    <w:rsid w:val="00D315C3"/>
    <w:rsid w:val="00D318CF"/>
    <w:rsid w:val="00D31B84"/>
    <w:rsid w:val="00D321F1"/>
    <w:rsid w:val="00D328FE"/>
    <w:rsid w:val="00D3425B"/>
    <w:rsid w:val="00D36468"/>
    <w:rsid w:val="00D36CA8"/>
    <w:rsid w:val="00D40FF0"/>
    <w:rsid w:val="00D41FCC"/>
    <w:rsid w:val="00D434BE"/>
    <w:rsid w:val="00D43FE7"/>
    <w:rsid w:val="00D452EE"/>
    <w:rsid w:val="00D463D5"/>
    <w:rsid w:val="00D470AD"/>
    <w:rsid w:val="00D4758A"/>
    <w:rsid w:val="00D50DF4"/>
    <w:rsid w:val="00D50EE7"/>
    <w:rsid w:val="00D519F7"/>
    <w:rsid w:val="00D520A6"/>
    <w:rsid w:val="00D55C1F"/>
    <w:rsid w:val="00D62175"/>
    <w:rsid w:val="00D63410"/>
    <w:rsid w:val="00D64828"/>
    <w:rsid w:val="00D64C4E"/>
    <w:rsid w:val="00D651D2"/>
    <w:rsid w:val="00D65CE7"/>
    <w:rsid w:val="00D65EF1"/>
    <w:rsid w:val="00D66377"/>
    <w:rsid w:val="00D677E2"/>
    <w:rsid w:val="00D7278E"/>
    <w:rsid w:val="00D73A3F"/>
    <w:rsid w:val="00D750BB"/>
    <w:rsid w:val="00D7611D"/>
    <w:rsid w:val="00D76EF6"/>
    <w:rsid w:val="00D77189"/>
    <w:rsid w:val="00D8100A"/>
    <w:rsid w:val="00D8280D"/>
    <w:rsid w:val="00D8286E"/>
    <w:rsid w:val="00D8510D"/>
    <w:rsid w:val="00D85E44"/>
    <w:rsid w:val="00D85EEF"/>
    <w:rsid w:val="00D8697D"/>
    <w:rsid w:val="00D871BC"/>
    <w:rsid w:val="00D91D72"/>
    <w:rsid w:val="00D939B4"/>
    <w:rsid w:val="00D93A5F"/>
    <w:rsid w:val="00D968D1"/>
    <w:rsid w:val="00D96CC2"/>
    <w:rsid w:val="00D97311"/>
    <w:rsid w:val="00D975B9"/>
    <w:rsid w:val="00D97C4C"/>
    <w:rsid w:val="00DA04A8"/>
    <w:rsid w:val="00DA31E0"/>
    <w:rsid w:val="00DA371D"/>
    <w:rsid w:val="00DA42E0"/>
    <w:rsid w:val="00DA545B"/>
    <w:rsid w:val="00DA54E6"/>
    <w:rsid w:val="00DA5DF9"/>
    <w:rsid w:val="00DA5F27"/>
    <w:rsid w:val="00DA6466"/>
    <w:rsid w:val="00DA66E2"/>
    <w:rsid w:val="00DB01BA"/>
    <w:rsid w:val="00DB152A"/>
    <w:rsid w:val="00DB1EFE"/>
    <w:rsid w:val="00DB2927"/>
    <w:rsid w:val="00DB4261"/>
    <w:rsid w:val="00DB4979"/>
    <w:rsid w:val="00DB510D"/>
    <w:rsid w:val="00DB590C"/>
    <w:rsid w:val="00DB6F7A"/>
    <w:rsid w:val="00DB732D"/>
    <w:rsid w:val="00DB74B5"/>
    <w:rsid w:val="00DC0947"/>
    <w:rsid w:val="00DC1587"/>
    <w:rsid w:val="00DC20AF"/>
    <w:rsid w:val="00DC30E4"/>
    <w:rsid w:val="00DC676A"/>
    <w:rsid w:val="00DC72FE"/>
    <w:rsid w:val="00DC7899"/>
    <w:rsid w:val="00DD2879"/>
    <w:rsid w:val="00DD28A9"/>
    <w:rsid w:val="00DD2D39"/>
    <w:rsid w:val="00DD2F70"/>
    <w:rsid w:val="00DD3A0F"/>
    <w:rsid w:val="00DD4264"/>
    <w:rsid w:val="00DD668A"/>
    <w:rsid w:val="00DD6B7E"/>
    <w:rsid w:val="00DD6DAB"/>
    <w:rsid w:val="00DD7904"/>
    <w:rsid w:val="00DE2593"/>
    <w:rsid w:val="00DE3949"/>
    <w:rsid w:val="00DE4791"/>
    <w:rsid w:val="00DE5377"/>
    <w:rsid w:val="00DE7817"/>
    <w:rsid w:val="00DE791F"/>
    <w:rsid w:val="00DE7E9A"/>
    <w:rsid w:val="00DF0CE9"/>
    <w:rsid w:val="00DF1D40"/>
    <w:rsid w:val="00DF50DC"/>
    <w:rsid w:val="00DF5419"/>
    <w:rsid w:val="00DF58C1"/>
    <w:rsid w:val="00DF641B"/>
    <w:rsid w:val="00DF6750"/>
    <w:rsid w:val="00E0100C"/>
    <w:rsid w:val="00E0111B"/>
    <w:rsid w:val="00E013C8"/>
    <w:rsid w:val="00E03444"/>
    <w:rsid w:val="00E04E46"/>
    <w:rsid w:val="00E0548C"/>
    <w:rsid w:val="00E07314"/>
    <w:rsid w:val="00E0782F"/>
    <w:rsid w:val="00E106AC"/>
    <w:rsid w:val="00E11011"/>
    <w:rsid w:val="00E114A4"/>
    <w:rsid w:val="00E13117"/>
    <w:rsid w:val="00E14207"/>
    <w:rsid w:val="00E15A25"/>
    <w:rsid w:val="00E17115"/>
    <w:rsid w:val="00E200A4"/>
    <w:rsid w:val="00E20344"/>
    <w:rsid w:val="00E21AB3"/>
    <w:rsid w:val="00E22779"/>
    <w:rsid w:val="00E22837"/>
    <w:rsid w:val="00E23785"/>
    <w:rsid w:val="00E238EC"/>
    <w:rsid w:val="00E23AF1"/>
    <w:rsid w:val="00E33034"/>
    <w:rsid w:val="00E357BB"/>
    <w:rsid w:val="00E35823"/>
    <w:rsid w:val="00E3676B"/>
    <w:rsid w:val="00E402F5"/>
    <w:rsid w:val="00E403A7"/>
    <w:rsid w:val="00E41267"/>
    <w:rsid w:val="00E4173F"/>
    <w:rsid w:val="00E431CC"/>
    <w:rsid w:val="00E43F3A"/>
    <w:rsid w:val="00E45204"/>
    <w:rsid w:val="00E472B7"/>
    <w:rsid w:val="00E5289A"/>
    <w:rsid w:val="00E52CFA"/>
    <w:rsid w:val="00E538BC"/>
    <w:rsid w:val="00E54033"/>
    <w:rsid w:val="00E55513"/>
    <w:rsid w:val="00E559B0"/>
    <w:rsid w:val="00E5740A"/>
    <w:rsid w:val="00E61FA8"/>
    <w:rsid w:val="00E630A5"/>
    <w:rsid w:val="00E643D7"/>
    <w:rsid w:val="00E65D66"/>
    <w:rsid w:val="00E65F6A"/>
    <w:rsid w:val="00E7095B"/>
    <w:rsid w:val="00E70A22"/>
    <w:rsid w:val="00E715AD"/>
    <w:rsid w:val="00E719AC"/>
    <w:rsid w:val="00E723FE"/>
    <w:rsid w:val="00E74608"/>
    <w:rsid w:val="00E74628"/>
    <w:rsid w:val="00E74BB2"/>
    <w:rsid w:val="00E74FE0"/>
    <w:rsid w:val="00E75F90"/>
    <w:rsid w:val="00E772C5"/>
    <w:rsid w:val="00E77346"/>
    <w:rsid w:val="00E77A94"/>
    <w:rsid w:val="00E803F8"/>
    <w:rsid w:val="00E81F01"/>
    <w:rsid w:val="00E82CF9"/>
    <w:rsid w:val="00E83AA2"/>
    <w:rsid w:val="00E84B29"/>
    <w:rsid w:val="00E8525F"/>
    <w:rsid w:val="00E85788"/>
    <w:rsid w:val="00E85847"/>
    <w:rsid w:val="00E85C2B"/>
    <w:rsid w:val="00E86031"/>
    <w:rsid w:val="00E86F7D"/>
    <w:rsid w:val="00E87CDA"/>
    <w:rsid w:val="00E9078F"/>
    <w:rsid w:val="00E91203"/>
    <w:rsid w:val="00E91AAB"/>
    <w:rsid w:val="00E91AFF"/>
    <w:rsid w:val="00E921D0"/>
    <w:rsid w:val="00E93704"/>
    <w:rsid w:val="00E93C2C"/>
    <w:rsid w:val="00E948B1"/>
    <w:rsid w:val="00E95C1A"/>
    <w:rsid w:val="00E96389"/>
    <w:rsid w:val="00E977D3"/>
    <w:rsid w:val="00E97D28"/>
    <w:rsid w:val="00EA017E"/>
    <w:rsid w:val="00EA024F"/>
    <w:rsid w:val="00EA116B"/>
    <w:rsid w:val="00EA1837"/>
    <w:rsid w:val="00EA5BFC"/>
    <w:rsid w:val="00EA5C37"/>
    <w:rsid w:val="00EA765F"/>
    <w:rsid w:val="00EA7D29"/>
    <w:rsid w:val="00EA7D3D"/>
    <w:rsid w:val="00EB1F0F"/>
    <w:rsid w:val="00EB20FE"/>
    <w:rsid w:val="00EB2977"/>
    <w:rsid w:val="00EB2994"/>
    <w:rsid w:val="00EB38C6"/>
    <w:rsid w:val="00EB48F5"/>
    <w:rsid w:val="00EB5506"/>
    <w:rsid w:val="00EB55C7"/>
    <w:rsid w:val="00EB5E34"/>
    <w:rsid w:val="00EB69DD"/>
    <w:rsid w:val="00EB6A36"/>
    <w:rsid w:val="00EB714B"/>
    <w:rsid w:val="00EB72FA"/>
    <w:rsid w:val="00EB7DE0"/>
    <w:rsid w:val="00EC0A0E"/>
    <w:rsid w:val="00EC0D56"/>
    <w:rsid w:val="00EC1DC0"/>
    <w:rsid w:val="00EC23F8"/>
    <w:rsid w:val="00EC4C0A"/>
    <w:rsid w:val="00EC4F6C"/>
    <w:rsid w:val="00EC5929"/>
    <w:rsid w:val="00EC753D"/>
    <w:rsid w:val="00ED096D"/>
    <w:rsid w:val="00ED0DD8"/>
    <w:rsid w:val="00ED3BCE"/>
    <w:rsid w:val="00ED4C17"/>
    <w:rsid w:val="00ED4EA0"/>
    <w:rsid w:val="00ED4FF0"/>
    <w:rsid w:val="00ED52BB"/>
    <w:rsid w:val="00ED65E3"/>
    <w:rsid w:val="00ED670D"/>
    <w:rsid w:val="00EE1F0C"/>
    <w:rsid w:val="00EE3630"/>
    <w:rsid w:val="00EE40E1"/>
    <w:rsid w:val="00EE42E6"/>
    <w:rsid w:val="00EE498E"/>
    <w:rsid w:val="00EE5569"/>
    <w:rsid w:val="00EE58DC"/>
    <w:rsid w:val="00EE7888"/>
    <w:rsid w:val="00EF09BA"/>
    <w:rsid w:val="00EF17C5"/>
    <w:rsid w:val="00EF1991"/>
    <w:rsid w:val="00EF215D"/>
    <w:rsid w:val="00EF2919"/>
    <w:rsid w:val="00EF2D92"/>
    <w:rsid w:val="00EF2F72"/>
    <w:rsid w:val="00EF5AF9"/>
    <w:rsid w:val="00EF5E0A"/>
    <w:rsid w:val="00EF5F2B"/>
    <w:rsid w:val="00F04353"/>
    <w:rsid w:val="00F05F28"/>
    <w:rsid w:val="00F07191"/>
    <w:rsid w:val="00F07376"/>
    <w:rsid w:val="00F114C4"/>
    <w:rsid w:val="00F131FE"/>
    <w:rsid w:val="00F13AF6"/>
    <w:rsid w:val="00F13D84"/>
    <w:rsid w:val="00F14340"/>
    <w:rsid w:val="00F15E85"/>
    <w:rsid w:val="00F16483"/>
    <w:rsid w:val="00F16CD5"/>
    <w:rsid w:val="00F1792B"/>
    <w:rsid w:val="00F17DA9"/>
    <w:rsid w:val="00F2034F"/>
    <w:rsid w:val="00F215A8"/>
    <w:rsid w:val="00F22E47"/>
    <w:rsid w:val="00F238FB"/>
    <w:rsid w:val="00F24D83"/>
    <w:rsid w:val="00F24ECF"/>
    <w:rsid w:val="00F25DA7"/>
    <w:rsid w:val="00F2659E"/>
    <w:rsid w:val="00F26E42"/>
    <w:rsid w:val="00F27D6F"/>
    <w:rsid w:val="00F27F89"/>
    <w:rsid w:val="00F30306"/>
    <w:rsid w:val="00F31370"/>
    <w:rsid w:val="00F31514"/>
    <w:rsid w:val="00F31AF8"/>
    <w:rsid w:val="00F32B31"/>
    <w:rsid w:val="00F331AD"/>
    <w:rsid w:val="00F335C3"/>
    <w:rsid w:val="00F34B10"/>
    <w:rsid w:val="00F34E97"/>
    <w:rsid w:val="00F35966"/>
    <w:rsid w:val="00F361A8"/>
    <w:rsid w:val="00F37022"/>
    <w:rsid w:val="00F3742E"/>
    <w:rsid w:val="00F40F8A"/>
    <w:rsid w:val="00F412E2"/>
    <w:rsid w:val="00F418BA"/>
    <w:rsid w:val="00F41D8A"/>
    <w:rsid w:val="00F43A00"/>
    <w:rsid w:val="00F443A3"/>
    <w:rsid w:val="00F448CE"/>
    <w:rsid w:val="00F44988"/>
    <w:rsid w:val="00F462E3"/>
    <w:rsid w:val="00F463BA"/>
    <w:rsid w:val="00F46F7E"/>
    <w:rsid w:val="00F50D92"/>
    <w:rsid w:val="00F531F5"/>
    <w:rsid w:val="00F5491C"/>
    <w:rsid w:val="00F5671F"/>
    <w:rsid w:val="00F56F0B"/>
    <w:rsid w:val="00F6122C"/>
    <w:rsid w:val="00F61599"/>
    <w:rsid w:val="00F6377E"/>
    <w:rsid w:val="00F64563"/>
    <w:rsid w:val="00F65D18"/>
    <w:rsid w:val="00F65D40"/>
    <w:rsid w:val="00F662C9"/>
    <w:rsid w:val="00F669C7"/>
    <w:rsid w:val="00F676A8"/>
    <w:rsid w:val="00F67B91"/>
    <w:rsid w:val="00F705B7"/>
    <w:rsid w:val="00F73569"/>
    <w:rsid w:val="00F7374C"/>
    <w:rsid w:val="00F752A4"/>
    <w:rsid w:val="00F7561B"/>
    <w:rsid w:val="00F76419"/>
    <w:rsid w:val="00F806E0"/>
    <w:rsid w:val="00F809AC"/>
    <w:rsid w:val="00F81CAA"/>
    <w:rsid w:val="00F8323A"/>
    <w:rsid w:val="00F8400F"/>
    <w:rsid w:val="00F840BF"/>
    <w:rsid w:val="00F87D46"/>
    <w:rsid w:val="00F9053B"/>
    <w:rsid w:val="00F92147"/>
    <w:rsid w:val="00F922AD"/>
    <w:rsid w:val="00F92AB6"/>
    <w:rsid w:val="00F95353"/>
    <w:rsid w:val="00F97A13"/>
    <w:rsid w:val="00FA0D81"/>
    <w:rsid w:val="00FA156A"/>
    <w:rsid w:val="00FA1581"/>
    <w:rsid w:val="00FA23E2"/>
    <w:rsid w:val="00FA251C"/>
    <w:rsid w:val="00FA2EB9"/>
    <w:rsid w:val="00FA3034"/>
    <w:rsid w:val="00FA4401"/>
    <w:rsid w:val="00FA4475"/>
    <w:rsid w:val="00FA459B"/>
    <w:rsid w:val="00FA5937"/>
    <w:rsid w:val="00FA5A33"/>
    <w:rsid w:val="00FA6424"/>
    <w:rsid w:val="00FA65DD"/>
    <w:rsid w:val="00FA7269"/>
    <w:rsid w:val="00FA73AF"/>
    <w:rsid w:val="00FA78ED"/>
    <w:rsid w:val="00FA79C0"/>
    <w:rsid w:val="00FB019C"/>
    <w:rsid w:val="00FB0869"/>
    <w:rsid w:val="00FB2029"/>
    <w:rsid w:val="00FB4FF5"/>
    <w:rsid w:val="00FB6510"/>
    <w:rsid w:val="00FB67BB"/>
    <w:rsid w:val="00FB7496"/>
    <w:rsid w:val="00FC129F"/>
    <w:rsid w:val="00FC2178"/>
    <w:rsid w:val="00FC24BF"/>
    <w:rsid w:val="00FC2C5F"/>
    <w:rsid w:val="00FC3822"/>
    <w:rsid w:val="00FC509D"/>
    <w:rsid w:val="00FC5281"/>
    <w:rsid w:val="00FC5D75"/>
    <w:rsid w:val="00FC79E2"/>
    <w:rsid w:val="00FC7F08"/>
    <w:rsid w:val="00FD05D7"/>
    <w:rsid w:val="00FD2AE4"/>
    <w:rsid w:val="00FD2F06"/>
    <w:rsid w:val="00FD3FFA"/>
    <w:rsid w:val="00FD5ABF"/>
    <w:rsid w:val="00FD5E02"/>
    <w:rsid w:val="00FD65FA"/>
    <w:rsid w:val="00FD662E"/>
    <w:rsid w:val="00FD6D0B"/>
    <w:rsid w:val="00FD7768"/>
    <w:rsid w:val="00FE0B81"/>
    <w:rsid w:val="00FE1DAD"/>
    <w:rsid w:val="00FE2C76"/>
    <w:rsid w:val="00FE3A1E"/>
    <w:rsid w:val="00FF1D2E"/>
    <w:rsid w:val="00FF34AD"/>
    <w:rsid w:val="00FF4265"/>
    <w:rsid w:val="00FF4C8D"/>
    <w:rsid w:val="00FF58DE"/>
    <w:rsid w:val="00FF5D50"/>
    <w:rsid w:val="0117119C"/>
    <w:rsid w:val="0122D6FD"/>
    <w:rsid w:val="012D516E"/>
    <w:rsid w:val="0141BE0B"/>
    <w:rsid w:val="01E1A6A0"/>
    <w:rsid w:val="01F81BF6"/>
    <w:rsid w:val="02660211"/>
    <w:rsid w:val="031BB98E"/>
    <w:rsid w:val="036017DC"/>
    <w:rsid w:val="03A4EB55"/>
    <w:rsid w:val="03AB53A6"/>
    <w:rsid w:val="03AC4068"/>
    <w:rsid w:val="041CA8C9"/>
    <w:rsid w:val="043596CE"/>
    <w:rsid w:val="050109F2"/>
    <w:rsid w:val="05B86373"/>
    <w:rsid w:val="05F4CA44"/>
    <w:rsid w:val="0632AE7C"/>
    <w:rsid w:val="06BD3A9D"/>
    <w:rsid w:val="06EEC325"/>
    <w:rsid w:val="071005AB"/>
    <w:rsid w:val="071FEDDD"/>
    <w:rsid w:val="07A3F733"/>
    <w:rsid w:val="08F1D8CD"/>
    <w:rsid w:val="093622DD"/>
    <w:rsid w:val="096AD7E6"/>
    <w:rsid w:val="09C2E23D"/>
    <w:rsid w:val="0A761468"/>
    <w:rsid w:val="0AB624A7"/>
    <w:rsid w:val="0B4455CF"/>
    <w:rsid w:val="0B9932BD"/>
    <w:rsid w:val="0BDA1AF4"/>
    <w:rsid w:val="0BE4F085"/>
    <w:rsid w:val="0C5FD709"/>
    <w:rsid w:val="0CC494C3"/>
    <w:rsid w:val="0D04DD73"/>
    <w:rsid w:val="0D333CB6"/>
    <w:rsid w:val="0E1F15A6"/>
    <w:rsid w:val="0E7E1C1C"/>
    <w:rsid w:val="0EB296AA"/>
    <w:rsid w:val="0ED22C7A"/>
    <w:rsid w:val="0F2087EB"/>
    <w:rsid w:val="0F76830D"/>
    <w:rsid w:val="0F8EFB49"/>
    <w:rsid w:val="0FBCCF91"/>
    <w:rsid w:val="0FEACCAC"/>
    <w:rsid w:val="0FF11D41"/>
    <w:rsid w:val="0FFEAA83"/>
    <w:rsid w:val="105EF85C"/>
    <w:rsid w:val="10E149EA"/>
    <w:rsid w:val="10F0B56C"/>
    <w:rsid w:val="111F814C"/>
    <w:rsid w:val="1242BB23"/>
    <w:rsid w:val="1243856C"/>
    <w:rsid w:val="126306BD"/>
    <w:rsid w:val="1291B453"/>
    <w:rsid w:val="13003A2B"/>
    <w:rsid w:val="13B63903"/>
    <w:rsid w:val="13C7EA55"/>
    <w:rsid w:val="143CA821"/>
    <w:rsid w:val="15035709"/>
    <w:rsid w:val="154C6FEE"/>
    <w:rsid w:val="157BFCE6"/>
    <w:rsid w:val="159F3A0B"/>
    <w:rsid w:val="15CEF206"/>
    <w:rsid w:val="162C3CD5"/>
    <w:rsid w:val="1651600E"/>
    <w:rsid w:val="16861845"/>
    <w:rsid w:val="16CBA6AC"/>
    <w:rsid w:val="172367FE"/>
    <w:rsid w:val="1828A641"/>
    <w:rsid w:val="18DC5D0B"/>
    <w:rsid w:val="193022AC"/>
    <w:rsid w:val="19A63350"/>
    <w:rsid w:val="19BF941F"/>
    <w:rsid w:val="1B5B9700"/>
    <w:rsid w:val="1B5EAA1D"/>
    <w:rsid w:val="1B98E9D7"/>
    <w:rsid w:val="1BC59B1A"/>
    <w:rsid w:val="1C16CDBC"/>
    <w:rsid w:val="1C39DCA7"/>
    <w:rsid w:val="1E300CC1"/>
    <w:rsid w:val="1EB1BD15"/>
    <w:rsid w:val="1F03C016"/>
    <w:rsid w:val="1F32C2DC"/>
    <w:rsid w:val="1FDC493E"/>
    <w:rsid w:val="20A41900"/>
    <w:rsid w:val="20B52201"/>
    <w:rsid w:val="20E336E1"/>
    <w:rsid w:val="2102CFC4"/>
    <w:rsid w:val="214001E9"/>
    <w:rsid w:val="2337E11A"/>
    <w:rsid w:val="2346C3D9"/>
    <w:rsid w:val="23783DFD"/>
    <w:rsid w:val="2380D0FA"/>
    <w:rsid w:val="23FE862B"/>
    <w:rsid w:val="2438EC43"/>
    <w:rsid w:val="24855BC2"/>
    <w:rsid w:val="249B8758"/>
    <w:rsid w:val="2583BAA6"/>
    <w:rsid w:val="25B3DEA7"/>
    <w:rsid w:val="25F0F5BE"/>
    <w:rsid w:val="26F83E9F"/>
    <w:rsid w:val="272C96A5"/>
    <w:rsid w:val="2740EF7E"/>
    <w:rsid w:val="27E405B9"/>
    <w:rsid w:val="285CEA96"/>
    <w:rsid w:val="28C68CDA"/>
    <w:rsid w:val="28F4C7FD"/>
    <w:rsid w:val="293256FC"/>
    <w:rsid w:val="2949E0EB"/>
    <w:rsid w:val="2A2D67F7"/>
    <w:rsid w:val="2A33FCDE"/>
    <w:rsid w:val="2A3554DE"/>
    <w:rsid w:val="2A6270C9"/>
    <w:rsid w:val="2BD033FB"/>
    <w:rsid w:val="2BE072B3"/>
    <w:rsid w:val="2C3BFF42"/>
    <w:rsid w:val="2C3FA80D"/>
    <w:rsid w:val="2C6B8F81"/>
    <w:rsid w:val="2CDF180D"/>
    <w:rsid w:val="2DBA8ACC"/>
    <w:rsid w:val="2DEF01CE"/>
    <w:rsid w:val="2EA522E5"/>
    <w:rsid w:val="2F41B433"/>
    <w:rsid w:val="2F4672B8"/>
    <w:rsid w:val="2FAFE22B"/>
    <w:rsid w:val="30519E6F"/>
    <w:rsid w:val="30D19E12"/>
    <w:rsid w:val="30FD0C8F"/>
    <w:rsid w:val="3170F08D"/>
    <w:rsid w:val="31BB406A"/>
    <w:rsid w:val="31D61517"/>
    <w:rsid w:val="31E21C5F"/>
    <w:rsid w:val="31E67CB3"/>
    <w:rsid w:val="3252D63F"/>
    <w:rsid w:val="33394D73"/>
    <w:rsid w:val="3339CF6B"/>
    <w:rsid w:val="33789408"/>
    <w:rsid w:val="33908D75"/>
    <w:rsid w:val="33DD619B"/>
    <w:rsid w:val="34457DCB"/>
    <w:rsid w:val="34B39C4D"/>
    <w:rsid w:val="359E5247"/>
    <w:rsid w:val="3611E531"/>
    <w:rsid w:val="36278283"/>
    <w:rsid w:val="364AA77E"/>
    <w:rsid w:val="368041F0"/>
    <w:rsid w:val="373C77EF"/>
    <w:rsid w:val="376E2BCB"/>
    <w:rsid w:val="37706E76"/>
    <w:rsid w:val="3796EF2B"/>
    <w:rsid w:val="37DBE5AA"/>
    <w:rsid w:val="388FCD2A"/>
    <w:rsid w:val="38924A80"/>
    <w:rsid w:val="38C5B451"/>
    <w:rsid w:val="38D39529"/>
    <w:rsid w:val="395FD1A6"/>
    <w:rsid w:val="3A392B2D"/>
    <w:rsid w:val="3A3B44CB"/>
    <w:rsid w:val="3AEA9733"/>
    <w:rsid w:val="3B627177"/>
    <w:rsid w:val="3B941776"/>
    <w:rsid w:val="3C227DDB"/>
    <w:rsid w:val="3C398684"/>
    <w:rsid w:val="3C497102"/>
    <w:rsid w:val="3C5F6F73"/>
    <w:rsid w:val="3C769E97"/>
    <w:rsid w:val="3CD32A4C"/>
    <w:rsid w:val="3CE01604"/>
    <w:rsid w:val="3D08D45B"/>
    <w:rsid w:val="3D89D603"/>
    <w:rsid w:val="3F070A38"/>
    <w:rsid w:val="3F547726"/>
    <w:rsid w:val="3F9E00A1"/>
    <w:rsid w:val="401D6D71"/>
    <w:rsid w:val="40561AF1"/>
    <w:rsid w:val="40B56B9A"/>
    <w:rsid w:val="410DA03A"/>
    <w:rsid w:val="412C54D1"/>
    <w:rsid w:val="4192DB55"/>
    <w:rsid w:val="41F12109"/>
    <w:rsid w:val="422E86BB"/>
    <w:rsid w:val="426D9234"/>
    <w:rsid w:val="42D6906B"/>
    <w:rsid w:val="437C337D"/>
    <w:rsid w:val="4482F4A1"/>
    <w:rsid w:val="448A456F"/>
    <w:rsid w:val="44E825D4"/>
    <w:rsid w:val="45665F71"/>
    <w:rsid w:val="45A39FE1"/>
    <w:rsid w:val="45DF14EF"/>
    <w:rsid w:val="46193B02"/>
    <w:rsid w:val="46243F73"/>
    <w:rsid w:val="468F754E"/>
    <w:rsid w:val="46A115BF"/>
    <w:rsid w:val="470298AF"/>
    <w:rsid w:val="470E0EC3"/>
    <w:rsid w:val="4774512E"/>
    <w:rsid w:val="47EC1579"/>
    <w:rsid w:val="48E9B8F3"/>
    <w:rsid w:val="490CF5A6"/>
    <w:rsid w:val="4919379E"/>
    <w:rsid w:val="4959887A"/>
    <w:rsid w:val="4996D814"/>
    <w:rsid w:val="4A2A0442"/>
    <w:rsid w:val="4B4B1FD5"/>
    <w:rsid w:val="4B661594"/>
    <w:rsid w:val="4B712CEB"/>
    <w:rsid w:val="4B860E4A"/>
    <w:rsid w:val="4C690674"/>
    <w:rsid w:val="4C6BB400"/>
    <w:rsid w:val="4CA94D8B"/>
    <w:rsid w:val="4CB1A087"/>
    <w:rsid w:val="4D2F49FA"/>
    <w:rsid w:val="4DC3C800"/>
    <w:rsid w:val="4DDA8143"/>
    <w:rsid w:val="4E177BE7"/>
    <w:rsid w:val="4E66CEE1"/>
    <w:rsid w:val="4EEFC05E"/>
    <w:rsid w:val="4F7135A3"/>
    <w:rsid w:val="4FD30825"/>
    <w:rsid w:val="4FE52EB8"/>
    <w:rsid w:val="4FECC3FE"/>
    <w:rsid w:val="5028AA64"/>
    <w:rsid w:val="50453586"/>
    <w:rsid w:val="510ED038"/>
    <w:rsid w:val="516384AD"/>
    <w:rsid w:val="51F738EC"/>
    <w:rsid w:val="521BE441"/>
    <w:rsid w:val="5276D98E"/>
    <w:rsid w:val="52B643A8"/>
    <w:rsid w:val="52D0A163"/>
    <w:rsid w:val="52E3D8A2"/>
    <w:rsid w:val="532F1467"/>
    <w:rsid w:val="5345F302"/>
    <w:rsid w:val="53647FE5"/>
    <w:rsid w:val="53D9F2D7"/>
    <w:rsid w:val="5414C9B6"/>
    <w:rsid w:val="54C5DD97"/>
    <w:rsid w:val="54C92CDD"/>
    <w:rsid w:val="5569C08D"/>
    <w:rsid w:val="556AB4DE"/>
    <w:rsid w:val="557EFA20"/>
    <w:rsid w:val="5591C8A6"/>
    <w:rsid w:val="5596B4BB"/>
    <w:rsid w:val="55D208B2"/>
    <w:rsid w:val="55DC5DF1"/>
    <w:rsid w:val="560C699C"/>
    <w:rsid w:val="56E9C6B9"/>
    <w:rsid w:val="5736676F"/>
    <w:rsid w:val="576AA972"/>
    <w:rsid w:val="57C27DFD"/>
    <w:rsid w:val="57D6339E"/>
    <w:rsid w:val="58046010"/>
    <w:rsid w:val="5812F665"/>
    <w:rsid w:val="58395A57"/>
    <w:rsid w:val="583A1466"/>
    <w:rsid w:val="588F509E"/>
    <w:rsid w:val="58E45579"/>
    <w:rsid w:val="59307722"/>
    <w:rsid w:val="5A2155B1"/>
    <w:rsid w:val="5A2FC00F"/>
    <w:rsid w:val="5B44E469"/>
    <w:rsid w:val="5BE1E331"/>
    <w:rsid w:val="5C3A0475"/>
    <w:rsid w:val="5CE9E455"/>
    <w:rsid w:val="5CF967C6"/>
    <w:rsid w:val="5D1F6572"/>
    <w:rsid w:val="5DDDAFDF"/>
    <w:rsid w:val="5E3EBE56"/>
    <w:rsid w:val="5E574513"/>
    <w:rsid w:val="5E6D795D"/>
    <w:rsid w:val="5ED61326"/>
    <w:rsid w:val="5EF35A37"/>
    <w:rsid w:val="5F03FC33"/>
    <w:rsid w:val="5F55C40E"/>
    <w:rsid w:val="5F69CA9B"/>
    <w:rsid w:val="5F8A909B"/>
    <w:rsid w:val="5F99A100"/>
    <w:rsid w:val="5FC6745F"/>
    <w:rsid w:val="60365F90"/>
    <w:rsid w:val="603C0AD0"/>
    <w:rsid w:val="605A2A60"/>
    <w:rsid w:val="60ADCC70"/>
    <w:rsid w:val="60E380C6"/>
    <w:rsid w:val="613A9AE3"/>
    <w:rsid w:val="6154E2AE"/>
    <w:rsid w:val="61E9EA54"/>
    <w:rsid w:val="623A5A38"/>
    <w:rsid w:val="6242AC65"/>
    <w:rsid w:val="62F099BE"/>
    <w:rsid w:val="6368FB85"/>
    <w:rsid w:val="6373AB92"/>
    <w:rsid w:val="63ED27E7"/>
    <w:rsid w:val="647E6AD8"/>
    <w:rsid w:val="65CD7352"/>
    <w:rsid w:val="65DA3489"/>
    <w:rsid w:val="65ED5D4D"/>
    <w:rsid w:val="6620942D"/>
    <w:rsid w:val="666645B3"/>
    <w:rsid w:val="670F6F82"/>
    <w:rsid w:val="6796232C"/>
    <w:rsid w:val="67B51AB4"/>
    <w:rsid w:val="67CA7837"/>
    <w:rsid w:val="68245715"/>
    <w:rsid w:val="685DE732"/>
    <w:rsid w:val="6879C7FF"/>
    <w:rsid w:val="68E60EA8"/>
    <w:rsid w:val="68FFDAA0"/>
    <w:rsid w:val="6A8114C0"/>
    <w:rsid w:val="6A8431F6"/>
    <w:rsid w:val="6AB00B7B"/>
    <w:rsid w:val="6AB91488"/>
    <w:rsid w:val="6B201AAF"/>
    <w:rsid w:val="6B9CB4C1"/>
    <w:rsid w:val="6BEBAB6F"/>
    <w:rsid w:val="6BF402F3"/>
    <w:rsid w:val="6C2CBF32"/>
    <w:rsid w:val="6C44B89F"/>
    <w:rsid w:val="6CF027BD"/>
    <w:rsid w:val="6D3EA7A8"/>
    <w:rsid w:val="6D54695D"/>
    <w:rsid w:val="6E61C97F"/>
    <w:rsid w:val="6EC3DA6A"/>
    <w:rsid w:val="6EEFB723"/>
    <w:rsid w:val="6F237B74"/>
    <w:rsid w:val="6F2AE803"/>
    <w:rsid w:val="6F4B3797"/>
    <w:rsid w:val="6F9A471B"/>
    <w:rsid w:val="6FA7907B"/>
    <w:rsid w:val="6FFC0DE4"/>
    <w:rsid w:val="70B312BE"/>
    <w:rsid w:val="710E5BA3"/>
    <w:rsid w:val="71914170"/>
    <w:rsid w:val="7196D01B"/>
    <w:rsid w:val="71EDC727"/>
    <w:rsid w:val="7265B4E8"/>
    <w:rsid w:val="72B06D53"/>
    <w:rsid w:val="72B9BB9F"/>
    <w:rsid w:val="72BFCE82"/>
    <w:rsid w:val="7361FBDE"/>
    <w:rsid w:val="73752E4B"/>
    <w:rsid w:val="7381A678"/>
    <w:rsid w:val="73974B8D"/>
    <w:rsid w:val="744B274B"/>
    <w:rsid w:val="753B3B4A"/>
    <w:rsid w:val="75E96FD6"/>
    <w:rsid w:val="760859AF"/>
    <w:rsid w:val="768BBBC8"/>
    <w:rsid w:val="76A68159"/>
    <w:rsid w:val="77A76526"/>
    <w:rsid w:val="77BAF48D"/>
    <w:rsid w:val="77E1FDC2"/>
    <w:rsid w:val="77EE4BCD"/>
    <w:rsid w:val="783E2A36"/>
    <w:rsid w:val="78C4B7B4"/>
    <w:rsid w:val="78CF5A94"/>
    <w:rsid w:val="792F0530"/>
    <w:rsid w:val="7A0EF4B1"/>
    <w:rsid w:val="7A54C965"/>
    <w:rsid w:val="7A64426A"/>
    <w:rsid w:val="7BCC3708"/>
    <w:rsid w:val="7BD1215C"/>
    <w:rsid w:val="7C47A859"/>
    <w:rsid w:val="7C5730E9"/>
    <w:rsid w:val="7C577181"/>
    <w:rsid w:val="7D82BD31"/>
    <w:rsid w:val="7DCD85D3"/>
    <w:rsid w:val="7E7EEC97"/>
    <w:rsid w:val="7FB4F8D2"/>
    <w:rsid w:val="7FCCF6DE"/>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8EC43"/>
  <w15:chartTrackingRefBased/>
  <w15:docId w15:val="{6DCBD892-2830-433A-A05D-85EFC8DE9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CF774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Pr>
      <w:rFonts w:asciiTheme="majorHAnsi" w:eastAsiaTheme="majorEastAsia" w:hAnsiTheme="majorHAnsi" w:cstheme="majorBidi"/>
      <w:color w:val="2F5496" w:themeColor="accent1" w:themeShade="BF"/>
      <w:sz w:val="26"/>
      <w:szCs w:val="26"/>
    </w:rPr>
  </w:style>
  <w:style w:type="paragraph" w:styleId="Lijstalinea">
    <w:name w:val="List Paragraph"/>
    <w:basedOn w:val="Standaard"/>
    <w:uiPriority w:val="34"/>
    <w:qFormat/>
    <w:pPr>
      <w:ind w:left="720"/>
      <w:contextualSpacing/>
    </w:pPr>
  </w:style>
  <w:style w:type="character" w:customStyle="1" w:styleId="Kop3Char">
    <w:name w:val="Kop 3 Char"/>
    <w:basedOn w:val="Standaardalinea-lettertype"/>
    <w:link w:val="Kop3"/>
    <w:uiPriority w:val="9"/>
    <w:rPr>
      <w:rFonts w:asciiTheme="majorHAnsi" w:eastAsiaTheme="majorEastAsia" w:hAnsiTheme="majorHAnsi" w:cstheme="majorBidi"/>
      <w:color w:val="1F3763" w:themeColor="accent1" w:themeShade="7F"/>
      <w:sz w:val="24"/>
      <w:szCs w:val="24"/>
    </w:rPr>
  </w:style>
  <w:style w:type="character" w:styleId="Hyperlink">
    <w:name w:val="Hyperlink"/>
    <w:basedOn w:val="Standaardalinea-lettertype"/>
    <w:uiPriority w:val="99"/>
    <w:unhideWhenUsed/>
    <w:rPr>
      <w:color w:val="0563C1" w:themeColor="hyperlink"/>
      <w:u w:val="single"/>
    </w:rPr>
  </w:style>
  <w:style w:type="table" w:styleId="Tabelraster">
    <w:name w:val="Table Grid"/>
    <w:basedOn w:val="Standaardtabe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Kopvaninhoudsopgave">
    <w:name w:val="TOC Heading"/>
    <w:basedOn w:val="Kop1"/>
    <w:next w:val="Standaard"/>
    <w:uiPriority w:val="39"/>
    <w:unhideWhenUsed/>
    <w:qFormat/>
    <w:rsid w:val="00AC2632"/>
    <w:pPr>
      <w:outlineLvl w:val="9"/>
    </w:pPr>
    <w:rPr>
      <w:lang w:eastAsia="nl-NL"/>
    </w:rPr>
  </w:style>
  <w:style w:type="paragraph" w:styleId="Inhopg1">
    <w:name w:val="toc 1"/>
    <w:basedOn w:val="Standaard"/>
    <w:next w:val="Standaard"/>
    <w:autoRedefine/>
    <w:uiPriority w:val="39"/>
    <w:unhideWhenUsed/>
    <w:rsid w:val="00AC2632"/>
    <w:pPr>
      <w:spacing w:after="100"/>
    </w:pPr>
  </w:style>
  <w:style w:type="paragraph" w:styleId="Inhopg2">
    <w:name w:val="toc 2"/>
    <w:basedOn w:val="Standaard"/>
    <w:next w:val="Standaard"/>
    <w:autoRedefine/>
    <w:uiPriority w:val="39"/>
    <w:unhideWhenUsed/>
    <w:rsid w:val="00AC2632"/>
    <w:pPr>
      <w:spacing w:after="100"/>
      <w:ind w:left="220"/>
    </w:pPr>
  </w:style>
  <w:style w:type="paragraph" w:styleId="Inhopg3">
    <w:name w:val="toc 3"/>
    <w:basedOn w:val="Standaard"/>
    <w:next w:val="Standaard"/>
    <w:autoRedefine/>
    <w:uiPriority w:val="39"/>
    <w:unhideWhenUsed/>
    <w:rsid w:val="00AC2632"/>
    <w:pPr>
      <w:spacing w:after="100"/>
      <w:ind w:left="440"/>
    </w:pPr>
  </w:style>
  <w:style w:type="character" w:customStyle="1" w:styleId="Kop4Char">
    <w:name w:val="Kop 4 Char"/>
    <w:basedOn w:val="Standaardalinea-lettertype"/>
    <w:link w:val="Kop4"/>
    <w:uiPriority w:val="9"/>
    <w:rsid w:val="00CF7740"/>
    <w:rPr>
      <w:rFonts w:asciiTheme="majorHAnsi" w:eastAsiaTheme="majorEastAsia" w:hAnsiTheme="majorHAnsi" w:cstheme="majorBidi"/>
      <w:i/>
      <w:iCs/>
      <w:color w:val="2F5496" w:themeColor="accent1" w:themeShade="BF"/>
    </w:rPr>
  </w:style>
  <w:style w:type="paragraph" w:styleId="Tekstopmerking">
    <w:name w:val="annotation text"/>
    <w:basedOn w:val="Standaard"/>
    <w:link w:val="TekstopmerkingChar"/>
    <w:uiPriority w:val="99"/>
    <w:semiHidden/>
    <w:unhideWhenUsed/>
    <w:pPr>
      <w:spacing w:line="240" w:lineRule="auto"/>
    </w:pPr>
    <w:rPr>
      <w:sz w:val="20"/>
      <w:szCs w:val="20"/>
    </w:rPr>
  </w:style>
  <w:style w:type="character" w:customStyle="1" w:styleId="TekstopmerkingChar">
    <w:name w:val="Tekst opmerking Char"/>
    <w:basedOn w:val="Standaardalinea-lettertype"/>
    <w:link w:val="Tekstopmerking"/>
    <w:uiPriority w:val="99"/>
    <w:semiHidden/>
    <w:rPr>
      <w:sz w:val="20"/>
      <w:szCs w:val="20"/>
    </w:rPr>
  </w:style>
  <w:style w:type="character" w:styleId="Verwijzingopmerking">
    <w:name w:val="annotation reference"/>
    <w:basedOn w:val="Standaardalinea-lettertype"/>
    <w:uiPriority w:val="99"/>
    <w:semiHidden/>
    <w:unhideWhenUsed/>
    <w:rPr>
      <w:sz w:val="16"/>
      <w:szCs w:val="16"/>
    </w:rPr>
  </w:style>
  <w:style w:type="character" w:customStyle="1" w:styleId="TitelChar">
    <w:name w:val="Titel Char"/>
    <w:basedOn w:val="Standaardalinea-lettertype"/>
    <w:link w:val="Titel"/>
    <w:uiPriority w:val="10"/>
    <w:rPr>
      <w:rFonts w:asciiTheme="majorHAnsi" w:eastAsiaTheme="majorEastAsia" w:hAnsiTheme="majorHAnsi" w:cstheme="majorBidi"/>
      <w:spacing w:val="-10"/>
      <w:kern w:val="28"/>
      <w:sz w:val="56"/>
      <w:szCs w:val="56"/>
    </w:rPr>
  </w:style>
  <w:style w:type="paragraph" w:styleId="Titel">
    <w:name w:val="Title"/>
    <w:basedOn w:val="Standaard"/>
    <w:next w:val="Standaard"/>
    <w:link w:val="TitelChar"/>
    <w:uiPriority w:val="10"/>
    <w:qFormat/>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OndertitelChar">
    <w:name w:val="Ondertitel Char"/>
    <w:basedOn w:val="Standaardalinea-lettertype"/>
    <w:link w:val="Ondertitel"/>
    <w:uiPriority w:val="11"/>
    <w:rPr>
      <w:rFonts w:eastAsiaTheme="minorEastAsia"/>
      <w:color w:val="5A5A5A" w:themeColor="text1" w:themeTint="A5"/>
      <w:spacing w:val="15"/>
    </w:rPr>
  </w:style>
  <w:style w:type="paragraph" w:styleId="Ondertitel">
    <w:name w:val="Subtitle"/>
    <w:basedOn w:val="Standaard"/>
    <w:next w:val="Standaard"/>
    <w:link w:val="OndertitelChar"/>
    <w:uiPriority w:val="11"/>
    <w:qFormat/>
    <w:pPr>
      <w:numPr>
        <w:ilvl w:val="1"/>
      </w:numPr>
    </w:pPr>
    <w:rPr>
      <w:rFonts w:eastAsiaTheme="minorEastAsia"/>
      <w:color w:val="5A5A5A" w:themeColor="text1" w:themeTint="A5"/>
      <w:spacing w:val="15"/>
    </w:rPr>
  </w:style>
  <w:style w:type="paragraph" w:styleId="Koptekst">
    <w:name w:val="header"/>
    <w:basedOn w:val="Standaard"/>
    <w:link w:val="KoptekstChar"/>
    <w:uiPriority w:val="99"/>
    <w:unhideWhenUsed/>
    <w:rsid w:val="008D31B8"/>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8D31B8"/>
  </w:style>
  <w:style w:type="paragraph" w:styleId="Voettekst">
    <w:name w:val="footer"/>
    <w:basedOn w:val="Standaard"/>
    <w:link w:val="VoettekstChar"/>
    <w:uiPriority w:val="99"/>
    <w:unhideWhenUsed/>
    <w:rsid w:val="008D31B8"/>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8D31B8"/>
  </w:style>
  <w:style w:type="character" w:styleId="GevolgdeHyperlink">
    <w:name w:val="FollowedHyperlink"/>
    <w:basedOn w:val="Standaardalinea-lettertype"/>
    <w:uiPriority w:val="99"/>
    <w:semiHidden/>
    <w:unhideWhenUsed/>
    <w:rsid w:val="00E948B1"/>
    <w:rPr>
      <w:color w:val="954F72" w:themeColor="followedHyperlink"/>
      <w:u w:val="single"/>
    </w:rPr>
  </w:style>
  <w:style w:type="character" w:styleId="Onopgelostemelding">
    <w:name w:val="Unresolved Mention"/>
    <w:basedOn w:val="Standaardalinea-lettertype"/>
    <w:uiPriority w:val="99"/>
    <w:semiHidden/>
    <w:unhideWhenUsed/>
    <w:rsid w:val="00153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77/0149206314527128" TargetMode="External"/><Relationship Id="rId18" Type="http://schemas.openxmlformats.org/officeDocument/2006/relationships/hyperlink" Target="https://studiowhy.com/nl/innoveren-met-functieoverschrijdende-samenwerking-voordelen-methoden-en-voorbeelden/" TargetMode="External"/><Relationship Id="rId26" Type="http://schemas.openxmlformats.org/officeDocument/2006/relationships/hyperlink" Target="https://doi.org/10.1177/875697281604700502" TargetMode="External"/><Relationship Id="rId39" Type="http://schemas.openxmlformats.org/officeDocument/2006/relationships/hyperlink" Target="https://www.researchgate.net/publication/265318205_On_Innovation_in_the_Public_Sector" TargetMode="External"/><Relationship Id="rId21" Type="http://schemas.openxmlformats.org/officeDocument/2006/relationships/hyperlink" Target="https://doi.org/10.3316/QRJ0902027" TargetMode="External"/><Relationship Id="rId34" Type="http://schemas.openxmlformats.org/officeDocument/2006/relationships/hyperlink" Target="https://doi.org/10.1016/0090-2616(91)90050-J" TargetMode="External"/><Relationship Id="rId42" Type="http://schemas.openxmlformats.org/officeDocument/2006/relationships/hyperlink" Target="https://dx.doi.org/10.1080/14719037.2017.1320044" TargetMode="External"/><Relationship Id="rId47" Type="http://schemas.openxmlformats.org/officeDocument/2006/relationships/hyperlink" Target="https://doi-org.ru.idm.oclc.org/10.1787/9789264270879-7-en" TargetMode="External"/><Relationship Id="rId50" Type="http://schemas.openxmlformats.org/officeDocument/2006/relationships/hyperlink" Target="https://doi.org/10.5771/0935-9915-2009-2-158" TargetMode="External"/><Relationship Id="rId55" Type="http://schemas.openxmlformats.org/officeDocument/2006/relationships/hyperlink" Target="https://samenwerken.sp01.intranet.rws.nl/sites/M231201781/Gedeelde%20%20documenten/Achtergrond%20informatie/Living_Labs_Whitepaper.pdf" TargetMode="External"/><Relationship Id="rId63" Type="http://schemas.openxmlformats.org/officeDocument/2006/relationships/hyperlink" Target="https://doi.org/10.1002/pmj.21325" TargetMode="External"/><Relationship Id="rId68" Type="http://schemas.openxmlformats.org/officeDocument/2006/relationships/hyperlink" Target="https://doi.org/10.4236/psych.2020.112019"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nibmehub.com/opac-service/pdf/read/Managing%2520innovation%2520_%2520integrating%2520technological.pdf" TargetMode="External"/><Relationship Id="rId29" Type="http://schemas.openxmlformats.org/officeDocument/2006/relationships/hyperlink" Target="https://www.digitaleoverheid.nl/overzicht-van-alle-onderwerpen/nieuwe-technologieen-data-en-ethiek/publieke-waarden/toolbox-voor-ethisch-verantwoorde-innovatie/monitoren-en-evaluer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doi.org/10.1177/009365088015005003" TargetMode="External"/><Relationship Id="rId32" Type="http://schemas.openxmlformats.org/officeDocument/2006/relationships/hyperlink" Target="https://doi.org/10.1016/j.jbusres.2011.03.005" TargetMode="External"/><Relationship Id="rId37" Type="http://schemas.openxmlformats.org/officeDocument/2006/relationships/hyperlink" Target="https://doi.org/10.1108/00197859610105440" TargetMode="External"/><Relationship Id="rId40" Type="http://schemas.openxmlformats.org/officeDocument/2006/relationships/hyperlink" Target="https://doi.org/10.4324/9781315042480" TargetMode="External"/><Relationship Id="rId45" Type="http://schemas.openxmlformats.org/officeDocument/2006/relationships/hyperlink" Target="https://www.rijksorganisatieodi.nl/documenten/handleidingen/2023/02/03/stappenplan-innovatieprojecten" TargetMode="External"/><Relationship Id="rId53" Type="http://schemas.openxmlformats.org/officeDocument/2006/relationships/hyperlink" Target="https://www.rijkswaterstaat.nl/over-ons/onze-organisatie/onze-historie" TargetMode="External"/><Relationship Id="rId58" Type="http://schemas.openxmlformats.org/officeDocument/2006/relationships/hyperlink" Target="https://doi.org/10.1177/0170840604048001" TargetMode="External"/><Relationship Id="rId66" Type="http://schemas.openxmlformats.org/officeDocument/2006/relationships/hyperlink" Target="https://iwansuharyanto.wordpress.com/wp-content/uploads/2013/04/robert_k-_yin_case_study_research_design_and_mebookfi-org.pdf" TargetMode="External"/><Relationship Id="rId5" Type="http://schemas.openxmlformats.org/officeDocument/2006/relationships/webSettings" Target="webSettings.xml"/><Relationship Id="rId15" Type="http://schemas.openxmlformats.org/officeDocument/2006/relationships/hyperlink" Target="https://www.researchgate.net/publication/258447330_Measurement_of_learning_culture_a_motivational_approach" TargetMode="External"/><Relationship Id="rId23" Type="http://schemas.openxmlformats.org/officeDocument/2006/relationships/hyperlink" Target="https://edepot.wur.nl/339717" TargetMode="External"/><Relationship Id="rId28" Type="http://schemas.openxmlformats.org/officeDocument/2006/relationships/hyperlink" Target="https://www.digitaleoverheid.nl/overzicht-van-alle-onderwerpen/innovatie/" TargetMode="External"/><Relationship Id="rId36" Type="http://schemas.openxmlformats.org/officeDocument/2006/relationships/hyperlink" Target="https://doi.org/10.33612/diss.603413720" TargetMode="External"/><Relationship Id="rId49" Type="http://schemas.openxmlformats.org/officeDocument/2006/relationships/hyperlink" Target="https://doi.org/10.2307/259225" TargetMode="External"/><Relationship Id="rId57" Type="http://schemas.openxmlformats.org/officeDocument/2006/relationships/hyperlink" Target="https://doi.org/10.1108/01435129910291175" TargetMode="External"/><Relationship Id="rId61" Type="http://schemas.openxmlformats.org/officeDocument/2006/relationships/hyperlink" Target="Https://10.5553/GenO/092150772014027001002" TargetMode="External"/><Relationship Id="rId10" Type="http://schemas.openxmlformats.org/officeDocument/2006/relationships/image" Target="media/image3.png"/><Relationship Id="rId19" Type="http://schemas.openxmlformats.org/officeDocument/2006/relationships/hyperlink" Target="https://ipmr.net/index.php/ipmr/article/view/73" TargetMode="External"/><Relationship Id="rId31" Type="http://schemas.openxmlformats.org/officeDocument/2006/relationships/hyperlink" Target="Https://doi.org/10.1111/j.1540-6210.2006.00570.x" TargetMode="External"/><Relationship Id="rId44" Type="http://schemas.openxmlformats.org/officeDocument/2006/relationships/hyperlink" Target="https://10.0.4.84/00251741111094437" TargetMode="External"/><Relationship Id="rId52" Type="http://schemas.openxmlformats.org/officeDocument/2006/relationships/hyperlink" Target="https://doi.org/10.1108/11766091111162070" TargetMode="External"/><Relationship Id="rId60" Type="http://schemas.openxmlformats.org/officeDocument/2006/relationships/hyperlink" Target="https://doi.org/10.1108/14601060010322293" TargetMode="External"/><Relationship Id="rId65" Type="http://schemas.openxmlformats.org/officeDocument/2006/relationships/hyperlink" Target="https://doi.org/10.2478/emj-2019-000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016/1048-9843(95)90021-7" TargetMode="External"/><Relationship Id="rId22" Type="http://schemas.openxmlformats.org/officeDocument/2006/relationships/hyperlink" Target="https://www.capgemini.com/nl-nl/wp-content/uploads/sites/7/2017/07/pdf_Innovatiestudie_Capgemini_Consulting_en_IESE_Business_School__Nederland_in_de_middenmoot_0.pdf" TargetMode="External"/><Relationship Id="rId27" Type="http://schemas.openxmlformats.org/officeDocument/2006/relationships/hyperlink" Target="https://issuu.com/succesvolinnoveren/docs/succesvol_innoveren_issuu" TargetMode="External"/><Relationship Id="rId30" Type="http://schemas.openxmlformats.org/officeDocument/2006/relationships/hyperlink" Target="https://doi.org/10.1016/j.emj.2016.08.005" TargetMode="External"/><Relationship Id="rId35" Type="http://schemas.openxmlformats.org/officeDocument/2006/relationships/hyperlink" Target="http://www.frogandgoat.com/wp-content/uploads/2008/07/toward-a-learning-organization.pdf" TargetMode="External"/><Relationship Id="rId43" Type="http://schemas.openxmlformats.org/officeDocument/2006/relationships/hyperlink" Target="https://doi.org/10.1080/00909889409365387" TargetMode="External"/><Relationship Id="rId48" Type="http://schemas.openxmlformats.org/officeDocument/2006/relationships/hyperlink" Target="https://books.google.nl/books?id=azgXBAAAQBAJ&amp;pg=PR3&amp;hl=nl&amp;source=gbs_selected_pages&amp;cad=1" TargetMode="External"/><Relationship Id="rId56" Type="http://schemas.openxmlformats.org/officeDocument/2006/relationships/hyperlink" Target="https://rwsinnoveert.nl/" TargetMode="External"/><Relationship Id="rId64" Type="http://schemas.openxmlformats.org/officeDocument/2006/relationships/hyperlink" Target="https://doi.org/10.1177/1059601198233002" TargetMode="External"/><Relationship Id="rId69"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hyperlink" Target="https://doi.org/10.1016/1048-9843(90)90009-7" TargetMode="External"/><Relationship Id="rId72" Type="http://schemas.microsoft.com/office/2020/10/relationships/intelligence" Target="intelligence2.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doi.org/10.1111/j.1540-5885.2010.00746.x" TargetMode="External"/><Relationship Id="rId25" Type="http://schemas.openxmlformats.org/officeDocument/2006/relationships/hyperlink" Target="http://dx.doi.org/10.1145/348772.348775" TargetMode="External"/><Relationship Id="rId33" Type="http://schemas.openxmlformats.org/officeDocument/2006/relationships/hyperlink" Target="https://docplayer.nl/162221083-Hoe-kunnen-waterschappen-in-samenhang-innoveren-en-optimaliseren-om-beter-te-presteren.html" TargetMode="External"/><Relationship Id="rId38" Type="http://schemas.openxmlformats.org/officeDocument/2006/relationships/hyperlink" Target="https://doi.org/10.1177/0021886307307555" TargetMode="External"/><Relationship Id="rId46" Type="http://schemas.openxmlformats.org/officeDocument/2006/relationships/hyperlink" Target="https://repository.ubn.ru.nl/bitstream/handle/2066/93601/93601.pdf?sequence=1&amp;isAllowed=y" TargetMode="External"/><Relationship Id="rId59" Type="http://schemas.openxmlformats.org/officeDocument/2006/relationships/hyperlink" Target="https://www.jstor.org/stable/2661507" TargetMode="External"/><Relationship Id="rId67" Type="http://schemas.openxmlformats.org/officeDocument/2006/relationships/hyperlink" Target="https://doi.org/10.3389/fpsyg.2022.856407" TargetMode="External"/><Relationship Id="rId20" Type="http://schemas.openxmlformats.org/officeDocument/2006/relationships/hyperlink" Target="https://www.nao.org.uk/wp-content/uploads/2006/07/05061447ii.pdf" TargetMode="External"/><Relationship Id="rId41" Type="http://schemas.openxmlformats.org/officeDocument/2006/relationships/hyperlink" Target="https://www.innovatiex.nl/nieuws/nieuws/2023/09/18/innovaties-in-het-publieke-domein-opschalen-3-succesfactoren" TargetMode="External"/><Relationship Id="rId54" Type="http://schemas.openxmlformats.org/officeDocument/2006/relationships/hyperlink" Target="https://redactie.rijksportaal.overheid-i.nl/site/binaries/content/assets/rijksportaal/organizations/minrws/dit-zijn-wij/rws_kompas_opmaak_online_dv_def.pdf" TargetMode="External"/><Relationship Id="rId62" Type="http://schemas.openxmlformats.org/officeDocument/2006/relationships/hyperlink" Target="https://doi.org/10.1177/0170840604048162"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B33A40-DD9D-40BF-BD11-B4C02CA04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32146</Words>
  <Characters>176809</Characters>
  <Application>Microsoft Office Word</Application>
  <DocSecurity>0</DocSecurity>
  <Lines>1473</Lines>
  <Paragraphs>417</Paragraphs>
  <ScaleCrop>false</ScaleCrop>
  <Company/>
  <LinksUpToDate>false</LinksUpToDate>
  <CharactersWithSpaces>208538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Gijsbertsen</dc:creator>
  <cp:keywords/>
  <dc:description/>
  <cp:lastModifiedBy>Born, E.G.J. (Evelien)</cp:lastModifiedBy>
  <cp:revision>2</cp:revision>
  <dcterms:created xsi:type="dcterms:W3CDTF">2024-07-17T08:24:00Z</dcterms:created>
  <dcterms:modified xsi:type="dcterms:W3CDTF">2024-07-17T08:24:00Z</dcterms:modified>
</cp:coreProperties>
</file>