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F9BC46" w14:textId="77777777" w:rsidR="00143258" w:rsidRDefault="00CA3591">
      <w:pPr>
        <w:suppressLineNumbers/>
        <w:tabs>
          <w:tab w:val="left" w:pos="5414"/>
        </w:tabs>
        <w:rPr>
          <w:rFonts w:ascii="Open Sans" w:hAnsi="Open Sans" w:cs="Open Sans"/>
          <w:color w:val="FFFFFF" w:themeColor="background1"/>
          <w:sz w:val="80"/>
          <w:szCs w:val="80"/>
        </w:rPr>
      </w:pPr>
      <w:r>
        <w:rPr>
          <w:rFonts w:ascii="Open Sans" w:hAnsi="Open Sans" w:cs="Open Sans"/>
          <w:noProof/>
          <w:color w:val="FFFFFF" w:themeColor="background1"/>
          <w:sz w:val="80"/>
          <w:szCs w:val="80"/>
        </w:rPr>
        <w:drawing>
          <wp:anchor distT="0" distB="0" distL="0" distR="0" simplePos="0" relativeHeight="251657216" behindDoc="1" locked="0" layoutInCell="0" allowOverlap="1" wp14:anchorId="54DE98A7" wp14:editId="17A09667">
            <wp:simplePos x="0" y="0"/>
            <wp:positionH relativeFrom="column">
              <wp:posOffset>-1123315</wp:posOffset>
            </wp:positionH>
            <wp:positionV relativeFrom="page">
              <wp:align>bottom</wp:align>
            </wp:positionV>
            <wp:extent cx="8430895" cy="10580370"/>
            <wp:effectExtent l="0" t="0" r="8255" b="0"/>
            <wp:wrapNone/>
            <wp:docPr id="1" name="Background" descr="A red and black flag&#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ackground" descr="A red and black flag&#10;&#10;Description automatically generated with low confidence"/>
                    <pic:cNvPicPr>
                      <a:picLocks noChangeAspect="1" noChangeArrowheads="1"/>
                    </pic:cNvPicPr>
                  </pic:nvPicPr>
                  <pic:blipFill>
                    <a:blip r:embed="rId8"/>
                    <a:srcRect l="18498" t="31329" r="59472" b="29973"/>
                    <a:stretch>
                      <a:fillRect/>
                    </a:stretch>
                  </pic:blipFill>
                  <pic:spPr bwMode="auto">
                    <a:xfrm>
                      <a:off x="0" y="0"/>
                      <a:ext cx="8430895" cy="10580370"/>
                    </a:xfrm>
                    <a:prstGeom prst="rect">
                      <a:avLst/>
                    </a:prstGeom>
                  </pic:spPr>
                </pic:pic>
              </a:graphicData>
            </a:graphic>
          </wp:anchor>
        </w:drawing>
      </w:r>
    </w:p>
    <w:p w14:paraId="10B8823B" w14:textId="77777777" w:rsidR="00143258" w:rsidRDefault="00143258">
      <w:pPr>
        <w:suppressLineNumbers/>
        <w:tabs>
          <w:tab w:val="left" w:pos="5414"/>
        </w:tabs>
        <w:rPr>
          <w:rFonts w:ascii="Open Sans" w:hAnsi="Open Sans" w:cs="Open Sans"/>
          <w:color w:val="FFFFFF" w:themeColor="background1"/>
          <w:sz w:val="80"/>
          <w:szCs w:val="80"/>
        </w:rPr>
      </w:pPr>
    </w:p>
    <w:p w14:paraId="1168B8C6" w14:textId="77777777" w:rsidR="00143258" w:rsidRDefault="00CA3591">
      <w:pPr>
        <w:suppressLineNumbers/>
        <w:spacing w:line="240" w:lineRule="auto"/>
        <w:ind w:firstLine="0"/>
        <w:jc w:val="left"/>
        <w:rPr>
          <w:rFonts w:ascii="Open Sans" w:hAnsi="Open Sans" w:cs="Open Sans"/>
          <w:b/>
          <w:color w:val="FFFFFF" w:themeColor="background1"/>
          <w:sz w:val="28"/>
          <w:szCs w:val="36"/>
          <w:lang w:eastAsia="en-GB"/>
        </w:rPr>
      </w:pPr>
      <w:r>
        <w:rPr>
          <w:rFonts w:ascii="Open Sans" w:hAnsi="Open Sans" w:cs="Open Sans"/>
          <w:b/>
          <w:color w:val="FFFFFF" w:themeColor="background1"/>
          <w:sz w:val="28"/>
          <w:szCs w:val="36"/>
          <w:lang w:eastAsia="en-GB"/>
        </w:rPr>
        <w:t>Nijmegen School of Management</w:t>
      </w:r>
      <w:r>
        <w:rPr>
          <w:rFonts w:ascii="Open Sans" w:hAnsi="Open Sans" w:cs="Open Sans"/>
          <w:b/>
          <w:color w:val="FFFFFF" w:themeColor="background1"/>
          <w:sz w:val="28"/>
          <w:szCs w:val="36"/>
          <w:lang w:eastAsia="en-GB"/>
        </w:rPr>
        <w:br/>
        <w:t>Department of Economics and Business Economics</w:t>
      </w:r>
      <w:r>
        <w:rPr>
          <w:rFonts w:ascii="Open Sans" w:hAnsi="Open Sans" w:cs="Open Sans"/>
          <w:b/>
          <w:color w:val="FFFFFF" w:themeColor="background1"/>
          <w:sz w:val="28"/>
          <w:szCs w:val="36"/>
          <w:lang w:eastAsia="en-GB"/>
        </w:rPr>
        <w:br/>
        <w:t xml:space="preserve">Research proposal </w:t>
      </w:r>
      <w:proofErr w:type="gramStart"/>
      <w:r>
        <w:rPr>
          <w:rFonts w:ascii="Open Sans" w:hAnsi="Open Sans" w:cs="Open Sans"/>
          <w:b/>
          <w:color w:val="FFFFFF" w:themeColor="background1"/>
          <w:sz w:val="28"/>
          <w:szCs w:val="36"/>
          <w:lang w:eastAsia="en-GB"/>
        </w:rPr>
        <w:t>Master’s</w:t>
      </w:r>
      <w:proofErr w:type="gramEnd"/>
      <w:r>
        <w:rPr>
          <w:rFonts w:ascii="Open Sans" w:hAnsi="Open Sans" w:cs="Open Sans"/>
          <w:b/>
          <w:color w:val="FFFFFF" w:themeColor="background1"/>
          <w:sz w:val="28"/>
          <w:szCs w:val="36"/>
          <w:lang w:eastAsia="en-GB"/>
        </w:rPr>
        <w:t xml:space="preserve"> Thesis Economics (MAN-MTHEC)</w:t>
      </w:r>
    </w:p>
    <w:p w14:paraId="79854544" w14:textId="77777777" w:rsidR="00143258" w:rsidRDefault="00143258">
      <w:pPr>
        <w:suppressLineNumbers/>
        <w:spacing w:line="240" w:lineRule="auto"/>
        <w:ind w:firstLine="0"/>
        <w:jc w:val="left"/>
        <w:rPr>
          <w:rFonts w:ascii="Open Sans" w:hAnsi="Open Sans" w:cs="Open Sans"/>
          <w:b/>
          <w:color w:val="FFFFFF" w:themeColor="background1"/>
          <w:sz w:val="28"/>
          <w:szCs w:val="36"/>
          <w:lang w:eastAsia="en-GB"/>
        </w:rPr>
      </w:pPr>
    </w:p>
    <w:p w14:paraId="6881A558" w14:textId="53ECEDBC" w:rsidR="00143258" w:rsidRDefault="007E5ABE">
      <w:pPr>
        <w:suppressLineNumbers/>
        <w:ind w:firstLine="0"/>
        <w:jc w:val="left"/>
        <w:rPr>
          <w:rFonts w:ascii="Open Sans" w:hAnsi="Open Sans" w:cs="Open Sans"/>
          <w:b/>
          <w:color w:val="FFFFFF" w:themeColor="background1"/>
          <w:sz w:val="56"/>
          <w:szCs w:val="80"/>
          <w:lang w:eastAsia="en-GB"/>
        </w:rPr>
      </w:pPr>
      <w:r w:rsidRPr="007E5ABE">
        <w:rPr>
          <w:rFonts w:ascii="Open Sans" w:hAnsi="Open Sans" w:cs="Open Sans"/>
          <w:b/>
          <w:color w:val="FFFFFF" w:themeColor="background1"/>
          <w:sz w:val="50"/>
          <w:szCs w:val="50"/>
          <w:lang w:eastAsia="en-GB"/>
        </w:rPr>
        <w:t xml:space="preserve">Examining the Impact of the ECB's Unconventional Monetary Policy on Financial Markets in EU Member States During the </w:t>
      </w:r>
      <w:r w:rsidR="004C51EF">
        <w:rPr>
          <w:rFonts w:ascii="Open Sans" w:hAnsi="Open Sans" w:cs="Open Sans"/>
          <w:b/>
          <w:color w:val="FFFFFF" w:themeColor="background1"/>
          <w:sz w:val="50"/>
          <w:szCs w:val="50"/>
          <w:lang w:eastAsia="en-GB"/>
        </w:rPr>
        <w:t>COVID-19</w:t>
      </w:r>
      <w:r w:rsidRPr="007E5ABE">
        <w:rPr>
          <w:rFonts w:ascii="Open Sans" w:hAnsi="Open Sans" w:cs="Open Sans"/>
          <w:b/>
          <w:color w:val="FFFFFF" w:themeColor="background1"/>
          <w:sz w:val="50"/>
          <w:szCs w:val="50"/>
          <w:lang w:eastAsia="en-GB"/>
        </w:rPr>
        <w:t xml:space="preserve"> Pandemic</w:t>
      </w:r>
      <w:r w:rsidR="000F78FA">
        <w:rPr>
          <w:rFonts w:ascii="Open Sans" w:hAnsi="Open Sans" w:cs="Open Sans"/>
          <w:b/>
          <w:color w:val="FFFFFF" w:themeColor="background1"/>
          <w:sz w:val="56"/>
          <w:szCs w:val="80"/>
          <w:lang w:eastAsia="en-GB"/>
        </w:rPr>
        <w:t xml:space="preserve"> </w:t>
      </w:r>
    </w:p>
    <w:p w14:paraId="50B10A9E" w14:textId="77777777" w:rsidR="00143258" w:rsidRDefault="00143258">
      <w:pPr>
        <w:suppressLineNumbers/>
        <w:ind w:firstLine="0"/>
        <w:jc w:val="left"/>
        <w:rPr>
          <w:rFonts w:ascii="Open Sans" w:hAnsi="Open Sans" w:cs="Open Sans"/>
          <w:b/>
          <w:color w:val="FFFFFF" w:themeColor="background1"/>
          <w:sz w:val="28"/>
          <w:szCs w:val="40"/>
        </w:rPr>
      </w:pPr>
    </w:p>
    <w:p w14:paraId="32F12D96" w14:textId="77777777" w:rsidR="00143258" w:rsidRPr="004D17FC" w:rsidRDefault="00CA3591">
      <w:pPr>
        <w:suppressLineNumbers/>
        <w:spacing w:after="120" w:line="240" w:lineRule="auto"/>
        <w:ind w:firstLine="0"/>
        <w:jc w:val="left"/>
        <w:rPr>
          <w:rFonts w:ascii="Open Sans" w:hAnsi="Open Sans" w:cs="Open Sans"/>
          <w:color w:val="FFFFFF" w:themeColor="background1"/>
          <w:lang w:val="nl-NL"/>
        </w:rPr>
      </w:pPr>
      <w:r w:rsidRPr="004D17FC">
        <w:rPr>
          <w:rFonts w:ascii="Open Sans" w:hAnsi="Open Sans" w:cs="Open Sans"/>
          <w:color w:val="FFFFFF" w:themeColor="background1"/>
          <w:lang w:val="nl-NL"/>
        </w:rPr>
        <w:t>By Daniël Boer (s1062444)</w:t>
      </w:r>
    </w:p>
    <w:p w14:paraId="696E9354" w14:textId="7F47DDE2" w:rsidR="00143258" w:rsidRDefault="00CA3591">
      <w:pPr>
        <w:suppressLineNumbers/>
        <w:spacing w:after="120" w:line="240" w:lineRule="auto"/>
        <w:ind w:firstLine="0"/>
        <w:jc w:val="left"/>
        <w:rPr>
          <w:rFonts w:ascii="Open Sans" w:hAnsi="Open Sans" w:cs="Open Sans"/>
          <w:color w:val="FFFFFF"/>
        </w:rPr>
      </w:pPr>
      <w:r w:rsidRPr="004D17FC">
        <w:rPr>
          <w:rFonts w:ascii="Open Sans" w:hAnsi="Open Sans" w:cs="Open Sans"/>
          <w:color w:val="FFFFFF" w:themeColor="background1"/>
          <w:lang w:val="nl-NL"/>
        </w:rPr>
        <w:t xml:space="preserve">Nijmegen, </w:t>
      </w:r>
      <w:r>
        <w:rPr>
          <w:rFonts w:ascii="Open Sans" w:hAnsi="Open Sans" w:cs="Open Sans"/>
          <w:color w:val="FFFFFF"/>
        </w:rPr>
        <w:fldChar w:fldCharType="begin"/>
      </w:r>
      <w:r>
        <w:rPr>
          <w:rFonts w:ascii="Open Sans" w:hAnsi="Open Sans" w:cs="Open Sans"/>
          <w:color w:val="FFFFFF"/>
        </w:rPr>
        <w:instrText xml:space="preserve"> DATE \@"d\ MMMM\ yyyy" </w:instrText>
      </w:r>
      <w:r>
        <w:rPr>
          <w:rFonts w:ascii="Open Sans" w:hAnsi="Open Sans" w:cs="Open Sans"/>
          <w:color w:val="FFFFFF"/>
        </w:rPr>
        <w:fldChar w:fldCharType="separate"/>
      </w:r>
      <w:r w:rsidR="00326683">
        <w:rPr>
          <w:rFonts w:ascii="Open Sans" w:hAnsi="Open Sans" w:cs="Open Sans"/>
          <w:noProof/>
          <w:color w:val="FFFFFF"/>
        </w:rPr>
        <w:t>23 December 2022</w:t>
      </w:r>
      <w:r>
        <w:rPr>
          <w:rFonts w:ascii="Open Sans" w:hAnsi="Open Sans" w:cs="Open Sans"/>
          <w:color w:val="FFFFFF"/>
        </w:rPr>
        <w:fldChar w:fldCharType="end"/>
      </w:r>
    </w:p>
    <w:p w14:paraId="76219077" w14:textId="00B00CEF" w:rsidR="00D346A4" w:rsidRDefault="00D346A4">
      <w:pPr>
        <w:suppressLineNumbers/>
        <w:spacing w:after="120" w:line="240" w:lineRule="auto"/>
        <w:ind w:firstLine="0"/>
        <w:jc w:val="left"/>
        <w:rPr>
          <w:rFonts w:ascii="Open Sans" w:hAnsi="Open Sans" w:cs="Open Sans"/>
          <w:color w:val="FFFFFF"/>
        </w:rPr>
      </w:pPr>
    </w:p>
    <w:p w14:paraId="7CECEF48" w14:textId="28A4A1C8" w:rsidR="00D346A4" w:rsidRDefault="00D346A4">
      <w:pPr>
        <w:suppressLineNumbers/>
        <w:spacing w:after="120" w:line="240" w:lineRule="auto"/>
        <w:ind w:firstLine="0"/>
        <w:jc w:val="left"/>
        <w:rPr>
          <w:rFonts w:ascii="Open Sans" w:hAnsi="Open Sans" w:cs="Open Sans"/>
          <w:color w:val="FFFFFF"/>
        </w:rPr>
      </w:pPr>
    </w:p>
    <w:p w14:paraId="4EDF4800" w14:textId="66DA19BD" w:rsidR="00D346A4" w:rsidRDefault="00D346A4">
      <w:pPr>
        <w:suppressLineNumbers/>
        <w:spacing w:after="120" w:line="240" w:lineRule="auto"/>
        <w:ind w:firstLine="0"/>
        <w:jc w:val="left"/>
        <w:rPr>
          <w:rFonts w:ascii="Open Sans" w:hAnsi="Open Sans" w:cs="Open Sans"/>
          <w:color w:val="FFFFFF"/>
        </w:rPr>
      </w:pPr>
    </w:p>
    <w:p w14:paraId="5E2C2D7B" w14:textId="34B1C844" w:rsidR="00D346A4" w:rsidRDefault="00D346A4">
      <w:pPr>
        <w:suppressLineNumbers/>
        <w:spacing w:after="120" w:line="240" w:lineRule="auto"/>
        <w:ind w:firstLine="0"/>
        <w:jc w:val="left"/>
        <w:rPr>
          <w:rFonts w:ascii="Open Sans" w:hAnsi="Open Sans" w:cs="Open Sans"/>
          <w:color w:val="FFFFFF"/>
        </w:rPr>
      </w:pPr>
      <w:r>
        <w:rPr>
          <w:rFonts w:ascii="Open Sans" w:hAnsi="Open Sans" w:cs="Open Sans"/>
          <w:color w:val="FFFFFF"/>
        </w:rPr>
        <w:t>Program: Master’s Program in Economics</w:t>
      </w:r>
    </w:p>
    <w:p w14:paraId="2E4444C0" w14:textId="6DA5F09F" w:rsidR="00C65D1C" w:rsidRDefault="00D346A4" w:rsidP="00D346A4">
      <w:pPr>
        <w:suppressLineNumbers/>
        <w:spacing w:after="120" w:line="240" w:lineRule="auto"/>
        <w:ind w:firstLine="0"/>
        <w:jc w:val="left"/>
        <w:rPr>
          <w:rFonts w:ascii="Open Sans" w:hAnsi="Open Sans" w:cs="Open Sans"/>
          <w:color w:val="FFFFFF"/>
        </w:rPr>
      </w:pPr>
      <w:proofErr w:type="spellStart"/>
      <w:r>
        <w:rPr>
          <w:rFonts w:ascii="Open Sans" w:hAnsi="Open Sans" w:cs="Open Sans"/>
          <w:color w:val="FFFFFF"/>
        </w:rPr>
        <w:t>Specializatoin</w:t>
      </w:r>
      <w:proofErr w:type="spellEnd"/>
      <w:r>
        <w:rPr>
          <w:rFonts w:ascii="Open Sans" w:hAnsi="Open Sans" w:cs="Open Sans"/>
          <w:color w:val="FFFFFF"/>
        </w:rPr>
        <w:t>: Financial Economics</w:t>
      </w:r>
    </w:p>
    <w:p w14:paraId="120CE5EC" w14:textId="47A68FE8" w:rsidR="00D346A4" w:rsidRPr="00D346A4" w:rsidRDefault="00D346A4" w:rsidP="00D346A4">
      <w:pPr>
        <w:suppressLineNumbers/>
        <w:spacing w:after="120" w:line="240" w:lineRule="auto"/>
        <w:ind w:firstLine="0"/>
        <w:jc w:val="left"/>
        <w:rPr>
          <w:rFonts w:ascii="Open Sans" w:hAnsi="Open Sans" w:cs="Open Sans"/>
          <w:color w:val="FFFFFF"/>
        </w:rPr>
      </w:pPr>
      <w:r>
        <w:rPr>
          <w:rFonts w:ascii="Open Sans" w:hAnsi="Open Sans" w:cs="Open Sans"/>
          <w:color w:val="FFFFFF"/>
        </w:rPr>
        <w:t>Supervisor:</w:t>
      </w:r>
      <w:r w:rsidR="005B5CB0">
        <w:rPr>
          <w:rFonts w:ascii="Open Sans" w:hAnsi="Open Sans" w:cs="Open Sans"/>
          <w:color w:val="FFFFFF"/>
        </w:rPr>
        <w:t xml:space="preserve"> I. Sifat</w:t>
      </w:r>
    </w:p>
    <w:p w14:paraId="6143360D" w14:textId="4CD7CC4B" w:rsidR="008372B6" w:rsidRPr="007E5ABE" w:rsidRDefault="008372B6" w:rsidP="00A94C25">
      <w:pPr>
        <w:shd w:val="clear" w:color="auto" w:fill="FFFFFF" w:themeFill="background1"/>
        <w:spacing w:line="240" w:lineRule="auto"/>
        <w:ind w:firstLine="0"/>
        <w:jc w:val="left"/>
        <w:rPr>
          <w:b/>
          <w:bCs/>
          <w:sz w:val="32"/>
          <w:szCs w:val="32"/>
        </w:rPr>
      </w:pPr>
      <w:r w:rsidRPr="007E5ABE">
        <w:rPr>
          <w:b/>
          <w:bCs/>
          <w:sz w:val="32"/>
          <w:szCs w:val="32"/>
        </w:rPr>
        <w:lastRenderedPageBreak/>
        <w:t>Abstract</w:t>
      </w:r>
    </w:p>
    <w:p w14:paraId="327EFD78" w14:textId="77777777" w:rsidR="008372B6" w:rsidRDefault="008372B6" w:rsidP="00A94C25">
      <w:pPr>
        <w:shd w:val="clear" w:color="auto" w:fill="FFFFFF" w:themeFill="background1"/>
        <w:ind w:firstLine="0"/>
        <w:jc w:val="left"/>
        <w:rPr>
          <w:b/>
          <w:bCs/>
          <w:sz w:val="32"/>
          <w:szCs w:val="32"/>
        </w:rPr>
      </w:pPr>
    </w:p>
    <w:p w14:paraId="5559382A" w14:textId="326B0107" w:rsidR="008372B6" w:rsidRPr="00B34D9D" w:rsidRDefault="00B34D9D" w:rsidP="00B34D9D">
      <w:pPr>
        <w:spacing w:after="240"/>
        <w:ind w:firstLine="720"/>
        <w:rPr>
          <w:rFonts w:ascii="Calibri" w:hAnsi="Calibri" w:cs="Calibri"/>
          <w:color w:val="000000"/>
          <w:lang w:val="en-US"/>
        </w:rPr>
      </w:pPr>
      <w:r w:rsidRPr="00B34D9D">
        <w:rPr>
          <w:rFonts w:ascii="Calibri" w:hAnsi="Calibri" w:cs="Calibri"/>
          <w:color w:val="000000"/>
          <w:lang w:val="en-US"/>
        </w:rPr>
        <w:t xml:space="preserve">This thesis investigates the effectiveness of the European Central Bank's Asset Purchase Program in stimulating the economy during the </w:t>
      </w:r>
      <w:r w:rsidR="004C51EF">
        <w:rPr>
          <w:rFonts w:ascii="Calibri" w:hAnsi="Calibri" w:cs="Calibri"/>
          <w:color w:val="000000"/>
          <w:lang w:val="en-US"/>
        </w:rPr>
        <w:t>COVID-19</w:t>
      </w:r>
      <w:r w:rsidRPr="00B34D9D">
        <w:rPr>
          <w:rFonts w:ascii="Calibri" w:hAnsi="Calibri" w:cs="Calibri"/>
          <w:color w:val="000000"/>
          <w:lang w:val="en-US"/>
        </w:rPr>
        <w:t xml:space="preserve"> pandemic by analyzing changes in sovereign government yields. This study identifies the main transmission channels of unconventional monetary policy. To analyze the transmission of unconventional monetary policy </w:t>
      </w:r>
      <w:r w:rsidR="00AC100D">
        <w:rPr>
          <w:rFonts w:ascii="Calibri" w:hAnsi="Calibri" w:cs="Calibri"/>
          <w:color w:val="000000"/>
          <w:lang w:val="en-US"/>
        </w:rPr>
        <w:t>on sovereign bond yields</w:t>
      </w:r>
      <w:r w:rsidRPr="00B34D9D">
        <w:rPr>
          <w:rFonts w:ascii="Calibri" w:hAnsi="Calibri" w:cs="Calibri"/>
          <w:color w:val="000000"/>
          <w:lang w:val="en-US"/>
        </w:rPr>
        <w:t xml:space="preserve">, this study employs event-study methodology to examine yield level changes following </w:t>
      </w:r>
      <w:r>
        <w:rPr>
          <w:rFonts w:ascii="Calibri" w:hAnsi="Calibri" w:cs="Calibri"/>
          <w:color w:val="000000"/>
          <w:lang w:val="en-US"/>
        </w:rPr>
        <w:t>UMP</w:t>
      </w:r>
      <w:r w:rsidRPr="00B34D9D">
        <w:rPr>
          <w:rFonts w:ascii="Calibri" w:hAnsi="Calibri" w:cs="Calibri"/>
          <w:color w:val="000000"/>
          <w:lang w:val="en-US"/>
        </w:rPr>
        <w:t xml:space="preserve"> announcements for individual EU member states, core countries, periphery countries, and the aggregate EMU. Our results reveal a significant </w:t>
      </w:r>
      <w:r w:rsidR="00B32FED">
        <w:rPr>
          <w:rFonts w:ascii="Calibri" w:hAnsi="Calibri" w:cs="Calibri"/>
          <w:color w:val="000000"/>
          <w:lang w:val="en-US"/>
        </w:rPr>
        <w:t>yield increasing</w:t>
      </w:r>
      <w:r w:rsidRPr="00B34D9D">
        <w:rPr>
          <w:rFonts w:ascii="Calibri" w:hAnsi="Calibri" w:cs="Calibri"/>
          <w:color w:val="000000"/>
          <w:lang w:val="en-US"/>
        </w:rPr>
        <w:t xml:space="preserve"> effect on sovereign bond</w:t>
      </w:r>
      <w:r w:rsidR="00B32FED">
        <w:rPr>
          <w:rFonts w:ascii="Calibri" w:hAnsi="Calibri" w:cs="Calibri"/>
          <w:color w:val="000000"/>
          <w:lang w:val="en-US"/>
        </w:rPr>
        <w:t>s</w:t>
      </w:r>
      <w:r w:rsidRPr="00B34D9D">
        <w:rPr>
          <w:rFonts w:ascii="Calibri" w:hAnsi="Calibri" w:cs="Calibri"/>
          <w:color w:val="000000"/>
          <w:lang w:val="en-US"/>
        </w:rPr>
        <w:t>, contrary to our initial hypothesis, for the aggregate EMU sample</w:t>
      </w:r>
      <w:r w:rsidR="00AC100D">
        <w:rPr>
          <w:rFonts w:ascii="Calibri" w:hAnsi="Calibri" w:cs="Calibri"/>
          <w:color w:val="000000"/>
          <w:lang w:val="en-US"/>
        </w:rPr>
        <w:t xml:space="preserve"> and core countries</w:t>
      </w:r>
      <w:r w:rsidRPr="00B34D9D">
        <w:rPr>
          <w:rFonts w:ascii="Calibri" w:hAnsi="Calibri" w:cs="Calibri"/>
          <w:color w:val="000000"/>
          <w:lang w:val="en-US"/>
        </w:rPr>
        <w:t xml:space="preserve">. </w:t>
      </w:r>
    </w:p>
    <w:p w14:paraId="5463184D" w14:textId="77777777" w:rsidR="00B34D9D" w:rsidRDefault="00B34D9D" w:rsidP="00A94C25">
      <w:pPr>
        <w:shd w:val="clear" w:color="auto" w:fill="FFFFFF" w:themeFill="background1"/>
        <w:spacing w:line="240" w:lineRule="auto"/>
        <w:ind w:firstLine="0"/>
        <w:jc w:val="left"/>
        <w:rPr>
          <w:b/>
          <w:bCs/>
          <w:sz w:val="32"/>
          <w:szCs w:val="32"/>
        </w:rPr>
      </w:pPr>
    </w:p>
    <w:p w14:paraId="6CEDAC82" w14:textId="04BE659C" w:rsidR="008372B6" w:rsidRPr="008372B6" w:rsidRDefault="008372B6" w:rsidP="00A94C25">
      <w:pPr>
        <w:shd w:val="clear" w:color="auto" w:fill="FFFFFF" w:themeFill="background1"/>
        <w:spacing w:line="240" w:lineRule="auto"/>
        <w:ind w:firstLine="0"/>
        <w:jc w:val="left"/>
      </w:pPr>
      <w:r w:rsidRPr="008372B6">
        <w:rPr>
          <w:b/>
          <w:bCs/>
        </w:rPr>
        <w:t>Keywords</w:t>
      </w:r>
      <w:r w:rsidRPr="008372B6">
        <w:t xml:space="preserve">: </w:t>
      </w:r>
      <w:r w:rsidR="004C51EF">
        <w:t>COVID-19</w:t>
      </w:r>
      <w:r w:rsidRPr="008372B6">
        <w:t xml:space="preserve">, Monetary Policy, </w:t>
      </w:r>
      <w:r w:rsidR="00C65D1C">
        <w:t>APP</w:t>
      </w:r>
      <w:r w:rsidRPr="008372B6">
        <w:t>,</w:t>
      </w:r>
      <w:r w:rsidR="00C65D1C">
        <w:t xml:space="preserve"> PEPP,</w:t>
      </w:r>
      <w:r w:rsidRPr="008372B6">
        <w:t xml:space="preserve"> ECB Announcements, Quantitative Easing, ECB, Sovereign Yield</w:t>
      </w:r>
      <w:r w:rsidRPr="008372B6">
        <w:br w:type="page"/>
      </w:r>
    </w:p>
    <w:p w14:paraId="210290E0" w14:textId="7B1E3687" w:rsidR="00A94C25" w:rsidRDefault="00A94C25">
      <w:pPr>
        <w:spacing w:line="240" w:lineRule="auto"/>
        <w:ind w:firstLine="0"/>
        <w:jc w:val="left"/>
        <w:rPr>
          <w:b/>
          <w:bCs/>
          <w:sz w:val="32"/>
          <w:szCs w:val="32"/>
        </w:rPr>
      </w:pPr>
      <w:r>
        <w:rPr>
          <w:b/>
          <w:bCs/>
          <w:sz w:val="32"/>
          <w:szCs w:val="32"/>
        </w:rPr>
        <w:lastRenderedPageBreak/>
        <w:t>List of abbreviations</w:t>
      </w:r>
    </w:p>
    <w:p w14:paraId="511ED20D" w14:textId="77777777" w:rsidR="005404A5" w:rsidRDefault="005404A5">
      <w:pPr>
        <w:spacing w:line="240" w:lineRule="auto"/>
        <w:ind w:firstLine="0"/>
        <w:jc w:val="left"/>
        <w:rPr>
          <w:b/>
          <w:bCs/>
          <w:sz w:val="32"/>
          <w:szCs w:val="32"/>
        </w:rPr>
      </w:pPr>
    </w:p>
    <w:p w14:paraId="5BE108C8" w14:textId="4E9985DD" w:rsidR="00A94C25" w:rsidRDefault="00A94C25">
      <w:pPr>
        <w:spacing w:line="240" w:lineRule="auto"/>
        <w:ind w:firstLine="0"/>
        <w:jc w:val="left"/>
        <w:rPr>
          <w:b/>
          <w:bCs/>
          <w:sz w:val="32"/>
          <w:szCs w:val="32"/>
        </w:rPr>
      </w:pPr>
    </w:p>
    <w:p w14:paraId="0A605BA2" w14:textId="14B736EE" w:rsidR="007C35CE" w:rsidRPr="007C35CE" w:rsidRDefault="007C35CE" w:rsidP="007C35CE">
      <w:pPr>
        <w:ind w:firstLine="0"/>
        <w:jc w:val="left"/>
      </w:pPr>
      <w:r w:rsidRPr="007C35CE">
        <w:t xml:space="preserve">European Monetary Union </w:t>
      </w:r>
      <w:r>
        <w:tab/>
      </w:r>
      <w:r>
        <w:tab/>
      </w:r>
      <w:r>
        <w:tab/>
      </w:r>
      <w:r>
        <w:tab/>
      </w:r>
      <w:r w:rsidRPr="007C35CE">
        <w:rPr>
          <w:b/>
          <w:bCs/>
        </w:rPr>
        <w:t>EMU</w:t>
      </w:r>
    </w:p>
    <w:p w14:paraId="2DA801B0" w14:textId="667E5E7E" w:rsidR="007C35CE" w:rsidRPr="007C35CE" w:rsidRDefault="007C35CE" w:rsidP="007C35CE">
      <w:pPr>
        <w:ind w:firstLine="0"/>
        <w:jc w:val="left"/>
      </w:pPr>
      <w:r w:rsidRPr="007C35CE">
        <w:t>European Central Bank</w:t>
      </w:r>
      <w:r>
        <w:tab/>
      </w:r>
      <w:r>
        <w:tab/>
      </w:r>
      <w:r>
        <w:tab/>
      </w:r>
      <w:r>
        <w:tab/>
      </w:r>
      <w:r w:rsidRPr="007C35CE">
        <w:rPr>
          <w:b/>
          <w:bCs/>
        </w:rPr>
        <w:t>ECB</w:t>
      </w:r>
    </w:p>
    <w:p w14:paraId="16A02A62" w14:textId="77777777" w:rsidR="007C35CE" w:rsidRPr="007C35CE" w:rsidRDefault="007C35CE" w:rsidP="007C35CE">
      <w:pPr>
        <w:ind w:firstLine="0"/>
        <w:jc w:val="left"/>
      </w:pPr>
      <w:r w:rsidRPr="007C35CE">
        <w:t xml:space="preserve">European Union </w:t>
      </w:r>
      <w:r>
        <w:tab/>
      </w:r>
      <w:r>
        <w:tab/>
      </w:r>
      <w:r>
        <w:tab/>
      </w:r>
      <w:r>
        <w:tab/>
      </w:r>
      <w:r>
        <w:tab/>
      </w:r>
      <w:r w:rsidRPr="007C35CE">
        <w:rPr>
          <w:b/>
          <w:bCs/>
        </w:rPr>
        <w:t>EU</w:t>
      </w:r>
    </w:p>
    <w:p w14:paraId="6744B2FA" w14:textId="504FF9AC" w:rsidR="007C35CE" w:rsidRPr="007C35CE" w:rsidRDefault="007C35CE" w:rsidP="007C35CE">
      <w:pPr>
        <w:ind w:firstLine="0"/>
        <w:jc w:val="left"/>
      </w:pPr>
      <w:r w:rsidRPr="007C35CE">
        <w:t>Unconventional Monetary Policy</w:t>
      </w:r>
      <w:r>
        <w:tab/>
      </w:r>
      <w:r>
        <w:tab/>
      </w:r>
      <w:r>
        <w:tab/>
      </w:r>
      <w:r w:rsidRPr="007C35CE">
        <w:rPr>
          <w:b/>
          <w:bCs/>
        </w:rPr>
        <w:t>UMP</w:t>
      </w:r>
    </w:p>
    <w:p w14:paraId="5193158F" w14:textId="3DD9E767" w:rsidR="007C35CE" w:rsidRPr="007C35CE" w:rsidRDefault="007C35CE" w:rsidP="007C35CE">
      <w:pPr>
        <w:ind w:firstLine="0"/>
        <w:jc w:val="left"/>
      </w:pPr>
      <w:r w:rsidRPr="007C35CE">
        <w:t>Pandemic Emergency Asset Purchase Program</w:t>
      </w:r>
      <w:r>
        <w:tab/>
      </w:r>
      <w:r w:rsidRPr="007C35CE">
        <w:rPr>
          <w:b/>
          <w:bCs/>
        </w:rPr>
        <w:t>PEPP</w:t>
      </w:r>
    </w:p>
    <w:p w14:paraId="12AEE8A4" w14:textId="40EE0144" w:rsidR="007C35CE" w:rsidRPr="007C35CE" w:rsidRDefault="007C35CE" w:rsidP="007C35CE">
      <w:pPr>
        <w:ind w:firstLine="0"/>
        <w:jc w:val="left"/>
      </w:pPr>
      <w:r w:rsidRPr="007C35CE">
        <w:t xml:space="preserve">Asset Purchase </w:t>
      </w:r>
      <w:r w:rsidRPr="007C35CE">
        <w:t xml:space="preserve">Program </w:t>
      </w:r>
      <w:r w:rsidRPr="007C35CE">
        <w:tab/>
      </w:r>
      <w:r>
        <w:tab/>
      </w:r>
      <w:r>
        <w:tab/>
      </w:r>
      <w:r>
        <w:tab/>
      </w:r>
      <w:r w:rsidRPr="007C35CE">
        <w:rPr>
          <w:b/>
          <w:bCs/>
        </w:rPr>
        <w:t>APP</w:t>
      </w:r>
    </w:p>
    <w:p w14:paraId="5B1F9F50" w14:textId="144A7D34" w:rsidR="007C35CE" w:rsidRPr="007C35CE" w:rsidRDefault="007C35CE" w:rsidP="007C35CE">
      <w:pPr>
        <w:ind w:firstLine="0"/>
        <w:jc w:val="left"/>
      </w:pPr>
      <w:r w:rsidRPr="007C35CE">
        <w:t xml:space="preserve">Quantitative Easing </w:t>
      </w:r>
      <w:r>
        <w:tab/>
      </w:r>
      <w:r>
        <w:tab/>
      </w:r>
      <w:r>
        <w:tab/>
      </w:r>
      <w:r>
        <w:tab/>
      </w:r>
      <w:r>
        <w:tab/>
      </w:r>
      <w:r w:rsidRPr="007C35CE">
        <w:rPr>
          <w:b/>
          <w:bCs/>
        </w:rPr>
        <w:t>QE</w:t>
      </w:r>
    </w:p>
    <w:p w14:paraId="250F55A2" w14:textId="77777777" w:rsidR="007C35CE" w:rsidRPr="007C35CE" w:rsidRDefault="007C35CE" w:rsidP="007C35CE">
      <w:pPr>
        <w:ind w:firstLine="0"/>
        <w:jc w:val="left"/>
      </w:pPr>
      <w:r w:rsidRPr="007C35CE">
        <w:t>Zero Lower Bound</w:t>
      </w:r>
      <w:r>
        <w:tab/>
      </w:r>
      <w:r>
        <w:tab/>
      </w:r>
      <w:r>
        <w:tab/>
      </w:r>
      <w:r>
        <w:tab/>
      </w:r>
      <w:r>
        <w:tab/>
      </w:r>
      <w:r w:rsidRPr="007C35CE">
        <w:rPr>
          <w:b/>
          <w:bCs/>
        </w:rPr>
        <w:t>ZLB</w:t>
      </w:r>
    </w:p>
    <w:p w14:paraId="276AFC0F" w14:textId="77777777" w:rsidR="007C35CE" w:rsidRPr="007C35CE" w:rsidRDefault="007C35CE" w:rsidP="007C35CE">
      <w:pPr>
        <w:ind w:firstLine="0"/>
        <w:jc w:val="left"/>
      </w:pPr>
      <w:r w:rsidRPr="007C35CE">
        <w:t xml:space="preserve">Credit Default Swap </w:t>
      </w:r>
      <w:r>
        <w:tab/>
      </w:r>
      <w:r w:rsidRPr="007C35CE">
        <w:t xml:space="preserve"> </w:t>
      </w:r>
      <w:r>
        <w:tab/>
      </w:r>
      <w:r>
        <w:tab/>
      </w:r>
      <w:r>
        <w:tab/>
      </w:r>
      <w:r>
        <w:tab/>
      </w:r>
      <w:r w:rsidRPr="007C35CE">
        <w:rPr>
          <w:b/>
          <w:bCs/>
        </w:rPr>
        <w:t>CDS</w:t>
      </w:r>
    </w:p>
    <w:p w14:paraId="2D67F067" w14:textId="77777777" w:rsidR="007C35CE" w:rsidRPr="007C35CE" w:rsidRDefault="007C35CE" w:rsidP="007C35CE">
      <w:pPr>
        <w:ind w:firstLine="0"/>
        <w:jc w:val="left"/>
      </w:pPr>
      <w:r w:rsidRPr="007C35CE">
        <w:t>Long-Term Refinancing Operations</w:t>
      </w:r>
      <w:r>
        <w:tab/>
      </w:r>
      <w:r>
        <w:tab/>
      </w:r>
      <w:r>
        <w:tab/>
      </w:r>
      <w:r w:rsidRPr="007C35CE">
        <w:rPr>
          <w:b/>
          <w:bCs/>
        </w:rPr>
        <w:t>LTRO</w:t>
      </w:r>
    </w:p>
    <w:p w14:paraId="5792299A" w14:textId="55AF4B35" w:rsidR="007C35CE" w:rsidRPr="007C35CE" w:rsidRDefault="007C35CE" w:rsidP="007C35CE">
      <w:pPr>
        <w:ind w:firstLine="0"/>
        <w:jc w:val="left"/>
      </w:pPr>
      <w:r w:rsidRPr="007C35CE">
        <w:t>Efficient Market Hypothesis</w:t>
      </w:r>
      <w:r>
        <w:tab/>
      </w:r>
      <w:r w:rsidRPr="007C35CE">
        <w:t xml:space="preserve"> </w:t>
      </w:r>
      <w:r w:rsidRPr="007C35CE">
        <w:tab/>
      </w:r>
      <w:r>
        <w:tab/>
      </w:r>
      <w:r>
        <w:tab/>
      </w:r>
      <w:r w:rsidRPr="007C35CE">
        <w:rPr>
          <w:b/>
          <w:bCs/>
        </w:rPr>
        <w:t>EMH</w:t>
      </w:r>
    </w:p>
    <w:p w14:paraId="295AF724" w14:textId="6C0B34AE" w:rsidR="007C35CE" w:rsidRPr="007C35CE" w:rsidRDefault="007C35CE" w:rsidP="007C35CE">
      <w:pPr>
        <w:ind w:firstLine="0"/>
        <w:jc w:val="left"/>
      </w:pPr>
      <w:r w:rsidRPr="007C35CE">
        <w:t xml:space="preserve">Asset Backed Securities </w:t>
      </w:r>
      <w:r>
        <w:tab/>
      </w:r>
      <w:r>
        <w:tab/>
      </w:r>
      <w:r>
        <w:tab/>
      </w:r>
      <w:r>
        <w:tab/>
      </w:r>
      <w:r w:rsidRPr="007C35CE">
        <w:rPr>
          <w:b/>
          <w:bCs/>
        </w:rPr>
        <w:t>ABS</w:t>
      </w:r>
    </w:p>
    <w:p w14:paraId="21C7F2E0" w14:textId="47456214" w:rsidR="007C35CE" w:rsidRPr="007C35CE" w:rsidRDefault="007C35CE" w:rsidP="007C35CE">
      <w:pPr>
        <w:ind w:firstLine="0"/>
        <w:jc w:val="left"/>
      </w:pPr>
      <w:r w:rsidRPr="007C35CE">
        <w:t xml:space="preserve">Covered </w:t>
      </w:r>
      <w:r w:rsidRPr="007C35CE">
        <w:t xml:space="preserve">Bond </w:t>
      </w:r>
      <w:r w:rsidRPr="007C35CE">
        <w:tab/>
      </w:r>
      <w:r>
        <w:tab/>
      </w:r>
      <w:r>
        <w:tab/>
      </w:r>
      <w:r>
        <w:tab/>
      </w:r>
      <w:r>
        <w:tab/>
      </w:r>
      <w:r>
        <w:tab/>
      </w:r>
      <w:r w:rsidRPr="007C35CE">
        <w:rPr>
          <w:b/>
          <w:bCs/>
        </w:rPr>
        <w:t>CB</w:t>
      </w:r>
    </w:p>
    <w:p w14:paraId="76CF946F" w14:textId="77777777" w:rsidR="007C35CE" w:rsidRPr="007C35CE" w:rsidRDefault="007C35CE" w:rsidP="007C35CE">
      <w:pPr>
        <w:ind w:firstLine="0"/>
        <w:jc w:val="left"/>
      </w:pPr>
      <w:r w:rsidRPr="007C35CE">
        <w:t xml:space="preserve">Gross Domestic Product </w:t>
      </w:r>
      <w:r>
        <w:tab/>
      </w:r>
      <w:r>
        <w:tab/>
      </w:r>
      <w:r>
        <w:tab/>
      </w:r>
      <w:r>
        <w:tab/>
      </w:r>
      <w:r w:rsidRPr="007C35CE">
        <w:rPr>
          <w:b/>
          <w:bCs/>
        </w:rPr>
        <w:t>GDP</w:t>
      </w:r>
    </w:p>
    <w:p w14:paraId="72B15603" w14:textId="6C94DA94" w:rsidR="00AC100D" w:rsidRPr="007C35CE" w:rsidRDefault="007C35CE" w:rsidP="007C35CE">
      <w:pPr>
        <w:ind w:firstLine="0"/>
        <w:jc w:val="left"/>
      </w:pPr>
      <w:r w:rsidRPr="007C35CE">
        <w:t xml:space="preserve">Mixed Data Sampling </w:t>
      </w:r>
      <w:r>
        <w:tab/>
      </w:r>
      <w:r>
        <w:tab/>
      </w:r>
      <w:r>
        <w:tab/>
      </w:r>
      <w:r>
        <w:tab/>
      </w:r>
      <w:r>
        <w:tab/>
      </w:r>
      <w:r w:rsidRPr="007C35CE">
        <w:rPr>
          <w:b/>
          <w:bCs/>
        </w:rPr>
        <w:t>MIDAS</w:t>
      </w:r>
      <w:r w:rsidR="00AC100D" w:rsidRPr="007C35CE">
        <w:br w:type="page"/>
      </w:r>
    </w:p>
    <w:p w14:paraId="5216F46D" w14:textId="09B0BA20" w:rsidR="00143258" w:rsidRPr="000C091F" w:rsidRDefault="00CA3591" w:rsidP="001806A3">
      <w:pPr>
        <w:spacing w:line="240" w:lineRule="auto"/>
        <w:ind w:firstLine="0"/>
        <w:jc w:val="left"/>
        <w:rPr>
          <w:b/>
          <w:bCs/>
          <w:sz w:val="32"/>
          <w:szCs w:val="32"/>
        </w:rPr>
      </w:pPr>
      <w:r w:rsidRPr="000C091F">
        <w:rPr>
          <w:b/>
          <w:bCs/>
          <w:sz w:val="32"/>
          <w:szCs w:val="32"/>
        </w:rPr>
        <w:lastRenderedPageBreak/>
        <w:t>Table of Contents</w:t>
      </w:r>
    </w:p>
    <w:p w14:paraId="3275ACAF" w14:textId="77777777" w:rsidR="00C87805" w:rsidRPr="000C091F" w:rsidRDefault="00C87805" w:rsidP="001806A3">
      <w:pPr>
        <w:spacing w:line="240" w:lineRule="auto"/>
        <w:ind w:firstLine="0"/>
        <w:jc w:val="left"/>
        <w:rPr>
          <w:sz w:val="20"/>
          <w:szCs w:val="20"/>
        </w:rPr>
      </w:pPr>
    </w:p>
    <w:sdt>
      <w:sdtPr>
        <w:rPr>
          <w:sz w:val="20"/>
          <w:szCs w:val="20"/>
        </w:rPr>
        <w:id w:val="1656494054"/>
        <w:docPartObj>
          <w:docPartGallery w:val="Table of Contents"/>
          <w:docPartUnique/>
        </w:docPartObj>
      </w:sdtPr>
      <w:sdtEndPr>
        <w:rPr>
          <w:rFonts w:cstheme="minorHAnsi"/>
        </w:rPr>
      </w:sdtEndPr>
      <w:sdtContent>
        <w:p w14:paraId="6E1FAA8D" w14:textId="2ECDA819" w:rsidR="000C091F" w:rsidRPr="000C091F" w:rsidRDefault="00CA3591">
          <w:pPr>
            <w:pStyle w:val="TOC1"/>
            <w:rPr>
              <w:rFonts w:eastAsiaTheme="minorEastAsia" w:cstheme="minorBidi"/>
              <w:noProof/>
              <w:sz w:val="20"/>
              <w:szCs w:val="20"/>
              <w:lang w:val="en-NL" w:eastAsia="en-NL"/>
            </w:rPr>
          </w:pPr>
          <w:r w:rsidRPr="000C091F">
            <w:rPr>
              <w:sz w:val="20"/>
              <w:szCs w:val="20"/>
            </w:rPr>
            <w:fldChar w:fldCharType="begin"/>
          </w:r>
          <w:r w:rsidRPr="000C091F">
            <w:rPr>
              <w:rStyle w:val="IndexLink"/>
              <w:rFonts w:cstheme="minorHAnsi"/>
              <w:webHidden/>
              <w:sz w:val="20"/>
              <w:szCs w:val="20"/>
            </w:rPr>
            <w:instrText xml:space="preserve"> TOC \z \o "1-3" \u \h</w:instrText>
          </w:r>
          <w:r w:rsidRPr="000C091F">
            <w:rPr>
              <w:rStyle w:val="IndexLink"/>
              <w:rFonts w:cstheme="minorHAnsi"/>
              <w:sz w:val="20"/>
              <w:szCs w:val="20"/>
            </w:rPr>
            <w:fldChar w:fldCharType="separate"/>
          </w:r>
          <w:hyperlink w:anchor="_Toc122697327" w:history="1">
            <w:r w:rsidR="000C091F" w:rsidRPr="000C091F">
              <w:rPr>
                <w:rStyle w:val="Hyperlink"/>
                <w:rFonts w:ascii="Calibri" w:eastAsia="Times New Roman" w:hAnsi="Calibri"/>
                <w:noProof/>
                <w:sz w:val="20"/>
                <w:szCs w:val="20"/>
              </w:rPr>
              <w:t>1.</w:t>
            </w:r>
            <w:r w:rsidR="000C091F" w:rsidRPr="000C091F">
              <w:rPr>
                <w:rFonts w:eastAsiaTheme="minorEastAsia" w:cstheme="minorBidi"/>
                <w:noProof/>
                <w:sz w:val="20"/>
                <w:szCs w:val="20"/>
                <w:lang w:val="en-NL" w:eastAsia="en-NL"/>
              </w:rPr>
              <w:tab/>
            </w:r>
            <w:r w:rsidR="000C091F" w:rsidRPr="000C091F">
              <w:rPr>
                <w:rStyle w:val="Hyperlink"/>
                <w:rFonts w:ascii="Calibri" w:eastAsia="Times New Roman" w:hAnsi="Calibri"/>
                <w:noProof/>
                <w:sz w:val="20"/>
                <w:szCs w:val="20"/>
              </w:rPr>
              <w:t>Introduction</w:t>
            </w:r>
            <w:r w:rsidR="000C091F" w:rsidRPr="000C091F">
              <w:rPr>
                <w:noProof/>
                <w:webHidden/>
                <w:sz w:val="20"/>
                <w:szCs w:val="20"/>
              </w:rPr>
              <w:tab/>
            </w:r>
            <w:r w:rsidR="000C091F" w:rsidRPr="000C091F">
              <w:rPr>
                <w:noProof/>
                <w:webHidden/>
                <w:sz w:val="20"/>
                <w:szCs w:val="20"/>
              </w:rPr>
              <w:fldChar w:fldCharType="begin"/>
            </w:r>
            <w:r w:rsidR="000C091F" w:rsidRPr="000C091F">
              <w:rPr>
                <w:noProof/>
                <w:webHidden/>
                <w:sz w:val="20"/>
                <w:szCs w:val="20"/>
              </w:rPr>
              <w:instrText xml:space="preserve"> PAGEREF _Toc122697327 \h </w:instrText>
            </w:r>
            <w:r w:rsidR="000C091F" w:rsidRPr="000C091F">
              <w:rPr>
                <w:noProof/>
                <w:webHidden/>
                <w:sz w:val="20"/>
                <w:szCs w:val="20"/>
              </w:rPr>
            </w:r>
            <w:r w:rsidR="000C091F" w:rsidRPr="000C091F">
              <w:rPr>
                <w:noProof/>
                <w:webHidden/>
                <w:sz w:val="20"/>
                <w:szCs w:val="20"/>
              </w:rPr>
              <w:fldChar w:fldCharType="separate"/>
            </w:r>
            <w:r w:rsidR="00326683">
              <w:rPr>
                <w:noProof/>
                <w:webHidden/>
                <w:sz w:val="20"/>
                <w:szCs w:val="20"/>
              </w:rPr>
              <w:t>6</w:t>
            </w:r>
            <w:r w:rsidR="000C091F" w:rsidRPr="000C091F">
              <w:rPr>
                <w:noProof/>
                <w:webHidden/>
                <w:sz w:val="20"/>
                <w:szCs w:val="20"/>
              </w:rPr>
              <w:fldChar w:fldCharType="end"/>
            </w:r>
          </w:hyperlink>
        </w:p>
        <w:p w14:paraId="4FDED304" w14:textId="5017F422" w:rsidR="000C091F" w:rsidRPr="000C091F" w:rsidRDefault="000C091F">
          <w:pPr>
            <w:pStyle w:val="TOC1"/>
            <w:rPr>
              <w:rFonts w:eastAsiaTheme="minorEastAsia" w:cstheme="minorBidi"/>
              <w:noProof/>
              <w:sz w:val="20"/>
              <w:szCs w:val="20"/>
              <w:lang w:val="en-NL" w:eastAsia="en-NL"/>
            </w:rPr>
          </w:pPr>
          <w:hyperlink w:anchor="_Toc122697328" w:history="1">
            <w:r w:rsidRPr="000C091F">
              <w:rPr>
                <w:rStyle w:val="Hyperlink"/>
                <w:rFonts w:ascii="Calibri" w:eastAsia="Times New Roman" w:hAnsi="Calibri"/>
                <w:noProof/>
                <w:sz w:val="20"/>
                <w:szCs w:val="20"/>
              </w:rPr>
              <w:t>2.</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rPr>
              <w:t>Literature review</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_Toc122697328 \h </w:instrText>
            </w:r>
            <w:r w:rsidRPr="000C091F">
              <w:rPr>
                <w:noProof/>
                <w:webHidden/>
                <w:sz w:val="20"/>
                <w:szCs w:val="20"/>
              </w:rPr>
            </w:r>
            <w:r w:rsidRPr="000C091F">
              <w:rPr>
                <w:noProof/>
                <w:webHidden/>
                <w:sz w:val="20"/>
                <w:szCs w:val="20"/>
              </w:rPr>
              <w:fldChar w:fldCharType="separate"/>
            </w:r>
            <w:r w:rsidR="00326683">
              <w:rPr>
                <w:noProof/>
                <w:webHidden/>
                <w:sz w:val="20"/>
                <w:szCs w:val="20"/>
              </w:rPr>
              <w:t>10</w:t>
            </w:r>
            <w:r w:rsidRPr="000C091F">
              <w:rPr>
                <w:noProof/>
                <w:webHidden/>
                <w:sz w:val="20"/>
                <w:szCs w:val="20"/>
              </w:rPr>
              <w:fldChar w:fldCharType="end"/>
            </w:r>
          </w:hyperlink>
        </w:p>
        <w:p w14:paraId="32521A98" w14:textId="3B51C6A0" w:rsidR="000C091F" w:rsidRPr="000C091F" w:rsidRDefault="000C091F">
          <w:pPr>
            <w:pStyle w:val="TOC2"/>
            <w:rPr>
              <w:rFonts w:eastAsiaTheme="minorEastAsia" w:cstheme="minorBidi"/>
              <w:noProof/>
              <w:sz w:val="20"/>
              <w:szCs w:val="20"/>
              <w:lang w:val="en-NL" w:eastAsia="en-NL"/>
            </w:rPr>
          </w:pPr>
          <w:hyperlink w:anchor="_Toc122697329" w:history="1">
            <w:r w:rsidRPr="000C091F">
              <w:rPr>
                <w:rStyle w:val="Hyperlink"/>
                <w:rFonts w:ascii="Calibri" w:eastAsia="Times New Roman" w:hAnsi="Calibri"/>
                <w:noProof/>
                <w:sz w:val="20"/>
                <w:szCs w:val="20"/>
                <w:lang w:val="en-US"/>
              </w:rPr>
              <w:t>2.1</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lang w:val="en-US"/>
              </w:rPr>
              <w:t>Background on ECB’ introduction of the PEPP program</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_Toc122697329 \h </w:instrText>
            </w:r>
            <w:r w:rsidRPr="000C091F">
              <w:rPr>
                <w:noProof/>
                <w:webHidden/>
                <w:sz w:val="20"/>
                <w:szCs w:val="20"/>
              </w:rPr>
            </w:r>
            <w:r w:rsidRPr="000C091F">
              <w:rPr>
                <w:noProof/>
                <w:webHidden/>
                <w:sz w:val="20"/>
                <w:szCs w:val="20"/>
              </w:rPr>
              <w:fldChar w:fldCharType="separate"/>
            </w:r>
            <w:r w:rsidR="00326683">
              <w:rPr>
                <w:noProof/>
                <w:webHidden/>
                <w:sz w:val="20"/>
                <w:szCs w:val="20"/>
              </w:rPr>
              <w:t>10</w:t>
            </w:r>
            <w:r w:rsidRPr="000C091F">
              <w:rPr>
                <w:noProof/>
                <w:webHidden/>
                <w:sz w:val="20"/>
                <w:szCs w:val="20"/>
              </w:rPr>
              <w:fldChar w:fldCharType="end"/>
            </w:r>
          </w:hyperlink>
        </w:p>
        <w:p w14:paraId="12D30067" w14:textId="19920610" w:rsidR="000C091F" w:rsidRPr="000C091F" w:rsidRDefault="000C091F">
          <w:pPr>
            <w:pStyle w:val="TOC2"/>
            <w:rPr>
              <w:rFonts w:eastAsiaTheme="minorEastAsia" w:cstheme="minorBidi"/>
              <w:noProof/>
              <w:sz w:val="20"/>
              <w:szCs w:val="20"/>
              <w:lang w:val="en-NL" w:eastAsia="en-NL"/>
            </w:rPr>
          </w:pPr>
          <w:hyperlink w:anchor="_Toc122697330" w:history="1">
            <w:r w:rsidRPr="000C091F">
              <w:rPr>
                <w:rStyle w:val="Hyperlink"/>
                <w:rFonts w:ascii="Calibri" w:eastAsia="Times New Roman" w:hAnsi="Calibri"/>
                <w:noProof/>
                <w:sz w:val="20"/>
                <w:szCs w:val="20"/>
                <w:lang w:val="en-US"/>
              </w:rPr>
              <w:t>2.2</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lang w:val="en-US"/>
              </w:rPr>
              <w:t>Transmission towards financial markets</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_Toc122697330 \h </w:instrText>
            </w:r>
            <w:r w:rsidRPr="000C091F">
              <w:rPr>
                <w:noProof/>
                <w:webHidden/>
                <w:sz w:val="20"/>
                <w:szCs w:val="20"/>
              </w:rPr>
            </w:r>
            <w:r w:rsidRPr="000C091F">
              <w:rPr>
                <w:noProof/>
                <w:webHidden/>
                <w:sz w:val="20"/>
                <w:szCs w:val="20"/>
              </w:rPr>
              <w:fldChar w:fldCharType="separate"/>
            </w:r>
            <w:r w:rsidR="00326683">
              <w:rPr>
                <w:noProof/>
                <w:webHidden/>
                <w:sz w:val="20"/>
                <w:szCs w:val="20"/>
              </w:rPr>
              <w:t>11</w:t>
            </w:r>
            <w:r w:rsidRPr="000C091F">
              <w:rPr>
                <w:noProof/>
                <w:webHidden/>
                <w:sz w:val="20"/>
                <w:szCs w:val="20"/>
              </w:rPr>
              <w:fldChar w:fldCharType="end"/>
            </w:r>
          </w:hyperlink>
        </w:p>
        <w:p w14:paraId="43C33853" w14:textId="0B305E9B" w:rsidR="000C091F" w:rsidRPr="000C091F" w:rsidRDefault="000C091F">
          <w:pPr>
            <w:pStyle w:val="TOC3"/>
            <w:rPr>
              <w:rFonts w:eastAsiaTheme="minorEastAsia" w:cstheme="minorBidi"/>
              <w:noProof/>
              <w:sz w:val="20"/>
              <w:szCs w:val="20"/>
              <w:lang w:val="en-NL" w:eastAsia="en-NL"/>
            </w:rPr>
          </w:pPr>
          <w:hyperlink w:anchor="_Toc122697335" w:history="1">
            <w:r w:rsidRPr="000C091F">
              <w:rPr>
                <w:rStyle w:val="Hyperlink"/>
                <w:rFonts w:ascii="Calibri" w:eastAsia="Times New Roman" w:hAnsi="Calibri"/>
                <w:noProof/>
                <w:sz w:val="20"/>
                <w:szCs w:val="20"/>
              </w:rPr>
              <w:t>2.2.1</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rPr>
              <w:t>Portfolio-rebalancing channel</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_Toc122697335 \h </w:instrText>
            </w:r>
            <w:r w:rsidRPr="000C091F">
              <w:rPr>
                <w:noProof/>
                <w:webHidden/>
                <w:sz w:val="20"/>
                <w:szCs w:val="20"/>
              </w:rPr>
            </w:r>
            <w:r w:rsidRPr="000C091F">
              <w:rPr>
                <w:noProof/>
                <w:webHidden/>
                <w:sz w:val="20"/>
                <w:szCs w:val="20"/>
              </w:rPr>
              <w:fldChar w:fldCharType="separate"/>
            </w:r>
            <w:r w:rsidR="00326683">
              <w:rPr>
                <w:noProof/>
                <w:webHidden/>
                <w:sz w:val="20"/>
                <w:szCs w:val="20"/>
              </w:rPr>
              <w:t>12</w:t>
            </w:r>
            <w:r w:rsidRPr="000C091F">
              <w:rPr>
                <w:noProof/>
                <w:webHidden/>
                <w:sz w:val="20"/>
                <w:szCs w:val="20"/>
              </w:rPr>
              <w:fldChar w:fldCharType="end"/>
            </w:r>
          </w:hyperlink>
        </w:p>
        <w:p w14:paraId="335497E1" w14:textId="702430E4" w:rsidR="000C091F" w:rsidRPr="000C091F" w:rsidRDefault="000C091F">
          <w:pPr>
            <w:pStyle w:val="TOC3"/>
            <w:rPr>
              <w:rFonts w:eastAsiaTheme="minorEastAsia" w:cstheme="minorBidi"/>
              <w:noProof/>
              <w:sz w:val="20"/>
              <w:szCs w:val="20"/>
              <w:lang w:val="en-NL" w:eastAsia="en-NL"/>
            </w:rPr>
          </w:pPr>
          <w:hyperlink w:anchor="_Toc122697336" w:history="1">
            <w:r w:rsidRPr="000C091F">
              <w:rPr>
                <w:rStyle w:val="Hyperlink"/>
                <w:rFonts w:ascii="Calibri" w:eastAsia="Times New Roman" w:hAnsi="Calibri"/>
                <w:noProof/>
                <w:sz w:val="20"/>
                <w:szCs w:val="20"/>
              </w:rPr>
              <w:t>2.2.2</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rPr>
              <w:t>Direct pass-through channel</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_Toc122697336 \h </w:instrText>
            </w:r>
            <w:r w:rsidRPr="000C091F">
              <w:rPr>
                <w:noProof/>
                <w:webHidden/>
                <w:sz w:val="20"/>
                <w:szCs w:val="20"/>
              </w:rPr>
            </w:r>
            <w:r w:rsidRPr="000C091F">
              <w:rPr>
                <w:noProof/>
                <w:webHidden/>
                <w:sz w:val="20"/>
                <w:szCs w:val="20"/>
              </w:rPr>
              <w:fldChar w:fldCharType="separate"/>
            </w:r>
            <w:r w:rsidR="00326683">
              <w:rPr>
                <w:noProof/>
                <w:webHidden/>
                <w:sz w:val="20"/>
                <w:szCs w:val="20"/>
              </w:rPr>
              <w:t>12</w:t>
            </w:r>
            <w:r w:rsidRPr="000C091F">
              <w:rPr>
                <w:noProof/>
                <w:webHidden/>
                <w:sz w:val="20"/>
                <w:szCs w:val="20"/>
              </w:rPr>
              <w:fldChar w:fldCharType="end"/>
            </w:r>
          </w:hyperlink>
        </w:p>
        <w:p w14:paraId="4F535067" w14:textId="0E0DA36F" w:rsidR="000C091F" w:rsidRPr="000C091F" w:rsidRDefault="000C091F">
          <w:pPr>
            <w:pStyle w:val="TOC3"/>
            <w:rPr>
              <w:rFonts w:eastAsiaTheme="minorEastAsia" w:cstheme="minorBidi"/>
              <w:noProof/>
              <w:sz w:val="20"/>
              <w:szCs w:val="20"/>
              <w:lang w:val="en-NL" w:eastAsia="en-NL"/>
            </w:rPr>
          </w:pPr>
          <w:hyperlink w:anchor="_Toc122697337" w:history="1">
            <w:r w:rsidRPr="000C091F">
              <w:rPr>
                <w:rStyle w:val="Hyperlink"/>
                <w:rFonts w:ascii="Calibri" w:eastAsia="Times New Roman" w:hAnsi="Calibri"/>
                <w:noProof/>
                <w:sz w:val="20"/>
                <w:szCs w:val="20"/>
                <w:lang w:val="en-US"/>
              </w:rPr>
              <w:t>2.2.3</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lang w:val="en-US"/>
              </w:rPr>
              <w:t>Signaling channel</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_Toc122697337 \h </w:instrText>
            </w:r>
            <w:r w:rsidRPr="000C091F">
              <w:rPr>
                <w:noProof/>
                <w:webHidden/>
                <w:sz w:val="20"/>
                <w:szCs w:val="20"/>
              </w:rPr>
            </w:r>
            <w:r w:rsidRPr="000C091F">
              <w:rPr>
                <w:noProof/>
                <w:webHidden/>
                <w:sz w:val="20"/>
                <w:szCs w:val="20"/>
              </w:rPr>
              <w:fldChar w:fldCharType="separate"/>
            </w:r>
            <w:r w:rsidR="00326683">
              <w:rPr>
                <w:noProof/>
                <w:webHidden/>
                <w:sz w:val="20"/>
                <w:szCs w:val="20"/>
              </w:rPr>
              <w:t>12</w:t>
            </w:r>
            <w:r w:rsidRPr="000C091F">
              <w:rPr>
                <w:noProof/>
                <w:webHidden/>
                <w:sz w:val="20"/>
                <w:szCs w:val="20"/>
              </w:rPr>
              <w:fldChar w:fldCharType="end"/>
            </w:r>
          </w:hyperlink>
        </w:p>
        <w:p w14:paraId="4A406C10" w14:textId="0812B3EA" w:rsidR="000C091F" w:rsidRPr="000C091F" w:rsidRDefault="000C091F">
          <w:pPr>
            <w:pStyle w:val="TOC2"/>
            <w:rPr>
              <w:rFonts w:eastAsiaTheme="minorEastAsia" w:cstheme="minorBidi"/>
              <w:noProof/>
              <w:sz w:val="20"/>
              <w:szCs w:val="20"/>
              <w:lang w:val="en-NL" w:eastAsia="en-NL"/>
            </w:rPr>
          </w:pPr>
          <w:hyperlink w:anchor="_Toc122697338" w:history="1">
            <w:r w:rsidRPr="000C091F">
              <w:rPr>
                <w:rStyle w:val="Hyperlink"/>
                <w:rFonts w:ascii="Calibri" w:eastAsia="Times New Roman" w:hAnsi="Calibri"/>
                <w:noProof/>
                <w:sz w:val="20"/>
                <w:szCs w:val="20"/>
                <w:lang w:val="en-US"/>
              </w:rPr>
              <w:t>2.3</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lang w:val="en-US"/>
              </w:rPr>
              <w:t>Why are government bond yields important?</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_Toc122697338 \h </w:instrText>
            </w:r>
            <w:r w:rsidRPr="000C091F">
              <w:rPr>
                <w:noProof/>
                <w:webHidden/>
                <w:sz w:val="20"/>
                <w:szCs w:val="20"/>
              </w:rPr>
            </w:r>
            <w:r w:rsidRPr="000C091F">
              <w:rPr>
                <w:noProof/>
                <w:webHidden/>
                <w:sz w:val="20"/>
                <w:szCs w:val="20"/>
              </w:rPr>
              <w:fldChar w:fldCharType="separate"/>
            </w:r>
            <w:r w:rsidR="00326683">
              <w:rPr>
                <w:noProof/>
                <w:webHidden/>
                <w:sz w:val="20"/>
                <w:szCs w:val="20"/>
              </w:rPr>
              <w:t>13</w:t>
            </w:r>
            <w:r w:rsidRPr="000C091F">
              <w:rPr>
                <w:noProof/>
                <w:webHidden/>
                <w:sz w:val="20"/>
                <w:szCs w:val="20"/>
              </w:rPr>
              <w:fldChar w:fldCharType="end"/>
            </w:r>
          </w:hyperlink>
        </w:p>
        <w:p w14:paraId="247E8A31" w14:textId="437E5032" w:rsidR="000C091F" w:rsidRPr="000C091F" w:rsidRDefault="000C091F">
          <w:pPr>
            <w:pStyle w:val="TOC2"/>
            <w:rPr>
              <w:rFonts w:eastAsiaTheme="minorEastAsia" w:cstheme="minorBidi"/>
              <w:noProof/>
              <w:sz w:val="20"/>
              <w:szCs w:val="20"/>
              <w:lang w:val="en-NL" w:eastAsia="en-NL"/>
            </w:rPr>
          </w:pPr>
          <w:hyperlink w:anchor="_Toc122697341" w:history="1">
            <w:r w:rsidRPr="000C091F">
              <w:rPr>
                <w:rStyle w:val="Hyperlink"/>
                <w:rFonts w:ascii="Calibri" w:eastAsia="Times New Roman" w:hAnsi="Calibri"/>
                <w:noProof/>
                <w:sz w:val="20"/>
                <w:szCs w:val="20"/>
                <w:lang w:val="en-US"/>
              </w:rPr>
              <w:t>2.4</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lang w:val="en-US"/>
              </w:rPr>
              <w:t>Asset Purchase Programs (APP) literature</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_Toc122697341 \h </w:instrText>
            </w:r>
            <w:r w:rsidRPr="000C091F">
              <w:rPr>
                <w:noProof/>
                <w:webHidden/>
                <w:sz w:val="20"/>
                <w:szCs w:val="20"/>
              </w:rPr>
            </w:r>
            <w:r w:rsidRPr="000C091F">
              <w:rPr>
                <w:noProof/>
                <w:webHidden/>
                <w:sz w:val="20"/>
                <w:szCs w:val="20"/>
              </w:rPr>
              <w:fldChar w:fldCharType="separate"/>
            </w:r>
            <w:r w:rsidR="00326683">
              <w:rPr>
                <w:noProof/>
                <w:webHidden/>
                <w:sz w:val="20"/>
                <w:szCs w:val="20"/>
              </w:rPr>
              <w:t>15</w:t>
            </w:r>
            <w:r w:rsidRPr="000C091F">
              <w:rPr>
                <w:noProof/>
                <w:webHidden/>
                <w:sz w:val="20"/>
                <w:szCs w:val="20"/>
              </w:rPr>
              <w:fldChar w:fldCharType="end"/>
            </w:r>
          </w:hyperlink>
        </w:p>
        <w:p w14:paraId="25882E41" w14:textId="63F4B499" w:rsidR="000C091F" w:rsidRPr="000C091F" w:rsidRDefault="000C091F">
          <w:pPr>
            <w:pStyle w:val="TOC2"/>
            <w:rPr>
              <w:rFonts w:eastAsiaTheme="minorEastAsia" w:cstheme="minorBidi"/>
              <w:noProof/>
              <w:sz w:val="20"/>
              <w:szCs w:val="20"/>
              <w:lang w:val="en-NL" w:eastAsia="en-NL"/>
            </w:rPr>
          </w:pPr>
          <w:hyperlink w:anchor="_Toc122697342" w:history="1">
            <w:r w:rsidRPr="000C091F">
              <w:rPr>
                <w:rStyle w:val="Hyperlink"/>
                <w:rFonts w:ascii="Calibri" w:hAnsi="Calibri" w:cs="Calibri"/>
                <w:noProof/>
                <w:sz w:val="20"/>
                <w:szCs w:val="20"/>
                <w:lang w:val="en-US"/>
              </w:rPr>
              <w:t>2.5</w:t>
            </w:r>
            <w:r w:rsidRPr="000C091F">
              <w:rPr>
                <w:rFonts w:eastAsiaTheme="minorEastAsia" w:cstheme="minorBidi"/>
                <w:noProof/>
                <w:sz w:val="20"/>
                <w:szCs w:val="20"/>
                <w:lang w:val="en-NL" w:eastAsia="en-NL"/>
              </w:rPr>
              <w:tab/>
            </w:r>
            <w:r w:rsidRPr="000C091F">
              <w:rPr>
                <w:rStyle w:val="Hyperlink"/>
                <w:rFonts w:ascii="Calibri" w:hAnsi="Calibri" w:cs="Calibri"/>
                <w:noProof/>
                <w:sz w:val="20"/>
                <w:szCs w:val="20"/>
                <w:lang w:val="en-US"/>
              </w:rPr>
              <w:t>Hypotheses</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_Toc122697342 \h </w:instrText>
            </w:r>
            <w:r w:rsidRPr="000C091F">
              <w:rPr>
                <w:noProof/>
                <w:webHidden/>
                <w:sz w:val="20"/>
                <w:szCs w:val="20"/>
              </w:rPr>
            </w:r>
            <w:r w:rsidRPr="000C091F">
              <w:rPr>
                <w:noProof/>
                <w:webHidden/>
                <w:sz w:val="20"/>
                <w:szCs w:val="20"/>
              </w:rPr>
              <w:fldChar w:fldCharType="separate"/>
            </w:r>
            <w:r w:rsidR="00326683">
              <w:rPr>
                <w:noProof/>
                <w:webHidden/>
                <w:sz w:val="20"/>
                <w:szCs w:val="20"/>
              </w:rPr>
              <w:t>18</w:t>
            </w:r>
            <w:r w:rsidRPr="000C091F">
              <w:rPr>
                <w:noProof/>
                <w:webHidden/>
                <w:sz w:val="20"/>
                <w:szCs w:val="20"/>
              </w:rPr>
              <w:fldChar w:fldCharType="end"/>
            </w:r>
          </w:hyperlink>
        </w:p>
        <w:p w14:paraId="74632CC8" w14:textId="37103B61" w:rsidR="000C091F" w:rsidRPr="000C091F" w:rsidRDefault="000C091F">
          <w:pPr>
            <w:pStyle w:val="TOC1"/>
            <w:rPr>
              <w:rFonts w:eastAsiaTheme="minorEastAsia" w:cstheme="minorBidi"/>
              <w:noProof/>
              <w:sz w:val="20"/>
              <w:szCs w:val="20"/>
              <w:lang w:val="en-NL" w:eastAsia="en-NL"/>
            </w:rPr>
          </w:pPr>
          <w:hyperlink w:anchor="_Toc122697343" w:history="1">
            <w:r w:rsidRPr="000C091F">
              <w:rPr>
                <w:rStyle w:val="Hyperlink"/>
                <w:rFonts w:ascii="Calibri" w:eastAsia="Times New Roman" w:hAnsi="Calibri"/>
                <w:noProof/>
                <w:sz w:val="20"/>
                <w:szCs w:val="20"/>
              </w:rPr>
              <w:t>3.</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rPr>
              <w:t>Methods and data</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_Toc122697343 \h </w:instrText>
            </w:r>
            <w:r w:rsidRPr="000C091F">
              <w:rPr>
                <w:noProof/>
                <w:webHidden/>
                <w:sz w:val="20"/>
                <w:szCs w:val="20"/>
              </w:rPr>
            </w:r>
            <w:r w:rsidRPr="000C091F">
              <w:rPr>
                <w:noProof/>
                <w:webHidden/>
                <w:sz w:val="20"/>
                <w:szCs w:val="20"/>
              </w:rPr>
              <w:fldChar w:fldCharType="separate"/>
            </w:r>
            <w:r w:rsidR="00326683">
              <w:rPr>
                <w:noProof/>
                <w:webHidden/>
                <w:sz w:val="20"/>
                <w:szCs w:val="20"/>
              </w:rPr>
              <w:t>20</w:t>
            </w:r>
            <w:r w:rsidRPr="000C091F">
              <w:rPr>
                <w:noProof/>
                <w:webHidden/>
                <w:sz w:val="20"/>
                <w:szCs w:val="20"/>
              </w:rPr>
              <w:fldChar w:fldCharType="end"/>
            </w:r>
          </w:hyperlink>
        </w:p>
        <w:p w14:paraId="1BB9E533" w14:textId="42526BCE" w:rsidR="000C091F" w:rsidRPr="000C091F" w:rsidRDefault="000C091F">
          <w:pPr>
            <w:pStyle w:val="TOC2"/>
            <w:rPr>
              <w:rFonts w:eastAsiaTheme="minorEastAsia" w:cstheme="minorBidi"/>
              <w:noProof/>
              <w:sz w:val="20"/>
              <w:szCs w:val="20"/>
              <w:lang w:val="en-NL" w:eastAsia="en-NL"/>
            </w:rPr>
          </w:pPr>
          <w:hyperlink w:anchor="_Toc122697345" w:history="1">
            <w:r w:rsidRPr="000C091F">
              <w:rPr>
                <w:rStyle w:val="Hyperlink"/>
                <w:rFonts w:ascii="Calibri" w:eastAsia="Times New Roman" w:hAnsi="Calibri"/>
                <w:noProof/>
                <w:sz w:val="20"/>
                <w:szCs w:val="20"/>
                <w:lang w:val="en-US"/>
              </w:rPr>
              <w:t>3.1</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lang w:val="en-US"/>
              </w:rPr>
              <w:t>Sample and data sources</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_Toc122697345 \h </w:instrText>
            </w:r>
            <w:r w:rsidRPr="000C091F">
              <w:rPr>
                <w:noProof/>
                <w:webHidden/>
                <w:sz w:val="20"/>
                <w:szCs w:val="20"/>
              </w:rPr>
            </w:r>
            <w:r w:rsidRPr="000C091F">
              <w:rPr>
                <w:noProof/>
                <w:webHidden/>
                <w:sz w:val="20"/>
                <w:szCs w:val="20"/>
              </w:rPr>
              <w:fldChar w:fldCharType="separate"/>
            </w:r>
            <w:r w:rsidR="00326683">
              <w:rPr>
                <w:noProof/>
                <w:webHidden/>
                <w:sz w:val="20"/>
                <w:szCs w:val="20"/>
              </w:rPr>
              <w:t>20</w:t>
            </w:r>
            <w:r w:rsidRPr="000C091F">
              <w:rPr>
                <w:noProof/>
                <w:webHidden/>
                <w:sz w:val="20"/>
                <w:szCs w:val="20"/>
              </w:rPr>
              <w:fldChar w:fldCharType="end"/>
            </w:r>
          </w:hyperlink>
        </w:p>
        <w:p w14:paraId="459AA8C6" w14:textId="3A779DB7" w:rsidR="000C091F" w:rsidRPr="000C091F" w:rsidRDefault="000C091F">
          <w:pPr>
            <w:pStyle w:val="TOC2"/>
            <w:rPr>
              <w:rFonts w:eastAsiaTheme="minorEastAsia" w:cstheme="minorBidi"/>
              <w:noProof/>
              <w:sz w:val="20"/>
              <w:szCs w:val="20"/>
              <w:lang w:val="en-NL" w:eastAsia="en-NL"/>
            </w:rPr>
          </w:pPr>
          <w:hyperlink w:anchor="_Toc122697346" w:history="1">
            <w:r w:rsidRPr="000C091F">
              <w:rPr>
                <w:rStyle w:val="Hyperlink"/>
                <w:rFonts w:ascii="Calibri" w:eastAsia="Times New Roman" w:hAnsi="Calibri"/>
                <w:noProof/>
                <w:sz w:val="20"/>
                <w:szCs w:val="20"/>
                <w:lang w:val="en-US"/>
              </w:rPr>
              <w:t>3.2</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lang w:val="en-US"/>
              </w:rPr>
              <w:t>Event Study Methodology</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_Toc122697346 \h </w:instrText>
            </w:r>
            <w:r w:rsidRPr="000C091F">
              <w:rPr>
                <w:noProof/>
                <w:webHidden/>
                <w:sz w:val="20"/>
                <w:szCs w:val="20"/>
              </w:rPr>
            </w:r>
            <w:r w:rsidRPr="000C091F">
              <w:rPr>
                <w:noProof/>
                <w:webHidden/>
                <w:sz w:val="20"/>
                <w:szCs w:val="20"/>
              </w:rPr>
              <w:fldChar w:fldCharType="separate"/>
            </w:r>
            <w:r w:rsidR="00326683">
              <w:rPr>
                <w:noProof/>
                <w:webHidden/>
                <w:sz w:val="20"/>
                <w:szCs w:val="20"/>
              </w:rPr>
              <w:t>20</w:t>
            </w:r>
            <w:r w:rsidRPr="000C091F">
              <w:rPr>
                <w:noProof/>
                <w:webHidden/>
                <w:sz w:val="20"/>
                <w:szCs w:val="20"/>
              </w:rPr>
              <w:fldChar w:fldCharType="end"/>
            </w:r>
          </w:hyperlink>
        </w:p>
        <w:p w14:paraId="59498633" w14:textId="4C569572" w:rsidR="000C091F" w:rsidRPr="000C091F" w:rsidRDefault="000C091F">
          <w:pPr>
            <w:pStyle w:val="TOC2"/>
            <w:rPr>
              <w:rFonts w:eastAsiaTheme="minorEastAsia" w:cstheme="minorBidi"/>
              <w:noProof/>
              <w:sz w:val="20"/>
              <w:szCs w:val="20"/>
              <w:lang w:val="en-NL" w:eastAsia="en-NL"/>
            </w:rPr>
          </w:pPr>
          <w:hyperlink w:anchor="_Toc122697347" w:history="1">
            <w:r w:rsidRPr="000C091F">
              <w:rPr>
                <w:rStyle w:val="Hyperlink"/>
                <w:rFonts w:ascii="Calibri" w:eastAsia="Times New Roman" w:hAnsi="Calibri"/>
                <w:noProof/>
                <w:sz w:val="20"/>
                <w:szCs w:val="20"/>
                <w:lang w:val="en-US"/>
              </w:rPr>
              <w:t>3.3</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lang w:val="en-US"/>
              </w:rPr>
              <w:t>Independent variable</w:t>
            </w:r>
            <w:r w:rsidRPr="000C091F">
              <w:rPr>
                <w:rStyle w:val="Hyperlink"/>
                <w:rFonts w:ascii="Calibri" w:eastAsia="Calibri" w:hAnsi="Calibri"/>
                <w:noProof/>
                <w:sz w:val="20"/>
                <w:szCs w:val="20"/>
                <w:lang w:val="en-US"/>
              </w:rPr>
              <w:t xml:space="preserve"> – </w:t>
            </w:r>
            <w:r w:rsidRPr="000C091F">
              <w:rPr>
                <w:rStyle w:val="Hyperlink"/>
                <w:rFonts w:ascii="Calibri" w:eastAsia="Times New Roman" w:hAnsi="Calibri"/>
                <w:noProof/>
                <w:sz w:val="20"/>
                <w:szCs w:val="20"/>
                <w:lang w:val="en-US"/>
              </w:rPr>
              <w:t>ECB unconventional monetary announcements</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_Toc122697347 \h </w:instrText>
            </w:r>
            <w:r w:rsidRPr="000C091F">
              <w:rPr>
                <w:noProof/>
                <w:webHidden/>
                <w:sz w:val="20"/>
                <w:szCs w:val="20"/>
              </w:rPr>
            </w:r>
            <w:r w:rsidRPr="000C091F">
              <w:rPr>
                <w:noProof/>
                <w:webHidden/>
                <w:sz w:val="20"/>
                <w:szCs w:val="20"/>
              </w:rPr>
              <w:fldChar w:fldCharType="separate"/>
            </w:r>
            <w:r w:rsidR="00326683">
              <w:rPr>
                <w:noProof/>
                <w:webHidden/>
                <w:sz w:val="20"/>
                <w:szCs w:val="20"/>
              </w:rPr>
              <w:t>22</w:t>
            </w:r>
            <w:r w:rsidRPr="000C091F">
              <w:rPr>
                <w:noProof/>
                <w:webHidden/>
                <w:sz w:val="20"/>
                <w:szCs w:val="20"/>
              </w:rPr>
              <w:fldChar w:fldCharType="end"/>
            </w:r>
          </w:hyperlink>
        </w:p>
        <w:p w14:paraId="74AE3D4C" w14:textId="6C35ED40" w:rsidR="000C091F" w:rsidRPr="000C091F" w:rsidRDefault="000C091F">
          <w:pPr>
            <w:pStyle w:val="TOC2"/>
            <w:rPr>
              <w:rFonts w:eastAsiaTheme="minorEastAsia" w:cstheme="minorBidi"/>
              <w:noProof/>
              <w:sz w:val="20"/>
              <w:szCs w:val="20"/>
              <w:lang w:val="en-NL" w:eastAsia="en-NL"/>
            </w:rPr>
          </w:pPr>
          <w:hyperlink w:anchor="_Toc122697348" w:history="1">
            <w:r w:rsidRPr="000C091F">
              <w:rPr>
                <w:rStyle w:val="Hyperlink"/>
                <w:rFonts w:ascii="Calibri" w:eastAsia="Times New Roman" w:hAnsi="Calibri"/>
                <w:noProof/>
                <w:sz w:val="20"/>
                <w:szCs w:val="20"/>
                <w:lang w:val="en-US"/>
              </w:rPr>
              <w:t>3.4</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lang w:val="en-US"/>
              </w:rPr>
              <w:t>Dependent variable – Long-term sovereign bond yields</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_Toc122697348 \h </w:instrText>
            </w:r>
            <w:r w:rsidRPr="000C091F">
              <w:rPr>
                <w:noProof/>
                <w:webHidden/>
                <w:sz w:val="20"/>
                <w:szCs w:val="20"/>
              </w:rPr>
            </w:r>
            <w:r w:rsidRPr="000C091F">
              <w:rPr>
                <w:noProof/>
                <w:webHidden/>
                <w:sz w:val="20"/>
                <w:szCs w:val="20"/>
              </w:rPr>
              <w:fldChar w:fldCharType="separate"/>
            </w:r>
            <w:r w:rsidR="00326683">
              <w:rPr>
                <w:noProof/>
                <w:webHidden/>
                <w:sz w:val="20"/>
                <w:szCs w:val="20"/>
              </w:rPr>
              <w:t>23</w:t>
            </w:r>
            <w:r w:rsidRPr="000C091F">
              <w:rPr>
                <w:noProof/>
                <w:webHidden/>
                <w:sz w:val="20"/>
                <w:szCs w:val="20"/>
              </w:rPr>
              <w:fldChar w:fldCharType="end"/>
            </w:r>
          </w:hyperlink>
        </w:p>
        <w:p w14:paraId="5B728697" w14:textId="63B17F0B" w:rsidR="000C091F" w:rsidRPr="000C091F" w:rsidRDefault="000C091F">
          <w:pPr>
            <w:pStyle w:val="TOC2"/>
            <w:rPr>
              <w:rFonts w:eastAsiaTheme="minorEastAsia" w:cstheme="minorBidi"/>
              <w:noProof/>
              <w:sz w:val="20"/>
              <w:szCs w:val="20"/>
              <w:lang w:val="en-NL" w:eastAsia="en-NL"/>
            </w:rPr>
          </w:pPr>
          <w:hyperlink w:anchor="_Toc122697349" w:history="1">
            <w:r w:rsidRPr="000C091F">
              <w:rPr>
                <w:rStyle w:val="Hyperlink"/>
                <w:rFonts w:ascii="Calibri" w:eastAsia="Times New Roman" w:hAnsi="Calibri"/>
                <w:noProof/>
                <w:sz w:val="20"/>
                <w:szCs w:val="20"/>
                <w:lang w:val="en-US"/>
              </w:rPr>
              <w:t>3.5</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lang w:val="en-US"/>
              </w:rPr>
              <w:t>Control variables</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_Toc122697349 \h </w:instrText>
            </w:r>
            <w:r w:rsidRPr="000C091F">
              <w:rPr>
                <w:noProof/>
                <w:webHidden/>
                <w:sz w:val="20"/>
                <w:szCs w:val="20"/>
              </w:rPr>
            </w:r>
            <w:r w:rsidRPr="000C091F">
              <w:rPr>
                <w:noProof/>
                <w:webHidden/>
                <w:sz w:val="20"/>
                <w:szCs w:val="20"/>
              </w:rPr>
              <w:fldChar w:fldCharType="separate"/>
            </w:r>
            <w:r w:rsidR="00326683">
              <w:rPr>
                <w:noProof/>
                <w:webHidden/>
                <w:sz w:val="20"/>
                <w:szCs w:val="20"/>
              </w:rPr>
              <w:t>24</w:t>
            </w:r>
            <w:r w:rsidRPr="000C091F">
              <w:rPr>
                <w:noProof/>
                <w:webHidden/>
                <w:sz w:val="20"/>
                <w:szCs w:val="20"/>
              </w:rPr>
              <w:fldChar w:fldCharType="end"/>
            </w:r>
          </w:hyperlink>
        </w:p>
        <w:p w14:paraId="53A243F8" w14:textId="2C9DCD0C" w:rsidR="000C091F" w:rsidRPr="000C091F" w:rsidRDefault="000C091F">
          <w:pPr>
            <w:pStyle w:val="TOC3"/>
            <w:rPr>
              <w:rFonts w:eastAsiaTheme="minorEastAsia" w:cstheme="minorBidi"/>
              <w:noProof/>
              <w:sz w:val="20"/>
              <w:szCs w:val="20"/>
              <w:lang w:val="en-NL" w:eastAsia="en-NL"/>
            </w:rPr>
          </w:pPr>
          <w:hyperlink w:anchor="_Toc122697350" w:history="1">
            <w:r w:rsidRPr="000C091F">
              <w:rPr>
                <w:rStyle w:val="Hyperlink"/>
                <w:rFonts w:ascii="Calibri" w:eastAsia="Times New Roman" w:hAnsi="Calibri"/>
                <w:noProof/>
                <w:sz w:val="20"/>
                <w:szCs w:val="20"/>
              </w:rPr>
              <w:t>3.5.1</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rPr>
              <w:t>Lagged sovereign bond yield</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_Toc122697350 \h </w:instrText>
            </w:r>
            <w:r w:rsidRPr="000C091F">
              <w:rPr>
                <w:noProof/>
                <w:webHidden/>
                <w:sz w:val="20"/>
                <w:szCs w:val="20"/>
              </w:rPr>
            </w:r>
            <w:r w:rsidRPr="000C091F">
              <w:rPr>
                <w:noProof/>
                <w:webHidden/>
                <w:sz w:val="20"/>
                <w:szCs w:val="20"/>
              </w:rPr>
              <w:fldChar w:fldCharType="separate"/>
            </w:r>
            <w:r w:rsidR="00326683">
              <w:rPr>
                <w:noProof/>
                <w:webHidden/>
                <w:sz w:val="20"/>
                <w:szCs w:val="20"/>
              </w:rPr>
              <w:t>24</w:t>
            </w:r>
            <w:r w:rsidRPr="000C091F">
              <w:rPr>
                <w:noProof/>
                <w:webHidden/>
                <w:sz w:val="20"/>
                <w:szCs w:val="20"/>
              </w:rPr>
              <w:fldChar w:fldCharType="end"/>
            </w:r>
          </w:hyperlink>
        </w:p>
        <w:p w14:paraId="13165744" w14:textId="1635C59E" w:rsidR="000C091F" w:rsidRPr="000C091F" w:rsidRDefault="000C091F">
          <w:pPr>
            <w:pStyle w:val="TOC3"/>
            <w:rPr>
              <w:rFonts w:eastAsiaTheme="minorEastAsia" w:cstheme="minorBidi"/>
              <w:noProof/>
              <w:sz w:val="20"/>
              <w:szCs w:val="20"/>
              <w:lang w:val="en-NL" w:eastAsia="en-NL"/>
            </w:rPr>
          </w:pPr>
          <w:hyperlink w:anchor="_Toc122697351" w:history="1">
            <w:r w:rsidRPr="000C091F">
              <w:rPr>
                <w:rStyle w:val="Hyperlink"/>
                <w:rFonts w:ascii="Calibri" w:eastAsia="Times New Roman" w:hAnsi="Calibri"/>
                <w:noProof/>
                <w:sz w:val="20"/>
                <w:szCs w:val="20"/>
              </w:rPr>
              <w:t>3.5.2</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rPr>
              <w:t>Country-specific stock market index (- sign, meaning an increase in stock market index will result in lower yields)</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_Toc122697351 \h </w:instrText>
            </w:r>
            <w:r w:rsidRPr="000C091F">
              <w:rPr>
                <w:noProof/>
                <w:webHidden/>
                <w:sz w:val="20"/>
                <w:szCs w:val="20"/>
              </w:rPr>
            </w:r>
            <w:r w:rsidRPr="000C091F">
              <w:rPr>
                <w:noProof/>
                <w:webHidden/>
                <w:sz w:val="20"/>
                <w:szCs w:val="20"/>
              </w:rPr>
              <w:fldChar w:fldCharType="separate"/>
            </w:r>
            <w:r w:rsidR="00326683">
              <w:rPr>
                <w:noProof/>
                <w:webHidden/>
                <w:sz w:val="20"/>
                <w:szCs w:val="20"/>
              </w:rPr>
              <w:t>24</w:t>
            </w:r>
            <w:r w:rsidRPr="000C091F">
              <w:rPr>
                <w:noProof/>
                <w:webHidden/>
                <w:sz w:val="20"/>
                <w:szCs w:val="20"/>
              </w:rPr>
              <w:fldChar w:fldCharType="end"/>
            </w:r>
          </w:hyperlink>
        </w:p>
        <w:p w14:paraId="5B1E7AD5" w14:textId="7D089C21" w:rsidR="000C091F" w:rsidRPr="000C091F" w:rsidRDefault="000C091F">
          <w:pPr>
            <w:pStyle w:val="TOC3"/>
            <w:rPr>
              <w:rFonts w:eastAsiaTheme="minorEastAsia" w:cstheme="minorBidi"/>
              <w:noProof/>
              <w:sz w:val="20"/>
              <w:szCs w:val="20"/>
              <w:lang w:val="en-NL" w:eastAsia="en-NL"/>
            </w:rPr>
          </w:pPr>
          <w:hyperlink w:anchor="_Toc122697352" w:history="1">
            <w:r w:rsidRPr="000C091F">
              <w:rPr>
                <w:rStyle w:val="Hyperlink"/>
                <w:rFonts w:ascii="Calibri" w:eastAsia="Times New Roman" w:hAnsi="Calibri"/>
                <w:noProof/>
                <w:sz w:val="20"/>
                <w:szCs w:val="20"/>
              </w:rPr>
              <w:t>3.5.3</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rPr>
              <w:t>Europe Vstoxx index (sign: +, meaning an increase in the Vstoxx index increases the sovereign bond yield)</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_Toc122697352 \h </w:instrText>
            </w:r>
            <w:r w:rsidRPr="000C091F">
              <w:rPr>
                <w:noProof/>
                <w:webHidden/>
                <w:sz w:val="20"/>
                <w:szCs w:val="20"/>
              </w:rPr>
            </w:r>
            <w:r w:rsidRPr="000C091F">
              <w:rPr>
                <w:noProof/>
                <w:webHidden/>
                <w:sz w:val="20"/>
                <w:szCs w:val="20"/>
              </w:rPr>
              <w:fldChar w:fldCharType="separate"/>
            </w:r>
            <w:r w:rsidR="00326683">
              <w:rPr>
                <w:noProof/>
                <w:webHidden/>
                <w:sz w:val="20"/>
                <w:szCs w:val="20"/>
              </w:rPr>
              <w:t>25</w:t>
            </w:r>
            <w:r w:rsidRPr="000C091F">
              <w:rPr>
                <w:noProof/>
                <w:webHidden/>
                <w:sz w:val="20"/>
                <w:szCs w:val="20"/>
              </w:rPr>
              <w:fldChar w:fldCharType="end"/>
            </w:r>
          </w:hyperlink>
        </w:p>
        <w:p w14:paraId="3B5B20E2" w14:textId="02433448" w:rsidR="000C091F" w:rsidRPr="000C091F" w:rsidRDefault="000C091F">
          <w:pPr>
            <w:pStyle w:val="TOC3"/>
            <w:rPr>
              <w:rFonts w:eastAsiaTheme="minorEastAsia" w:cstheme="minorBidi"/>
              <w:noProof/>
              <w:sz w:val="20"/>
              <w:szCs w:val="20"/>
              <w:lang w:val="en-NL" w:eastAsia="en-NL"/>
            </w:rPr>
          </w:pPr>
          <w:hyperlink w:anchor="_Toc122697353" w:history="1">
            <w:r w:rsidRPr="000C091F">
              <w:rPr>
                <w:rStyle w:val="Hyperlink"/>
                <w:rFonts w:ascii="Calibri" w:eastAsia="Times New Roman" w:hAnsi="Calibri"/>
                <w:noProof/>
                <w:sz w:val="20"/>
                <w:szCs w:val="20"/>
              </w:rPr>
              <w:t>3.5.4</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rPr>
              <w:t>iTraxx Europe index (+ sign, meaning an increase in CDS if iTraxx index increases)</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_Toc122697353 \h </w:instrText>
            </w:r>
            <w:r w:rsidRPr="000C091F">
              <w:rPr>
                <w:noProof/>
                <w:webHidden/>
                <w:sz w:val="20"/>
                <w:szCs w:val="20"/>
              </w:rPr>
            </w:r>
            <w:r w:rsidRPr="000C091F">
              <w:rPr>
                <w:noProof/>
                <w:webHidden/>
                <w:sz w:val="20"/>
                <w:szCs w:val="20"/>
              </w:rPr>
              <w:fldChar w:fldCharType="separate"/>
            </w:r>
            <w:r w:rsidR="00326683">
              <w:rPr>
                <w:noProof/>
                <w:webHidden/>
                <w:sz w:val="20"/>
                <w:szCs w:val="20"/>
              </w:rPr>
              <w:t>25</w:t>
            </w:r>
            <w:r w:rsidRPr="000C091F">
              <w:rPr>
                <w:noProof/>
                <w:webHidden/>
                <w:sz w:val="20"/>
                <w:szCs w:val="20"/>
              </w:rPr>
              <w:fldChar w:fldCharType="end"/>
            </w:r>
          </w:hyperlink>
        </w:p>
        <w:p w14:paraId="32096055" w14:textId="1D890ADE" w:rsidR="000C091F" w:rsidRPr="000C091F" w:rsidRDefault="000C091F">
          <w:pPr>
            <w:pStyle w:val="TOC3"/>
            <w:rPr>
              <w:rFonts w:eastAsiaTheme="minorEastAsia" w:cstheme="minorBidi"/>
              <w:noProof/>
              <w:sz w:val="20"/>
              <w:szCs w:val="20"/>
              <w:lang w:val="en-NL" w:eastAsia="en-NL"/>
            </w:rPr>
          </w:pPr>
          <w:hyperlink w:anchor="_Toc122697354" w:history="1">
            <w:r w:rsidRPr="000C091F">
              <w:rPr>
                <w:rStyle w:val="Hyperlink"/>
                <w:rFonts w:ascii="Calibri" w:eastAsia="Times New Roman" w:hAnsi="Calibri"/>
                <w:noProof/>
                <w:sz w:val="20"/>
                <w:szCs w:val="20"/>
              </w:rPr>
              <w:t>3.5.5</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rPr>
              <w:t>Total stock market index (- sign, meaning an increase in total stock market index will result in lower yield)</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_Toc122697354 \h </w:instrText>
            </w:r>
            <w:r w:rsidRPr="000C091F">
              <w:rPr>
                <w:noProof/>
                <w:webHidden/>
                <w:sz w:val="20"/>
                <w:szCs w:val="20"/>
              </w:rPr>
            </w:r>
            <w:r w:rsidRPr="000C091F">
              <w:rPr>
                <w:noProof/>
                <w:webHidden/>
                <w:sz w:val="20"/>
                <w:szCs w:val="20"/>
              </w:rPr>
              <w:fldChar w:fldCharType="separate"/>
            </w:r>
            <w:r w:rsidR="00326683">
              <w:rPr>
                <w:noProof/>
                <w:webHidden/>
                <w:sz w:val="20"/>
                <w:szCs w:val="20"/>
              </w:rPr>
              <w:t>25</w:t>
            </w:r>
            <w:r w:rsidRPr="000C091F">
              <w:rPr>
                <w:noProof/>
                <w:webHidden/>
                <w:sz w:val="20"/>
                <w:szCs w:val="20"/>
              </w:rPr>
              <w:fldChar w:fldCharType="end"/>
            </w:r>
          </w:hyperlink>
        </w:p>
        <w:p w14:paraId="2CC17BBD" w14:textId="225B7A9B" w:rsidR="000C091F" w:rsidRPr="000C091F" w:rsidRDefault="000C091F">
          <w:pPr>
            <w:pStyle w:val="TOC3"/>
            <w:rPr>
              <w:rFonts w:eastAsiaTheme="minorEastAsia" w:cstheme="minorBidi"/>
              <w:noProof/>
              <w:sz w:val="20"/>
              <w:szCs w:val="20"/>
              <w:lang w:val="en-NL" w:eastAsia="en-NL"/>
            </w:rPr>
          </w:pPr>
          <w:hyperlink w:anchor="_Toc122697355" w:history="1">
            <w:r w:rsidRPr="000C091F">
              <w:rPr>
                <w:rStyle w:val="Hyperlink"/>
                <w:rFonts w:ascii="Calibri" w:eastAsia="Calibri" w:hAnsi="Calibri"/>
                <w:noProof/>
                <w:sz w:val="20"/>
                <w:szCs w:val="20"/>
              </w:rPr>
              <w:t>3.5.6</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rPr>
              <w:t>Citigroup Economic Surprise Index (CESI) (sign: +, meaning an increase in spread if variable increases).</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_Toc122697355 \h </w:instrText>
            </w:r>
            <w:r w:rsidRPr="000C091F">
              <w:rPr>
                <w:noProof/>
                <w:webHidden/>
                <w:sz w:val="20"/>
                <w:szCs w:val="20"/>
              </w:rPr>
            </w:r>
            <w:r w:rsidRPr="000C091F">
              <w:rPr>
                <w:noProof/>
                <w:webHidden/>
                <w:sz w:val="20"/>
                <w:szCs w:val="20"/>
              </w:rPr>
              <w:fldChar w:fldCharType="separate"/>
            </w:r>
            <w:r w:rsidR="00326683">
              <w:rPr>
                <w:noProof/>
                <w:webHidden/>
                <w:sz w:val="20"/>
                <w:szCs w:val="20"/>
              </w:rPr>
              <w:t>25</w:t>
            </w:r>
            <w:r w:rsidRPr="000C091F">
              <w:rPr>
                <w:noProof/>
                <w:webHidden/>
                <w:sz w:val="20"/>
                <w:szCs w:val="20"/>
              </w:rPr>
              <w:fldChar w:fldCharType="end"/>
            </w:r>
          </w:hyperlink>
        </w:p>
        <w:p w14:paraId="15B4D9DB" w14:textId="59E55EAB" w:rsidR="000C091F" w:rsidRPr="000C091F" w:rsidRDefault="000C091F">
          <w:pPr>
            <w:pStyle w:val="TOC2"/>
            <w:rPr>
              <w:rFonts w:eastAsiaTheme="minorEastAsia" w:cstheme="minorBidi"/>
              <w:noProof/>
              <w:sz w:val="20"/>
              <w:szCs w:val="20"/>
              <w:lang w:val="en-NL" w:eastAsia="en-NL"/>
            </w:rPr>
          </w:pPr>
          <w:hyperlink w:anchor="_Toc122697356" w:history="1">
            <w:r w:rsidRPr="000C091F">
              <w:rPr>
                <w:rStyle w:val="Hyperlink"/>
                <w:rFonts w:ascii="Calibri" w:eastAsia="Times New Roman" w:hAnsi="Calibri"/>
                <w:noProof/>
                <w:sz w:val="20"/>
                <w:szCs w:val="20"/>
                <w:lang w:val="en-US"/>
              </w:rPr>
              <w:t>3.6</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lang w:val="en-US"/>
              </w:rPr>
              <w:t>Robustness check: Credit Default Swap</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_Toc122697356 \h </w:instrText>
            </w:r>
            <w:r w:rsidRPr="000C091F">
              <w:rPr>
                <w:noProof/>
                <w:webHidden/>
                <w:sz w:val="20"/>
                <w:szCs w:val="20"/>
              </w:rPr>
            </w:r>
            <w:r w:rsidRPr="000C091F">
              <w:rPr>
                <w:noProof/>
                <w:webHidden/>
                <w:sz w:val="20"/>
                <w:szCs w:val="20"/>
              </w:rPr>
              <w:fldChar w:fldCharType="separate"/>
            </w:r>
            <w:r w:rsidR="00326683">
              <w:rPr>
                <w:noProof/>
                <w:webHidden/>
                <w:sz w:val="20"/>
                <w:szCs w:val="20"/>
              </w:rPr>
              <w:t>26</w:t>
            </w:r>
            <w:r w:rsidRPr="000C091F">
              <w:rPr>
                <w:noProof/>
                <w:webHidden/>
                <w:sz w:val="20"/>
                <w:szCs w:val="20"/>
              </w:rPr>
              <w:fldChar w:fldCharType="end"/>
            </w:r>
          </w:hyperlink>
        </w:p>
        <w:p w14:paraId="56165204" w14:textId="3B4DF5A9" w:rsidR="000C091F" w:rsidRPr="000C091F" w:rsidRDefault="000C091F">
          <w:pPr>
            <w:pStyle w:val="TOC2"/>
            <w:rPr>
              <w:rFonts w:eastAsiaTheme="minorEastAsia" w:cstheme="minorBidi"/>
              <w:noProof/>
              <w:sz w:val="20"/>
              <w:szCs w:val="20"/>
              <w:lang w:val="en-NL" w:eastAsia="en-NL"/>
            </w:rPr>
          </w:pPr>
          <w:hyperlink w:anchor="_Toc122697357" w:history="1">
            <w:r w:rsidRPr="000C091F">
              <w:rPr>
                <w:rStyle w:val="Hyperlink"/>
                <w:rFonts w:ascii="Calibri" w:eastAsia="Calibri" w:hAnsi="Calibri"/>
                <w:noProof/>
                <w:sz w:val="20"/>
                <w:szCs w:val="20"/>
                <w:lang w:val="en-US"/>
              </w:rPr>
              <w:t>3.7</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lang w:val="en-US"/>
              </w:rPr>
              <w:t>Baseline model specification</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_Toc122697357 \h </w:instrText>
            </w:r>
            <w:r w:rsidRPr="000C091F">
              <w:rPr>
                <w:noProof/>
                <w:webHidden/>
                <w:sz w:val="20"/>
                <w:szCs w:val="20"/>
              </w:rPr>
            </w:r>
            <w:r w:rsidRPr="000C091F">
              <w:rPr>
                <w:noProof/>
                <w:webHidden/>
                <w:sz w:val="20"/>
                <w:szCs w:val="20"/>
              </w:rPr>
              <w:fldChar w:fldCharType="separate"/>
            </w:r>
            <w:r w:rsidR="00326683">
              <w:rPr>
                <w:noProof/>
                <w:webHidden/>
                <w:sz w:val="20"/>
                <w:szCs w:val="20"/>
              </w:rPr>
              <w:t>27</w:t>
            </w:r>
            <w:r w:rsidRPr="000C091F">
              <w:rPr>
                <w:noProof/>
                <w:webHidden/>
                <w:sz w:val="20"/>
                <w:szCs w:val="20"/>
              </w:rPr>
              <w:fldChar w:fldCharType="end"/>
            </w:r>
          </w:hyperlink>
        </w:p>
        <w:p w14:paraId="31554AC8" w14:textId="0BB2C5BB" w:rsidR="000C091F" w:rsidRPr="000C091F" w:rsidRDefault="000C091F">
          <w:pPr>
            <w:pStyle w:val="TOC2"/>
            <w:rPr>
              <w:rFonts w:eastAsiaTheme="minorEastAsia" w:cstheme="minorBidi"/>
              <w:noProof/>
              <w:sz w:val="20"/>
              <w:szCs w:val="20"/>
              <w:lang w:val="en-NL" w:eastAsia="en-NL"/>
            </w:rPr>
          </w:pPr>
          <w:hyperlink w:anchor="_Toc122697358" w:history="1">
            <w:r w:rsidRPr="000C091F">
              <w:rPr>
                <w:rStyle w:val="Hyperlink"/>
                <w:rFonts w:ascii="Calibri" w:eastAsia="Calibri" w:hAnsi="Calibri"/>
                <w:noProof/>
                <w:sz w:val="20"/>
                <w:szCs w:val="20"/>
                <w:lang w:val="en-US"/>
              </w:rPr>
              <w:t>3.8</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lang w:val="en-US"/>
              </w:rPr>
              <w:t>Country specific regression – Sovereign bond yields</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_Toc122697358 \h </w:instrText>
            </w:r>
            <w:r w:rsidRPr="000C091F">
              <w:rPr>
                <w:noProof/>
                <w:webHidden/>
                <w:sz w:val="20"/>
                <w:szCs w:val="20"/>
              </w:rPr>
            </w:r>
            <w:r w:rsidRPr="000C091F">
              <w:rPr>
                <w:noProof/>
                <w:webHidden/>
                <w:sz w:val="20"/>
                <w:szCs w:val="20"/>
              </w:rPr>
              <w:fldChar w:fldCharType="separate"/>
            </w:r>
            <w:r w:rsidR="00326683">
              <w:rPr>
                <w:noProof/>
                <w:webHidden/>
                <w:sz w:val="20"/>
                <w:szCs w:val="20"/>
              </w:rPr>
              <w:t>28</w:t>
            </w:r>
            <w:r w:rsidRPr="000C091F">
              <w:rPr>
                <w:noProof/>
                <w:webHidden/>
                <w:sz w:val="20"/>
                <w:szCs w:val="20"/>
              </w:rPr>
              <w:fldChar w:fldCharType="end"/>
            </w:r>
          </w:hyperlink>
        </w:p>
        <w:p w14:paraId="3022A0A4" w14:textId="2B56625E" w:rsidR="000C091F" w:rsidRPr="000C091F" w:rsidRDefault="000C091F">
          <w:pPr>
            <w:pStyle w:val="TOC2"/>
            <w:rPr>
              <w:rFonts w:eastAsiaTheme="minorEastAsia" w:cstheme="minorBidi"/>
              <w:noProof/>
              <w:sz w:val="20"/>
              <w:szCs w:val="20"/>
              <w:lang w:val="en-NL" w:eastAsia="en-NL"/>
            </w:rPr>
          </w:pPr>
          <w:hyperlink w:anchor="_Toc122697359" w:history="1">
            <w:r w:rsidRPr="000C091F">
              <w:rPr>
                <w:rStyle w:val="Hyperlink"/>
                <w:rFonts w:ascii="Calibri" w:eastAsia="Times New Roman" w:hAnsi="Calibri"/>
                <w:noProof/>
                <w:sz w:val="20"/>
                <w:szCs w:val="20"/>
                <w:lang w:val="en-US"/>
              </w:rPr>
              <w:t>3.9</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lang w:val="en-US"/>
              </w:rPr>
              <w:t>Robustness check – CDS Baseline model specification</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_Toc122697359 \h </w:instrText>
            </w:r>
            <w:r w:rsidRPr="000C091F">
              <w:rPr>
                <w:noProof/>
                <w:webHidden/>
                <w:sz w:val="20"/>
                <w:szCs w:val="20"/>
              </w:rPr>
            </w:r>
            <w:r w:rsidRPr="000C091F">
              <w:rPr>
                <w:noProof/>
                <w:webHidden/>
                <w:sz w:val="20"/>
                <w:szCs w:val="20"/>
              </w:rPr>
              <w:fldChar w:fldCharType="separate"/>
            </w:r>
            <w:r w:rsidR="00326683">
              <w:rPr>
                <w:noProof/>
                <w:webHidden/>
                <w:sz w:val="20"/>
                <w:szCs w:val="20"/>
              </w:rPr>
              <w:t>28</w:t>
            </w:r>
            <w:r w:rsidRPr="000C091F">
              <w:rPr>
                <w:noProof/>
                <w:webHidden/>
                <w:sz w:val="20"/>
                <w:szCs w:val="20"/>
              </w:rPr>
              <w:fldChar w:fldCharType="end"/>
            </w:r>
          </w:hyperlink>
        </w:p>
        <w:p w14:paraId="3B798015" w14:textId="5D944CBD" w:rsidR="000C091F" w:rsidRPr="000C091F" w:rsidRDefault="000C091F">
          <w:pPr>
            <w:pStyle w:val="TOC2"/>
            <w:rPr>
              <w:rFonts w:eastAsiaTheme="minorEastAsia" w:cstheme="minorBidi"/>
              <w:noProof/>
              <w:sz w:val="20"/>
              <w:szCs w:val="20"/>
              <w:lang w:val="en-NL" w:eastAsia="en-NL"/>
            </w:rPr>
          </w:pPr>
          <w:hyperlink w:anchor="_Toc122697360" w:history="1">
            <w:r w:rsidRPr="000C091F">
              <w:rPr>
                <w:rStyle w:val="Hyperlink"/>
                <w:rFonts w:ascii="Calibri" w:eastAsia="Times New Roman" w:hAnsi="Calibri"/>
                <w:noProof/>
                <w:sz w:val="20"/>
                <w:szCs w:val="20"/>
                <w:lang w:val="en-US"/>
              </w:rPr>
              <w:t>3.10</w:t>
            </w:r>
            <w:r w:rsidRPr="000C091F">
              <w:rPr>
                <w:rFonts w:eastAsiaTheme="minorEastAsia" w:cstheme="minorBidi"/>
                <w:noProof/>
                <w:sz w:val="20"/>
                <w:szCs w:val="20"/>
                <w:lang w:val="en-NL" w:eastAsia="en-NL"/>
              </w:rPr>
              <w:tab/>
            </w:r>
            <w:r w:rsidRPr="000C091F">
              <w:rPr>
                <w:rStyle w:val="Hyperlink"/>
                <w:rFonts w:ascii="Calibri" w:eastAsia="Times New Roman" w:hAnsi="Calibri"/>
                <w:noProof/>
                <w:sz w:val="20"/>
                <w:szCs w:val="20"/>
                <w:lang w:val="en-US"/>
              </w:rPr>
              <w:t>Robustness check – CDS Country Specific regression</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_Toc122697360 \h </w:instrText>
            </w:r>
            <w:r w:rsidRPr="000C091F">
              <w:rPr>
                <w:noProof/>
                <w:webHidden/>
                <w:sz w:val="20"/>
                <w:szCs w:val="20"/>
              </w:rPr>
            </w:r>
            <w:r w:rsidRPr="000C091F">
              <w:rPr>
                <w:noProof/>
                <w:webHidden/>
                <w:sz w:val="20"/>
                <w:szCs w:val="20"/>
              </w:rPr>
              <w:fldChar w:fldCharType="separate"/>
            </w:r>
            <w:r w:rsidR="00326683">
              <w:rPr>
                <w:noProof/>
                <w:webHidden/>
                <w:sz w:val="20"/>
                <w:szCs w:val="20"/>
              </w:rPr>
              <w:t>29</w:t>
            </w:r>
            <w:r w:rsidRPr="000C091F">
              <w:rPr>
                <w:noProof/>
                <w:webHidden/>
                <w:sz w:val="20"/>
                <w:szCs w:val="20"/>
              </w:rPr>
              <w:fldChar w:fldCharType="end"/>
            </w:r>
          </w:hyperlink>
        </w:p>
        <w:p w14:paraId="3F336A90" w14:textId="3FA7227B" w:rsidR="000C091F" w:rsidRPr="000C091F" w:rsidRDefault="000C091F">
          <w:pPr>
            <w:pStyle w:val="TOC1"/>
            <w:rPr>
              <w:rFonts w:eastAsiaTheme="minorEastAsia" w:cstheme="minorBidi"/>
              <w:noProof/>
              <w:sz w:val="20"/>
              <w:szCs w:val="20"/>
              <w:lang w:val="en-NL" w:eastAsia="en-NL"/>
            </w:rPr>
          </w:pPr>
          <w:hyperlink w:anchor="_Toc122697361" w:history="1">
            <w:r w:rsidRPr="000C091F">
              <w:rPr>
                <w:rStyle w:val="Hyperlink"/>
                <w:noProof/>
                <w:sz w:val="20"/>
                <w:szCs w:val="20"/>
              </w:rPr>
              <w:t>4.</w:t>
            </w:r>
            <w:r w:rsidRPr="000C091F">
              <w:rPr>
                <w:rFonts w:eastAsiaTheme="minorEastAsia" w:cstheme="minorBidi"/>
                <w:noProof/>
                <w:sz w:val="20"/>
                <w:szCs w:val="20"/>
                <w:lang w:val="en-NL" w:eastAsia="en-NL"/>
              </w:rPr>
              <w:tab/>
            </w:r>
            <w:r w:rsidRPr="000C091F">
              <w:rPr>
                <w:rStyle w:val="Hyperlink"/>
                <w:noProof/>
                <w:sz w:val="20"/>
                <w:szCs w:val="20"/>
              </w:rPr>
              <w:t>Results</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_Toc122697361 \h </w:instrText>
            </w:r>
            <w:r w:rsidRPr="000C091F">
              <w:rPr>
                <w:noProof/>
                <w:webHidden/>
                <w:sz w:val="20"/>
                <w:szCs w:val="20"/>
              </w:rPr>
            </w:r>
            <w:r w:rsidRPr="000C091F">
              <w:rPr>
                <w:noProof/>
                <w:webHidden/>
                <w:sz w:val="20"/>
                <w:szCs w:val="20"/>
              </w:rPr>
              <w:fldChar w:fldCharType="separate"/>
            </w:r>
            <w:r w:rsidR="00326683">
              <w:rPr>
                <w:noProof/>
                <w:webHidden/>
                <w:sz w:val="20"/>
                <w:szCs w:val="20"/>
              </w:rPr>
              <w:t>30</w:t>
            </w:r>
            <w:r w:rsidRPr="000C091F">
              <w:rPr>
                <w:noProof/>
                <w:webHidden/>
                <w:sz w:val="20"/>
                <w:szCs w:val="20"/>
              </w:rPr>
              <w:fldChar w:fldCharType="end"/>
            </w:r>
          </w:hyperlink>
        </w:p>
        <w:p w14:paraId="328BF459" w14:textId="5802EF05" w:rsidR="000C091F" w:rsidRPr="000C091F" w:rsidRDefault="000C091F">
          <w:pPr>
            <w:pStyle w:val="TOC2"/>
            <w:rPr>
              <w:rFonts w:eastAsiaTheme="minorEastAsia" w:cstheme="minorBidi"/>
              <w:noProof/>
              <w:sz w:val="20"/>
              <w:szCs w:val="20"/>
              <w:lang w:val="en-NL" w:eastAsia="en-NL"/>
            </w:rPr>
          </w:pPr>
          <w:hyperlink w:anchor="_Toc122697362" w:history="1">
            <w:r w:rsidRPr="000C091F">
              <w:rPr>
                <w:rStyle w:val="Hyperlink"/>
                <w:noProof/>
                <w:sz w:val="20"/>
                <w:szCs w:val="20"/>
              </w:rPr>
              <w:t>4.1</w:t>
            </w:r>
            <w:r w:rsidRPr="000C091F">
              <w:rPr>
                <w:rFonts w:eastAsiaTheme="minorEastAsia" w:cstheme="minorBidi"/>
                <w:noProof/>
                <w:sz w:val="20"/>
                <w:szCs w:val="20"/>
                <w:lang w:val="en-NL" w:eastAsia="en-NL"/>
              </w:rPr>
              <w:tab/>
            </w:r>
            <w:r w:rsidRPr="000C091F">
              <w:rPr>
                <w:rStyle w:val="Hyperlink"/>
                <w:noProof/>
                <w:sz w:val="20"/>
                <w:szCs w:val="20"/>
              </w:rPr>
              <w:t>Pearson correlation matrix – Sovereign bond yields</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_Toc122697362 \h </w:instrText>
            </w:r>
            <w:r w:rsidRPr="000C091F">
              <w:rPr>
                <w:noProof/>
                <w:webHidden/>
                <w:sz w:val="20"/>
                <w:szCs w:val="20"/>
              </w:rPr>
            </w:r>
            <w:r w:rsidRPr="000C091F">
              <w:rPr>
                <w:noProof/>
                <w:webHidden/>
                <w:sz w:val="20"/>
                <w:szCs w:val="20"/>
              </w:rPr>
              <w:fldChar w:fldCharType="separate"/>
            </w:r>
            <w:r w:rsidR="00326683">
              <w:rPr>
                <w:noProof/>
                <w:webHidden/>
                <w:sz w:val="20"/>
                <w:szCs w:val="20"/>
              </w:rPr>
              <w:t>30</w:t>
            </w:r>
            <w:r w:rsidRPr="000C091F">
              <w:rPr>
                <w:noProof/>
                <w:webHidden/>
                <w:sz w:val="20"/>
                <w:szCs w:val="20"/>
              </w:rPr>
              <w:fldChar w:fldCharType="end"/>
            </w:r>
          </w:hyperlink>
        </w:p>
        <w:p w14:paraId="3E29D299" w14:textId="0CF71364" w:rsidR="000C091F" w:rsidRPr="000C091F" w:rsidRDefault="000C091F">
          <w:pPr>
            <w:pStyle w:val="TOC2"/>
            <w:rPr>
              <w:rFonts w:eastAsiaTheme="minorEastAsia" w:cstheme="minorBidi"/>
              <w:noProof/>
              <w:sz w:val="20"/>
              <w:szCs w:val="20"/>
              <w:lang w:val="en-NL" w:eastAsia="en-NL"/>
            </w:rPr>
          </w:pPr>
          <w:hyperlink w:anchor="_Toc122697363" w:history="1">
            <w:r w:rsidRPr="000C091F">
              <w:rPr>
                <w:rStyle w:val="Hyperlink"/>
                <w:noProof/>
                <w:sz w:val="20"/>
                <w:szCs w:val="20"/>
              </w:rPr>
              <w:t>4.2</w:t>
            </w:r>
            <w:r w:rsidRPr="000C091F">
              <w:rPr>
                <w:rFonts w:eastAsiaTheme="minorEastAsia" w:cstheme="minorBidi"/>
                <w:noProof/>
                <w:sz w:val="20"/>
                <w:szCs w:val="20"/>
                <w:lang w:val="en-NL" w:eastAsia="en-NL"/>
              </w:rPr>
              <w:tab/>
            </w:r>
            <w:r w:rsidRPr="000C091F">
              <w:rPr>
                <w:rStyle w:val="Hyperlink"/>
                <w:noProof/>
                <w:sz w:val="20"/>
                <w:szCs w:val="20"/>
              </w:rPr>
              <w:t>Panel regression EMU - Sovereign bond yields</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_Toc122697363 \h </w:instrText>
            </w:r>
            <w:r w:rsidRPr="000C091F">
              <w:rPr>
                <w:noProof/>
                <w:webHidden/>
                <w:sz w:val="20"/>
                <w:szCs w:val="20"/>
              </w:rPr>
            </w:r>
            <w:r w:rsidRPr="000C091F">
              <w:rPr>
                <w:noProof/>
                <w:webHidden/>
                <w:sz w:val="20"/>
                <w:szCs w:val="20"/>
              </w:rPr>
              <w:fldChar w:fldCharType="separate"/>
            </w:r>
            <w:r w:rsidR="00326683">
              <w:rPr>
                <w:noProof/>
                <w:webHidden/>
                <w:sz w:val="20"/>
                <w:szCs w:val="20"/>
              </w:rPr>
              <w:t>33</w:t>
            </w:r>
            <w:r w:rsidRPr="000C091F">
              <w:rPr>
                <w:noProof/>
                <w:webHidden/>
                <w:sz w:val="20"/>
                <w:szCs w:val="20"/>
              </w:rPr>
              <w:fldChar w:fldCharType="end"/>
            </w:r>
          </w:hyperlink>
        </w:p>
        <w:p w14:paraId="6581105F" w14:textId="5621D885" w:rsidR="000C091F" w:rsidRPr="000C091F" w:rsidRDefault="000C091F">
          <w:pPr>
            <w:pStyle w:val="TOC2"/>
            <w:rPr>
              <w:rFonts w:eastAsiaTheme="minorEastAsia" w:cstheme="minorBidi"/>
              <w:noProof/>
              <w:sz w:val="20"/>
              <w:szCs w:val="20"/>
              <w:lang w:val="en-NL" w:eastAsia="en-NL"/>
            </w:rPr>
          </w:pPr>
          <w:hyperlink w:anchor="_Toc122697364" w:history="1">
            <w:r w:rsidRPr="000C091F">
              <w:rPr>
                <w:rStyle w:val="Hyperlink"/>
                <w:noProof/>
                <w:sz w:val="20"/>
                <w:szCs w:val="20"/>
              </w:rPr>
              <w:t>4.3</w:t>
            </w:r>
            <w:r w:rsidRPr="000C091F">
              <w:rPr>
                <w:rFonts w:eastAsiaTheme="minorEastAsia" w:cstheme="minorBidi"/>
                <w:noProof/>
                <w:sz w:val="20"/>
                <w:szCs w:val="20"/>
                <w:lang w:val="en-NL" w:eastAsia="en-NL"/>
              </w:rPr>
              <w:tab/>
            </w:r>
            <w:r w:rsidRPr="000C091F">
              <w:rPr>
                <w:rStyle w:val="Hyperlink"/>
                <w:noProof/>
                <w:sz w:val="20"/>
                <w:szCs w:val="20"/>
              </w:rPr>
              <w:t>Panel regression – Core countries vs. Periphery countries</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_Toc122697364 \h </w:instrText>
            </w:r>
            <w:r w:rsidRPr="000C091F">
              <w:rPr>
                <w:noProof/>
                <w:webHidden/>
                <w:sz w:val="20"/>
                <w:szCs w:val="20"/>
              </w:rPr>
            </w:r>
            <w:r w:rsidRPr="000C091F">
              <w:rPr>
                <w:noProof/>
                <w:webHidden/>
                <w:sz w:val="20"/>
                <w:szCs w:val="20"/>
              </w:rPr>
              <w:fldChar w:fldCharType="separate"/>
            </w:r>
            <w:r w:rsidR="00326683">
              <w:rPr>
                <w:noProof/>
                <w:webHidden/>
                <w:sz w:val="20"/>
                <w:szCs w:val="20"/>
              </w:rPr>
              <w:t>35</w:t>
            </w:r>
            <w:r w:rsidRPr="000C091F">
              <w:rPr>
                <w:noProof/>
                <w:webHidden/>
                <w:sz w:val="20"/>
                <w:szCs w:val="20"/>
              </w:rPr>
              <w:fldChar w:fldCharType="end"/>
            </w:r>
          </w:hyperlink>
        </w:p>
        <w:p w14:paraId="235DEFB8" w14:textId="1CE36019" w:rsidR="000C091F" w:rsidRPr="000C091F" w:rsidRDefault="000C091F">
          <w:pPr>
            <w:pStyle w:val="TOC2"/>
            <w:rPr>
              <w:rFonts w:eastAsiaTheme="minorEastAsia" w:cstheme="minorBidi"/>
              <w:noProof/>
              <w:sz w:val="20"/>
              <w:szCs w:val="20"/>
              <w:lang w:val="en-NL" w:eastAsia="en-NL"/>
            </w:rPr>
          </w:pPr>
          <w:hyperlink w:anchor="_Toc122697365" w:history="1">
            <w:r w:rsidRPr="000C091F">
              <w:rPr>
                <w:rStyle w:val="Hyperlink"/>
                <w:noProof/>
                <w:sz w:val="20"/>
                <w:szCs w:val="20"/>
              </w:rPr>
              <w:t>4.4</w:t>
            </w:r>
            <w:r w:rsidRPr="000C091F">
              <w:rPr>
                <w:rFonts w:eastAsiaTheme="minorEastAsia" w:cstheme="minorBidi"/>
                <w:noProof/>
                <w:sz w:val="20"/>
                <w:szCs w:val="20"/>
                <w:lang w:val="en-NL" w:eastAsia="en-NL"/>
              </w:rPr>
              <w:tab/>
            </w:r>
            <w:r w:rsidRPr="000C091F">
              <w:rPr>
                <w:rStyle w:val="Hyperlink"/>
                <w:noProof/>
                <w:sz w:val="20"/>
                <w:szCs w:val="20"/>
              </w:rPr>
              <w:t>Country specific regressions – sovereign bond yields</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_Toc122697365 \h </w:instrText>
            </w:r>
            <w:r w:rsidRPr="000C091F">
              <w:rPr>
                <w:noProof/>
                <w:webHidden/>
                <w:sz w:val="20"/>
                <w:szCs w:val="20"/>
              </w:rPr>
            </w:r>
            <w:r w:rsidRPr="000C091F">
              <w:rPr>
                <w:noProof/>
                <w:webHidden/>
                <w:sz w:val="20"/>
                <w:szCs w:val="20"/>
              </w:rPr>
              <w:fldChar w:fldCharType="separate"/>
            </w:r>
            <w:r w:rsidR="00326683">
              <w:rPr>
                <w:noProof/>
                <w:webHidden/>
                <w:sz w:val="20"/>
                <w:szCs w:val="20"/>
              </w:rPr>
              <w:t>38</w:t>
            </w:r>
            <w:r w:rsidRPr="000C091F">
              <w:rPr>
                <w:noProof/>
                <w:webHidden/>
                <w:sz w:val="20"/>
                <w:szCs w:val="20"/>
              </w:rPr>
              <w:fldChar w:fldCharType="end"/>
            </w:r>
          </w:hyperlink>
        </w:p>
        <w:p w14:paraId="65C22C33" w14:textId="0D9C078E" w:rsidR="000C091F" w:rsidRPr="000C091F" w:rsidRDefault="000C091F">
          <w:pPr>
            <w:pStyle w:val="TOC2"/>
            <w:rPr>
              <w:rFonts w:eastAsiaTheme="minorEastAsia" w:cstheme="minorBidi"/>
              <w:noProof/>
              <w:sz w:val="20"/>
              <w:szCs w:val="20"/>
              <w:lang w:val="en-NL" w:eastAsia="en-NL"/>
            </w:rPr>
          </w:pPr>
          <w:hyperlink w:anchor="_Toc122697366" w:history="1">
            <w:r w:rsidRPr="000C091F">
              <w:rPr>
                <w:rStyle w:val="Hyperlink"/>
                <w:noProof/>
                <w:sz w:val="20"/>
                <w:szCs w:val="20"/>
              </w:rPr>
              <w:t>4.5</w:t>
            </w:r>
            <w:r w:rsidRPr="000C091F">
              <w:rPr>
                <w:rFonts w:eastAsiaTheme="minorEastAsia" w:cstheme="minorBidi"/>
                <w:noProof/>
                <w:sz w:val="20"/>
                <w:szCs w:val="20"/>
                <w:lang w:val="en-NL" w:eastAsia="en-NL"/>
              </w:rPr>
              <w:tab/>
            </w:r>
            <w:r w:rsidRPr="000C091F">
              <w:rPr>
                <w:rStyle w:val="Hyperlink"/>
                <w:noProof/>
                <w:sz w:val="20"/>
                <w:szCs w:val="20"/>
              </w:rPr>
              <w:t>Robustness check</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_Toc122697366 \h </w:instrText>
            </w:r>
            <w:r w:rsidRPr="000C091F">
              <w:rPr>
                <w:noProof/>
                <w:webHidden/>
                <w:sz w:val="20"/>
                <w:szCs w:val="20"/>
              </w:rPr>
            </w:r>
            <w:r w:rsidRPr="000C091F">
              <w:rPr>
                <w:noProof/>
                <w:webHidden/>
                <w:sz w:val="20"/>
                <w:szCs w:val="20"/>
              </w:rPr>
              <w:fldChar w:fldCharType="separate"/>
            </w:r>
            <w:r w:rsidR="00326683">
              <w:rPr>
                <w:noProof/>
                <w:webHidden/>
                <w:sz w:val="20"/>
                <w:szCs w:val="20"/>
              </w:rPr>
              <w:t>41</w:t>
            </w:r>
            <w:r w:rsidRPr="000C091F">
              <w:rPr>
                <w:noProof/>
                <w:webHidden/>
                <w:sz w:val="20"/>
                <w:szCs w:val="20"/>
              </w:rPr>
              <w:fldChar w:fldCharType="end"/>
            </w:r>
          </w:hyperlink>
        </w:p>
        <w:p w14:paraId="65268FDE" w14:textId="1CE293A4" w:rsidR="000C091F" w:rsidRPr="000C091F" w:rsidRDefault="000C091F">
          <w:pPr>
            <w:pStyle w:val="TOC3"/>
            <w:rPr>
              <w:rFonts w:eastAsiaTheme="minorEastAsia" w:cstheme="minorBidi"/>
              <w:noProof/>
              <w:sz w:val="20"/>
              <w:szCs w:val="20"/>
              <w:lang w:val="en-NL" w:eastAsia="en-NL"/>
            </w:rPr>
          </w:pPr>
          <w:hyperlink w:anchor="_Toc122697367" w:history="1">
            <w:r w:rsidRPr="000C091F">
              <w:rPr>
                <w:rStyle w:val="Hyperlink"/>
                <w:noProof/>
                <w:sz w:val="20"/>
                <w:szCs w:val="20"/>
              </w:rPr>
              <w:t>4.5.1</w:t>
            </w:r>
            <w:r w:rsidRPr="000C091F">
              <w:rPr>
                <w:rFonts w:eastAsiaTheme="minorEastAsia" w:cstheme="minorBidi"/>
                <w:noProof/>
                <w:sz w:val="20"/>
                <w:szCs w:val="20"/>
                <w:lang w:val="en-NL" w:eastAsia="en-NL"/>
              </w:rPr>
              <w:tab/>
            </w:r>
            <w:r w:rsidRPr="000C091F">
              <w:rPr>
                <w:rStyle w:val="Hyperlink"/>
                <w:noProof/>
                <w:sz w:val="20"/>
                <w:szCs w:val="20"/>
              </w:rPr>
              <w:t>Panel regression EMU – CDS</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_Toc122697367 \h </w:instrText>
            </w:r>
            <w:r w:rsidRPr="000C091F">
              <w:rPr>
                <w:noProof/>
                <w:webHidden/>
                <w:sz w:val="20"/>
                <w:szCs w:val="20"/>
              </w:rPr>
            </w:r>
            <w:r w:rsidRPr="000C091F">
              <w:rPr>
                <w:noProof/>
                <w:webHidden/>
                <w:sz w:val="20"/>
                <w:szCs w:val="20"/>
              </w:rPr>
              <w:fldChar w:fldCharType="separate"/>
            </w:r>
            <w:r w:rsidR="00326683">
              <w:rPr>
                <w:noProof/>
                <w:webHidden/>
                <w:sz w:val="20"/>
                <w:szCs w:val="20"/>
              </w:rPr>
              <w:t>41</w:t>
            </w:r>
            <w:r w:rsidRPr="000C091F">
              <w:rPr>
                <w:noProof/>
                <w:webHidden/>
                <w:sz w:val="20"/>
                <w:szCs w:val="20"/>
              </w:rPr>
              <w:fldChar w:fldCharType="end"/>
            </w:r>
          </w:hyperlink>
        </w:p>
        <w:p w14:paraId="136A34B5" w14:textId="228195E6" w:rsidR="000C091F" w:rsidRPr="000C091F" w:rsidRDefault="000C091F">
          <w:pPr>
            <w:pStyle w:val="TOC3"/>
            <w:rPr>
              <w:rFonts w:eastAsiaTheme="minorEastAsia" w:cstheme="minorBidi"/>
              <w:noProof/>
              <w:sz w:val="20"/>
              <w:szCs w:val="20"/>
              <w:lang w:val="en-NL" w:eastAsia="en-NL"/>
            </w:rPr>
          </w:pPr>
          <w:hyperlink w:anchor="_Toc122697368" w:history="1">
            <w:r w:rsidRPr="000C091F">
              <w:rPr>
                <w:rStyle w:val="Hyperlink"/>
                <w:noProof/>
                <w:sz w:val="20"/>
                <w:szCs w:val="20"/>
              </w:rPr>
              <w:t>4.5.2</w:t>
            </w:r>
            <w:r w:rsidRPr="000C091F">
              <w:rPr>
                <w:rFonts w:eastAsiaTheme="minorEastAsia" w:cstheme="minorBidi"/>
                <w:noProof/>
                <w:sz w:val="20"/>
                <w:szCs w:val="20"/>
                <w:lang w:val="en-NL" w:eastAsia="en-NL"/>
              </w:rPr>
              <w:tab/>
            </w:r>
            <w:r w:rsidRPr="000C091F">
              <w:rPr>
                <w:rStyle w:val="Hyperlink"/>
                <w:noProof/>
                <w:sz w:val="20"/>
                <w:szCs w:val="20"/>
              </w:rPr>
              <w:t>Panel regression – Core countries vs. Periphery countries CDS</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_Toc122697368 \h </w:instrText>
            </w:r>
            <w:r w:rsidRPr="000C091F">
              <w:rPr>
                <w:noProof/>
                <w:webHidden/>
                <w:sz w:val="20"/>
                <w:szCs w:val="20"/>
              </w:rPr>
            </w:r>
            <w:r w:rsidRPr="000C091F">
              <w:rPr>
                <w:noProof/>
                <w:webHidden/>
                <w:sz w:val="20"/>
                <w:szCs w:val="20"/>
              </w:rPr>
              <w:fldChar w:fldCharType="separate"/>
            </w:r>
            <w:r w:rsidR="00326683">
              <w:rPr>
                <w:noProof/>
                <w:webHidden/>
                <w:sz w:val="20"/>
                <w:szCs w:val="20"/>
              </w:rPr>
              <w:t>42</w:t>
            </w:r>
            <w:r w:rsidRPr="000C091F">
              <w:rPr>
                <w:noProof/>
                <w:webHidden/>
                <w:sz w:val="20"/>
                <w:szCs w:val="20"/>
              </w:rPr>
              <w:fldChar w:fldCharType="end"/>
            </w:r>
          </w:hyperlink>
        </w:p>
        <w:p w14:paraId="6C74BD4C" w14:textId="691DE2E7" w:rsidR="000C091F" w:rsidRPr="000C091F" w:rsidRDefault="000C091F">
          <w:pPr>
            <w:pStyle w:val="TOC3"/>
            <w:rPr>
              <w:rFonts w:eastAsiaTheme="minorEastAsia" w:cstheme="minorBidi"/>
              <w:noProof/>
              <w:sz w:val="20"/>
              <w:szCs w:val="20"/>
              <w:lang w:val="en-NL" w:eastAsia="en-NL"/>
            </w:rPr>
          </w:pPr>
          <w:hyperlink w:anchor="_Toc122697369" w:history="1">
            <w:r w:rsidRPr="000C091F">
              <w:rPr>
                <w:rStyle w:val="Hyperlink"/>
                <w:noProof/>
                <w:sz w:val="20"/>
                <w:szCs w:val="20"/>
              </w:rPr>
              <w:t>4.5.3</w:t>
            </w:r>
            <w:r w:rsidRPr="000C091F">
              <w:rPr>
                <w:rFonts w:eastAsiaTheme="minorEastAsia" w:cstheme="minorBidi"/>
                <w:noProof/>
                <w:sz w:val="20"/>
                <w:szCs w:val="20"/>
                <w:lang w:val="en-NL" w:eastAsia="en-NL"/>
              </w:rPr>
              <w:tab/>
            </w:r>
            <w:r w:rsidRPr="000C091F">
              <w:rPr>
                <w:rStyle w:val="Hyperlink"/>
                <w:noProof/>
                <w:sz w:val="20"/>
                <w:szCs w:val="20"/>
              </w:rPr>
              <w:t>Country specific regressions – CDS</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_Toc122697369 \h </w:instrText>
            </w:r>
            <w:r w:rsidRPr="000C091F">
              <w:rPr>
                <w:noProof/>
                <w:webHidden/>
                <w:sz w:val="20"/>
                <w:szCs w:val="20"/>
              </w:rPr>
            </w:r>
            <w:r w:rsidRPr="000C091F">
              <w:rPr>
                <w:noProof/>
                <w:webHidden/>
                <w:sz w:val="20"/>
                <w:szCs w:val="20"/>
              </w:rPr>
              <w:fldChar w:fldCharType="separate"/>
            </w:r>
            <w:r w:rsidR="00326683">
              <w:rPr>
                <w:noProof/>
                <w:webHidden/>
                <w:sz w:val="20"/>
                <w:szCs w:val="20"/>
              </w:rPr>
              <w:t>43</w:t>
            </w:r>
            <w:r w:rsidRPr="000C091F">
              <w:rPr>
                <w:noProof/>
                <w:webHidden/>
                <w:sz w:val="20"/>
                <w:szCs w:val="20"/>
              </w:rPr>
              <w:fldChar w:fldCharType="end"/>
            </w:r>
          </w:hyperlink>
        </w:p>
        <w:p w14:paraId="558EF9A1" w14:textId="42AF541B" w:rsidR="000C091F" w:rsidRPr="000C091F" w:rsidRDefault="000C091F">
          <w:pPr>
            <w:pStyle w:val="TOC1"/>
            <w:rPr>
              <w:rFonts w:eastAsiaTheme="minorEastAsia" w:cstheme="minorBidi"/>
              <w:noProof/>
              <w:sz w:val="20"/>
              <w:szCs w:val="20"/>
              <w:lang w:val="en-NL" w:eastAsia="en-NL"/>
            </w:rPr>
          </w:pPr>
          <w:hyperlink w:anchor="_Toc122697370" w:history="1">
            <w:r w:rsidRPr="000C091F">
              <w:rPr>
                <w:rStyle w:val="Hyperlink"/>
                <w:noProof/>
                <w:sz w:val="20"/>
                <w:szCs w:val="20"/>
              </w:rPr>
              <w:t>5.</w:t>
            </w:r>
            <w:r w:rsidRPr="000C091F">
              <w:rPr>
                <w:rFonts w:eastAsiaTheme="minorEastAsia" w:cstheme="minorBidi"/>
                <w:noProof/>
                <w:sz w:val="20"/>
                <w:szCs w:val="20"/>
                <w:lang w:val="en-NL" w:eastAsia="en-NL"/>
              </w:rPr>
              <w:tab/>
            </w:r>
            <w:r w:rsidRPr="000C091F">
              <w:rPr>
                <w:rStyle w:val="Hyperlink"/>
                <w:noProof/>
                <w:sz w:val="20"/>
                <w:szCs w:val="20"/>
              </w:rPr>
              <w:t>Conclusion and discussion</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_Toc122697370 \h </w:instrText>
            </w:r>
            <w:r w:rsidRPr="000C091F">
              <w:rPr>
                <w:noProof/>
                <w:webHidden/>
                <w:sz w:val="20"/>
                <w:szCs w:val="20"/>
              </w:rPr>
            </w:r>
            <w:r w:rsidRPr="000C091F">
              <w:rPr>
                <w:noProof/>
                <w:webHidden/>
                <w:sz w:val="20"/>
                <w:szCs w:val="20"/>
              </w:rPr>
              <w:fldChar w:fldCharType="separate"/>
            </w:r>
            <w:r w:rsidR="00326683">
              <w:rPr>
                <w:noProof/>
                <w:webHidden/>
                <w:sz w:val="20"/>
                <w:szCs w:val="20"/>
              </w:rPr>
              <w:t>44</w:t>
            </w:r>
            <w:r w:rsidRPr="000C091F">
              <w:rPr>
                <w:noProof/>
                <w:webHidden/>
                <w:sz w:val="20"/>
                <w:szCs w:val="20"/>
              </w:rPr>
              <w:fldChar w:fldCharType="end"/>
            </w:r>
          </w:hyperlink>
        </w:p>
        <w:p w14:paraId="690B7A6A" w14:textId="6C978418" w:rsidR="000C091F" w:rsidRPr="000C091F" w:rsidRDefault="000C091F">
          <w:pPr>
            <w:pStyle w:val="TOC2"/>
            <w:rPr>
              <w:rFonts w:eastAsiaTheme="minorEastAsia" w:cstheme="minorBidi"/>
              <w:noProof/>
              <w:sz w:val="20"/>
              <w:szCs w:val="20"/>
              <w:lang w:val="en-NL" w:eastAsia="en-NL"/>
            </w:rPr>
          </w:pPr>
          <w:hyperlink w:anchor="_Toc122697371" w:history="1">
            <w:r w:rsidRPr="000C091F">
              <w:rPr>
                <w:rStyle w:val="Hyperlink"/>
                <w:noProof/>
                <w:sz w:val="20"/>
                <w:szCs w:val="20"/>
              </w:rPr>
              <w:t>5.1</w:t>
            </w:r>
            <w:r w:rsidRPr="000C091F">
              <w:rPr>
                <w:rFonts w:eastAsiaTheme="minorEastAsia" w:cstheme="minorBidi"/>
                <w:noProof/>
                <w:sz w:val="20"/>
                <w:szCs w:val="20"/>
                <w:lang w:val="en-NL" w:eastAsia="en-NL"/>
              </w:rPr>
              <w:tab/>
            </w:r>
            <w:r w:rsidRPr="000C091F">
              <w:rPr>
                <w:rStyle w:val="Hyperlink"/>
                <w:noProof/>
                <w:sz w:val="20"/>
                <w:szCs w:val="20"/>
              </w:rPr>
              <w:t>Main findings</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_Toc122697371 \h </w:instrText>
            </w:r>
            <w:r w:rsidRPr="000C091F">
              <w:rPr>
                <w:noProof/>
                <w:webHidden/>
                <w:sz w:val="20"/>
                <w:szCs w:val="20"/>
              </w:rPr>
            </w:r>
            <w:r w:rsidRPr="000C091F">
              <w:rPr>
                <w:noProof/>
                <w:webHidden/>
                <w:sz w:val="20"/>
                <w:szCs w:val="20"/>
              </w:rPr>
              <w:fldChar w:fldCharType="separate"/>
            </w:r>
            <w:r w:rsidR="00326683">
              <w:rPr>
                <w:noProof/>
                <w:webHidden/>
                <w:sz w:val="20"/>
                <w:szCs w:val="20"/>
              </w:rPr>
              <w:t>44</w:t>
            </w:r>
            <w:r w:rsidRPr="000C091F">
              <w:rPr>
                <w:noProof/>
                <w:webHidden/>
                <w:sz w:val="20"/>
                <w:szCs w:val="20"/>
              </w:rPr>
              <w:fldChar w:fldCharType="end"/>
            </w:r>
          </w:hyperlink>
        </w:p>
        <w:p w14:paraId="7864280B" w14:textId="7E32B985" w:rsidR="000C091F" w:rsidRPr="000C091F" w:rsidRDefault="000C091F">
          <w:pPr>
            <w:pStyle w:val="TOC2"/>
            <w:rPr>
              <w:rFonts w:eastAsiaTheme="minorEastAsia" w:cstheme="minorBidi"/>
              <w:noProof/>
              <w:sz w:val="20"/>
              <w:szCs w:val="20"/>
              <w:lang w:val="en-NL" w:eastAsia="en-NL"/>
            </w:rPr>
          </w:pPr>
          <w:hyperlink w:anchor="_Toc122697372" w:history="1">
            <w:r w:rsidRPr="000C091F">
              <w:rPr>
                <w:rStyle w:val="Hyperlink"/>
                <w:noProof/>
                <w:sz w:val="20"/>
                <w:szCs w:val="20"/>
              </w:rPr>
              <w:t>5.2</w:t>
            </w:r>
            <w:r w:rsidRPr="000C091F">
              <w:rPr>
                <w:rFonts w:eastAsiaTheme="minorEastAsia" w:cstheme="minorBidi"/>
                <w:noProof/>
                <w:sz w:val="20"/>
                <w:szCs w:val="20"/>
                <w:lang w:val="en-NL" w:eastAsia="en-NL"/>
              </w:rPr>
              <w:tab/>
            </w:r>
            <w:r w:rsidRPr="000C091F">
              <w:rPr>
                <w:rStyle w:val="Hyperlink"/>
                <w:noProof/>
                <w:sz w:val="20"/>
                <w:szCs w:val="20"/>
              </w:rPr>
              <w:t>Interpretation of findings</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_Toc122697372 \h </w:instrText>
            </w:r>
            <w:r w:rsidRPr="000C091F">
              <w:rPr>
                <w:noProof/>
                <w:webHidden/>
                <w:sz w:val="20"/>
                <w:szCs w:val="20"/>
              </w:rPr>
            </w:r>
            <w:r w:rsidRPr="000C091F">
              <w:rPr>
                <w:noProof/>
                <w:webHidden/>
                <w:sz w:val="20"/>
                <w:szCs w:val="20"/>
              </w:rPr>
              <w:fldChar w:fldCharType="separate"/>
            </w:r>
            <w:r w:rsidR="00326683">
              <w:rPr>
                <w:noProof/>
                <w:webHidden/>
                <w:sz w:val="20"/>
                <w:szCs w:val="20"/>
              </w:rPr>
              <w:t>44</w:t>
            </w:r>
            <w:r w:rsidRPr="000C091F">
              <w:rPr>
                <w:noProof/>
                <w:webHidden/>
                <w:sz w:val="20"/>
                <w:szCs w:val="20"/>
              </w:rPr>
              <w:fldChar w:fldCharType="end"/>
            </w:r>
          </w:hyperlink>
        </w:p>
        <w:p w14:paraId="356131A5" w14:textId="65723E10" w:rsidR="000C091F" w:rsidRPr="000C091F" w:rsidRDefault="000C091F">
          <w:pPr>
            <w:pStyle w:val="TOC2"/>
            <w:rPr>
              <w:rFonts w:eastAsiaTheme="minorEastAsia" w:cstheme="minorBidi"/>
              <w:noProof/>
              <w:sz w:val="20"/>
              <w:szCs w:val="20"/>
              <w:lang w:val="en-NL" w:eastAsia="en-NL"/>
            </w:rPr>
          </w:pPr>
          <w:hyperlink w:anchor="_Toc122697373" w:history="1">
            <w:r w:rsidRPr="000C091F">
              <w:rPr>
                <w:rStyle w:val="Hyperlink"/>
                <w:noProof/>
                <w:sz w:val="20"/>
                <w:szCs w:val="20"/>
              </w:rPr>
              <w:t>5.3</w:t>
            </w:r>
            <w:r w:rsidRPr="000C091F">
              <w:rPr>
                <w:rFonts w:eastAsiaTheme="minorEastAsia" w:cstheme="minorBidi"/>
                <w:noProof/>
                <w:sz w:val="20"/>
                <w:szCs w:val="20"/>
                <w:lang w:val="en-NL" w:eastAsia="en-NL"/>
              </w:rPr>
              <w:tab/>
            </w:r>
            <w:r w:rsidRPr="000C091F">
              <w:rPr>
                <w:rStyle w:val="Hyperlink"/>
                <w:noProof/>
                <w:sz w:val="20"/>
                <w:szCs w:val="20"/>
              </w:rPr>
              <w:t>Policy implications for ECB</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_Toc122697373 \h </w:instrText>
            </w:r>
            <w:r w:rsidRPr="000C091F">
              <w:rPr>
                <w:noProof/>
                <w:webHidden/>
                <w:sz w:val="20"/>
                <w:szCs w:val="20"/>
              </w:rPr>
            </w:r>
            <w:r w:rsidRPr="000C091F">
              <w:rPr>
                <w:noProof/>
                <w:webHidden/>
                <w:sz w:val="20"/>
                <w:szCs w:val="20"/>
              </w:rPr>
              <w:fldChar w:fldCharType="separate"/>
            </w:r>
            <w:r w:rsidR="00326683">
              <w:rPr>
                <w:noProof/>
                <w:webHidden/>
                <w:sz w:val="20"/>
                <w:szCs w:val="20"/>
              </w:rPr>
              <w:t>45</w:t>
            </w:r>
            <w:r w:rsidRPr="000C091F">
              <w:rPr>
                <w:noProof/>
                <w:webHidden/>
                <w:sz w:val="20"/>
                <w:szCs w:val="20"/>
              </w:rPr>
              <w:fldChar w:fldCharType="end"/>
            </w:r>
          </w:hyperlink>
        </w:p>
        <w:p w14:paraId="6CBA6653" w14:textId="77763BD0" w:rsidR="000C091F" w:rsidRPr="000C091F" w:rsidRDefault="000C091F">
          <w:pPr>
            <w:pStyle w:val="TOC2"/>
            <w:rPr>
              <w:rFonts w:eastAsiaTheme="minorEastAsia" w:cstheme="minorBidi"/>
              <w:noProof/>
              <w:sz w:val="20"/>
              <w:szCs w:val="20"/>
              <w:lang w:val="en-NL" w:eastAsia="en-NL"/>
            </w:rPr>
          </w:pPr>
          <w:hyperlink w:anchor="_Toc122697374" w:history="1">
            <w:r w:rsidRPr="000C091F">
              <w:rPr>
                <w:rStyle w:val="Hyperlink"/>
                <w:noProof/>
                <w:sz w:val="20"/>
                <w:szCs w:val="20"/>
              </w:rPr>
              <w:t>5.4</w:t>
            </w:r>
            <w:r w:rsidRPr="000C091F">
              <w:rPr>
                <w:rFonts w:eastAsiaTheme="minorEastAsia" w:cstheme="minorBidi"/>
                <w:noProof/>
                <w:sz w:val="20"/>
                <w:szCs w:val="20"/>
                <w:lang w:val="en-NL" w:eastAsia="en-NL"/>
              </w:rPr>
              <w:tab/>
            </w:r>
            <w:r w:rsidRPr="000C091F">
              <w:rPr>
                <w:rStyle w:val="Hyperlink"/>
                <w:noProof/>
                <w:sz w:val="20"/>
                <w:szCs w:val="20"/>
              </w:rPr>
              <w:t>Limitations</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_Toc122697374 \h </w:instrText>
            </w:r>
            <w:r w:rsidRPr="000C091F">
              <w:rPr>
                <w:noProof/>
                <w:webHidden/>
                <w:sz w:val="20"/>
                <w:szCs w:val="20"/>
              </w:rPr>
            </w:r>
            <w:r w:rsidRPr="000C091F">
              <w:rPr>
                <w:noProof/>
                <w:webHidden/>
                <w:sz w:val="20"/>
                <w:szCs w:val="20"/>
              </w:rPr>
              <w:fldChar w:fldCharType="separate"/>
            </w:r>
            <w:r w:rsidR="00326683">
              <w:rPr>
                <w:noProof/>
                <w:webHidden/>
                <w:sz w:val="20"/>
                <w:szCs w:val="20"/>
              </w:rPr>
              <w:t>45</w:t>
            </w:r>
            <w:r w:rsidRPr="000C091F">
              <w:rPr>
                <w:noProof/>
                <w:webHidden/>
                <w:sz w:val="20"/>
                <w:szCs w:val="20"/>
              </w:rPr>
              <w:fldChar w:fldCharType="end"/>
            </w:r>
          </w:hyperlink>
        </w:p>
        <w:p w14:paraId="45F460C2" w14:textId="23FDD750" w:rsidR="000C091F" w:rsidRPr="000C091F" w:rsidRDefault="000C091F">
          <w:pPr>
            <w:pStyle w:val="TOC2"/>
            <w:rPr>
              <w:rFonts w:eastAsiaTheme="minorEastAsia" w:cstheme="minorBidi"/>
              <w:noProof/>
              <w:sz w:val="20"/>
              <w:szCs w:val="20"/>
              <w:lang w:val="en-NL" w:eastAsia="en-NL"/>
            </w:rPr>
          </w:pPr>
          <w:hyperlink w:anchor="_Toc122697375" w:history="1">
            <w:r w:rsidRPr="000C091F">
              <w:rPr>
                <w:rStyle w:val="Hyperlink"/>
                <w:noProof/>
                <w:sz w:val="20"/>
                <w:szCs w:val="20"/>
              </w:rPr>
              <w:t>5.5</w:t>
            </w:r>
            <w:r w:rsidRPr="000C091F">
              <w:rPr>
                <w:rFonts w:eastAsiaTheme="minorEastAsia" w:cstheme="minorBidi"/>
                <w:noProof/>
                <w:sz w:val="20"/>
                <w:szCs w:val="20"/>
                <w:lang w:val="en-NL" w:eastAsia="en-NL"/>
              </w:rPr>
              <w:tab/>
            </w:r>
            <w:r w:rsidRPr="000C091F">
              <w:rPr>
                <w:rStyle w:val="Hyperlink"/>
                <w:noProof/>
                <w:sz w:val="20"/>
                <w:szCs w:val="20"/>
              </w:rPr>
              <w:t>Future research</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_Toc122697375 \h </w:instrText>
            </w:r>
            <w:r w:rsidRPr="000C091F">
              <w:rPr>
                <w:noProof/>
                <w:webHidden/>
                <w:sz w:val="20"/>
                <w:szCs w:val="20"/>
              </w:rPr>
            </w:r>
            <w:r w:rsidRPr="000C091F">
              <w:rPr>
                <w:noProof/>
                <w:webHidden/>
                <w:sz w:val="20"/>
                <w:szCs w:val="20"/>
              </w:rPr>
              <w:fldChar w:fldCharType="separate"/>
            </w:r>
            <w:r w:rsidR="00326683">
              <w:rPr>
                <w:noProof/>
                <w:webHidden/>
                <w:sz w:val="20"/>
                <w:szCs w:val="20"/>
              </w:rPr>
              <w:t>46</w:t>
            </w:r>
            <w:r w:rsidRPr="000C091F">
              <w:rPr>
                <w:noProof/>
                <w:webHidden/>
                <w:sz w:val="20"/>
                <w:szCs w:val="20"/>
              </w:rPr>
              <w:fldChar w:fldCharType="end"/>
            </w:r>
          </w:hyperlink>
        </w:p>
        <w:p w14:paraId="4B30CDD0" w14:textId="3324FD92" w:rsidR="000C091F" w:rsidRPr="000C091F" w:rsidRDefault="000C091F">
          <w:pPr>
            <w:pStyle w:val="TOC1"/>
            <w:rPr>
              <w:rFonts w:eastAsiaTheme="minorEastAsia" w:cstheme="minorBidi"/>
              <w:noProof/>
              <w:sz w:val="20"/>
              <w:szCs w:val="20"/>
              <w:lang w:val="en-NL" w:eastAsia="en-NL"/>
            </w:rPr>
          </w:pPr>
          <w:hyperlink w:anchor="_Toc122697376" w:history="1">
            <w:r w:rsidRPr="000C091F">
              <w:rPr>
                <w:rStyle w:val="Hyperlink"/>
                <w:noProof/>
                <w:sz w:val="20"/>
                <w:szCs w:val="20"/>
              </w:rPr>
              <w:t>6.</w:t>
            </w:r>
            <w:r w:rsidRPr="000C091F">
              <w:rPr>
                <w:rFonts w:eastAsiaTheme="minorEastAsia" w:cstheme="minorBidi"/>
                <w:noProof/>
                <w:sz w:val="20"/>
                <w:szCs w:val="20"/>
                <w:lang w:val="en-NL" w:eastAsia="en-NL"/>
              </w:rPr>
              <w:tab/>
            </w:r>
            <w:r w:rsidRPr="000C091F">
              <w:rPr>
                <w:rStyle w:val="Hyperlink"/>
                <w:noProof/>
                <w:sz w:val="20"/>
                <w:szCs w:val="20"/>
              </w:rPr>
              <w:t>Appendix</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_Toc122697376 \h </w:instrText>
            </w:r>
            <w:r w:rsidRPr="000C091F">
              <w:rPr>
                <w:noProof/>
                <w:webHidden/>
                <w:sz w:val="20"/>
                <w:szCs w:val="20"/>
              </w:rPr>
            </w:r>
            <w:r w:rsidRPr="000C091F">
              <w:rPr>
                <w:noProof/>
                <w:webHidden/>
                <w:sz w:val="20"/>
                <w:szCs w:val="20"/>
              </w:rPr>
              <w:fldChar w:fldCharType="separate"/>
            </w:r>
            <w:r w:rsidR="00326683">
              <w:rPr>
                <w:noProof/>
                <w:webHidden/>
                <w:sz w:val="20"/>
                <w:szCs w:val="20"/>
              </w:rPr>
              <w:t>48</w:t>
            </w:r>
            <w:r w:rsidRPr="000C091F">
              <w:rPr>
                <w:noProof/>
                <w:webHidden/>
                <w:sz w:val="20"/>
                <w:szCs w:val="20"/>
              </w:rPr>
              <w:fldChar w:fldCharType="end"/>
            </w:r>
          </w:hyperlink>
        </w:p>
        <w:p w14:paraId="2A548E83" w14:textId="54AC8968" w:rsidR="000C091F" w:rsidRPr="000C091F" w:rsidRDefault="000C091F">
          <w:pPr>
            <w:pStyle w:val="TOC2"/>
            <w:rPr>
              <w:rFonts w:eastAsiaTheme="minorEastAsia" w:cstheme="minorBidi"/>
              <w:noProof/>
              <w:sz w:val="20"/>
              <w:szCs w:val="20"/>
              <w:lang w:val="en-NL" w:eastAsia="en-NL"/>
            </w:rPr>
          </w:pPr>
          <w:hyperlink w:anchor="_Toc122697377" w:history="1">
            <w:r w:rsidRPr="000C091F">
              <w:rPr>
                <w:rStyle w:val="Hyperlink"/>
                <w:noProof/>
                <w:sz w:val="20"/>
                <w:szCs w:val="20"/>
              </w:rPr>
              <w:t>6.1</w:t>
            </w:r>
            <w:r w:rsidRPr="000C091F">
              <w:rPr>
                <w:rFonts w:eastAsiaTheme="minorEastAsia" w:cstheme="minorBidi"/>
                <w:noProof/>
                <w:sz w:val="20"/>
                <w:szCs w:val="20"/>
                <w:lang w:val="en-NL" w:eastAsia="en-NL"/>
              </w:rPr>
              <w:tab/>
            </w:r>
            <w:r w:rsidRPr="000C091F">
              <w:rPr>
                <w:rStyle w:val="Hyperlink"/>
                <w:noProof/>
                <w:sz w:val="20"/>
                <w:szCs w:val="20"/>
              </w:rPr>
              <w:t>Table 7</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_Toc122697377 \h </w:instrText>
            </w:r>
            <w:r w:rsidRPr="000C091F">
              <w:rPr>
                <w:noProof/>
                <w:webHidden/>
                <w:sz w:val="20"/>
                <w:szCs w:val="20"/>
              </w:rPr>
            </w:r>
            <w:r w:rsidRPr="000C091F">
              <w:rPr>
                <w:noProof/>
                <w:webHidden/>
                <w:sz w:val="20"/>
                <w:szCs w:val="20"/>
              </w:rPr>
              <w:fldChar w:fldCharType="separate"/>
            </w:r>
            <w:r w:rsidR="00326683">
              <w:rPr>
                <w:noProof/>
                <w:webHidden/>
                <w:sz w:val="20"/>
                <w:szCs w:val="20"/>
              </w:rPr>
              <w:t>48</w:t>
            </w:r>
            <w:r w:rsidRPr="000C091F">
              <w:rPr>
                <w:noProof/>
                <w:webHidden/>
                <w:sz w:val="20"/>
                <w:szCs w:val="20"/>
              </w:rPr>
              <w:fldChar w:fldCharType="end"/>
            </w:r>
          </w:hyperlink>
        </w:p>
        <w:p w14:paraId="08EC0B4A" w14:textId="40CBE6B8" w:rsidR="000C091F" w:rsidRPr="000C091F" w:rsidRDefault="000C091F">
          <w:pPr>
            <w:pStyle w:val="TOC2"/>
            <w:rPr>
              <w:rFonts w:eastAsiaTheme="minorEastAsia" w:cstheme="minorBidi"/>
              <w:noProof/>
              <w:sz w:val="20"/>
              <w:szCs w:val="20"/>
              <w:lang w:val="en-NL" w:eastAsia="en-NL"/>
            </w:rPr>
          </w:pPr>
          <w:hyperlink w:anchor="_Toc122697378" w:history="1">
            <w:r w:rsidRPr="000C091F">
              <w:rPr>
                <w:rStyle w:val="Hyperlink"/>
                <w:noProof/>
                <w:sz w:val="20"/>
                <w:szCs w:val="20"/>
              </w:rPr>
              <w:t>6.2</w:t>
            </w:r>
            <w:r w:rsidRPr="000C091F">
              <w:rPr>
                <w:rFonts w:eastAsiaTheme="minorEastAsia" w:cstheme="minorBidi"/>
                <w:noProof/>
                <w:sz w:val="20"/>
                <w:szCs w:val="20"/>
                <w:lang w:val="en-NL" w:eastAsia="en-NL"/>
              </w:rPr>
              <w:tab/>
            </w:r>
            <w:r w:rsidRPr="000C091F">
              <w:rPr>
                <w:rStyle w:val="Hyperlink"/>
                <w:noProof/>
                <w:sz w:val="20"/>
                <w:szCs w:val="20"/>
              </w:rPr>
              <w:t>Table 8</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_Toc122697378 \h </w:instrText>
            </w:r>
            <w:r w:rsidRPr="000C091F">
              <w:rPr>
                <w:noProof/>
                <w:webHidden/>
                <w:sz w:val="20"/>
                <w:szCs w:val="20"/>
              </w:rPr>
            </w:r>
            <w:r w:rsidRPr="000C091F">
              <w:rPr>
                <w:noProof/>
                <w:webHidden/>
                <w:sz w:val="20"/>
                <w:szCs w:val="20"/>
              </w:rPr>
              <w:fldChar w:fldCharType="separate"/>
            </w:r>
            <w:r w:rsidR="00326683">
              <w:rPr>
                <w:noProof/>
                <w:webHidden/>
                <w:sz w:val="20"/>
                <w:szCs w:val="20"/>
              </w:rPr>
              <w:t>49</w:t>
            </w:r>
            <w:r w:rsidRPr="000C091F">
              <w:rPr>
                <w:noProof/>
                <w:webHidden/>
                <w:sz w:val="20"/>
                <w:szCs w:val="20"/>
              </w:rPr>
              <w:fldChar w:fldCharType="end"/>
            </w:r>
          </w:hyperlink>
        </w:p>
        <w:p w14:paraId="6279C53C" w14:textId="7A3CEED5" w:rsidR="000C091F" w:rsidRPr="000C091F" w:rsidRDefault="000C091F">
          <w:pPr>
            <w:pStyle w:val="TOC2"/>
            <w:rPr>
              <w:rFonts w:eastAsiaTheme="minorEastAsia" w:cstheme="minorBidi"/>
              <w:noProof/>
              <w:sz w:val="20"/>
              <w:szCs w:val="20"/>
              <w:lang w:val="en-NL" w:eastAsia="en-NL"/>
            </w:rPr>
          </w:pPr>
          <w:hyperlink w:anchor="_Toc122697379" w:history="1">
            <w:r w:rsidRPr="000C091F">
              <w:rPr>
                <w:rStyle w:val="Hyperlink"/>
                <w:noProof/>
                <w:sz w:val="20"/>
                <w:szCs w:val="20"/>
              </w:rPr>
              <w:t>6.3</w:t>
            </w:r>
            <w:r w:rsidRPr="000C091F">
              <w:rPr>
                <w:rFonts w:eastAsiaTheme="minorEastAsia" w:cstheme="minorBidi"/>
                <w:noProof/>
                <w:sz w:val="20"/>
                <w:szCs w:val="20"/>
                <w:lang w:val="en-NL" w:eastAsia="en-NL"/>
              </w:rPr>
              <w:tab/>
            </w:r>
            <w:r w:rsidRPr="000C091F">
              <w:rPr>
                <w:rStyle w:val="Hyperlink"/>
                <w:noProof/>
                <w:sz w:val="20"/>
                <w:szCs w:val="20"/>
              </w:rPr>
              <w:t>Table 9</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_Toc122697379 \h </w:instrText>
            </w:r>
            <w:r w:rsidRPr="000C091F">
              <w:rPr>
                <w:noProof/>
                <w:webHidden/>
                <w:sz w:val="20"/>
                <w:szCs w:val="20"/>
              </w:rPr>
            </w:r>
            <w:r w:rsidRPr="000C091F">
              <w:rPr>
                <w:noProof/>
                <w:webHidden/>
                <w:sz w:val="20"/>
                <w:szCs w:val="20"/>
              </w:rPr>
              <w:fldChar w:fldCharType="separate"/>
            </w:r>
            <w:r w:rsidR="00326683">
              <w:rPr>
                <w:noProof/>
                <w:webHidden/>
                <w:sz w:val="20"/>
                <w:szCs w:val="20"/>
              </w:rPr>
              <w:t>50</w:t>
            </w:r>
            <w:r w:rsidRPr="000C091F">
              <w:rPr>
                <w:noProof/>
                <w:webHidden/>
                <w:sz w:val="20"/>
                <w:szCs w:val="20"/>
              </w:rPr>
              <w:fldChar w:fldCharType="end"/>
            </w:r>
          </w:hyperlink>
        </w:p>
        <w:p w14:paraId="74908734" w14:textId="2A933D85" w:rsidR="000C091F" w:rsidRPr="000C091F" w:rsidRDefault="000C091F">
          <w:pPr>
            <w:pStyle w:val="TOC2"/>
            <w:rPr>
              <w:rFonts w:eastAsiaTheme="minorEastAsia" w:cstheme="minorBidi"/>
              <w:noProof/>
              <w:sz w:val="20"/>
              <w:szCs w:val="20"/>
              <w:lang w:val="en-NL" w:eastAsia="en-NL"/>
            </w:rPr>
          </w:pPr>
          <w:hyperlink w:anchor="_Toc122697380" w:history="1">
            <w:r w:rsidRPr="000C091F">
              <w:rPr>
                <w:rStyle w:val="Hyperlink"/>
                <w:noProof/>
                <w:sz w:val="20"/>
                <w:szCs w:val="20"/>
              </w:rPr>
              <w:t>6.4</w:t>
            </w:r>
            <w:r w:rsidRPr="000C091F">
              <w:rPr>
                <w:rFonts w:eastAsiaTheme="minorEastAsia" w:cstheme="minorBidi"/>
                <w:noProof/>
                <w:sz w:val="20"/>
                <w:szCs w:val="20"/>
                <w:lang w:val="en-NL" w:eastAsia="en-NL"/>
              </w:rPr>
              <w:tab/>
            </w:r>
            <w:r w:rsidRPr="000C091F">
              <w:rPr>
                <w:rStyle w:val="Hyperlink"/>
                <w:noProof/>
                <w:sz w:val="20"/>
                <w:szCs w:val="20"/>
              </w:rPr>
              <w:t>Table 10</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_Toc122697380 \h </w:instrText>
            </w:r>
            <w:r w:rsidRPr="000C091F">
              <w:rPr>
                <w:noProof/>
                <w:webHidden/>
                <w:sz w:val="20"/>
                <w:szCs w:val="20"/>
              </w:rPr>
            </w:r>
            <w:r w:rsidRPr="000C091F">
              <w:rPr>
                <w:noProof/>
                <w:webHidden/>
                <w:sz w:val="20"/>
                <w:szCs w:val="20"/>
              </w:rPr>
              <w:fldChar w:fldCharType="separate"/>
            </w:r>
            <w:r w:rsidR="00326683">
              <w:rPr>
                <w:noProof/>
                <w:webHidden/>
                <w:sz w:val="20"/>
                <w:szCs w:val="20"/>
              </w:rPr>
              <w:t>51</w:t>
            </w:r>
            <w:r w:rsidRPr="000C091F">
              <w:rPr>
                <w:noProof/>
                <w:webHidden/>
                <w:sz w:val="20"/>
                <w:szCs w:val="20"/>
              </w:rPr>
              <w:fldChar w:fldCharType="end"/>
            </w:r>
          </w:hyperlink>
        </w:p>
        <w:p w14:paraId="679FD21F" w14:textId="74476BA1" w:rsidR="000C091F" w:rsidRPr="000C091F" w:rsidRDefault="000C091F">
          <w:pPr>
            <w:pStyle w:val="TOC1"/>
            <w:rPr>
              <w:rFonts w:eastAsiaTheme="minorEastAsia" w:cstheme="minorBidi"/>
              <w:noProof/>
              <w:sz w:val="20"/>
              <w:szCs w:val="20"/>
              <w:lang w:val="en-NL" w:eastAsia="en-NL"/>
            </w:rPr>
          </w:pPr>
          <w:hyperlink w:anchor="_Toc122697381" w:history="1">
            <w:r w:rsidRPr="000C091F">
              <w:rPr>
                <w:rStyle w:val="Hyperlink"/>
                <w:noProof/>
                <w:sz w:val="20"/>
                <w:szCs w:val="20"/>
              </w:rPr>
              <w:t>7.</w:t>
            </w:r>
            <w:r w:rsidRPr="000C091F">
              <w:rPr>
                <w:rFonts w:eastAsiaTheme="minorEastAsia" w:cstheme="minorBidi"/>
                <w:noProof/>
                <w:sz w:val="20"/>
                <w:szCs w:val="20"/>
                <w:lang w:val="en-NL" w:eastAsia="en-NL"/>
              </w:rPr>
              <w:tab/>
            </w:r>
            <w:r w:rsidRPr="000C091F">
              <w:rPr>
                <w:rStyle w:val="Hyperlink"/>
                <w:noProof/>
                <w:sz w:val="20"/>
                <w:szCs w:val="20"/>
              </w:rPr>
              <w:t>References</w:t>
            </w:r>
            <w:r w:rsidRPr="000C091F">
              <w:rPr>
                <w:noProof/>
                <w:webHidden/>
                <w:sz w:val="20"/>
                <w:szCs w:val="20"/>
              </w:rPr>
              <w:tab/>
            </w:r>
            <w:r w:rsidRPr="000C091F">
              <w:rPr>
                <w:noProof/>
                <w:webHidden/>
                <w:sz w:val="20"/>
                <w:szCs w:val="20"/>
              </w:rPr>
              <w:fldChar w:fldCharType="begin"/>
            </w:r>
            <w:r w:rsidRPr="000C091F">
              <w:rPr>
                <w:noProof/>
                <w:webHidden/>
                <w:sz w:val="20"/>
                <w:szCs w:val="20"/>
              </w:rPr>
              <w:instrText xml:space="preserve"> PAGEREF _Toc122697381 \h </w:instrText>
            </w:r>
            <w:r w:rsidRPr="000C091F">
              <w:rPr>
                <w:noProof/>
                <w:webHidden/>
                <w:sz w:val="20"/>
                <w:szCs w:val="20"/>
              </w:rPr>
            </w:r>
            <w:r w:rsidRPr="000C091F">
              <w:rPr>
                <w:noProof/>
                <w:webHidden/>
                <w:sz w:val="20"/>
                <w:szCs w:val="20"/>
              </w:rPr>
              <w:fldChar w:fldCharType="separate"/>
            </w:r>
            <w:r w:rsidR="00326683">
              <w:rPr>
                <w:noProof/>
                <w:webHidden/>
                <w:sz w:val="20"/>
                <w:szCs w:val="20"/>
              </w:rPr>
              <w:t>52</w:t>
            </w:r>
            <w:r w:rsidRPr="000C091F">
              <w:rPr>
                <w:noProof/>
                <w:webHidden/>
                <w:sz w:val="20"/>
                <w:szCs w:val="20"/>
              </w:rPr>
              <w:fldChar w:fldCharType="end"/>
            </w:r>
          </w:hyperlink>
        </w:p>
        <w:p w14:paraId="0B11EE5C" w14:textId="494A1887" w:rsidR="00143258" w:rsidRPr="000C091F" w:rsidRDefault="00CA3591" w:rsidP="00980C08">
          <w:pPr>
            <w:pStyle w:val="TOC1"/>
            <w:ind w:firstLine="0"/>
            <w:rPr>
              <w:rFonts w:eastAsiaTheme="minorEastAsia" w:cstheme="minorHAnsi"/>
              <w:sz w:val="20"/>
              <w:szCs w:val="20"/>
              <w:lang w:val="nl-NL" w:eastAsia="nl-NL"/>
            </w:rPr>
          </w:pPr>
          <w:r w:rsidRPr="000C091F">
            <w:rPr>
              <w:rStyle w:val="IndexLink"/>
              <w:rFonts w:cstheme="minorHAnsi"/>
              <w:sz w:val="20"/>
              <w:szCs w:val="20"/>
            </w:rPr>
            <w:fldChar w:fldCharType="end"/>
          </w:r>
        </w:p>
      </w:sdtContent>
    </w:sdt>
    <w:p w14:paraId="49F1E9FB" w14:textId="77777777" w:rsidR="00143258" w:rsidRPr="000C091F" w:rsidRDefault="00CA3591">
      <w:pPr>
        <w:spacing w:line="240" w:lineRule="auto"/>
        <w:ind w:firstLine="0"/>
        <w:jc w:val="left"/>
        <w:rPr>
          <w:rFonts w:ascii="Calibri" w:hAnsi="Calibri" w:cs="Calibri"/>
          <w:sz w:val="20"/>
          <w:szCs w:val="20"/>
          <w:lang w:val="en-US"/>
        </w:rPr>
      </w:pPr>
      <w:r w:rsidRPr="000C091F">
        <w:rPr>
          <w:sz w:val="20"/>
          <w:szCs w:val="20"/>
        </w:rPr>
        <w:br w:type="page"/>
      </w:r>
    </w:p>
    <w:p w14:paraId="70A00203" w14:textId="77777777" w:rsidR="00B35B07" w:rsidRPr="00B35B07" w:rsidRDefault="00B35B07" w:rsidP="00B35B07">
      <w:pPr>
        <w:keepNext/>
        <w:keepLines/>
        <w:numPr>
          <w:ilvl w:val="0"/>
          <w:numId w:val="13"/>
        </w:numPr>
        <w:tabs>
          <w:tab w:val="num" w:pos="360"/>
        </w:tabs>
        <w:spacing w:before="260" w:after="260"/>
        <w:contextualSpacing/>
        <w:outlineLvl w:val="0"/>
        <w:rPr>
          <w:rFonts w:ascii="Calibri" w:eastAsia="Times New Roman" w:hAnsi="Calibri"/>
          <w:b/>
          <w:bCs/>
          <w:color w:val="000000"/>
          <w:sz w:val="28"/>
          <w:szCs w:val="32"/>
        </w:rPr>
      </w:pPr>
      <w:bookmarkStart w:id="0" w:name="_Toc121316966"/>
      <w:bookmarkStart w:id="1" w:name="_Hlk122104866"/>
      <w:bookmarkStart w:id="2" w:name="_Toc122697327"/>
      <w:r w:rsidRPr="00B35B07">
        <w:rPr>
          <w:rFonts w:ascii="Calibri" w:eastAsia="Times New Roman" w:hAnsi="Calibri"/>
          <w:b/>
          <w:bCs/>
          <w:color w:val="000000"/>
          <w:sz w:val="28"/>
          <w:szCs w:val="32"/>
        </w:rPr>
        <w:lastRenderedPageBreak/>
        <w:t>Introduction</w:t>
      </w:r>
      <w:bookmarkEnd w:id="0"/>
      <w:bookmarkEnd w:id="2"/>
    </w:p>
    <w:p w14:paraId="457A255A" w14:textId="308F6692"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Since the beginning of the </w:t>
      </w:r>
      <w:r w:rsidR="004C51EF">
        <w:rPr>
          <w:rFonts w:ascii="Calibri" w:hAnsi="Calibri" w:cs="Calibri"/>
          <w:color w:val="000000"/>
          <w:lang w:val="en-US"/>
        </w:rPr>
        <w:t>COVID-19</w:t>
      </w:r>
      <w:r w:rsidRPr="00B35B07">
        <w:rPr>
          <w:rFonts w:ascii="Calibri" w:hAnsi="Calibri" w:cs="Calibri"/>
          <w:color w:val="000000"/>
          <w:lang w:val="en-US"/>
        </w:rPr>
        <w:t xml:space="preserve"> crisis, the </w:t>
      </w:r>
      <w:r w:rsidR="004C51EF">
        <w:rPr>
          <w:rFonts w:ascii="Calibri" w:hAnsi="Calibri" w:cs="Calibri"/>
          <w:color w:val="000000"/>
          <w:lang w:val="en-US"/>
        </w:rPr>
        <w:t>EMU</w:t>
      </w:r>
      <w:r w:rsidRPr="00B35B07">
        <w:rPr>
          <w:rFonts w:ascii="Calibri" w:hAnsi="Calibri" w:cs="Calibri"/>
          <w:color w:val="000000"/>
          <w:lang w:val="en-US"/>
        </w:rPr>
        <w:t xml:space="preserve"> </w:t>
      </w:r>
      <w:proofErr w:type="gramStart"/>
      <w:r w:rsidRPr="00B35B07">
        <w:rPr>
          <w:rFonts w:ascii="Calibri" w:hAnsi="Calibri" w:cs="Calibri"/>
          <w:color w:val="000000"/>
          <w:lang w:val="en-US"/>
        </w:rPr>
        <w:t>wants</w:t>
      </w:r>
      <w:proofErr w:type="gramEnd"/>
      <w:r w:rsidRPr="00B35B07">
        <w:rPr>
          <w:rFonts w:ascii="Calibri" w:hAnsi="Calibri" w:cs="Calibri"/>
          <w:color w:val="000000"/>
          <w:lang w:val="en-US"/>
        </w:rPr>
        <w:t xml:space="preserve"> to be united more than ever. As the President of Europe’s Central Bank Christine Lagarde (2020) stated: “Extraordinary times require extraordinary action. There are no limits to our commitment to the Euro”. Within the EMU the European Central Bank (ECB) has the mandate to ensure monetary stability and safeguard financial integration of the EMU members. Acting as a union and staying committed towards the Euro is one of the top priorities of the ECB.  In normal (non-crisis) times, the main monetary policy instrument to fulfill these goals is the interest rate on the refinancing operations between the ECB and the European national banks. However, there is a limit </w:t>
      </w:r>
      <w:proofErr w:type="gramStart"/>
      <w:r w:rsidRPr="00B35B07">
        <w:rPr>
          <w:rFonts w:ascii="Calibri" w:hAnsi="Calibri" w:cs="Calibri"/>
          <w:color w:val="000000"/>
          <w:lang w:val="en-US"/>
        </w:rPr>
        <w:t>towards</w:t>
      </w:r>
      <w:proofErr w:type="gramEnd"/>
      <w:r w:rsidRPr="00B35B07">
        <w:rPr>
          <w:rFonts w:ascii="Calibri" w:hAnsi="Calibri" w:cs="Calibri"/>
          <w:color w:val="000000"/>
          <w:lang w:val="en-US"/>
        </w:rPr>
        <w:t xml:space="preserve"> these conventional monetary policy measures. </w:t>
      </w:r>
      <w:r w:rsidRPr="00B35B07">
        <w:rPr>
          <w:rFonts w:ascii="Calibri" w:hAnsi="Calibri" w:cs="Calibri"/>
          <w:lang w:val="en-US"/>
        </w:rPr>
        <w:t xml:space="preserve">Approaching the Zero Lower Bound (ZLB), a situation in which the short-term interest rates are close to zero or even negative. </w:t>
      </w:r>
      <w:r w:rsidRPr="00B35B07">
        <w:rPr>
          <w:rFonts w:ascii="Calibri" w:hAnsi="Calibri" w:cs="Calibri"/>
          <w:color w:val="000000"/>
          <w:lang w:val="en-US"/>
        </w:rPr>
        <w:t>The effectiveness of these interest-based monetary policies tends to decrease approaching the ZLB and forces the ECB to pursue unconventional monetary policy</w:t>
      </w:r>
      <w:r w:rsidR="004C51EF">
        <w:rPr>
          <w:rFonts w:ascii="Calibri" w:hAnsi="Calibri" w:cs="Calibri"/>
          <w:color w:val="000000"/>
          <w:lang w:val="en-US"/>
        </w:rPr>
        <w:t xml:space="preserve"> (UMP)</w:t>
      </w:r>
      <w:r w:rsidRPr="00B35B07">
        <w:rPr>
          <w:rFonts w:ascii="Calibri" w:hAnsi="Calibri" w:cs="Calibri"/>
          <w:color w:val="000000"/>
          <w:lang w:val="en-US"/>
        </w:rPr>
        <w:t xml:space="preserve"> measures to safeguard financial integration in the EMU. </w:t>
      </w:r>
    </w:p>
    <w:p w14:paraId="79F7B5B3" w14:textId="140949E9"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Within the EMU there is a common currency (Euro), but the Union is an integration of several sovereign member states with individual governmental budgets (</w:t>
      </w:r>
      <w:proofErr w:type="spellStart"/>
      <w:r w:rsidRPr="00B35B07">
        <w:rPr>
          <w:rFonts w:ascii="Calibri" w:hAnsi="Calibri" w:cs="Calibri"/>
          <w:color w:val="000000"/>
          <w:lang w:val="en-US"/>
        </w:rPr>
        <w:t>Mojon</w:t>
      </w:r>
      <w:proofErr w:type="spellEnd"/>
      <w:r w:rsidRPr="00B35B07">
        <w:rPr>
          <w:rFonts w:ascii="Calibri" w:hAnsi="Calibri" w:cs="Calibri"/>
          <w:color w:val="000000"/>
          <w:lang w:val="en-US"/>
        </w:rPr>
        <w:t>, 2000). Every member also participates as a stand-alone participant on the financial credit market. Instruments of the ECB to conduct monetary and unconventional monetary policies are aimed to improve the overall financial strength of the Monetary Union (</w:t>
      </w:r>
      <w:r w:rsidR="0019646B">
        <w:rPr>
          <w:rFonts w:ascii="Calibri" w:hAnsi="Calibri" w:cs="Calibri"/>
          <w:color w:val="000000"/>
          <w:lang w:val="en-US"/>
        </w:rPr>
        <w:t>Ciccarelli et al.</w:t>
      </w:r>
      <w:r w:rsidRPr="00B35B07">
        <w:rPr>
          <w:rFonts w:ascii="Calibri" w:hAnsi="Calibri" w:cs="Calibri"/>
          <w:color w:val="000000"/>
          <w:lang w:val="en-US"/>
        </w:rPr>
        <w:t>, 20</w:t>
      </w:r>
      <w:r w:rsidR="0019646B">
        <w:rPr>
          <w:rFonts w:ascii="Calibri" w:hAnsi="Calibri" w:cs="Calibri"/>
          <w:color w:val="000000"/>
          <w:lang w:val="en-US"/>
        </w:rPr>
        <w:t>17</w:t>
      </w:r>
      <w:r w:rsidRPr="00B35B07">
        <w:rPr>
          <w:rFonts w:ascii="Calibri" w:hAnsi="Calibri" w:cs="Calibri"/>
          <w:color w:val="000000"/>
          <w:lang w:val="en-US"/>
        </w:rPr>
        <w:t xml:space="preserve">). Despite this, every member state has its own government bonds, which are loans provided by investors in return for a certain yield corresponding with a country’s individual risk profile (Codogno et al., 2003). Since economic conditions vary per country, this can result in heterogeneous reactions of member states on UMP measures with regards towards the bonds of individual governments. </w:t>
      </w:r>
    </w:p>
    <w:p w14:paraId="2F028339" w14:textId="6C7A7C62"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Since the pandemic started all EMU member states’ economies were heavily affected (</w:t>
      </w:r>
      <w:proofErr w:type="spellStart"/>
      <w:r w:rsidRPr="00B35B07">
        <w:rPr>
          <w:rFonts w:ascii="Calibri" w:hAnsi="Calibri" w:cs="Calibri"/>
          <w:color w:val="000000"/>
          <w:lang w:val="en-US"/>
        </w:rPr>
        <w:t>Fendel</w:t>
      </w:r>
      <w:proofErr w:type="spellEnd"/>
      <w:r w:rsidRPr="00B35B07">
        <w:rPr>
          <w:rFonts w:ascii="Calibri" w:hAnsi="Calibri" w:cs="Calibri"/>
          <w:color w:val="000000"/>
          <w:lang w:val="en-US"/>
        </w:rPr>
        <w:t xml:space="preserve"> and Neugebauer, 2021). The pandemic and worsening economic conditions triggered the ECB to pursue unconventional monetary measures. Unconventional monetary and fiscal policies were taken to support member states recover more quickly and have an immediate positive impact on their economies. Given that financial fragmentation is a significant issue to be aware </w:t>
      </w:r>
      <w:r w:rsidRPr="00B35B07">
        <w:rPr>
          <w:rFonts w:ascii="Calibri" w:hAnsi="Calibri" w:cs="Calibri"/>
          <w:color w:val="000000"/>
          <w:lang w:val="en-US"/>
        </w:rPr>
        <w:lastRenderedPageBreak/>
        <w:t>of during crisis (Aguilar et al</w:t>
      </w:r>
      <w:r w:rsidR="00660D01">
        <w:rPr>
          <w:rFonts w:ascii="Calibri" w:hAnsi="Calibri" w:cs="Calibri"/>
          <w:color w:val="000000"/>
          <w:lang w:val="en-US"/>
        </w:rPr>
        <w:t>.</w:t>
      </w:r>
      <w:r w:rsidRPr="00B35B07">
        <w:rPr>
          <w:rFonts w:ascii="Calibri" w:hAnsi="Calibri" w:cs="Calibri"/>
          <w:color w:val="000000"/>
          <w:lang w:val="en-US"/>
        </w:rPr>
        <w:t>, 2020), this study explores the effectiveness of the ECB’s UMP measures by studying sovereign bond yields to determine whether these measures are contributing towards financial separation or integration of the union.</w:t>
      </w:r>
    </w:p>
    <w:p w14:paraId="0E70EA77" w14:textId="54831A66"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This study addresses the </w:t>
      </w:r>
      <w:r w:rsidRPr="00B35B07">
        <w:rPr>
          <w:rFonts w:ascii="Calibri" w:hAnsi="Calibri" w:cs="Calibri"/>
          <w:lang w:val="en-US"/>
        </w:rPr>
        <w:t xml:space="preserve">potential </w:t>
      </w:r>
      <w:r w:rsidRPr="00B35B07">
        <w:rPr>
          <w:rFonts w:ascii="Calibri" w:hAnsi="Calibri" w:cs="Calibri"/>
          <w:color w:val="000000"/>
          <w:lang w:val="en-US"/>
        </w:rPr>
        <w:t xml:space="preserve">heterogeneity of the transmission towards financial markets in three ways: a panel regression of the EMU, country specific differences between EU member states, and a panel regression containing the core countries and the periphery </w:t>
      </w:r>
      <w:r w:rsidRPr="00B35B07">
        <w:rPr>
          <w:rFonts w:ascii="Calibri" w:hAnsi="Calibri" w:cs="Calibri"/>
          <w:lang w:val="en-US"/>
        </w:rPr>
        <w:t>countries.</w:t>
      </w:r>
      <w:r w:rsidR="00EC4F86">
        <w:rPr>
          <w:rFonts w:ascii="Calibri" w:hAnsi="Calibri" w:cs="Calibri"/>
          <w:lang w:val="en-US"/>
        </w:rPr>
        <w:t xml:space="preserve"> </w:t>
      </w:r>
      <w:r w:rsidRPr="00B35B07">
        <w:rPr>
          <w:rFonts w:ascii="Calibri" w:hAnsi="Calibri" w:cs="Calibri"/>
          <w:lang w:val="en-US"/>
        </w:rPr>
        <w:t xml:space="preserve">Additionally, we carry out a comprehensive analysis of the impact of the European Union's unconventional monetary policies </w:t>
      </w:r>
      <w:r w:rsidRPr="00B35B07">
        <w:rPr>
          <w:rFonts w:ascii="Calibri" w:hAnsi="Calibri" w:cs="Calibri"/>
          <w:color w:val="000000"/>
          <w:lang w:val="en-US"/>
        </w:rPr>
        <w:t xml:space="preserve">on financial </w:t>
      </w:r>
      <w:r w:rsidRPr="00B35B07">
        <w:rPr>
          <w:rFonts w:ascii="Calibri" w:hAnsi="Calibri" w:cs="Calibri"/>
          <w:lang w:val="en-US"/>
        </w:rPr>
        <w:t xml:space="preserve">markets during the </w:t>
      </w:r>
      <w:r w:rsidR="004C51EF">
        <w:rPr>
          <w:rFonts w:ascii="Calibri" w:hAnsi="Calibri" w:cs="Calibri"/>
          <w:lang w:val="en-US"/>
        </w:rPr>
        <w:t>COVID-19</w:t>
      </w:r>
      <w:r w:rsidRPr="00B35B07">
        <w:rPr>
          <w:rFonts w:ascii="Calibri" w:hAnsi="Calibri" w:cs="Calibri"/>
          <w:lang w:val="en-US"/>
        </w:rPr>
        <w:t xml:space="preserve"> pandemic. By examining the heterogeneity of the transmission of UMP press conferences and statements by the </w:t>
      </w:r>
      <w:r w:rsidR="004C51EF">
        <w:rPr>
          <w:rFonts w:ascii="Calibri" w:hAnsi="Calibri" w:cs="Calibri"/>
          <w:lang w:val="en-US"/>
        </w:rPr>
        <w:t>ECB</w:t>
      </w:r>
      <w:r w:rsidRPr="00B35B07">
        <w:rPr>
          <w:rFonts w:ascii="Calibri" w:hAnsi="Calibri" w:cs="Calibri"/>
          <w:lang w:val="en-US"/>
        </w:rPr>
        <w:t xml:space="preserve"> to financial markets, we enhance the prevailing scholarly understanding of the ECB’s communication of UMP during this </w:t>
      </w:r>
      <w:r w:rsidRPr="00B35B07">
        <w:rPr>
          <w:rFonts w:ascii="Calibri" w:hAnsi="Calibri" w:cs="Calibri"/>
          <w:color w:val="000000"/>
          <w:lang w:val="en-US"/>
        </w:rPr>
        <w:t>period.</w:t>
      </w:r>
    </w:p>
    <w:p w14:paraId="1CDF9905" w14:textId="6A38C42B"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Recent evidence, studying specific measures of the ECB, suggests UMP has a strong stimulating effect on member state’s economies, because the measures reduce government bond yields (Gagnon et al., 201</w:t>
      </w:r>
      <w:r w:rsidR="00A96C0D">
        <w:rPr>
          <w:rFonts w:ascii="Calibri" w:hAnsi="Calibri" w:cs="Calibri"/>
          <w:color w:val="000000"/>
          <w:lang w:val="en-US"/>
        </w:rPr>
        <w:t>8</w:t>
      </w:r>
      <w:r w:rsidRPr="00B35B07">
        <w:rPr>
          <w:rFonts w:ascii="Calibri" w:hAnsi="Calibri" w:cs="Calibri"/>
          <w:color w:val="000000"/>
          <w:lang w:val="en-US"/>
        </w:rPr>
        <w:t xml:space="preserve">; Krishnamurthy and </w:t>
      </w:r>
      <w:proofErr w:type="spellStart"/>
      <w:r w:rsidRPr="00B35B07">
        <w:rPr>
          <w:rFonts w:ascii="Calibri" w:hAnsi="Calibri" w:cs="Calibri"/>
          <w:color w:val="000000"/>
          <w:lang w:val="en-US"/>
        </w:rPr>
        <w:t>Vissing</w:t>
      </w:r>
      <w:proofErr w:type="spellEnd"/>
      <w:r w:rsidRPr="00B35B07">
        <w:rPr>
          <w:rFonts w:ascii="Calibri" w:hAnsi="Calibri" w:cs="Calibri"/>
          <w:color w:val="000000"/>
          <w:lang w:val="en-US"/>
        </w:rPr>
        <w:t>-Jorgensen, 2011). Despite this research, there are differences in reactions between countries’ economies resulting in a divergence between member states in EU (</w:t>
      </w:r>
      <w:proofErr w:type="spellStart"/>
      <w:r w:rsidRPr="00B35B07">
        <w:rPr>
          <w:rFonts w:ascii="Calibri" w:hAnsi="Calibri" w:cs="Calibri"/>
          <w:color w:val="000000"/>
          <w:lang w:val="en-US"/>
        </w:rPr>
        <w:t>Urbschat</w:t>
      </w:r>
      <w:proofErr w:type="spellEnd"/>
      <w:r w:rsidRPr="00B35B07">
        <w:rPr>
          <w:rFonts w:ascii="Calibri" w:hAnsi="Calibri" w:cs="Calibri"/>
          <w:color w:val="000000"/>
          <w:lang w:val="en-US"/>
        </w:rPr>
        <w:t xml:space="preserve"> and </w:t>
      </w:r>
      <w:proofErr w:type="spellStart"/>
      <w:r w:rsidRPr="00B35B07">
        <w:rPr>
          <w:rFonts w:ascii="Calibri" w:hAnsi="Calibri" w:cs="Calibri"/>
          <w:color w:val="000000"/>
          <w:lang w:val="en-US"/>
        </w:rPr>
        <w:t>Watzka</w:t>
      </w:r>
      <w:proofErr w:type="spellEnd"/>
      <w:r w:rsidRPr="00B35B07">
        <w:rPr>
          <w:rFonts w:ascii="Calibri" w:hAnsi="Calibri" w:cs="Calibri"/>
          <w:color w:val="000000"/>
          <w:lang w:val="en-US"/>
        </w:rPr>
        <w:t>, 2020). To show the transmission towards a member state’s financial markets, several studies tried to study the effectiveness of UMP measures of the ECB or other central banks (</w:t>
      </w:r>
      <w:proofErr w:type="spellStart"/>
      <w:r w:rsidRPr="00B35B07">
        <w:rPr>
          <w:rFonts w:ascii="Calibri" w:hAnsi="Calibri" w:cs="Calibri"/>
          <w:color w:val="000000"/>
          <w:lang w:val="en-US"/>
        </w:rPr>
        <w:t>Fendel</w:t>
      </w:r>
      <w:proofErr w:type="spellEnd"/>
      <w:r w:rsidRPr="00B35B07">
        <w:rPr>
          <w:rFonts w:ascii="Calibri" w:hAnsi="Calibri" w:cs="Calibri"/>
          <w:color w:val="000000"/>
          <w:lang w:val="en-US"/>
        </w:rPr>
        <w:t xml:space="preserve"> and Neugebauer, 202</w:t>
      </w:r>
      <w:r w:rsidR="00292614">
        <w:rPr>
          <w:rFonts w:ascii="Calibri" w:hAnsi="Calibri" w:cs="Calibri"/>
          <w:color w:val="000000"/>
          <w:lang w:val="en-US"/>
        </w:rPr>
        <w:t>1</w:t>
      </w:r>
      <w:r w:rsidRPr="00B35B07">
        <w:rPr>
          <w:rFonts w:ascii="Calibri" w:hAnsi="Calibri" w:cs="Calibri"/>
          <w:color w:val="000000"/>
          <w:lang w:val="en-US"/>
        </w:rPr>
        <w:t xml:space="preserve">; Afonso et al., 2020; </w:t>
      </w:r>
      <w:proofErr w:type="spellStart"/>
      <w:r w:rsidRPr="00B35B07">
        <w:rPr>
          <w:rFonts w:ascii="Calibri" w:hAnsi="Calibri" w:cs="Calibri"/>
          <w:color w:val="000000"/>
          <w:lang w:val="en-US"/>
        </w:rPr>
        <w:t>Burriel</w:t>
      </w:r>
      <w:proofErr w:type="spellEnd"/>
      <w:r w:rsidRPr="00B35B07">
        <w:rPr>
          <w:rFonts w:ascii="Calibri" w:hAnsi="Calibri" w:cs="Calibri"/>
          <w:color w:val="000000"/>
          <w:lang w:val="en-US"/>
        </w:rPr>
        <w:t xml:space="preserve"> and </w:t>
      </w:r>
      <w:proofErr w:type="spellStart"/>
      <w:r w:rsidRPr="00B35B07">
        <w:rPr>
          <w:rFonts w:ascii="Calibri" w:hAnsi="Calibri" w:cs="Calibri"/>
          <w:color w:val="000000"/>
          <w:lang w:val="en-US"/>
        </w:rPr>
        <w:t>Galesi</w:t>
      </w:r>
      <w:proofErr w:type="spellEnd"/>
      <w:r w:rsidRPr="00B35B07">
        <w:rPr>
          <w:rFonts w:ascii="Calibri" w:hAnsi="Calibri" w:cs="Calibri"/>
          <w:color w:val="000000"/>
          <w:lang w:val="en-US"/>
        </w:rPr>
        <w:t xml:space="preserve">, 2018). The results of these studies highlight that UMP helps countries recover faster, however with </w:t>
      </w:r>
      <w:r w:rsidRPr="00B35B07">
        <w:rPr>
          <w:rFonts w:ascii="Calibri" w:hAnsi="Calibri" w:cs="Calibri"/>
          <w:lang w:val="en-US"/>
        </w:rPr>
        <w:t xml:space="preserve">diverse </w:t>
      </w:r>
      <w:r w:rsidRPr="00B35B07">
        <w:rPr>
          <w:rFonts w:ascii="Calibri" w:hAnsi="Calibri" w:cs="Calibri"/>
          <w:color w:val="000000"/>
          <w:lang w:val="en-US"/>
        </w:rPr>
        <w:t xml:space="preserve">results per country or country grouping. </w:t>
      </w:r>
    </w:p>
    <w:p w14:paraId="48FE1AB9" w14:textId="1E67C55C" w:rsidR="00B35B07" w:rsidRPr="00B35B07" w:rsidRDefault="00B35B07" w:rsidP="00B35B07">
      <w:pPr>
        <w:spacing w:after="240"/>
        <w:ind w:firstLine="720"/>
        <w:rPr>
          <w:rFonts w:ascii="Calibri" w:hAnsi="Calibri" w:cs="Calibri"/>
          <w:lang w:val="en-US"/>
        </w:rPr>
      </w:pPr>
      <w:r w:rsidRPr="00B35B07">
        <w:rPr>
          <w:rFonts w:ascii="Calibri" w:hAnsi="Calibri" w:cs="Calibri"/>
          <w:color w:val="000000"/>
          <w:lang w:val="en-US"/>
        </w:rPr>
        <w:t xml:space="preserve">These individual differences in reactions towards </w:t>
      </w:r>
      <w:r w:rsidRPr="00B35B07">
        <w:rPr>
          <w:rFonts w:ascii="Calibri" w:hAnsi="Calibri" w:cs="Calibri"/>
          <w:lang w:val="en-US"/>
        </w:rPr>
        <w:t xml:space="preserve">UMP merit exploration by studying the most influential UMP of the ECB: the Asset Purchase Programs (APP) initiated in the </w:t>
      </w:r>
      <w:r w:rsidR="004C51EF">
        <w:rPr>
          <w:rFonts w:ascii="Calibri" w:hAnsi="Calibri" w:cs="Calibri"/>
          <w:lang w:val="en-US"/>
        </w:rPr>
        <w:t>COVID-19</w:t>
      </w:r>
      <w:r w:rsidRPr="00B35B07">
        <w:rPr>
          <w:rFonts w:ascii="Calibri" w:hAnsi="Calibri" w:cs="Calibri"/>
          <w:lang w:val="en-US"/>
        </w:rPr>
        <w:t xml:space="preserve"> crisis, Pandemic Emergency Purchase Program (PEPP). We analyze the UMP measures by differentiating between all EU Member states and testing if divergence takes place due to this unconventional measure.</w:t>
      </w:r>
    </w:p>
    <w:p w14:paraId="5754171A" w14:textId="109C4AFA" w:rsidR="00B35B07" w:rsidRPr="00B35B07" w:rsidRDefault="00B35B07" w:rsidP="00B35B07">
      <w:pPr>
        <w:spacing w:after="240"/>
        <w:ind w:firstLine="720"/>
        <w:rPr>
          <w:rFonts w:ascii="Calibri" w:hAnsi="Calibri" w:cs="Calibri"/>
          <w:lang w:val="en-US"/>
        </w:rPr>
      </w:pPr>
      <w:r w:rsidRPr="00B35B07">
        <w:rPr>
          <w:rFonts w:ascii="Calibri" w:hAnsi="Calibri" w:cs="Calibri"/>
          <w:color w:val="000000"/>
          <w:lang w:val="en-US"/>
        </w:rPr>
        <w:t xml:space="preserve">This study </w:t>
      </w:r>
      <w:r w:rsidRPr="00B35B07">
        <w:rPr>
          <w:rFonts w:ascii="Calibri" w:hAnsi="Calibri" w:cs="Calibri"/>
          <w:lang w:val="en-US"/>
        </w:rPr>
        <w:t xml:space="preserve">is timely and relevant because </w:t>
      </w:r>
      <w:r w:rsidRPr="00B35B07">
        <w:rPr>
          <w:rFonts w:ascii="Calibri" w:hAnsi="Calibri" w:cs="Calibri"/>
          <w:color w:val="000000"/>
          <w:lang w:val="en-US"/>
        </w:rPr>
        <w:t xml:space="preserve">the ECB aims to anticipate and assess the potential consequences and individual effects of its announcements on member states' financial </w:t>
      </w:r>
      <w:r w:rsidRPr="00B35B07">
        <w:rPr>
          <w:rFonts w:ascii="Calibri" w:hAnsi="Calibri" w:cs="Calibri"/>
          <w:color w:val="000000"/>
          <w:lang w:val="en-US"/>
        </w:rPr>
        <w:lastRenderedPageBreak/>
        <w:t>markets before making them public. As the ECB wants to avoid fragmentation through effective monetary policy, it is important to understand whether announcements are perceived differently within the euro area, as this can lead to further fragmentation within the European Monetary Union</w:t>
      </w:r>
      <w:r w:rsidR="004C51EF">
        <w:rPr>
          <w:rFonts w:ascii="Calibri" w:hAnsi="Calibri" w:cs="Calibri"/>
          <w:color w:val="000000"/>
          <w:lang w:val="en-US"/>
        </w:rPr>
        <w:t xml:space="preserve">. </w:t>
      </w:r>
      <w:proofErr w:type="gramStart"/>
      <w:r w:rsidRPr="00B35B07">
        <w:rPr>
          <w:rFonts w:ascii="Calibri" w:hAnsi="Calibri" w:cs="Calibri"/>
          <w:color w:val="000000"/>
          <w:lang w:val="en-US"/>
        </w:rPr>
        <w:t>In order to</w:t>
      </w:r>
      <w:proofErr w:type="gramEnd"/>
      <w:r w:rsidRPr="00B35B07">
        <w:rPr>
          <w:rFonts w:ascii="Calibri" w:hAnsi="Calibri" w:cs="Calibri"/>
          <w:color w:val="000000"/>
          <w:lang w:val="en-US"/>
        </w:rPr>
        <w:t xml:space="preserve"> provide information and confidence to investors, and ensure financial market stability, the ECB publicly communicates its future monetary interventions through announcements that promise the use of unconventional monetary policies. For this reason, present studies almost exclusively focus on the announcements of UMP programs since the actual amount of asset purchases has become irrelevant due to the efficient incorporation of the information by the financial markets (</w:t>
      </w:r>
      <w:proofErr w:type="spellStart"/>
      <w:r w:rsidRPr="00B35B07">
        <w:rPr>
          <w:rFonts w:ascii="Calibri" w:hAnsi="Calibri" w:cs="Calibri"/>
          <w:color w:val="000000"/>
          <w:lang w:val="en-US"/>
        </w:rPr>
        <w:t>Falagiarda</w:t>
      </w:r>
      <w:proofErr w:type="spellEnd"/>
      <w:r w:rsidRPr="00B35B07">
        <w:rPr>
          <w:rFonts w:ascii="Calibri" w:hAnsi="Calibri" w:cs="Calibri"/>
          <w:color w:val="000000"/>
          <w:lang w:val="en-US"/>
        </w:rPr>
        <w:t xml:space="preserve"> et al., 2015). Furthermore, an asset purchase announcement directly affects investors’ expectations and in turn influences the future attractiveness of </w:t>
      </w:r>
      <w:proofErr w:type="gramStart"/>
      <w:r w:rsidRPr="00B35B07">
        <w:rPr>
          <w:rFonts w:ascii="Calibri" w:hAnsi="Calibri" w:cs="Calibri"/>
          <w:color w:val="000000"/>
          <w:lang w:val="en-US"/>
        </w:rPr>
        <w:t>particular assets</w:t>
      </w:r>
      <w:proofErr w:type="gramEnd"/>
      <w:r w:rsidRPr="00B35B07">
        <w:rPr>
          <w:rFonts w:ascii="Calibri" w:hAnsi="Calibri" w:cs="Calibri"/>
          <w:color w:val="000000"/>
          <w:lang w:val="en-US"/>
        </w:rPr>
        <w:t xml:space="preserve">. According to literature (Joyce </w:t>
      </w:r>
      <w:r w:rsidR="00673A7C">
        <w:rPr>
          <w:rFonts w:ascii="Calibri" w:hAnsi="Calibri" w:cs="Calibri"/>
          <w:color w:val="000000"/>
          <w:lang w:val="en-US"/>
        </w:rPr>
        <w:t xml:space="preserve">et al., </w:t>
      </w:r>
      <w:r w:rsidRPr="00B35B07">
        <w:rPr>
          <w:rFonts w:ascii="Calibri" w:hAnsi="Calibri" w:cs="Calibri"/>
          <w:color w:val="000000"/>
          <w:lang w:val="en-US"/>
        </w:rPr>
        <w:t>201</w:t>
      </w:r>
      <w:r w:rsidR="00FF33F8">
        <w:rPr>
          <w:rFonts w:ascii="Calibri" w:hAnsi="Calibri" w:cs="Calibri"/>
          <w:color w:val="000000"/>
          <w:lang w:val="en-US"/>
        </w:rPr>
        <w:t>1</w:t>
      </w:r>
      <w:r w:rsidRPr="00B35B07">
        <w:rPr>
          <w:rFonts w:ascii="Calibri" w:hAnsi="Calibri" w:cs="Calibri"/>
          <w:color w:val="000000"/>
          <w:lang w:val="en-US"/>
        </w:rPr>
        <w:t xml:space="preserve">), this has a direct effect on investors' expectations, and leads to a decrease in government bond yields as investors' expectations are </w:t>
      </w:r>
      <w:r w:rsidRPr="00B35B07">
        <w:rPr>
          <w:rFonts w:ascii="Calibri" w:hAnsi="Calibri" w:cs="Calibri"/>
          <w:lang w:val="en-US"/>
        </w:rPr>
        <w:t>transmitted to the financial markets.</w:t>
      </w:r>
    </w:p>
    <w:p w14:paraId="50072FDD" w14:textId="436A1EA8" w:rsidR="00B35B07" w:rsidRPr="00B35B07" w:rsidRDefault="00B35B07" w:rsidP="00CF48D9">
      <w:pPr>
        <w:spacing w:after="240"/>
        <w:ind w:firstLine="720"/>
        <w:rPr>
          <w:rFonts w:ascii="Calibri" w:hAnsi="Calibri" w:cs="Calibri"/>
          <w:color w:val="000000"/>
          <w:lang w:val="en-US"/>
        </w:rPr>
      </w:pPr>
      <w:r w:rsidRPr="00B35B07">
        <w:rPr>
          <w:rFonts w:ascii="Calibri" w:hAnsi="Calibri" w:cs="Calibri"/>
          <w:lang w:val="en-US"/>
        </w:rPr>
        <w:t>This study’s approach diverges and constitutes incremental improvement upon prior works which focused mainly on two directions, announcement effects of UMP on short-term, and/or effectiven</w:t>
      </w:r>
      <w:r w:rsidRPr="00B35B07">
        <w:rPr>
          <w:rFonts w:ascii="Calibri" w:hAnsi="Calibri" w:cs="Calibri"/>
          <w:color w:val="000000"/>
          <w:lang w:val="en-US"/>
        </w:rPr>
        <w:t>ess of UMP studied on the long-term. European members’ government bond yields include a part that compensates for the risk of a bond, also known as the specific risk premium of a country. Due to this risk premium inclusion in the yields, the</w:t>
      </w:r>
      <w:r w:rsidR="00A45312">
        <w:rPr>
          <w:rFonts w:ascii="Calibri" w:hAnsi="Calibri" w:cs="Calibri"/>
          <w:color w:val="000000"/>
          <w:lang w:val="en-US"/>
        </w:rPr>
        <w:t xml:space="preserve"> sovereign bond</w:t>
      </w:r>
      <w:r w:rsidRPr="00B35B07">
        <w:rPr>
          <w:rFonts w:ascii="Calibri" w:hAnsi="Calibri" w:cs="Calibri"/>
          <w:color w:val="000000"/>
          <w:lang w:val="en-US"/>
        </w:rPr>
        <w:t xml:space="preserve"> yields</w:t>
      </w:r>
      <w:r w:rsidR="00894CCA">
        <w:rPr>
          <w:rFonts w:ascii="Calibri" w:hAnsi="Calibri" w:cs="Calibri"/>
          <w:color w:val="000000"/>
          <w:lang w:val="en-US"/>
        </w:rPr>
        <w:t xml:space="preserve"> can be reduced</w:t>
      </w:r>
      <w:r w:rsidR="00AE06D6">
        <w:rPr>
          <w:rFonts w:ascii="Calibri" w:hAnsi="Calibri" w:cs="Calibri"/>
          <w:color w:val="000000"/>
          <w:lang w:val="en-US"/>
        </w:rPr>
        <w:t xml:space="preserve"> by the ECB announcing the UMP</w:t>
      </w:r>
      <w:r w:rsidRPr="00B35B07">
        <w:rPr>
          <w:rFonts w:ascii="Calibri" w:hAnsi="Calibri" w:cs="Calibri"/>
          <w:color w:val="000000"/>
          <w:lang w:val="en-US"/>
        </w:rPr>
        <w:t>. This works through the reaction in expectation differences of investors that transmission to the market. However, far too little attention has been paid to the heterogeneity of effectiveness of UMP between individual members states of the EU (</w:t>
      </w:r>
      <w:proofErr w:type="spellStart"/>
      <w:r w:rsidRPr="00B35B07">
        <w:rPr>
          <w:rFonts w:ascii="Calibri" w:hAnsi="Calibri" w:cs="Calibri"/>
          <w:color w:val="000000"/>
          <w:lang w:val="en-US"/>
        </w:rPr>
        <w:t>Fendel</w:t>
      </w:r>
      <w:proofErr w:type="spellEnd"/>
      <w:r w:rsidRPr="00B35B07">
        <w:rPr>
          <w:rFonts w:ascii="Calibri" w:hAnsi="Calibri" w:cs="Calibri"/>
          <w:color w:val="000000"/>
          <w:lang w:val="en-US"/>
        </w:rPr>
        <w:t xml:space="preserve"> et al.</w:t>
      </w:r>
      <w:r w:rsidR="00FF33F8">
        <w:rPr>
          <w:rFonts w:ascii="Calibri" w:hAnsi="Calibri" w:cs="Calibri"/>
          <w:color w:val="000000"/>
          <w:lang w:val="en-US"/>
        </w:rPr>
        <w:t>,</w:t>
      </w:r>
      <w:r w:rsidRPr="00B35B07">
        <w:rPr>
          <w:rFonts w:ascii="Calibri" w:hAnsi="Calibri" w:cs="Calibri"/>
          <w:color w:val="000000"/>
          <w:lang w:val="en-US"/>
        </w:rPr>
        <w:t xml:space="preserve"> 20</w:t>
      </w:r>
      <w:r w:rsidR="00657393">
        <w:rPr>
          <w:rFonts w:ascii="Calibri" w:hAnsi="Calibri" w:cs="Calibri"/>
          <w:color w:val="000000"/>
          <w:lang w:val="en-US"/>
        </w:rPr>
        <w:t>21</w:t>
      </w:r>
      <w:r w:rsidRPr="00B35B07">
        <w:rPr>
          <w:rFonts w:ascii="Calibri" w:hAnsi="Calibri" w:cs="Calibri"/>
          <w:color w:val="000000"/>
          <w:lang w:val="en-US"/>
        </w:rPr>
        <w:t xml:space="preserve">). Furthermore, this study provides one of the first views on analyzing and exploring the impact of APP (PEPP) in times of severe crisis. </w:t>
      </w:r>
    </w:p>
    <w:p w14:paraId="3EC40EF2" w14:textId="4B436AE0"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Following a critical appraisal of existing literature, transmission of monetary policies into the financial markets is examined via the sovereign yield level and sovereign yield spreads between countries. An appropriate estimation technique to measure this effect is event study, building on </w:t>
      </w:r>
      <w:proofErr w:type="spellStart"/>
      <w:r w:rsidRPr="00B35B07">
        <w:rPr>
          <w:rFonts w:ascii="Calibri" w:hAnsi="Calibri" w:cs="Calibri"/>
          <w:color w:val="000000"/>
          <w:lang w:val="en-US"/>
        </w:rPr>
        <w:t>Altavilla’s</w:t>
      </w:r>
      <w:proofErr w:type="spellEnd"/>
      <w:r w:rsidRPr="00B35B07">
        <w:rPr>
          <w:rFonts w:ascii="Calibri" w:hAnsi="Calibri" w:cs="Calibri"/>
          <w:color w:val="000000"/>
          <w:lang w:val="en-US"/>
        </w:rPr>
        <w:t xml:space="preserve"> (20</w:t>
      </w:r>
      <w:r w:rsidR="00A555E3">
        <w:rPr>
          <w:rFonts w:ascii="Calibri" w:hAnsi="Calibri" w:cs="Calibri"/>
          <w:color w:val="000000"/>
          <w:lang w:val="en-US"/>
        </w:rPr>
        <w:t>1</w:t>
      </w:r>
      <w:r w:rsidRPr="00B35B07">
        <w:rPr>
          <w:rFonts w:ascii="Calibri" w:hAnsi="Calibri" w:cs="Calibri"/>
          <w:color w:val="000000"/>
          <w:lang w:val="en-US"/>
        </w:rPr>
        <w:t xml:space="preserve">5) approach. This study also controls for a delayed effect of UMP that </w:t>
      </w:r>
      <w:proofErr w:type="spellStart"/>
      <w:r w:rsidRPr="00B35B07">
        <w:rPr>
          <w:rFonts w:ascii="Calibri" w:hAnsi="Calibri" w:cs="Calibri"/>
          <w:color w:val="000000"/>
          <w:lang w:val="en-US"/>
        </w:rPr>
        <w:lastRenderedPageBreak/>
        <w:t>Fendel</w:t>
      </w:r>
      <w:proofErr w:type="spellEnd"/>
      <w:r w:rsidRPr="00B35B07">
        <w:rPr>
          <w:rFonts w:ascii="Calibri" w:hAnsi="Calibri" w:cs="Calibri"/>
          <w:color w:val="000000"/>
          <w:lang w:val="en-US"/>
        </w:rPr>
        <w:t xml:space="preserve"> and Neugebauer (2021) found to be significant in the policy transmission to financial markets.</w:t>
      </w:r>
    </w:p>
    <w:p w14:paraId="027E35B5" w14:textId="77777777"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This paper is divided into six parts. In the first section the current literature concerning APP is summarized. Followed by the main transmission channels of UMP towards financial markets in section two, building towards the three hypotheses in Section three. Section four discusses the event study methodology and section five and six will deal with the results and discussion, respectively. Furthermore, this study provides suggestions and recommendations to improve the ECB’s UMP based on the results of the effectiveness between member states. </w:t>
      </w:r>
    </w:p>
    <w:p w14:paraId="3EDF016C" w14:textId="77777777" w:rsidR="00B35B07" w:rsidRPr="00B35B07" w:rsidRDefault="00B35B07" w:rsidP="00B35B07">
      <w:pPr>
        <w:rPr>
          <w:rFonts w:ascii="Calibri" w:hAnsi="Calibri"/>
        </w:rPr>
      </w:pPr>
    </w:p>
    <w:p w14:paraId="0C466D92" w14:textId="77777777" w:rsidR="00B35B07" w:rsidRPr="00B35B07" w:rsidRDefault="00B35B07" w:rsidP="00B35B07">
      <w:pPr>
        <w:spacing w:line="240" w:lineRule="auto"/>
        <w:ind w:firstLine="0"/>
        <w:jc w:val="left"/>
        <w:rPr>
          <w:rFonts w:ascii="Calibri" w:hAnsi="Calibri" w:cs="Calibri"/>
          <w:color w:val="000000"/>
          <w:lang w:val="en-US"/>
        </w:rPr>
      </w:pPr>
      <w:r w:rsidRPr="00B35B07">
        <w:rPr>
          <w:rFonts w:ascii="Calibri" w:hAnsi="Calibri" w:cs="Calibri"/>
          <w:color w:val="000000"/>
          <w:lang w:val="en-US"/>
        </w:rPr>
        <w:br w:type="page"/>
      </w:r>
    </w:p>
    <w:p w14:paraId="04E642A6" w14:textId="77777777" w:rsidR="00B35B07" w:rsidRPr="00B35B07" w:rsidRDefault="00B35B07" w:rsidP="00B35B07">
      <w:pPr>
        <w:keepNext/>
        <w:keepLines/>
        <w:numPr>
          <w:ilvl w:val="0"/>
          <w:numId w:val="4"/>
        </w:numPr>
        <w:spacing w:before="260" w:after="260"/>
        <w:contextualSpacing/>
        <w:outlineLvl w:val="0"/>
        <w:rPr>
          <w:rFonts w:ascii="Calibri" w:eastAsia="Times New Roman" w:hAnsi="Calibri"/>
          <w:b/>
          <w:bCs/>
          <w:color w:val="000000"/>
          <w:sz w:val="28"/>
          <w:szCs w:val="32"/>
        </w:rPr>
      </w:pPr>
      <w:bookmarkStart w:id="3" w:name="_Toc121316967"/>
      <w:bookmarkStart w:id="4" w:name="_Toc122697328"/>
      <w:r w:rsidRPr="00B35B07">
        <w:rPr>
          <w:rFonts w:ascii="Calibri" w:eastAsia="Times New Roman" w:hAnsi="Calibri"/>
          <w:b/>
          <w:bCs/>
          <w:color w:val="000000"/>
          <w:sz w:val="28"/>
          <w:szCs w:val="32"/>
        </w:rPr>
        <w:lastRenderedPageBreak/>
        <w:t>Literature review</w:t>
      </w:r>
      <w:bookmarkEnd w:id="3"/>
      <w:bookmarkEnd w:id="4"/>
    </w:p>
    <w:p w14:paraId="10978E29" w14:textId="3AFAFB30" w:rsidR="00B35B07" w:rsidRPr="00B35B07" w:rsidRDefault="00B35B07" w:rsidP="00B35B07">
      <w:pPr>
        <w:ind w:firstLine="720"/>
        <w:rPr>
          <w:rFonts w:ascii="Calibri" w:hAnsi="Calibri" w:cs="Calibri"/>
          <w:color w:val="000000"/>
          <w:lang w:val="en-US"/>
        </w:rPr>
      </w:pPr>
      <w:r w:rsidRPr="00B35B07">
        <w:rPr>
          <w:rFonts w:ascii="Calibri" w:hAnsi="Calibri" w:cs="Calibri"/>
          <w:color w:val="000000"/>
          <w:lang w:val="en-US"/>
        </w:rPr>
        <w:t xml:space="preserve">The </w:t>
      </w:r>
      <w:r w:rsidR="004C51EF">
        <w:rPr>
          <w:rFonts w:ascii="Calibri" w:hAnsi="Calibri" w:cs="Calibri"/>
          <w:color w:val="000000"/>
          <w:lang w:val="en-US"/>
        </w:rPr>
        <w:t>COVID-19</w:t>
      </w:r>
      <w:r w:rsidRPr="00B35B07">
        <w:rPr>
          <w:rFonts w:ascii="Calibri" w:hAnsi="Calibri" w:cs="Calibri"/>
          <w:color w:val="000000"/>
          <w:lang w:val="en-US"/>
        </w:rPr>
        <w:t xml:space="preserve"> monetary measures from the ECB focus mainly on the purchase of new assets (or: QE), in the form of the Pandemic Emergency Asset Purchase Program. This literature review begins by providing a historical overview of the concept of quantitative easing. Then, it identifies and discusses the primary channels through which monetary policy is transmitted to the economy. Next, the rationale for using sovereign bond yields as a measure of the effectiveness of QE is explained. Finally, the current state of research on the relationship between QE and sovereign bond yields is summarized.</w:t>
      </w:r>
    </w:p>
    <w:p w14:paraId="213562AF" w14:textId="77777777" w:rsidR="00B35B07" w:rsidRPr="00B35B07" w:rsidRDefault="00B35B07" w:rsidP="00B35B07">
      <w:pPr>
        <w:ind w:firstLine="720"/>
        <w:rPr>
          <w:rFonts w:ascii="Calibri" w:hAnsi="Calibri" w:cs="Calibri"/>
          <w:color w:val="000000"/>
          <w:lang w:val="en-US"/>
        </w:rPr>
      </w:pPr>
    </w:p>
    <w:p w14:paraId="7995E0BC" w14:textId="7B00382C" w:rsidR="00E304EC" w:rsidRDefault="00B35B07" w:rsidP="00E304EC">
      <w:pPr>
        <w:numPr>
          <w:ilvl w:val="1"/>
          <w:numId w:val="6"/>
        </w:numPr>
        <w:spacing w:line="240" w:lineRule="auto"/>
        <w:jc w:val="left"/>
        <w:outlineLvl w:val="1"/>
        <w:rPr>
          <w:rFonts w:ascii="Calibri" w:eastAsia="Times New Roman" w:hAnsi="Calibri"/>
          <w:b/>
          <w:bCs/>
          <w:color w:val="000000"/>
          <w:szCs w:val="32"/>
          <w:lang w:val="en-US"/>
        </w:rPr>
      </w:pPr>
      <w:bookmarkStart w:id="5" w:name="_Toc122697329"/>
      <w:r w:rsidRPr="00B35B07">
        <w:rPr>
          <w:rFonts w:ascii="Calibri" w:eastAsia="Times New Roman" w:hAnsi="Calibri"/>
          <w:b/>
          <w:bCs/>
          <w:color w:val="000000"/>
          <w:lang w:val="en-US"/>
        </w:rPr>
        <w:t>Background</w:t>
      </w:r>
      <w:r w:rsidRPr="00B35B07">
        <w:rPr>
          <w:rFonts w:ascii="Calibri" w:eastAsia="Times New Roman" w:hAnsi="Calibri"/>
          <w:b/>
          <w:bCs/>
          <w:color w:val="000000"/>
          <w:szCs w:val="32"/>
          <w:lang w:val="en-US"/>
        </w:rPr>
        <w:t xml:space="preserve"> on ECB’ introduction of the PEPP program</w:t>
      </w:r>
      <w:bookmarkEnd w:id="5"/>
    </w:p>
    <w:p w14:paraId="498A94B2" w14:textId="77777777" w:rsidR="00E304EC" w:rsidRDefault="00E304EC" w:rsidP="00E304EC">
      <w:pPr>
        <w:spacing w:after="240"/>
        <w:ind w:firstLine="720"/>
        <w:rPr>
          <w:rFonts w:ascii="Calibri" w:hAnsi="Calibri" w:cs="Calibri"/>
          <w:color w:val="000000"/>
          <w:lang w:val="en-US"/>
        </w:rPr>
      </w:pPr>
    </w:p>
    <w:p w14:paraId="243EBBD3" w14:textId="5648FFCF" w:rsidR="00B35B07" w:rsidRPr="00B35B07" w:rsidRDefault="00B35B07" w:rsidP="00E304EC">
      <w:pPr>
        <w:spacing w:after="240"/>
        <w:ind w:firstLine="720"/>
        <w:rPr>
          <w:rFonts w:ascii="Calibri" w:hAnsi="Calibri" w:cs="Calibri"/>
          <w:color w:val="000000"/>
          <w:lang w:val="en-US"/>
        </w:rPr>
      </w:pPr>
      <w:r w:rsidRPr="00B35B07">
        <w:rPr>
          <w:rFonts w:ascii="Calibri" w:hAnsi="Calibri" w:cs="Calibri"/>
          <w:color w:val="000000"/>
          <w:lang w:val="en-US"/>
        </w:rPr>
        <w:t>Since the establishment of the EMU, the ECB achieved a stable inflation of around 2% by determining and lowering the short-term interest rate (or: policy rate). As Joyce et al. (201</w:t>
      </w:r>
      <w:r w:rsidR="00FF33F8" w:rsidRPr="00E304EC">
        <w:rPr>
          <w:rFonts w:ascii="Calibri" w:hAnsi="Calibri" w:cs="Calibri"/>
          <w:color w:val="000000"/>
          <w:lang w:val="en-US"/>
        </w:rPr>
        <w:t>1</w:t>
      </w:r>
      <w:r w:rsidRPr="00B35B07">
        <w:rPr>
          <w:rFonts w:ascii="Calibri" w:hAnsi="Calibri" w:cs="Calibri"/>
          <w:color w:val="000000"/>
          <w:lang w:val="en-US"/>
        </w:rPr>
        <w:t>) argue, interest rate altering of the ECB affects the willingness of banks to lend out money. This relationship works as follows: when a central bank raises interest rates, it becomes more expensive for individuals and businesses to borrow money. This can discourage borrowing and spending, leading to decreased economic growth and lower inflation. Vice versa, when a central bank lowers interest rates, it becomes cheaper for individuals and businesses to borrow money, encouraging borrowing and spending, which supports economic growth and could result in higher inflation.</w:t>
      </w:r>
    </w:p>
    <w:p w14:paraId="5E22218C" w14:textId="2D57E9C0"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Until the Lehman Brother’s collapse in 2008, the interest rate was the main conventional monetary </w:t>
      </w:r>
      <w:r w:rsidRPr="00B35B07">
        <w:rPr>
          <w:rFonts w:ascii="Calibri" w:hAnsi="Calibri" w:cs="Calibri"/>
          <w:lang w:val="en-US"/>
        </w:rPr>
        <w:t>instrument of the ECB to control the inflation levels within the union (</w:t>
      </w:r>
      <w:proofErr w:type="spellStart"/>
      <w:r w:rsidRPr="00B35B07">
        <w:rPr>
          <w:rFonts w:ascii="Calibri" w:hAnsi="Calibri" w:cs="Calibri"/>
          <w:lang w:val="en-US"/>
        </w:rPr>
        <w:t>Fendel</w:t>
      </w:r>
      <w:proofErr w:type="spellEnd"/>
      <w:r w:rsidRPr="00B35B07">
        <w:rPr>
          <w:rFonts w:ascii="Calibri" w:hAnsi="Calibri" w:cs="Calibri"/>
          <w:lang w:val="en-US"/>
        </w:rPr>
        <w:t xml:space="preserve"> and Neugebauer, 2021). After its collapse, and the subsequent Great Financial Crisis, interest rates decreased until the ZLB within Europe. This crisis displayed the limited effectiveness of the dominant conventional tool in times of </w:t>
      </w:r>
      <w:proofErr w:type="gramStart"/>
      <w:r w:rsidRPr="00B35B07">
        <w:rPr>
          <w:rFonts w:ascii="Calibri" w:hAnsi="Calibri" w:cs="Calibri"/>
          <w:lang w:val="en-US"/>
        </w:rPr>
        <w:t>crisis, when</w:t>
      </w:r>
      <w:proofErr w:type="gramEnd"/>
      <w:r w:rsidRPr="00B35B07">
        <w:rPr>
          <w:rFonts w:ascii="Calibri" w:hAnsi="Calibri" w:cs="Calibri"/>
          <w:lang w:val="en-US"/>
        </w:rPr>
        <w:t xml:space="preserve"> the interest rate approached the ZLB. This incentivized the ECB to pursue </w:t>
      </w:r>
      <w:r w:rsidR="004C51EF">
        <w:rPr>
          <w:rFonts w:ascii="Calibri" w:hAnsi="Calibri" w:cs="Calibri"/>
          <w:lang w:val="en-US"/>
        </w:rPr>
        <w:t>UMP</w:t>
      </w:r>
      <w:r w:rsidRPr="00B35B07">
        <w:rPr>
          <w:rFonts w:ascii="Calibri" w:hAnsi="Calibri" w:cs="Calibri"/>
          <w:lang w:val="en-US"/>
        </w:rPr>
        <w:t xml:space="preserve"> to maintain the financial integration </w:t>
      </w:r>
      <w:r w:rsidRPr="00B35B07">
        <w:rPr>
          <w:rFonts w:ascii="Calibri" w:hAnsi="Calibri" w:cs="Calibri"/>
          <w:color w:val="000000"/>
          <w:lang w:val="en-US"/>
        </w:rPr>
        <w:t xml:space="preserve">within the union. The alternative that rose to the occasion was the use of a temporary Asset Purchase Program (or: quantitative easing (QE)). </w:t>
      </w:r>
      <w:bookmarkStart w:id="6" w:name="_Toc121316971"/>
      <w:r w:rsidR="0048467A" w:rsidRPr="0048467A">
        <w:rPr>
          <w:rFonts w:ascii="Calibri" w:hAnsi="Calibri" w:cs="Calibri"/>
          <w:color w:val="000000"/>
          <w:lang w:val="en-US"/>
        </w:rPr>
        <w:t xml:space="preserve">Asset purchase programs involve central banks acquiring public and </w:t>
      </w:r>
      <w:r w:rsidR="0048467A" w:rsidRPr="0048467A">
        <w:rPr>
          <w:rFonts w:ascii="Calibri" w:hAnsi="Calibri" w:cs="Calibri"/>
          <w:color w:val="000000"/>
          <w:lang w:val="en-US"/>
        </w:rPr>
        <w:lastRenderedPageBreak/>
        <w:t xml:space="preserve">private assets on a large scale </w:t>
      </w:r>
      <w:proofErr w:type="gramStart"/>
      <w:r w:rsidR="0048467A" w:rsidRPr="0048467A">
        <w:rPr>
          <w:rFonts w:ascii="Calibri" w:hAnsi="Calibri" w:cs="Calibri"/>
          <w:color w:val="000000"/>
          <w:lang w:val="en-US"/>
        </w:rPr>
        <w:t>in order to</w:t>
      </w:r>
      <w:proofErr w:type="gramEnd"/>
      <w:r w:rsidR="0048467A" w:rsidRPr="0048467A">
        <w:rPr>
          <w:rFonts w:ascii="Calibri" w:hAnsi="Calibri" w:cs="Calibri"/>
          <w:color w:val="000000"/>
          <w:lang w:val="en-US"/>
        </w:rPr>
        <w:t xml:space="preserve"> increase the total assets on their balance sheets. This is a form of loose monetary policy that is intended to stimulate economic activity (</w:t>
      </w:r>
      <w:proofErr w:type="spellStart"/>
      <w:r w:rsidR="0048467A" w:rsidRPr="0048467A">
        <w:rPr>
          <w:rFonts w:ascii="Calibri" w:hAnsi="Calibri" w:cs="Calibri"/>
          <w:color w:val="000000"/>
          <w:lang w:val="en-US"/>
        </w:rPr>
        <w:t>Altavilla</w:t>
      </w:r>
      <w:proofErr w:type="spellEnd"/>
      <w:r w:rsidR="0048467A" w:rsidRPr="0048467A">
        <w:rPr>
          <w:rFonts w:ascii="Calibri" w:hAnsi="Calibri" w:cs="Calibri"/>
          <w:color w:val="000000"/>
          <w:lang w:val="en-US"/>
        </w:rPr>
        <w:t xml:space="preserve"> et al., 2015).</w:t>
      </w:r>
      <w:r w:rsidR="0048467A">
        <w:rPr>
          <w:rFonts w:ascii="Calibri" w:hAnsi="Calibri" w:cs="Calibri"/>
          <w:color w:val="000000"/>
          <w:lang w:val="en-US"/>
        </w:rPr>
        <w:t xml:space="preserve"> </w:t>
      </w:r>
      <w:proofErr w:type="gramStart"/>
      <w:r w:rsidRPr="00B35B07">
        <w:rPr>
          <w:rFonts w:ascii="Calibri" w:hAnsi="Calibri" w:cs="Calibri"/>
          <w:color w:val="000000"/>
          <w:lang w:val="en-US"/>
        </w:rPr>
        <w:t>Central</w:t>
      </w:r>
      <w:proofErr w:type="gramEnd"/>
      <w:r w:rsidRPr="00B35B07">
        <w:rPr>
          <w:rFonts w:ascii="Calibri" w:hAnsi="Calibri" w:cs="Calibri"/>
          <w:color w:val="000000"/>
          <w:lang w:val="en-US"/>
        </w:rPr>
        <w:t xml:space="preserve"> bank asset purchases, such as bond purchases, can lower interest rates by reducing duration risk in the market (Aguilar et al., 2020). Duration risk is the effect that fluctuating interest rates will have on the market value of an investment, such as a sovereign government bond (Aguilar et al.,2020). When the central bank acquires bonds, it provides liquidity to those investors and gives them the opportunity to take on new risks. As a result, the risk in the market decreases, leading to lower bond yields. Lower bond yields can ease financing conditions in the economy, which can stimulate economic activity.</w:t>
      </w:r>
    </w:p>
    <w:p w14:paraId="5E6DE76D" w14:textId="6079063C"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After the global financial crisis, central banks began to scale back their asset purchases, known as quantitative easing</w:t>
      </w:r>
      <w:r w:rsidR="004F2BB5">
        <w:rPr>
          <w:rFonts w:ascii="Calibri" w:hAnsi="Calibri" w:cs="Calibri"/>
          <w:color w:val="000000"/>
          <w:lang w:val="en-US"/>
        </w:rPr>
        <w:t xml:space="preserve">, </w:t>
      </w:r>
      <w:r w:rsidRPr="00B35B07">
        <w:rPr>
          <w:rFonts w:ascii="Calibri" w:hAnsi="Calibri" w:cs="Calibri"/>
          <w:color w:val="000000"/>
          <w:lang w:val="en-US"/>
        </w:rPr>
        <w:t xml:space="preserve">as economic conditions improved (Afonso et al., 2020). QE is a temporary, unconventional policy tool used to stimulate the economy during times of economic difficulty. Despite the efforts to taper these QE measures, the </w:t>
      </w:r>
      <w:r w:rsidR="004C51EF">
        <w:rPr>
          <w:rFonts w:ascii="Calibri" w:hAnsi="Calibri" w:cs="Calibri"/>
          <w:color w:val="000000"/>
          <w:lang w:val="en-US"/>
        </w:rPr>
        <w:t>COVID-19</w:t>
      </w:r>
      <w:r w:rsidRPr="00B35B07">
        <w:rPr>
          <w:rFonts w:ascii="Calibri" w:hAnsi="Calibri" w:cs="Calibri"/>
          <w:color w:val="000000"/>
          <w:lang w:val="en-US"/>
        </w:rPr>
        <w:t xml:space="preserve"> pandemic resulted in a new crisis that exacerbated economic conditions once again. As the traditional tool of adjusting interest rates was still at or near the zero lower bound, the E</w:t>
      </w:r>
      <w:r w:rsidR="004F2BB5">
        <w:rPr>
          <w:rFonts w:ascii="Calibri" w:hAnsi="Calibri" w:cs="Calibri"/>
          <w:color w:val="000000"/>
          <w:lang w:val="en-US"/>
        </w:rPr>
        <w:t xml:space="preserve">CB </w:t>
      </w:r>
      <w:r w:rsidRPr="00B35B07">
        <w:rPr>
          <w:rFonts w:ascii="Calibri" w:hAnsi="Calibri" w:cs="Calibri"/>
          <w:color w:val="000000"/>
          <w:lang w:val="en-US"/>
        </w:rPr>
        <w:t xml:space="preserve">decided to implement QE again through the </w:t>
      </w:r>
      <w:r w:rsidR="004F2BB5">
        <w:rPr>
          <w:rFonts w:ascii="Calibri" w:hAnsi="Calibri" w:cs="Calibri"/>
          <w:color w:val="000000"/>
          <w:lang w:val="en-US"/>
        </w:rPr>
        <w:t>PEPP,</w:t>
      </w:r>
      <w:r w:rsidRPr="00B35B07">
        <w:rPr>
          <w:rFonts w:ascii="Calibri" w:hAnsi="Calibri" w:cs="Calibri"/>
          <w:color w:val="000000"/>
          <w:lang w:val="en-US"/>
        </w:rPr>
        <w:t xml:space="preserve"> a large-scale asset purchase program of private and public sector securities totaling €1,850 billion</w:t>
      </w:r>
      <w:r w:rsidR="00CC67D1">
        <w:rPr>
          <w:rFonts w:ascii="Calibri" w:hAnsi="Calibri" w:cs="Calibri"/>
          <w:color w:val="000000"/>
          <w:lang w:val="en-US"/>
        </w:rPr>
        <w:t xml:space="preserve">. </w:t>
      </w:r>
    </w:p>
    <w:p w14:paraId="39542C32" w14:textId="77777777" w:rsidR="00B35B07" w:rsidRPr="00B35B07" w:rsidRDefault="00B35B07" w:rsidP="00B35B07">
      <w:pPr>
        <w:numPr>
          <w:ilvl w:val="1"/>
          <w:numId w:val="6"/>
        </w:numPr>
        <w:spacing w:line="240" w:lineRule="auto"/>
        <w:jc w:val="left"/>
        <w:outlineLvl w:val="1"/>
        <w:rPr>
          <w:rFonts w:ascii="Calibri" w:eastAsia="Times New Roman" w:hAnsi="Calibri"/>
          <w:b/>
          <w:bCs/>
          <w:color w:val="000000"/>
          <w:lang w:val="en-US"/>
        </w:rPr>
      </w:pPr>
      <w:bookmarkStart w:id="7" w:name="_Toc122697330"/>
      <w:r w:rsidRPr="00B35B07">
        <w:rPr>
          <w:rFonts w:ascii="Calibri" w:eastAsia="Times New Roman" w:hAnsi="Calibri"/>
          <w:b/>
          <w:bCs/>
          <w:color w:val="000000"/>
          <w:lang w:val="en-US"/>
        </w:rPr>
        <w:t>Transmission towards financial markets</w:t>
      </w:r>
      <w:bookmarkEnd w:id="6"/>
      <w:bookmarkEnd w:id="7"/>
    </w:p>
    <w:p w14:paraId="6D304DB5" w14:textId="77777777" w:rsidR="00B35B07" w:rsidRPr="00B35B07" w:rsidRDefault="00B35B07" w:rsidP="00B35B07">
      <w:pPr>
        <w:rPr>
          <w:rFonts w:ascii="Calibri" w:hAnsi="Calibri"/>
          <w:lang w:val="en-US"/>
        </w:rPr>
      </w:pPr>
    </w:p>
    <w:p w14:paraId="712206E5" w14:textId="6AA8EA88" w:rsid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The goal of asset purchase programs, such as those implemented by the ECB, is to reduce yields on bonds </w:t>
      </w:r>
      <w:proofErr w:type="gramStart"/>
      <w:r w:rsidRPr="00B35B07">
        <w:rPr>
          <w:rFonts w:ascii="Calibri" w:hAnsi="Calibri" w:cs="Calibri"/>
          <w:color w:val="000000"/>
          <w:lang w:val="en-US"/>
        </w:rPr>
        <w:t>in order to</w:t>
      </w:r>
      <w:proofErr w:type="gramEnd"/>
      <w:r w:rsidRPr="00B35B07">
        <w:rPr>
          <w:rFonts w:ascii="Calibri" w:hAnsi="Calibri" w:cs="Calibri"/>
          <w:color w:val="000000"/>
          <w:lang w:val="en-US"/>
        </w:rPr>
        <w:t xml:space="preserve"> stimulate the economy. The ECB aims to achieve this by reducing the cost of credit for banks, which in turn stimulates the supply of sovereign bank loans and indirectly reduces the costs for corporations and individuals. Unconventional monetary policy measures, like the APP program of the ECB, are transmitted through various channels to reach the financial market. </w:t>
      </w:r>
      <w:proofErr w:type="spellStart"/>
      <w:r w:rsidRPr="00B35B07">
        <w:rPr>
          <w:rFonts w:ascii="Calibri" w:hAnsi="Calibri" w:cs="Calibri"/>
          <w:color w:val="000000"/>
          <w:lang w:val="en-US"/>
        </w:rPr>
        <w:t>Gambetti</w:t>
      </w:r>
      <w:proofErr w:type="spellEnd"/>
      <w:r w:rsidRPr="00B35B07">
        <w:rPr>
          <w:rFonts w:ascii="Calibri" w:hAnsi="Calibri" w:cs="Calibri"/>
          <w:color w:val="000000"/>
          <w:lang w:val="en-US"/>
        </w:rPr>
        <w:t xml:space="preserve"> and </w:t>
      </w:r>
      <w:proofErr w:type="spellStart"/>
      <w:r w:rsidRPr="00B35B07">
        <w:rPr>
          <w:rFonts w:ascii="Calibri" w:hAnsi="Calibri" w:cs="Calibri"/>
          <w:color w:val="000000"/>
          <w:lang w:val="en-US"/>
        </w:rPr>
        <w:t>Musso</w:t>
      </w:r>
      <w:proofErr w:type="spellEnd"/>
      <w:r w:rsidRPr="00B35B07">
        <w:rPr>
          <w:rFonts w:ascii="Calibri" w:hAnsi="Calibri" w:cs="Calibri"/>
          <w:color w:val="000000"/>
          <w:lang w:val="en-US"/>
        </w:rPr>
        <w:t xml:space="preserve"> (2017) identified three main transmission channels for APP policies: the portfolio-rebalancing channel, the signaling channel, and the direct pass-through channel. This study focuses on the transmission of unconventional monetary policy and will delve deeper into these three main channels in the following sub sections.</w:t>
      </w:r>
    </w:p>
    <w:p w14:paraId="6D3A4D21" w14:textId="77777777" w:rsidR="00BA3C3A" w:rsidRPr="00B35B07" w:rsidRDefault="00BA3C3A" w:rsidP="00B35B07">
      <w:pPr>
        <w:spacing w:after="240"/>
        <w:ind w:firstLine="720"/>
        <w:rPr>
          <w:rFonts w:ascii="Calibri" w:hAnsi="Calibri" w:cs="Calibri"/>
          <w:color w:val="000000"/>
          <w:lang w:val="en-US"/>
        </w:rPr>
      </w:pPr>
    </w:p>
    <w:p w14:paraId="416F7FFE" w14:textId="77777777" w:rsidR="00B35B07" w:rsidRPr="00B35B07" w:rsidRDefault="00B35B07" w:rsidP="00B35B07">
      <w:pPr>
        <w:keepNext/>
        <w:keepLines/>
        <w:numPr>
          <w:ilvl w:val="0"/>
          <w:numId w:val="7"/>
        </w:numPr>
        <w:spacing w:before="260" w:after="260"/>
        <w:contextualSpacing/>
        <w:outlineLvl w:val="0"/>
        <w:rPr>
          <w:rFonts w:ascii="Calibri" w:eastAsia="Times New Roman" w:hAnsi="Calibri"/>
          <w:b/>
          <w:bCs/>
          <w:vanish/>
          <w:color w:val="000000"/>
          <w:sz w:val="28"/>
          <w:szCs w:val="32"/>
          <w:lang w:val="en-US"/>
        </w:rPr>
      </w:pPr>
      <w:bookmarkStart w:id="8" w:name="_Toc117688803"/>
      <w:bookmarkStart w:id="9" w:name="_Toc117688889"/>
      <w:bookmarkStart w:id="10" w:name="_Toc117693379"/>
      <w:bookmarkStart w:id="11" w:name="_Toc117776719"/>
      <w:bookmarkStart w:id="12" w:name="_Toc117776802"/>
      <w:bookmarkStart w:id="13" w:name="_Toc121316972"/>
      <w:bookmarkStart w:id="14" w:name="_Toc122696459"/>
      <w:bookmarkStart w:id="15" w:name="_Toc122696520"/>
      <w:bookmarkStart w:id="16" w:name="_Toc122697331"/>
      <w:bookmarkEnd w:id="8"/>
      <w:bookmarkEnd w:id="9"/>
      <w:bookmarkEnd w:id="10"/>
      <w:bookmarkEnd w:id="11"/>
      <w:bookmarkEnd w:id="12"/>
      <w:bookmarkEnd w:id="13"/>
      <w:bookmarkEnd w:id="14"/>
      <w:bookmarkEnd w:id="15"/>
      <w:bookmarkEnd w:id="16"/>
    </w:p>
    <w:p w14:paraId="6D8E1667" w14:textId="77777777" w:rsidR="00B35B07" w:rsidRPr="00B35B07" w:rsidRDefault="00B35B07" w:rsidP="00B35B07">
      <w:pPr>
        <w:keepNext/>
        <w:keepLines/>
        <w:numPr>
          <w:ilvl w:val="0"/>
          <w:numId w:val="7"/>
        </w:numPr>
        <w:spacing w:before="260" w:after="260"/>
        <w:contextualSpacing/>
        <w:outlineLvl w:val="0"/>
        <w:rPr>
          <w:rFonts w:ascii="Calibri" w:eastAsia="Times New Roman" w:hAnsi="Calibri"/>
          <w:b/>
          <w:bCs/>
          <w:vanish/>
          <w:color w:val="000000"/>
          <w:sz w:val="28"/>
          <w:szCs w:val="32"/>
          <w:lang w:val="en-US"/>
        </w:rPr>
      </w:pPr>
      <w:bookmarkStart w:id="17" w:name="_Toc117688804"/>
      <w:bookmarkStart w:id="18" w:name="_Toc117688890"/>
      <w:bookmarkStart w:id="19" w:name="_Toc117693380"/>
      <w:bookmarkStart w:id="20" w:name="_Toc117776720"/>
      <w:bookmarkStart w:id="21" w:name="_Toc117776803"/>
      <w:bookmarkStart w:id="22" w:name="_Toc121316973"/>
      <w:bookmarkStart w:id="23" w:name="_Toc122696460"/>
      <w:bookmarkStart w:id="24" w:name="_Toc122696521"/>
      <w:bookmarkStart w:id="25" w:name="_Toc122697332"/>
      <w:bookmarkEnd w:id="17"/>
      <w:bookmarkEnd w:id="18"/>
      <w:bookmarkEnd w:id="19"/>
      <w:bookmarkEnd w:id="20"/>
      <w:bookmarkEnd w:id="21"/>
      <w:bookmarkEnd w:id="22"/>
      <w:bookmarkEnd w:id="23"/>
      <w:bookmarkEnd w:id="24"/>
      <w:bookmarkEnd w:id="25"/>
    </w:p>
    <w:p w14:paraId="7EFE532B" w14:textId="77777777" w:rsidR="00B35B07" w:rsidRPr="00B35B07" w:rsidRDefault="00B35B07" w:rsidP="00B35B07">
      <w:pPr>
        <w:numPr>
          <w:ilvl w:val="1"/>
          <w:numId w:val="7"/>
        </w:numPr>
        <w:spacing w:line="240" w:lineRule="auto"/>
        <w:jc w:val="left"/>
        <w:outlineLvl w:val="1"/>
        <w:rPr>
          <w:rFonts w:ascii="Calibri" w:eastAsia="Times New Roman" w:hAnsi="Calibri"/>
          <w:b/>
          <w:bCs/>
          <w:vanish/>
          <w:color w:val="000000"/>
          <w:sz w:val="28"/>
          <w:szCs w:val="32"/>
          <w:lang w:val="en-US"/>
        </w:rPr>
      </w:pPr>
      <w:bookmarkStart w:id="26" w:name="_Toc117688805"/>
      <w:bookmarkStart w:id="27" w:name="_Toc117688891"/>
      <w:bookmarkStart w:id="28" w:name="_Toc117693381"/>
      <w:bookmarkStart w:id="29" w:name="_Toc117776721"/>
      <w:bookmarkStart w:id="30" w:name="_Toc117776804"/>
      <w:bookmarkStart w:id="31" w:name="_Toc121316974"/>
      <w:bookmarkStart w:id="32" w:name="_Toc122696461"/>
      <w:bookmarkStart w:id="33" w:name="_Toc122696522"/>
      <w:bookmarkStart w:id="34" w:name="_Toc122697333"/>
      <w:bookmarkEnd w:id="26"/>
      <w:bookmarkEnd w:id="27"/>
      <w:bookmarkEnd w:id="28"/>
      <w:bookmarkEnd w:id="29"/>
      <w:bookmarkEnd w:id="30"/>
      <w:bookmarkEnd w:id="31"/>
      <w:bookmarkEnd w:id="32"/>
      <w:bookmarkEnd w:id="33"/>
      <w:bookmarkEnd w:id="34"/>
    </w:p>
    <w:p w14:paraId="7DC98C3B" w14:textId="77777777" w:rsidR="00B35B07" w:rsidRPr="00B35B07" w:rsidRDefault="00B35B07" w:rsidP="00B35B07">
      <w:pPr>
        <w:numPr>
          <w:ilvl w:val="1"/>
          <w:numId w:val="7"/>
        </w:numPr>
        <w:spacing w:line="240" w:lineRule="auto"/>
        <w:jc w:val="left"/>
        <w:outlineLvl w:val="1"/>
        <w:rPr>
          <w:rFonts w:ascii="Calibri" w:eastAsia="Times New Roman" w:hAnsi="Calibri"/>
          <w:b/>
          <w:bCs/>
          <w:vanish/>
          <w:color w:val="000000"/>
          <w:sz w:val="28"/>
          <w:szCs w:val="32"/>
          <w:lang w:val="en-US"/>
        </w:rPr>
      </w:pPr>
      <w:bookmarkStart w:id="35" w:name="_Toc117688806"/>
      <w:bookmarkStart w:id="36" w:name="_Toc117688892"/>
      <w:bookmarkStart w:id="37" w:name="_Toc117693382"/>
      <w:bookmarkStart w:id="38" w:name="_Toc117776722"/>
      <w:bookmarkStart w:id="39" w:name="_Toc117776805"/>
      <w:bookmarkStart w:id="40" w:name="_Toc121316975"/>
      <w:bookmarkStart w:id="41" w:name="_Toc122696462"/>
      <w:bookmarkStart w:id="42" w:name="_Toc122696523"/>
      <w:bookmarkStart w:id="43" w:name="_Toc122697334"/>
      <w:bookmarkEnd w:id="35"/>
      <w:bookmarkEnd w:id="36"/>
      <w:bookmarkEnd w:id="37"/>
      <w:bookmarkEnd w:id="38"/>
      <w:bookmarkEnd w:id="39"/>
      <w:bookmarkEnd w:id="40"/>
      <w:bookmarkEnd w:id="41"/>
      <w:bookmarkEnd w:id="42"/>
      <w:bookmarkEnd w:id="43"/>
    </w:p>
    <w:p w14:paraId="3815BE20" w14:textId="77777777" w:rsidR="00B35B07" w:rsidRPr="00B35B07" w:rsidRDefault="00B35B07" w:rsidP="00B35B07">
      <w:pPr>
        <w:numPr>
          <w:ilvl w:val="2"/>
          <w:numId w:val="7"/>
        </w:numPr>
        <w:spacing w:before="260"/>
        <w:outlineLvl w:val="2"/>
        <w:rPr>
          <w:rFonts w:ascii="Calibri" w:eastAsia="Times New Roman" w:hAnsi="Calibri"/>
          <w:b/>
          <w:bCs/>
        </w:rPr>
      </w:pPr>
      <w:bookmarkStart w:id="44" w:name="_Toc121316976"/>
      <w:bookmarkStart w:id="45" w:name="_Toc122697335"/>
      <w:r w:rsidRPr="00B35B07">
        <w:rPr>
          <w:rFonts w:ascii="Calibri" w:eastAsia="Times New Roman" w:hAnsi="Calibri"/>
          <w:b/>
          <w:bCs/>
        </w:rPr>
        <w:t>Portfolio-rebalancing</w:t>
      </w:r>
      <w:bookmarkEnd w:id="44"/>
      <w:r w:rsidRPr="00B35B07">
        <w:rPr>
          <w:rFonts w:ascii="Calibri" w:eastAsia="Times New Roman" w:hAnsi="Calibri"/>
          <w:b/>
          <w:bCs/>
        </w:rPr>
        <w:t xml:space="preserve"> channel</w:t>
      </w:r>
      <w:bookmarkEnd w:id="45"/>
    </w:p>
    <w:p w14:paraId="352BB3DB" w14:textId="31F820AE"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According to the literature, the portfolio rebalancing channel is generally considered to be the most important channel through which monetary policy affects financial markets and the economy. This view is supported by several authors, including </w:t>
      </w:r>
      <w:proofErr w:type="spellStart"/>
      <w:r w:rsidRPr="00B35B07">
        <w:rPr>
          <w:rFonts w:ascii="Calibri" w:hAnsi="Calibri" w:cs="Calibri"/>
          <w:color w:val="000000"/>
          <w:lang w:val="en-US"/>
        </w:rPr>
        <w:t>Altavilla</w:t>
      </w:r>
      <w:proofErr w:type="spellEnd"/>
      <w:r w:rsidRPr="00B35B07">
        <w:rPr>
          <w:rFonts w:ascii="Calibri" w:hAnsi="Calibri" w:cs="Calibri"/>
          <w:color w:val="000000"/>
          <w:lang w:val="en-US"/>
        </w:rPr>
        <w:t xml:space="preserve"> et al. (2015)</w:t>
      </w:r>
      <w:r w:rsidR="006C685A">
        <w:rPr>
          <w:rFonts w:ascii="Calibri" w:hAnsi="Calibri" w:cs="Calibri"/>
          <w:color w:val="000000"/>
          <w:lang w:val="en-US"/>
        </w:rPr>
        <w:t xml:space="preserve"> and </w:t>
      </w:r>
      <w:r w:rsidRPr="00B35B07">
        <w:rPr>
          <w:rFonts w:ascii="Calibri" w:hAnsi="Calibri" w:cs="Calibri"/>
          <w:color w:val="000000"/>
          <w:lang w:val="en-US"/>
        </w:rPr>
        <w:t>Gagnon et al. (2011). The traditional view of the portfolio rebalancing channel is that asset purchases by the central bank will lead to portfolio diversification among sellers. This occurs because the central bank's purchase of assets increases demand for certain assets, causing investors to diversify their portfolios into other assets as the targeted assets rise in price (</w:t>
      </w:r>
      <w:proofErr w:type="spellStart"/>
      <w:r w:rsidRPr="00B35B07">
        <w:rPr>
          <w:rFonts w:ascii="Calibri" w:hAnsi="Calibri" w:cs="Calibri"/>
          <w:color w:val="000000"/>
          <w:lang w:val="en-US"/>
        </w:rPr>
        <w:t>Gambetti</w:t>
      </w:r>
      <w:proofErr w:type="spellEnd"/>
      <w:r w:rsidRPr="00B35B07">
        <w:rPr>
          <w:rFonts w:ascii="Calibri" w:hAnsi="Calibri" w:cs="Calibri"/>
          <w:color w:val="000000"/>
          <w:lang w:val="en-US"/>
        </w:rPr>
        <w:t xml:space="preserve"> and </w:t>
      </w:r>
      <w:proofErr w:type="spellStart"/>
      <w:r w:rsidRPr="00B35B07">
        <w:rPr>
          <w:rFonts w:ascii="Calibri" w:hAnsi="Calibri" w:cs="Calibri"/>
          <w:color w:val="000000"/>
          <w:lang w:val="en-US"/>
        </w:rPr>
        <w:t>Musso</w:t>
      </w:r>
      <w:proofErr w:type="spellEnd"/>
      <w:r w:rsidRPr="00B35B07">
        <w:rPr>
          <w:rFonts w:ascii="Calibri" w:hAnsi="Calibri" w:cs="Calibri"/>
          <w:color w:val="000000"/>
          <w:lang w:val="en-US"/>
        </w:rPr>
        <w:t xml:space="preserve">, 2017; </w:t>
      </w:r>
      <w:proofErr w:type="spellStart"/>
      <w:r w:rsidRPr="00B35B07">
        <w:rPr>
          <w:rFonts w:ascii="Calibri" w:hAnsi="Calibri" w:cs="Calibri"/>
          <w:color w:val="000000"/>
          <w:lang w:val="en-US"/>
        </w:rPr>
        <w:t>Paludkiewicz</w:t>
      </w:r>
      <w:proofErr w:type="spellEnd"/>
      <w:r w:rsidRPr="00B35B07">
        <w:rPr>
          <w:rFonts w:ascii="Calibri" w:hAnsi="Calibri" w:cs="Calibri"/>
          <w:color w:val="000000"/>
          <w:lang w:val="en-US"/>
        </w:rPr>
        <w:t>, 2021). This shifts demand from one asset to another and increases prices for these alternative assets, which in turn reduces their yields (also known as the bond-yield relationship). The bond-yield relationship works as follows: the higher the price of a bond or asset, the more an investor must invest to achieve the same yield.</w:t>
      </w:r>
    </w:p>
    <w:p w14:paraId="689FB76A" w14:textId="77777777" w:rsidR="00B35B07" w:rsidRPr="00B35B07" w:rsidRDefault="00B35B07" w:rsidP="00B35B07">
      <w:pPr>
        <w:numPr>
          <w:ilvl w:val="2"/>
          <w:numId w:val="7"/>
        </w:numPr>
        <w:spacing w:before="260"/>
        <w:outlineLvl w:val="2"/>
        <w:rPr>
          <w:rFonts w:ascii="Calibri" w:eastAsia="Times New Roman" w:hAnsi="Calibri"/>
          <w:b/>
          <w:bCs/>
        </w:rPr>
      </w:pPr>
      <w:bookmarkStart w:id="46" w:name="_Toc122697336"/>
      <w:r w:rsidRPr="00B35B07">
        <w:rPr>
          <w:rFonts w:ascii="Calibri" w:eastAsia="Times New Roman" w:hAnsi="Calibri"/>
          <w:b/>
          <w:bCs/>
        </w:rPr>
        <w:t>Direct pass-through channel</w:t>
      </w:r>
      <w:bookmarkEnd w:id="46"/>
      <w:r w:rsidRPr="00B35B07">
        <w:rPr>
          <w:rFonts w:ascii="Calibri" w:eastAsia="Times New Roman" w:hAnsi="Calibri"/>
          <w:b/>
          <w:bCs/>
        </w:rPr>
        <w:t xml:space="preserve"> </w:t>
      </w:r>
    </w:p>
    <w:p w14:paraId="53B6652D" w14:textId="0A62AD03" w:rsidR="00B35B07" w:rsidRPr="00B35B07" w:rsidRDefault="00B66C87" w:rsidP="007D5B8D">
      <w:pPr>
        <w:spacing w:after="240"/>
        <w:ind w:firstLine="720"/>
        <w:rPr>
          <w:rFonts w:ascii="Calibri" w:hAnsi="Calibri" w:cs="Calibri"/>
          <w:color w:val="000000"/>
          <w:lang w:val="en-US"/>
        </w:rPr>
      </w:pPr>
      <w:r w:rsidRPr="00B66C87">
        <w:rPr>
          <w:rFonts w:ascii="Calibri" w:hAnsi="Calibri" w:cs="Calibri"/>
          <w:color w:val="000000"/>
          <w:lang w:val="en-US"/>
        </w:rPr>
        <w:t xml:space="preserve">A direct pass-through of unconventional monetary policy occurs when the </w:t>
      </w:r>
      <w:r>
        <w:rPr>
          <w:rFonts w:ascii="Calibri" w:hAnsi="Calibri" w:cs="Calibri"/>
          <w:color w:val="000000"/>
          <w:lang w:val="en-US"/>
        </w:rPr>
        <w:t>ECB</w:t>
      </w:r>
      <w:r w:rsidRPr="00B66C87">
        <w:rPr>
          <w:rFonts w:ascii="Calibri" w:hAnsi="Calibri" w:cs="Calibri"/>
          <w:color w:val="000000"/>
          <w:lang w:val="en-US"/>
        </w:rPr>
        <w:t xml:space="preserve"> purchases private sector assets that are backed by loans provided by national banks to households and businesses.</w:t>
      </w:r>
      <w:r>
        <w:rPr>
          <w:rFonts w:ascii="Calibri" w:hAnsi="Calibri" w:cs="Calibri"/>
          <w:color w:val="000000"/>
          <w:lang w:val="en-US"/>
        </w:rPr>
        <w:t xml:space="preserve"> </w:t>
      </w:r>
      <w:r w:rsidR="00B35B07" w:rsidRPr="00B35B07">
        <w:rPr>
          <w:rFonts w:ascii="Calibri" w:hAnsi="Calibri" w:cs="Calibri"/>
          <w:color w:val="000000"/>
          <w:lang w:val="en-US"/>
        </w:rPr>
        <w:t xml:space="preserve">Increased demand for these specific assets stimulates banks to provide more loans and sell more </w:t>
      </w:r>
      <w:r w:rsidR="00A51D47">
        <w:rPr>
          <w:rFonts w:ascii="Calibri" w:hAnsi="Calibri" w:cs="Calibri"/>
          <w:color w:val="000000"/>
          <w:lang w:val="en-US"/>
        </w:rPr>
        <w:t>of these assets</w:t>
      </w:r>
      <w:r w:rsidR="00B35B07" w:rsidRPr="00B35B07">
        <w:rPr>
          <w:rFonts w:ascii="Calibri" w:hAnsi="Calibri" w:cs="Calibri"/>
          <w:color w:val="000000"/>
          <w:lang w:val="en-US"/>
        </w:rPr>
        <w:t xml:space="preserve">. The increased </w:t>
      </w:r>
      <w:proofErr w:type="gramStart"/>
      <w:r w:rsidR="00B35B07" w:rsidRPr="00B35B07">
        <w:rPr>
          <w:rFonts w:ascii="Calibri" w:hAnsi="Calibri" w:cs="Calibri"/>
          <w:color w:val="000000"/>
          <w:lang w:val="en-US"/>
        </w:rPr>
        <w:t>supply,</w:t>
      </w:r>
      <w:proofErr w:type="gramEnd"/>
      <w:r w:rsidR="00B35B07" w:rsidRPr="00B35B07">
        <w:rPr>
          <w:rFonts w:ascii="Calibri" w:hAnsi="Calibri" w:cs="Calibri"/>
          <w:color w:val="000000"/>
          <w:lang w:val="en-US"/>
        </w:rPr>
        <w:t xml:space="preserve"> of these loans, tends to lower bank lending rates (yield) for businesses and household, improving broader financing conditions (</w:t>
      </w:r>
      <w:proofErr w:type="spellStart"/>
      <w:r w:rsidR="00B35B07" w:rsidRPr="00B35B07">
        <w:rPr>
          <w:rFonts w:ascii="Calibri" w:hAnsi="Calibri" w:cs="Calibri"/>
          <w:color w:val="000000"/>
          <w:lang w:val="en-US"/>
        </w:rPr>
        <w:t>Altavilla</w:t>
      </w:r>
      <w:proofErr w:type="spellEnd"/>
      <w:r w:rsidR="0000146D">
        <w:rPr>
          <w:rFonts w:ascii="Calibri" w:hAnsi="Calibri" w:cs="Calibri"/>
          <w:color w:val="000000"/>
          <w:lang w:val="en-US"/>
        </w:rPr>
        <w:t xml:space="preserve"> et al.</w:t>
      </w:r>
      <w:r w:rsidR="00B35B07" w:rsidRPr="00B35B07">
        <w:rPr>
          <w:rFonts w:ascii="Calibri" w:hAnsi="Calibri" w:cs="Calibri"/>
          <w:color w:val="000000"/>
          <w:lang w:val="en-US"/>
        </w:rPr>
        <w:t xml:space="preserve">, 2015). </w:t>
      </w:r>
    </w:p>
    <w:p w14:paraId="17545BB2" w14:textId="77777777" w:rsidR="00B35B07" w:rsidRPr="00B35B07" w:rsidRDefault="00B35B07" w:rsidP="00B35B07">
      <w:pPr>
        <w:numPr>
          <w:ilvl w:val="2"/>
          <w:numId w:val="7"/>
        </w:numPr>
        <w:spacing w:before="260"/>
        <w:outlineLvl w:val="2"/>
        <w:rPr>
          <w:rFonts w:ascii="Calibri" w:eastAsia="Times New Roman" w:hAnsi="Calibri"/>
          <w:b/>
          <w:bCs/>
          <w:lang w:val="en-US"/>
        </w:rPr>
      </w:pPr>
      <w:bookmarkStart w:id="47" w:name="_Toc121316978"/>
      <w:bookmarkStart w:id="48" w:name="_Toc122697337"/>
      <w:r w:rsidRPr="00B35B07">
        <w:rPr>
          <w:rFonts w:ascii="Calibri" w:eastAsia="Times New Roman" w:hAnsi="Calibri"/>
          <w:b/>
          <w:bCs/>
          <w:lang w:val="en-US"/>
        </w:rPr>
        <w:t>Signaling channel</w:t>
      </w:r>
      <w:bookmarkEnd w:id="47"/>
      <w:bookmarkEnd w:id="48"/>
    </w:p>
    <w:p w14:paraId="1A4E882B" w14:textId="141693AE"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Additionally, the signaling function of the central bank plays a critical role in the transmission of monetary policy. Through communication about its future policy actions, the central bank can influence market expectations and behavior through the signaling channel. The ECB uses various forms of communication, such as press conferences, statements, and forward guidance. This can involve the ECB making statements or providing (forward)guidance about their plans for interest rates, asset purchases, and other policy tools. </w:t>
      </w:r>
      <w:r w:rsidR="00041CEA" w:rsidRPr="00041CEA">
        <w:rPr>
          <w:rFonts w:ascii="Calibri" w:hAnsi="Calibri" w:cs="Calibri"/>
          <w:color w:val="000000"/>
          <w:lang w:val="en-US"/>
        </w:rPr>
        <w:t xml:space="preserve">Quantitative easing can serve as a signaling mechanism through which the central bank communicates its commitment to </w:t>
      </w:r>
      <w:r w:rsidR="00041CEA" w:rsidRPr="00041CEA">
        <w:rPr>
          <w:rFonts w:ascii="Calibri" w:hAnsi="Calibri" w:cs="Calibri"/>
          <w:color w:val="000000"/>
          <w:lang w:val="en-US"/>
        </w:rPr>
        <w:lastRenderedPageBreak/>
        <w:t>maintaining a stable rate of inflation</w:t>
      </w:r>
      <w:r w:rsidRPr="00B35B07">
        <w:rPr>
          <w:rFonts w:ascii="Calibri" w:hAnsi="Calibri" w:cs="Calibri"/>
          <w:color w:val="000000"/>
          <w:lang w:val="en-US"/>
        </w:rPr>
        <w:t>, which is supposed to create a stable and bullish outlook for the financial markets (</w:t>
      </w:r>
      <w:proofErr w:type="spellStart"/>
      <w:r w:rsidRPr="00B35B07">
        <w:rPr>
          <w:rFonts w:ascii="Calibri" w:hAnsi="Calibri" w:cs="Calibri"/>
          <w:color w:val="000000"/>
          <w:lang w:val="en-US"/>
        </w:rPr>
        <w:t>Altavilla</w:t>
      </w:r>
      <w:proofErr w:type="spellEnd"/>
      <w:r w:rsidRPr="00B35B07">
        <w:rPr>
          <w:rFonts w:ascii="Calibri" w:hAnsi="Calibri" w:cs="Calibri"/>
          <w:color w:val="000000"/>
          <w:lang w:val="en-US"/>
        </w:rPr>
        <w:t xml:space="preserve"> et al.</w:t>
      </w:r>
      <w:r w:rsidR="00EB3361">
        <w:rPr>
          <w:rFonts w:ascii="Calibri" w:hAnsi="Calibri" w:cs="Calibri"/>
          <w:color w:val="000000"/>
          <w:lang w:val="en-US"/>
        </w:rPr>
        <w:t>,</w:t>
      </w:r>
      <w:r w:rsidRPr="00B35B07">
        <w:rPr>
          <w:rFonts w:ascii="Calibri" w:hAnsi="Calibri" w:cs="Calibri"/>
          <w:color w:val="000000"/>
          <w:lang w:val="en-US"/>
        </w:rPr>
        <w:t xml:space="preserve"> 2015). </w:t>
      </w:r>
    </w:p>
    <w:p w14:paraId="51CA9E8E" w14:textId="310AC273"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Asset purchases may influence longer-term (10 year) bond yields through the information these announcements reveal about the expectations of monetary policy. By loosening monetary policy, in other words: purchasing more assets, the central bank’s signal could be interpreted as if the central bank expects policy rates to remain lower for a longer period. A central bank might demonstrate its commitment towards their monetary goals and its confidence in achieving these goals in these announcements. The former and latter help to maintain credibility and keep inflation (expectations) under control </w:t>
      </w:r>
      <w:r w:rsidR="00F96A0E">
        <w:rPr>
          <w:rFonts w:ascii="Calibri" w:hAnsi="Calibri" w:cs="Calibri"/>
          <w:color w:val="000000"/>
          <w:lang w:val="en-US"/>
        </w:rPr>
        <w:t>(</w:t>
      </w:r>
      <w:r w:rsidR="00F96A0E" w:rsidRPr="00F96A0E">
        <w:rPr>
          <w:rFonts w:ascii="Calibri" w:hAnsi="Calibri" w:cs="Calibri"/>
          <w:color w:val="000000"/>
          <w:lang w:val="en-US"/>
        </w:rPr>
        <w:t xml:space="preserve">Krishnamurthy and </w:t>
      </w:r>
      <w:proofErr w:type="spellStart"/>
      <w:r w:rsidR="00F96A0E" w:rsidRPr="00F96A0E">
        <w:rPr>
          <w:rFonts w:ascii="Calibri" w:hAnsi="Calibri" w:cs="Calibri"/>
          <w:color w:val="000000"/>
          <w:lang w:val="en-US"/>
        </w:rPr>
        <w:t>Vissing</w:t>
      </w:r>
      <w:proofErr w:type="spellEnd"/>
      <w:r w:rsidR="00F96A0E" w:rsidRPr="00F96A0E">
        <w:rPr>
          <w:rFonts w:ascii="Calibri" w:hAnsi="Calibri" w:cs="Calibri"/>
          <w:color w:val="000000"/>
          <w:lang w:val="en-US"/>
        </w:rPr>
        <w:t>-Jorgensen, 2013</w:t>
      </w:r>
      <w:r w:rsidR="00F96A0E">
        <w:rPr>
          <w:rFonts w:ascii="Calibri" w:hAnsi="Calibri" w:cs="Calibri"/>
          <w:color w:val="000000"/>
          <w:lang w:val="en-US"/>
        </w:rPr>
        <w:t>).</w:t>
      </w:r>
    </w:p>
    <w:p w14:paraId="65318B9E" w14:textId="77777777"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UMP asset purchases by central banks can affect longer-term interest rates by signaling the outlook for monetary policy. By purchasing more assets, the central bank can indicate that it expects policy rates to remain low for an extended period. These announcements can also demonstrate the central bank's commitment to its monetary goals and confidence in achieving them, which helps to maintain credibility and keep inflation expectations in check. In this way, asset purchases can influence market expectations and behavior through the information these signals reveal about the central bank's policy outlook.</w:t>
      </w:r>
    </w:p>
    <w:p w14:paraId="38C62B07" w14:textId="77777777" w:rsidR="00B35B07" w:rsidRPr="00B35B07" w:rsidRDefault="00B35B07" w:rsidP="00B35B07">
      <w:pPr>
        <w:numPr>
          <w:ilvl w:val="1"/>
          <w:numId w:val="6"/>
        </w:numPr>
        <w:spacing w:line="240" w:lineRule="auto"/>
        <w:jc w:val="left"/>
        <w:outlineLvl w:val="1"/>
        <w:rPr>
          <w:rFonts w:ascii="Calibri" w:eastAsia="Times New Roman" w:hAnsi="Calibri"/>
          <w:b/>
          <w:bCs/>
          <w:color w:val="000000"/>
          <w:szCs w:val="32"/>
          <w:lang w:val="en-US"/>
        </w:rPr>
      </w:pPr>
      <w:bookmarkStart w:id="49" w:name="_Toc122697338"/>
      <w:r w:rsidRPr="00B35B07">
        <w:rPr>
          <w:rFonts w:ascii="Calibri" w:eastAsia="Times New Roman" w:hAnsi="Calibri"/>
          <w:b/>
          <w:bCs/>
          <w:color w:val="000000"/>
          <w:szCs w:val="32"/>
          <w:lang w:val="en-US"/>
        </w:rPr>
        <w:t>Why are government bond yields important?</w:t>
      </w:r>
      <w:bookmarkEnd w:id="49"/>
    </w:p>
    <w:p w14:paraId="2AC7A867" w14:textId="77777777" w:rsidR="00E304EC" w:rsidRDefault="00E304EC" w:rsidP="00E304EC">
      <w:pPr>
        <w:spacing w:after="240"/>
        <w:ind w:firstLine="0"/>
        <w:rPr>
          <w:rFonts w:ascii="Calibri" w:hAnsi="Calibri" w:cs="Calibri"/>
          <w:color w:val="000000"/>
          <w:lang w:val="en-US"/>
        </w:rPr>
      </w:pPr>
    </w:p>
    <w:p w14:paraId="757A9415" w14:textId="6FA868C1" w:rsidR="00B35B07" w:rsidRPr="00B35B07" w:rsidRDefault="00B35B07" w:rsidP="00E304EC">
      <w:pPr>
        <w:spacing w:after="240"/>
        <w:ind w:firstLine="720"/>
        <w:rPr>
          <w:rFonts w:ascii="Calibri" w:hAnsi="Calibri" w:cs="Calibri"/>
          <w:color w:val="000000"/>
          <w:lang w:val="en-US"/>
        </w:rPr>
      </w:pPr>
      <w:r w:rsidRPr="00B35B07">
        <w:rPr>
          <w:rFonts w:ascii="Calibri" w:hAnsi="Calibri" w:cs="Calibri"/>
          <w:color w:val="000000"/>
          <w:lang w:val="en-US"/>
        </w:rPr>
        <w:t>As explained in the transmission channel literature, the reaction of the financial market measured by government bond yields and bond prices (or: bond-yield relationship) is often seen as the first step in the monetary policy transmission. Yield responses seize investors’ confidence in the future monetary</w:t>
      </w:r>
      <w:r w:rsidRPr="00B35B07">
        <w:rPr>
          <w:rFonts w:ascii="Calibri" w:hAnsi="Calibri"/>
          <w:lang w:val="en-US"/>
        </w:rPr>
        <w:t xml:space="preserve"> capacity of a bank, which determines the risk premium for bonds (</w:t>
      </w:r>
      <w:proofErr w:type="spellStart"/>
      <w:r w:rsidRPr="00B35B07">
        <w:rPr>
          <w:rFonts w:ascii="Calibri" w:hAnsi="Calibri"/>
          <w:lang w:val="en-US"/>
        </w:rPr>
        <w:t>Altavilla</w:t>
      </w:r>
      <w:proofErr w:type="spellEnd"/>
      <w:r w:rsidRPr="00B35B07">
        <w:rPr>
          <w:rFonts w:ascii="Calibri" w:hAnsi="Calibri"/>
          <w:lang w:val="en-US"/>
        </w:rPr>
        <w:t xml:space="preserve">, 2015). To better understand this relationship, we first introduce the concept of (government) bonds. </w:t>
      </w:r>
      <w:r w:rsidRPr="00B35B07">
        <w:rPr>
          <w:rFonts w:ascii="Calibri" w:hAnsi="Calibri" w:cs="Calibri"/>
          <w:color w:val="000000"/>
          <w:lang w:val="en-US"/>
        </w:rPr>
        <w:t xml:space="preserve">A bond is a loan that a bond holder (or: investor) provides towards the bond issuer for a specified interest payment, called the bond yield. There are two main bond issuers: governments and corporations. This study focuses on European national governments and therefore studies the effect on government bonds. </w:t>
      </w:r>
    </w:p>
    <w:p w14:paraId="7A8FD659" w14:textId="77777777" w:rsidR="00B35B07" w:rsidRPr="00B35B07" w:rsidRDefault="00B35B07" w:rsidP="00B35B07">
      <w:pPr>
        <w:rPr>
          <w:rFonts w:ascii="Calibri" w:hAnsi="Calibri" w:cs="Calibri"/>
          <w:color w:val="000000"/>
          <w:lang w:val="en-US"/>
        </w:rPr>
      </w:pPr>
    </w:p>
    <w:p w14:paraId="7B1F03BF" w14:textId="77777777" w:rsidR="00B35B07" w:rsidRPr="00B35B07" w:rsidRDefault="00B35B07" w:rsidP="00E304EC">
      <w:pPr>
        <w:ind w:firstLine="720"/>
        <w:rPr>
          <w:rFonts w:ascii="Calibri" w:hAnsi="Calibri" w:cs="Calibri"/>
          <w:color w:val="000000"/>
          <w:lang w:val="en-US"/>
        </w:rPr>
      </w:pPr>
      <w:r w:rsidRPr="00B35B07">
        <w:rPr>
          <w:rFonts w:ascii="Calibri" w:hAnsi="Calibri" w:cs="Calibri"/>
          <w:color w:val="000000"/>
          <w:lang w:val="en-US"/>
        </w:rPr>
        <w:t xml:space="preserve">Government bonds contain a risk premium (rent) called the sovereign yield. This is the rent that investors receive in return for buying these government bonds. Higher government bond yields indicate that bond investors demand larger rent payments on government bonds due to the judgement of the bond being risky. The riskier an issuer of a bond (in this case: national government) is, the more yield investors demand to be compensated for this risk. Due to the financial structure of the EMU, every member could raise capital via government bonds on its own. This results in the financial market determining the default risk on payment obligations of this bond per country. The economic conditions of a country can impact the risk associated with its government bonds. Generally, the better the economic conditions, the lower the risk, which can lead to a lower risk premium (yield) on bonds. </w:t>
      </w:r>
    </w:p>
    <w:p w14:paraId="6FDFBA7C" w14:textId="77777777" w:rsidR="00B35B07" w:rsidRPr="00B35B07" w:rsidRDefault="00B35B07" w:rsidP="00B35B07">
      <w:pPr>
        <w:rPr>
          <w:rFonts w:ascii="Calibri" w:hAnsi="Calibri" w:cs="Calibri"/>
          <w:color w:val="000000"/>
          <w:lang w:val="en-US"/>
        </w:rPr>
      </w:pPr>
    </w:p>
    <w:p w14:paraId="750209E0" w14:textId="5035C511"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At the outbreak of the </w:t>
      </w:r>
      <w:r w:rsidR="004C51EF">
        <w:rPr>
          <w:rFonts w:ascii="Calibri" w:hAnsi="Calibri" w:cs="Calibri"/>
          <w:color w:val="000000"/>
          <w:lang w:val="en-US"/>
        </w:rPr>
        <w:t>COVID-19</w:t>
      </w:r>
      <w:r w:rsidRPr="00B35B07">
        <w:rPr>
          <w:rFonts w:ascii="Calibri" w:hAnsi="Calibri" w:cs="Calibri"/>
          <w:color w:val="000000"/>
          <w:lang w:val="en-US"/>
        </w:rPr>
        <w:t xml:space="preserve"> pandemic a significant increase in the yield levels on government bonds occurred due to an increased default risk. In response the ECB implemented the PEPP program to reduce the risk of default and lower bond yields. Research has shown that announcements of asset purchase programs are associated with a strong and significant reduction in the spread between domestic and German long-term bond yields compared to other unconventional measures (</w:t>
      </w:r>
      <w:proofErr w:type="spellStart"/>
      <w:r w:rsidRPr="00B35B07">
        <w:rPr>
          <w:rFonts w:ascii="Calibri" w:hAnsi="Calibri" w:cs="Calibri"/>
          <w:color w:val="000000"/>
          <w:lang w:val="en-US"/>
        </w:rPr>
        <w:t>Altavilla</w:t>
      </w:r>
      <w:proofErr w:type="spellEnd"/>
      <w:r w:rsidR="00C342A7">
        <w:rPr>
          <w:rFonts w:ascii="Calibri" w:hAnsi="Calibri" w:cs="Calibri"/>
          <w:color w:val="000000"/>
          <w:lang w:val="en-US"/>
        </w:rPr>
        <w:t xml:space="preserve"> et al.</w:t>
      </w:r>
      <w:r w:rsidRPr="00B35B07">
        <w:rPr>
          <w:rFonts w:ascii="Calibri" w:hAnsi="Calibri" w:cs="Calibri"/>
          <w:color w:val="000000"/>
          <w:lang w:val="en-US"/>
        </w:rPr>
        <w:t>, 2015; Afonso et al., 2020). This leads to lower sovereign yields, which can directly result in lower borrowing costs for corporations and other borrowers.</w:t>
      </w:r>
    </w:p>
    <w:p w14:paraId="6A41C6B1" w14:textId="0A6B5D99"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A significant increase in the yield levels on governments bonds can be risky for the EMU while sovereign yields between countries widen. An excessive widening of sovereign yields in a country is called a fragmentation risk. Fragmentation risk in the EMU refers to the risk that financial markets within the EMU will become more divided or separated from one another, which could have negative consequences for economic integration and stability within the eurozone. Fragmentation risk could threaten the efficient transmission of monetary policy while higher bond yields make it more difficult for countries to borrow money and finance operations. Furthermore, high yields can lead to an increase in interest rates which can make it more expensive for individuals and businesses to borrow money. Because both outcomes can lead to a </w:t>
      </w:r>
      <w:r w:rsidRPr="00B35B07">
        <w:rPr>
          <w:rFonts w:ascii="Calibri" w:hAnsi="Calibri" w:cs="Calibri"/>
          <w:color w:val="000000"/>
          <w:lang w:val="en-US"/>
        </w:rPr>
        <w:lastRenderedPageBreak/>
        <w:t>slowdown in economic growth and potentially a recession, controlling sovereign yields is an important factor in decreasing the potential risk of this fragmentation.</w:t>
      </w:r>
    </w:p>
    <w:p w14:paraId="787058ED" w14:textId="05FEB983"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Asset purchase programs are often considered a key tool for the </w:t>
      </w:r>
      <w:r w:rsidR="004C0506">
        <w:rPr>
          <w:rFonts w:ascii="Calibri" w:hAnsi="Calibri" w:cs="Calibri"/>
          <w:color w:val="000000"/>
          <w:lang w:val="en-US"/>
        </w:rPr>
        <w:t xml:space="preserve">ECB </w:t>
      </w:r>
      <w:r w:rsidRPr="00B35B07">
        <w:rPr>
          <w:rFonts w:ascii="Calibri" w:hAnsi="Calibri" w:cs="Calibri"/>
          <w:color w:val="000000"/>
          <w:lang w:val="en-US"/>
        </w:rPr>
        <w:t>to use in times of crisis. Unconventional monetary policy events, such as APP announcements, are an important factor to consider when studying changes in sovereign yield levels. This is particularly relevant in the European Union, where monetary fragmentation between member states could pose a risk to the transmission of European monetary policy to financial markets. By understanding the impact of these measures on yield levels, policymakers can aim to reduce fragmentation and prevent future sovereign debt crises.</w:t>
      </w:r>
    </w:p>
    <w:p w14:paraId="09107A21" w14:textId="77777777"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Improvements in economic conditions, such as higher Gross Domestic Product (GDP) growth, lower public debt, lower unemployment, and higher output growth, can lead to a decrease in sovereign yields on bonds. Research suggests that investors view sovereign bonds issued by countries with less favorable economic prospects as higher risk and more likely to default on debt payments. Since the economic conditions in a country are an important factor to account for in understanding the impact of QE with regards to sovereign yields, this study controls for several literature-based variables of interest.</w:t>
      </w:r>
    </w:p>
    <w:p w14:paraId="582A0B8B" w14:textId="77777777" w:rsidR="00B35B07" w:rsidRPr="00B35B07" w:rsidRDefault="00B35B07" w:rsidP="00B35B07">
      <w:pPr>
        <w:keepNext/>
        <w:keepLines/>
        <w:numPr>
          <w:ilvl w:val="0"/>
          <w:numId w:val="1"/>
        </w:numPr>
        <w:spacing w:before="260" w:after="260"/>
        <w:contextualSpacing/>
        <w:outlineLvl w:val="0"/>
        <w:rPr>
          <w:rFonts w:ascii="Calibri" w:eastAsia="Times New Roman" w:hAnsi="Calibri"/>
          <w:b/>
          <w:vanish/>
          <w:color w:val="000000"/>
          <w:sz w:val="28"/>
          <w:szCs w:val="32"/>
          <w:lang w:val="en-US"/>
        </w:rPr>
      </w:pPr>
      <w:bookmarkStart w:id="50" w:name="_Toc122696467"/>
      <w:bookmarkStart w:id="51" w:name="_Toc122696528"/>
      <w:bookmarkStart w:id="52" w:name="_Toc122697339"/>
      <w:bookmarkEnd w:id="50"/>
      <w:bookmarkEnd w:id="51"/>
      <w:bookmarkEnd w:id="52"/>
    </w:p>
    <w:p w14:paraId="6009BF3E" w14:textId="77777777" w:rsidR="00B35B07" w:rsidRPr="00B35B07" w:rsidRDefault="00B35B07" w:rsidP="00B35B07">
      <w:pPr>
        <w:keepNext/>
        <w:keepLines/>
        <w:numPr>
          <w:ilvl w:val="0"/>
          <w:numId w:val="1"/>
        </w:numPr>
        <w:spacing w:before="260" w:after="260"/>
        <w:contextualSpacing/>
        <w:outlineLvl w:val="0"/>
        <w:rPr>
          <w:rFonts w:ascii="Calibri" w:eastAsia="Times New Roman" w:hAnsi="Calibri"/>
          <w:b/>
          <w:vanish/>
          <w:color w:val="000000"/>
          <w:sz w:val="28"/>
          <w:szCs w:val="32"/>
          <w:lang w:val="en-US"/>
        </w:rPr>
      </w:pPr>
      <w:bookmarkStart w:id="53" w:name="_Toc122696468"/>
      <w:bookmarkStart w:id="54" w:name="_Toc122696529"/>
      <w:bookmarkStart w:id="55" w:name="_Toc122697340"/>
      <w:bookmarkEnd w:id="53"/>
      <w:bookmarkEnd w:id="54"/>
      <w:bookmarkEnd w:id="55"/>
    </w:p>
    <w:p w14:paraId="70FA8F01" w14:textId="77777777" w:rsidR="00B35B07" w:rsidRPr="00B35B07" w:rsidRDefault="00B35B07" w:rsidP="00B35B07">
      <w:pPr>
        <w:numPr>
          <w:ilvl w:val="1"/>
          <w:numId w:val="6"/>
        </w:numPr>
        <w:spacing w:line="240" w:lineRule="auto"/>
        <w:jc w:val="left"/>
        <w:outlineLvl w:val="1"/>
        <w:rPr>
          <w:rFonts w:ascii="Calibri" w:eastAsia="Times New Roman" w:hAnsi="Calibri"/>
          <w:b/>
          <w:bCs/>
          <w:color w:val="000000"/>
          <w:lang w:val="en-US"/>
        </w:rPr>
      </w:pPr>
      <w:r w:rsidRPr="00B35B07">
        <w:rPr>
          <w:rFonts w:ascii="Calibri" w:eastAsia="Times New Roman" w:hAnsi="Calibri"/>
          <w:b/>
          <w:bCs/>
          <w:color w:val="000000"/>
          <w:lang w:val="en-US"/>
        </w:rPr>
        <w:t xml:space="preserve"> </w:t>
      </w:r>
      <w:bookmarkStart w:id="56" w:name="_Toc121316970"/>
      <w:bookmarkStart w:id="57" w:name="_Toc122697341"/>
      <w:r w:rsidRPr="00B35B07">
        <w:rPr>
          <w:rFonts w:ascii="Calibri" w:eastAsia="Times New Roman" w:hAnsi="Calibri"/>
          <w:b/>
          <w:bCs/>
          <w:color w:val="000000"/>
          <w:lang w:val="en-US"/>
        </w:rPr>
        <w:t>Asset Purchase Programs (APP)</w:t>
      </w:r>
      <w:bookmarkEnd w:id="56"/>
      <w:r w:rsidRPr="00B35B07">
        <w:rPr>
          <w:rFonts w:ascii="Calibri" w:eastAsia="Times New Roman" w:hAnsi="Calibri"/>
          <w:b/>
          <w:bCs/>
          <w:color w:val="000000"/>
          <w:lang w:val="en-US"/>
        </w:rPr>
        <w:t xml:space="preserve"> literature</w:t>
      </w:r>
      <w:bookmarkEnd w:id="57"/>
    </w:p>
    <w:p w14:paraId="574CFF44" w14:textId="77777777" w:rsidR="00B35B07" w:rsidRPr="00B35B07" w:rsidRDefault="00B35B07" w:rsidP="00B35B07">
      <w:pPr>
        <w:rPr>
          <w:rFonts w:ascii="Calibri" w:hAnsi="Calibri"/>
          <w:lang w:val="en-US"/>
        </w:rPr>
      </w:pPr>
    </w:p>
    <w:p w14:paraId="3FE9AEBE" w14:textId="00D690D8"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To understand how asset purchase programs affect bond yields, current literature on this topic is reviewed in this section. The literature on APPs, which can be broadly grouped into three main directions. In this review, we will summarize the main findings from these three directions.</w:t>
      </w:r>
    </w:p>
    <w:p w14:paraId="02E17D1A" w14:textId="77777777"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The first direction of literature on asset purchase programs focuses on how they can be incorporated into standard New Keynesian models. This literature suggests that central bank asset purchases may only be effective in stimulating economic activity if they are invoked during financial market disruptions. In other words, if the economy is functioning normally, the impact of asset purchases on the economy may be limited. Furthermore, </w:t>
      </w:r>
      <w:proofErr w:type="spellStart"/>
      <w:r w:rsidRPr="00B35B07">
        <w:rPr>
          <w:rFonts w:ascii="Calibri" w:hAnsi="Calibri" w:cs="Calibri"/>
          <w:color w:val="000000"/>
          <w:lang w:val="en-US"/>
        </w:rPr>
        <w:t>Eggertsson</w:t>
      </w:r>
      <w:proofErr w:type="spellEnd"/>
      <w:r w:rsidRPr="00B35B07">
        <w:rPr>
          <w:rFonts w:ascii="Calibri" w:hAnsi="Calibri" w:cs="Calibri"/>
          <w:color w:val="000000"/>
          <w:lang w:val="en-US"/>
        </w:rPr>
        <w:t xml:space="preserve"> and Woodford (2003) argue that asset purchase programs may be ineffective if the central bank does </w:t>
      </w:r>
      <w:proofErr w:type="gramStart"/>
      <w:r w:rsidRPr="00B35B07">
        <w:rPr>
          <w:rFonts w:ascii="Calibri" w:hAnsi="Calibri" w:cs="Calibri"/>
          <w:color w:val="000000"/>
          <w:lang w:val="en-US"/>
        </w:rPr>
        <w:t>not also</w:t>
      </w:r>
      <w:proofErr w:type="gramEnd"/>
      <w:r w:rsidRPr="00B35B07">
        <w:rPr>
          <w:rFonts w:ascii="Calibri" w:hAnsi="Calibri" w:cs="Calibri"/>
          <w:color w:val="000000"/>
          <w:lang w:val="en-US"/>
        </w:rPr>
        <w:t xml:space="preserve"> pursue credit easing measures or fails to change investor’s expectations about future interest rate </w:t>
      </w:r>
      <w:r w:rsidRPr="00B35B07">
        <w:rPr>
          <w:rFonts w:ascii="Calibri" w:hAnsi="Calibri" w:cs="Calibri"/>
          <w:color w:val="000000"/>
          <w:lang w:val="en-US"/>
        </w:rPr>
        <w:lastRenderedPageBreak/>
        <w:t xml:space="preserve">policy. This is because asset purchase programs rely on the transmission of monetary policy through financial market channels, which can be disrupted if credit conditions are tight or if investors distrust the ECB’s commitment (Ricci, 2015). During times of crisis, the effectiveness of monetary policy can depend on the level of trust that investors have in the policy being pursued. According to studies by Ricci (2015) and </w:t>
      </w:r>
      <w:proofErr w:type="spellStart"/>
      <w:r w:rsidRPr="00B35B07">
        <w:rPr>
          <w:rFonts w:ascii="Calibri" w:hAnsi="Calibri" w:cs="Calibri"/>
          <w:color w:val="000000"/>
          <w:lang w:val="en-US"/>
        </w:rPr>
        <w:t>Fiordelisi</w:t>
      </w:r>
      <w:proofErr w:type="spellEnd"/>
      <w:r w:rsidRPr="00B35B07">
        <w:rPr>
          <w:rFonts w:ascii="Calibri" w:hAnsi="Calibri" w:cs="Calibri"/>
          <w:color w:val="000000"/>
          <w:lang w:val="en-US"/>
        </w:rPr>
        <w:t xml:space="preserve"> et al. (2014), different monetary policies can either lead to trust or distrust among investors, depending on the perceived effectiveness of the policy and the investor's confidence in the central bank's ability to address the crisis. </w:t>
      </w:r>
      <w:proofErr w:type="spellStart"/>
      <w:r w:rsidRPr="00B35B07">
        <w:rPr>
          <w:rFonts w:ascii="Calibri" w:hAnsi="Calibri" w:cs="Calibri"/>
          <w:color w:val="000000"/>
          <w:lang w:val="en-US"/>
        </w:rPr>
        <w:t>Eggertsson</w:t>
      </w:r>
      <w:proofErr w:type="spellEnd"/>
      <w:r w:rsidRPr="00B35B07">
        <w:rPr>
          <w:rFonts w:ascii="Calibri" w:hAnsi="Calibri" w:cs="Calibri"/>
          <w:color w:val="000000"/>
          <w:lang w:val="en-US"/>
        </w:rPr>
        <w:t xml:space="preserve"> and Woodford (2003) also found that the power of asset purchase programs to change people's expectations about the future economic outlook may be important for understanding the impact of the announcement of these programs. A key finding this study builds upon and aims to further explore.</w:t>
      </w:r>
    </w:p>
    <w:p w14:paraId="1F890C43" w14:textId="67F52C1B"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The second direction of literature on asset purchase programs focuses on their long-term effectiveness. Many of these studies use vector autoregression estimators to analyze the effects of APPs on financial markets and the economy. For instance, </w:t>
      </w:r>
      <w:proofErr w:type="spellStart"/>
      <w:r w:rsidRPr="00B35B07">
        <w:rPr>
          <w:rFonts w:ascii="Calibri" w:hAnsi="Calibri" w:cs="Calibri"/>
          <w:color w:val="000000"/>
          <w:lang w:val="en-US"/>
        </w:rPr>
        <w:t>Gambacorta</w:t>
      </w:r>
      <w:proofErr w:type="spellEnd"/>
      <w:r w:rsidR="00B976E1">
        <w:rPr>
          <w:rFonts w:ascii="Calibri" w:hAnsi="Calibri" w:cs="Calibri"/>
          <w:color w:val="000000"/>
          <w:lang w:val="en-US"/>
        </w:rPr>
        <w:t xml:space="preserve"> et al. </w:t>
      </w:r>
      <w:r w:rsidRPr="00B35B07">
        <w:rPr>
          <w:rFonts w:ascii="Calibri" w:hAnsi="Calibri" w:cs="Calibri"/>
          <w:color w:val="000000"/>
          <w:lang w:val="en-US"/>
        </w:rPr>
        <w:t>(2014) used a panel vector autoregression model to study the impact of unconventional monetary policies in eight advanced economies using monthly data. They found that, when the central bank’s policy rate is at the ZLB, increases in the central bank's balance sheet can lead to short-term increases in GDP output and consumer prices. However, a criticism of this approach is that these effects may only be temporary and not significant in the long run, and that the study only measures balance sheet changes rather than the impact of the announcement of the policy itself.</w:t>
      </w:r>
    </w:p>
    <w:p w14:paraId="67A83A8F" w14:textId="072CCD9D"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The third direction of literature on asset purchase programs examines their short-term effects on financial markets. Many of these studies use event study methodology, term structure models, or a combination of </w:t>
      </w:r>
      <w:proofErr w:type="gramStart"/>
      <w:r w:rsidRPr="00B35B07">
        <w:rPr>
          <w:rFonts w:ascii="Calibri" w:hAnsi="Calibri" w:cs="Calibri"/>
          <w:color w:val="000000"/>
          <w:lang w:val="en-US"/>
        </w:rPr>
        <w:t>both to</w:t>
      </w:r>
      <w:proofErr w:type="gramEnd"/>
      <w:r w:rsidRPr="00B35B07">
        <w:rPr>
          <w:rFonts w:ascii="Calibri" w:hAnsi="Calibri" w:cs="Calibri"/>
          <w:color w:val="000000"/>
          <w:lang w:val="en-US"/>
        </w:rPr>
        <w:t xml:space="preserve"> analyze these effects. Examples of this type of research include Joyce et al. (2011), </w:t>
      </w:r>
      <w:proofErr w:type="spellStart"/>
      <w:r w:rsidRPr="00B35B07">
        <w:rPr>
          <w:rFonts w:ascii="Calibri" w:hAnsi="Calibri" w:cs="Calibri"/>
          <w:color w:val="000000"/>
          <w:lang w:val="en-US"/>
        </w:rPr>
        <w:t>Fendel</w:t>
      </w:r>
      <w:proofErr w:type="spellEnd"/>
      <w:r w:rsidRPr="00B35B07">
        <w:rPr>
          <w:rFonts w:ascii="Calibri" w:hAnsi="Calibri" w:cs="Calibri"/>
          <w:color w:val="000000"/>
          <w:lang w:val="en-US"/>
        </w:rPr>
        <w:t xml:space="preserve"> et al. (2021), </w:t>
      </w:r>
      <w:proofErr w:type="spellStart"/>
      <w:r w:rsidRPr="00B35B07">
        <w:rPr>
          <w:rFonts w:ascii="Calibri" w:hAnsi="Calibri" w:cs="Calibri"/>
          <w:color w:val="000000"/>
          <w:lang w:val="en-US"/>
        </w:rPr>
        <w:t>Urbschat</w:t>
      </w:r>
      <w:proofErr w:type="spellEnd"/>
      <w:r w:rsidRPr="00B35B07">
        <w:rPr>
          <w:rFonts w:ascii="Calibri" w:hAnsi="Calibri" w:cs="Calibri"/>
          <w:color w:val="000000"/>
          <w:lang w:val="en-US"/>
        </w:rPr>
        <w:t xml:space="preserve"> (2020), and </w:t>
      </w:r>
      <w:proofErr w:type="spellStart"/>
      <w:r w:rsidRPr="00B35B07">
        <w:rPr>
          <w:rFonts w:ascii="Calibri" w:hAnsi="Calibri" w:cs="Calibri"/>
          <w:color w:val="000000"/>
          <w:lang w:val="en-US"/>
        </w:rPr>
        <w:t>Altavilla</w:t>
      </w:r>
      <w:proofErr w:type="spellEnd"/>
      <w:r w:rsidRPr="00B35B07">
        <w:rPr>
          <w:rFonts w:ascii="Calibri" w:hAnsi="Calibri" w:cs="Calibri"/>
          <w:color w:val="000000"/>
          <w:lang w:val="en-US"/>
        </w:rPr>
        <w:t xml:space="preserve"> et al. (2015). This study is particularly relevant to the work of Joyce </w:t>
      </w:r>
      <w:r w:rsidR="00FF33F8">
        <w:rPr>
          <w:rFonts w:ascii="Calibri" w:hAnsi="Calibri" w:cs="Calibri"/>
          <w:color w:val="000000"/>
          <w:lang w:val="en-US"/>
        </w:rPr>
        <w:t xml:space="preserve">et al. </w:t>
      </w:r>
      <w:r w:rsidRPr="00B35B07">
        <w:rPr>
          <w:rFonts w:ascii="Calibri" w:hAnsi="Calibri" w:cs="Calibri"/>
          <w:color w:val="000000"/>
          <w:lang w:val="en-US"/>
        </w:rPr>
        <w:t>(201</w:t>
      </w:r>
      <w:r w:rsidR="00FF33F8">
        <w:rPr>
          <w:rFonts w:ascii="Calibri" w:hAnsi="Calibri" w:cs="Calibri"/>
          <w:color w:val="000000"/>
          <w:lang w:val="en-US"/>
        </w:rPr>
        <w:t>1</w:t>
      </w:r>
      <w:r w:rsidRPr="00B35B07">
        <w:rPr>
          <w:rFonts w:ascii="Calibri" w:hAnsi="Calibri" w:cs="Calibri"/>
          <w:color w:val="000000"/>
          <w:lang w:val="en-US"/>
        </w:rPr>
        <w:t xml:space="preserve">) and </w:t>
      </w:r>
      <w:proofErr w:type="spellStart"/>
      <w:r w:rsidRPr="00B35B07">
        <w:rPr>
          <w:rFonts w:ascii="Calibri" w:hAnsi="Calibri" w:cs="Calibri"/>
          <w:color w:val="000000"/>
          <w:lang w:val="en-US"/>
        </w:rPr>
        <w:t>Urbschat</w:t>
      </w:r>
      <w:proofErr w:type="spellEnd"/>
      <w:r w:rsidRPr="00B35B07">
        <w:rPr>
          <w:rFonts w:ascii="Calibri" w:hAnsi="Calibri" w:cs="Calibri"/>
          <w:color w:val="000000"/>
          <w:lang w:val="en-US"/>
        </w:rPr>
        <w:t xml:space="preserve"> and </w:t>
      </w:r>
      <w:proofErr w:type="spellStart"/>
      <w:r w:rsidRPr="00B35B07">
        <w:rPr>
          <w:rFonts w:ascii="Calibri" w:hAnsi="Calibri" w:cs="Calibri"/>
          <w:color w:val="000000"/>
          <w:lang w:val="en-US"/>
        </w:rPr>
        <w:t>Watzka</w:t>
      </w:r>
      <w:proofErr w:type="spellEnd"/>
      <w:r w:rsidRPr="00B35B07">
        <w:rPr>
          <w:rFonts w:ascii="Calibri" w:hAnsi="Calibri" w:cs="Calibri"/>
          <w:color w:val="000000"/>
          <w:lang w:val="en-US"/>
        </w:rPr>
        <w:t xml:space="preserve"> (2020), who both examine the short-term impact of asset purchase programs on bond yields using event study methodology. These studies find that asset purchases can lower medium- to long-term </w:t>
      </w:r>
      <w:r w:rsidRPr="00B35B07">
        <w:rPr>
          <w:rFonts w:ascii="Calibri" w:hAnsi="Calibri" w:cs="Calibri"/>
          <w:color w:val="000000"/>
          <w:lang w:val="en-US"/>
        </w:rPr>
        <w:lastRenderedPageBreak/>
        <w:t>bond yields by 100 basis points over a two-day window, due to the portfolio balancing effect discussed earlier in the literature review.</w:t>
      </w:r>
    </w:p>
    <w:p w14:paraId="3BDB7716" w14:textId="4A962502"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This study contributes to the growing body of literature examining the short-term effects of unconventional monetary policy measures. There is still a lack of understanding about the short-term impact of asset purchase programs such as the PEPP. While current research has focused on the aggregate impact announcements on the euro area, it has largely ignored the heterogeneous reactions of individual countries' bond yields and the impact on the aggregate in times of crisis. It is expected that UMP announcements will generally lead to a decrease in bond yields, but more research is needed to fully understand the diverse effects on individual member states. This study aims to fill this gap by providing one of the first analyses of the impact of PEPP announcements during times of the </w:t>
      </w:r>
      <w:r w:rsidR="004C51EF">
        <w:rPr>
          <w:rFonts w:ascii="Calibri" w:hAnsi="Calibri" w:cs="Calibri"/>
          <w:color w:val="000000"/>
          <w:lang w:val="en-US"/>
        </w:rPr>
        <w:t>COVID-19</w:t>
      </w:r>
      <w:r w:rsidRPr="00B35B07">
        <w:rPr>
          <w:rFonts w:ascii="Calibri" w:hAnsi="Calibri" w:cs="Calibri"/>
          <w:color w:val="000000"/>
          <w:lang w:val="en-US"/>
        </w:rPr>
        <w:t xml:space="preserve"> crisis.</w:t>
      </w:r>
    </w:p>
    <w:p w14:paraId="6D74597C" w14:textId="1EE2F78E"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Additionally, the asset purchase program announcements of the </w:t>
      </w:r>
      <w:r w:rsidR="004C51EF">
        <w:rPr>
          <w:rFonts w:ascii="Calibri" w:hAnsi="Calibri" w:cs="Calibri"/>
          <w:color w:val="000000"/>
          <w:lang w:val="en-US"/>
        </w:rPr>
        <w:t>ECB</w:t>
      </w:r>
      <w:r w:rsidRPr="00B35B07">
        <w:rPr>
          <w:rFonts w:ascii="Calibri" w:hAnsi="Calibri" w:cs="Calibri"/>
          <w:color w:val="000000"/>
          <w:lang w:val="en-US"/>
        </w:rPr>
        <w:t xml:space="preserve"> tend to have a greater impact on the government bonds of stressed countries, as these programs are intended to support the economies of the euro area that are under financial distress</w:t>
      </w:r>
      <w:r w:rsidR="007F6AFD">
        <w:rPr>
          <w:rFonts w:ascii="Calibri" w:hAnsi="Calibri" w:cs="Calibri"/>
          <w:color w:val="000000"/>
          <w:lang w:val="en-US"/>
        </w:rPr>
        <w:t xml:space="preserve"> </w:t>
      </w:r>
      <w:r w:rsidR="007F6AFD" w:rsidRPr="007F6AFD">
        <w:rPr>
          <w:rFonts w:ascii="Calibri" w:hAnsi="Calibri" w:cs="Calibri"/>
          <w:color w:val="000000"/>
          <w:lang w:val="en-US"/>
        </w:rPr>
        <w:t>(</w:t>
      </w:r>
      <w:proofErr w:type="spellStart"/>
      <w:r w:rsidR="007F6AFD" w:rsidRPr="007F6AFD">
        <w:rPr>
          <w:rFonts w:ascii="Calibri" w:hAnsi="Calibri" w:cs="Calibri"/>
          <w:color w:val="000000"/>
          <w:lang w:val="en-US"/>
        </w:rPr>
        <w:t>Fendel</w:t>
      </w:r>
      <w:proofErr w:type="spellEnd"/>
      <w:r w:rsidR="007F6AFD" w:rsidRPr="007F6AFD">
        <w:rPr>
          <w:rFonts w:ascii="Calibri" w:hAnsi="Calibri" w:cs="Calibri"/>
          <w:color w:val="000000"/>
          <w:lang w:val="en-US"/>
        </w:rPr>
        <w:t xml:space="preserve"> and Neugebauer, 2019; </w:t>
      </w:r>
      <w:proofErr w:type="spellStart"/>
      <w:r w:rsidR="007F6AFD" w:rsidRPr="007F6AFD">
        <w:rPr>
          <w:rFonts w:ascii="Calibri" w:hAnsi="Calibri" w:cs="Calibri"/>
          <w:color w:val="000000"/>
          <w:lang w:val="en-US"/>
        </w:rPr>
        <w:t>Urbschat</w:t>
      </w:r>
      <w:proofErr w:type="spellEnd"/>
      <w:r w:rsidR="007F6AFD" w:rsidRPr="007F6AFD">
        <w:rPr>
          <w:rFonts w:ascii="Calibri" w:hAnsi="Calibri" w:cs="Calibri"/>
          <w:color w:val="000000"/>
          <w:lang w:val="en-US"/>
        </w:rPr>
        <w:t xml:space="preserve"> and </w:t>
      </w:r>
      <w:proofErr w:type="spellStart"/>
      <w:r w:rsidR="007F6AFD" w:rsidRPr="007F6AFD">
        <w:rPr>
          <w:rFonts w:ascii="Calibri" w:hAnsi="Calibri" w:cs="Calibri"/>
          <w:color w:val="000000"/>
          <w:lang w:val="en-US"/>
        </w:rPr>
        <w:t>Watzka</w:t>
      </w:r>
      <w:proofErr w:type="spellEnd"/>
      <w:r w:rsidR="007F6AFD" w:rsidRPr="007F6AFD">
        <w:rPr>
          <w:rFonts w:ascii="Calibri" w:hAnsi="Calibri" w:cs="Calibri"/>
          <w:color w:val="000000"/>
          <w:lang w:val="en-US"/>
        </w:rPr>
        <w:t>, 2020; Afonso et al., 2020)</w:t>
      </w:r>
      <w:r w:rsidRPr="00B35B07">
        <w:rPr>
          <w:rFonts w:ascii="Calibri" w:hAnsi="Calibri" w:cs="Calibri"/>
          <w:color w:val="000000"/>
          <w:lang w:val="en-US"/>
        </w:rPr>
        <w:t xml:space="preserve">. In contrast, the yields of more financially secure countries are likely to be less </w:t>
      </w:r>
      <w:r w:rsidR="006D3917">
        <w:rPr>
          <w:rFonts w:ascii="Calibri" w:hAnsi="Calibri" w:cs="Calibri"/>
          <w:color w:val="000000"/>
          <w:lang w:val="en-US"/>
        </w:rPr>
        <w:t>reactive</w:t>
      </w:r>
      <w:r w:rsidRPr="00B35B07">
        <w:rPr>
          <w:rFonts w:ascii="Calibri" w:hAnsi="Calibri" w:cs="Calibri"/>
          <w:color w:val="000000"/>
          <w:lang w:val="en-US"/>
        </w:rPr>
        <w:t xml:space="preserve"> to these announcements. A group-based panel regression that analyzes the aggregate effect of these programs on different groups of countries would provide valuable insight into this topic. However, previous studies have only included a subset of the EMU rather than a comprehensive view of the EMU (</w:t>
      </w:r>
      <w:proofErr w:type="spellStart"/>
      <w:r w:rsidRPr="00B35B07">
        <w:rPr>
          <w:rFonts w:ascii="Calibri" w:hAnsi="Calibri" w:cs="Calibri"/>
          <w:color w:val="000000"/>
          <w:lang w:val="en-US"/>
        </w:rPr>
        <w:t>Altavilla</w:t>
      </w:r>
      <w:proofErr w:type="spellEnd"/>
      <w:r w:rsidR="007211A3">
        <w:rPr>
          <w:rFonts w:ascii="Calibri" w:hAnsi="Calibri" w:cs="Calibri"/>
          <w:color w:val="000000"/>
          <w:lang w:val="en-US"/>
        </w:rPr>
        <w:t xml:space="preserve"> et al.</w:t>
      </w:r>
      <w:r w:rsidRPr="00B35B07">
        <w:rPr>
          <w:rFonts w:ascii="Calibri" w:hAnsi="Calibri" w:cs="Calibri"/>
          <w:color w:val="000000"/>
          <w:lang w:val="en-US"/>
        </w:rPr>
        <w:t>, 201</w:t>
      </w:r>
      <w:r w:rsidR="007211A3">
        <w:rPr>
          <w:rFonts w:ascii="Calibri" w:hAnsi="Calibri" w:cs="Calibri"/>
          <w:color w:val="000000"/>
          <w:lang w:val="en-US"/>
        </w:rPr>
        <w:t>5</w:t>
      </w:r>
      <w:r w:rsidRPr="00B35B07">
        <w:rPr>
          <w:rFonts w:ascii="Calibri" w:hAnsi="Calibri" w:cs="Calibri"/>
          <w:color w:val="000000"/>
          <w:lang w:val="en-US"/>
        </w:rPr>
        <w:t>).</w:t>
      </w:r>
    </w:p>
    <w:p w14:paraId="2399E9BA" w14:textId="10C04C90" w:rsid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In addition, some studies have focused on yield spreads rather than absolute yield levels.</w:t>
      </w:r>
      <w:r w:rsidR="00E304EC">
        <w:rPr>
          <w:rFonts w:ascii="Calibri" w:hAnsi="Calibri" w:cs="Calibri"/>
          <w:color w:val="000000"/>
          <w:lang w:val="en-US"/>
        </w:rPr>
        <w:t xml:space="preserve"> </w:t>
      </w:r>
      <w:proofErr w:type="gramStart"/>
      <w:r w:rsidRPr="00B35B07">
        <w:rPr>
          <w:rFonts w:ascii="Calibri" w:hAnsi="Calibri" w:cs="Calibri"/>
          <w:color w:val="000000"/>
          <w:lang w:val="en-US"/>
        </w:rPr>
        <w:t>Despite</w:t>
      </w:r>
      <w:proofErr w:type="gramEnd"/>
      <w:r w:rsidRPr="00B35B07">
        <w:rPr>
          <w:rFonts w:ascii="Calibri" w:hAnsi="Calibri" w:cs="Calibri"/>
          <w:color w:val="000000"/>
          <w:lang w:val="en-US"/>
        </w:rPr>
        <w:t xml:space="preserve"> the fact that analyzing yield spreads can be useful for certain purposes, our study aims to examine the absolute level effects of UMP announcements on yields. Understanding the impact on absolute yield levels is essential for monetary policy decision-making, while heterogeneous member states’ yield reactions can be of great use in making more effective monetary policy. </w:t>
      </w:r>
    </w:p>
    <w:p w14:paraId="3C45E5E3" w14:textId="60910A6F" w:rsidR="00E304EC" w:rsidRDefault="00E304EC" w:rsidP="00B35B07">
      <w:pPr>
        <w:spacing w:after="240"/>
        <w:ind w:firstLine="720"/>
        <w:rPr>
          <w:rFonts w:ascii="Calibri" w:hAnsi="Calibri" w:cs="Calibri"/>
          <w:color w:val="000000"/>
          <w:lang w:val="en-US"/>
        </w:rPr>
      </w:pPr>
    </w:p>
    <w:p w14:paraId="374A1D6A" w14:textId="77777777" w:rsidR="00E304EC" w:rsidRPr="00B35B07" w:rsidRDefault="00E304EC" w:rsidP="00B35B07">
      <w:pPr>
        <w:spacing w:after="240"/>
        <w:ind w:firstLine="720"/>
        <w:rPr>
          <w:rFonts w:ascii="Calibri" w:hAnsi="Calibri" w:cs="Calibri"/>
          <w:color w:val="000000"/>
          <w:lang w:val="en-US"/>
        </w:rPr>
      </w:pPr>
    </w:p>
    <w:p w14:paraId="62A84BD3" w14:textId="77777777" w:rsidR="00B35B07" w:rsidRPr="00B35B07" w:rsidRDefault="00B35B07" w:rsidP="00B35B07">
      <w:pPr>
        <w:numPr>
          <w:ilvl w:val="1"/>
          <w:numId w:val="6"/>
        </w:numPr>
        <w:spacing w:line="240" w:lineRule="auto"/>
        <w:jc w:val="left"/>
        <w:outlineLvl w:val="1"/>
        <w:rPr>
          <w:rFonts w:ascii="Calibri" w:hAnsi="Calibri" w:cs="Calibri"/>
          <w:b/>
          <w:bCs/>
          <w:color w:val="000000"/>
          <w:lang w:val="en-US"/>
        </w:rPr>
      </w:pPr>
      <w:bookmarkStart w:id="58" w:name="_Toc122697342"/>
      <w:r w:rsidRPr="00B35B07">
        <w:rPr>
          <w:rFonts w:ascii="Calibri" w:hAnsi="Calibri" w:cs="Calibri"/>
          <w:b/>
          <w:bCs/>
          <w:color w:val="000000"/>
          <w:lang w:val="en-US"/>
        </w:rPr>
        <w:lastRenderedPageBreak/>
        <w:t>Hypotheses</w:t>
      </w:r>
      <w:bookmarkEnd w:id="58"/>
    </w:p>
    <w:p w14:paraId="6D71D3E3" w14:textId="77777777" w:rsidR="00B35B07" w:rsidRPr="00B35B07" w:rsidRDefault="00B35B07" w:rsidP="00B35B07">
      <w:pPr>
        <w:rPr>
          <w:rFonts w:ascii="Calibri" w:hAnsi="Calibri"/>
          <w:lang w:val="en-US"/>
        </w:rPr>
      </w:pPr>
    </w:p>
    <w:p w14:paraId="42DA9D6E" w14:textId="77777777"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To analyze the transmission of UMP, absolute yield level changes following ECB UMP announcements are studied of individual EU member states, core countries and the periphery countries and the aggregate EMU forming the following three hypotheses. </w:t>
      </w:r>
    </w:p>
    <w:p w14:paraId="57D66970" w14:textId="77777777"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The first hypothesis states that sovereign long-term yield levels for the EU aggregate of countries tend to decrease significantly when the ECB announces quantitative easing measures in severe crisis mainly due to the strong yield-reducing power of the APP. This is primarily due to the strong yield-reducing power of the asset purchase program. Resulting in the following hypothesis:</w:t>
      </w:r>
    </w:p>
    <w:p w14:paraId="5797DDC7" w14:textId="77777777" w:rsidR="00B35B07" w:rsidRPr="00B35B07" w:rsidRDefault="00B35B07" w:rsidP="00B35B07">
      <w:pPr>
        <w:spacing w:after="240"/>
        <w:ind w:firstLine="0"/>
        <w:rPr>
          <w:rFonts w:ascii="Calibri" w:hAnsi="Calibri" w:cs="Calibri"/>
          <w:b/>
          <w:bCs/>
          <w:color w:val="000000"/>
          <w:lang w:val="en-US"/>
        </w:rPr>
      </w:pPr>
      <w:bookmarkStart w:id="59" w:name="_Hlk121908528"/>
      <w:r w:rsidRPr="00B35B07">
        <w:rPr>
          <w:rFonts w:ascii="Calibri" w:hAnsi="Calibri" w:cs="Calibri"/>
          <w:b/>
          <w:bCs/>
          <w:color w:val="000000"/>
          <w:lang w:val="en-US"/>
        </w:rPr>
        <w:t>H</w:t>
      </w:r>
      <w:r w:rsidRPr="00B35B07">
        <w:rPr>
          <w:rFonts w:ascii="Calibri" w:hAnsi="Calibri" w:cs="Calibri"/>
          <w:b/>
          <w:bCs/>
          <w:color w:val="000000"/>
          <w:vertAlign w:val="subscript"/>
          <w:lang w:val="en-US"/>
        </w:rPr>
        <w:t>1</w:t>
      </w:r>
      <w:r w:rsidRPr="00B35B07">
        <w:rPr>
          <w:rFonts w:ascii="Calibri" w:hAnsi="Calibri" w:cs="Calibri"/>
          <w:b/>
          <w:bCs/>
          <w:color w:val="000000"/>
          <w:lang w:val="en-US"/>
        </w:rPr>
        <w:t>:</w:t>
      </w:r>
      <w:r w:rsidRPr="00B35B07">
        <w:rPr>
          <w:rFonts w:ascii="Calibri" w:hAnsi="Calibri" w:cs="Calibri"/>
          <w:b/>
          <w:color w:val="000000"/>
          <w:lang w:val="en-US"/>
        </w:rPr>
        <w:t xml:space="preserve"> Sovereign Long-term yield levels for EU aggregate decrease when the ECB announces </w:t>
      </w:r>
      <w:r w:rsidRPr="00B35B07">
        <w:rPr>
          <w:rFonts w:ascii="Calibri" w:hAnsi="Calibri" w:cs="Calibri"/>
          <w:b/>
          <w:bCs/>
          <w:color w:val="000000"/>
          <w:lang w:val="en-US"/>
        </w:rPr>
        <w:t>QE measures during severe crisis</w:t>
      </w:r>
    </w:p>
    <w:p w14:paraId="7824114D" w14:textId="77777777"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To determine if this conjecture holds for individual countries, this study focuses on country-specific yield levels. Based on literature it is expected that the same argument proposed in Hypothesis 1 will hold true, leading to the following hypothesis:</w:t>
      </w:r>
    </w:p>
    <w:p w14:paraId="1AB8BA66" w14:textId="77777777" w:rsidR="00B35B07" w:rsidRPr="00B35B07" w:rsidRDefault="00B35B07" w:rsidP="00B35B07">
      <w:pPr>
        <w:spacing w:after="240"/>
        <w:ind w:firstLine="0"/>
        <w:rPr>
          <w:rFonts w:ascii="Calibri" w:hAnsi="Calibri" w:cs="Calibri"/>
          <w:b/>
          <w:bCs/>
          <w:color w:val="000000"/>
          <w:lang w:val="en-US"/>
        </w:rPr>
      </w:pPr>
      <w:r w:rsidRPr="00B35B07">
        <w:rPr>
          <w:rFonts w:ascii="Calibri" w:hAnsi="Calibri" w:cs="Calibri"/>
          <w:b/>
          <w:bCs/>
          <w:color w:val="000000"/>
          <w:lang w:val="en-US"/>
        </w:rPr>
        <w:t>H</w:t>
      </w:r>
      <w:r w:rsidRPr="00B35B07">
        <w:rPr>
          <w:rFonts w:ascii="Calibri" w:hAnsi="Calibri" w:cs="Calibri"/>
          <w:b/>
          <w:bCs/>
          <w:color w:val="000000"/>
          <w:vertAlign w:val="subscript"/>
          <w:lang w:val="en-US"/>
        </w:rPr>
        <w:t>2</w:t>
      </w:r>
      <w:r w:rsidRPr="00B35B07">
        <w:rPr>
          <w:rFonts w:ascii="Calibri" w:hAnsi="Calibri" w:cs="Calibri"/>
          <w:b/>
          <w:bCs/>
          <w:color w:val="000000"/>
          <w:lang w:val="en-US"/>
        </w:rPr>
        <w:t>: Sovereign Long-term yield levels for an individual EU country decrease when the ECB announces QE measures during severe crisis</w:t>
      </w:r>
    </w:p>
    <w:p w14:paraId="3BD3A59C" w14:textId="77777777" w:rsidR="00B35B07" w:rsidRPr="00B35B07" w:rsidRDefault="00B35B07" w:rsidP="00B35B07">
      <w:pPr>
        <w:spacing w:after="240"/>
        <w:ind w:firstLine="720"/>
        <w:rPr>
          <w:rFonts w:ascii="Calibri" w:hAnsi="Calibri" w:cs="Calibri"/>
          <w:color w:val="000000"/>
          <w:lang w:val="en-US"/>
        </w:rPr>
      </w:pPr>
      <w:bookmarkStart w:id="60" w:name="_Hlk121908511"/>
      <w:bookmarkEnd w:id="59"/>
      <w:r w:rsidRPr="00B35B07">
        <w:rPr>
          <w:rFonts w:ascii="Calibri" w:hAnsi="Calibri" w:cs="Calibri"/>
          <w:color w:val="000000"/>
          <w:lang w:val="en-US"/>
        </w:rPr>
        <w:t xml:space="preserve">This study's dataset allows us to distinguish between two groups of countries: core countries and periphery countries, which are categorized based on their average yield during the study period. </w:t>
      </w:r>
    </w:p>
    <w:p w14:paraId="4185213F" w14:textId="6FAA545A"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Categorizing EMU countries into "periphery" and "core" groups can provide insights into the potential differential impacts of UMP announcements on these countries, as well as any significant differences in the economic conditions and responses to UMP between the two groups (</w:t>
      </w:r>
      <w:proofErr w:type="spellStart"/>
      <w:r w:rsidRPr="00B35B07">
        <w:rPr>
          <w:rFonts w:ascii="Calibri" w:hAnsi="Calibri" w:cs="Calibri"/>
          <w:color w:val="000000"/>
          <w:lang w:val="en-US"/>
        </w:rPr>
        <w:t>Urbschat</w:t>
      </w:r>
      <w:proofErr w:type="spellEnd"/>
      <w:r w:rsidRPr="00B35B07">
        <w:rPr>
          <w:rFonts w:ascii="Calibri" w:hAnsi="Calibri" w:cs="Calibri"/>
          <w:color w:val="000000"/>
          <w:lang w:val="en-US"/>
        </w:rPr>
        <w:t xml:space="preserve"> and </w:t>
      </w:r>
      <w:proofErr w:type="spellStart"/>
      <w:r w:rsidRPr="00B35B07">
        <w:rPr>
          <w:rFonts w:ascii="Calibri" w:hAnsi="Calibri" w:cs="Calibri"/>
          <w:color w:val="000000"/>
          <w:lang w:val="en-US"/>
        </w:rPr>
        <w:t>Watzka</w:t>
      </w:r>
      <w:proofErr w:type="spellEnd"/>
      <w:r w:rsidRPr="00B35B07">
        <w:rPr>
          <w:rFonts w:ascii="Calibri" w:hAnsi="Calibri" w:cs="Calibri"/>
          <w:color w:val="000000"/>
          <w:lang w:val="en-US"/>
        </w:rPr>
        <w:t xml:space="preserve">, 2020). Grouping countries in this way could be beneficial in the implementation and design of monetary policy, as it can allow for policy differentiation based on diverse economic conditions, </w:t>
      </w:r>
      <w:proofErr w:type="gramStart"/>
      <w:r w:rsidRPr="00B35B07">
        <w:rPr>
          <w:rFonts w:ascii="Calibri" w:hAnsi="Calibri" w:cs="Calibri"/>
          <w:color w:val="000000"/>
          <w:lang w:val="en-US"/>
        </w:rPr>
        <w:t>taking into account</w:t>
      </w:r>
      <w:proofErr w:type="gramEnd"/>
      <w:r w:rsidRPr="00B35B07">
        <w:rPr>
          <w:rFonts w:ascii="Calibri" w:hAnsi="Calibri" w:cs="Calibri"/>
          <w:color w:val="000000"/>
          <w:lang w:val="en-US"/>
        </w:rPr>
        <w:t xml:space="preserve"> the possibility of heterogeneous reactions </w:t>
      </w:r>
      <w:r w:rsidRPr="00B35B07">
        <w:rPr>
          <w:rFonts w:ascii="Calibri" w:hAnsi="Calibri" w:cs="Calibri"/>
          <w:color w:val="000000"/>
          <w:lang w:val="en-US"/>
        </w:rPr>
        <w:lastRenderedPageBreak/>
        <w:t>within the EMU to UMP. This can help policymakers to better understand the potential effects of UMP on different parts of the EMU and to tailor their policy decisions accordingly.</w:t>
      </w:r>
      <w:r w:rsidR="00CE57F1">
        <w:rPr>
          <w:rFonts w:ascii="Calibri" w:hAnsi="Calibri" w:cs="Calibri"/>
          <w:color w:val="000000"/>
          <w:lang w:val="en-US"/>
        </w:rPr>
        <w:t xml:space="preserve"> </w:t>
      </w:r>
      <w:r w:rsidRPr="00B35B07">
        <w:rPr>
          <w:rFonts w:ascii="Calibri" w:hAnsi="Calibri" w:cs="Calibri"/>
          <w:color w:val="000000"/>
          <w:lang w:val="en-US"/>
        </w:rPr>
        <w:t xml:space="preserve">Using a panel regression, this study examines the effect of APP announcements on these groups. </w:t>
      </w:r>
    </w:p>
    <w:p w14:paraId="2B5943FB" w14:textId="77777777" w:rsidR="00B35B07" w:rsidRPr="00B35B07" w:rsidRDefault="00B35B07" w:rsidP="00B35B07">
      <w:pPr>
        <w:spacing w:after="240"/>
        <w:ind w:firstLine="720"/>
        <w:rPr>
          <w:rFonts w:ascii="Calibri" w:hAnsi="Calibri" w:cs="Calibri"/>
          <w:color w:val="000000"/>
          <w:lang w:val="en-US"/>
        </w:rPr>
      </w:pPr>
      <w:proofErr w:type="gramStart"/>
      <w:r w:rsidRPr="00B35B07">
        <w:rPr>
          <w:rFonts w:ascii="Calibri" w:hAnsi="Calibri" w:cs="Calibri"/>
          <w:color w:val="000000"/>
          <w:lang w:val="en-US"/>
        </w:rPr>
        <w:t>In particular, it</w:t>
      </w:r>
      <w:proofErr w:type="gramEnd"/>
      <w:r w:rsidRPr="00B35B07">
        <w:rPr>
          <w:rFonts w:ascii="Calibri" w:hAnsi="Calibri" w:cs="Calibri"/>
          <w:color w:val="000000"/>
          <w:lang w:val="en-US"/>
        </w:rPr>
        <w:t xml:space="preserve"> is expected that the ECB's APP announcements will have a stronger effect on the government bonds of countries with lower solvency compared to higher </w:t>
      </w:r>
      <w:r w:rsidRPr="00B35B07">
        <w:rPr>
          <w:rFonts w:ascii="Calibri" w:hAnsi="Calibri" w:cs="Calibri"/>
          <w:lang w:val="en-US"/>
        </w:rPr>
        <w:t>solvency (</w:t>
      </w:r>
      <w:proofErr w:type="spellStart"/>
      <w:r w:rsidRPr="00B35B07">
        <w:rPr>
          <w:rFonts w:ascii="Calibri" w:hAnsi="Calibri" w:cs="Calibri"/>
          <w:lang w:val="en-US"/>
        </w:rPr>
        <w:t>Fendel</w:t>
      </w:r>
      <w:proofErr w:type="spellEnd"/>
      <w:r w:rsidRPr="00B35B07">
        <w:rPr>
          <w:rFonts w:ascii="Calibri" w:hAnsi="Calibri" w:cs="Calibri"/>
          <w:lang w:val="en-US"/>
        </w:rPr>
        <w:t xml:space="preserve"> and Neugebauer, 2019; </w:t>
      </w:r>
      <w:proofErr w:type="spellStart"/>
      <w:r w:rsidRPr="00B35B07">
        <w:rPr>
          <w:rFonts w:ascii="Calibri" w:hAnsi="Calibri" w:cs="Calibri"/>
          <w:lang w:val="en-US"/>
        </w:rPr>
        <w:t>Urbschat</w:t>
      </w:r>
      <w:proofErr w:type="spellEnd"/>
      <w:r w:rsidRPr="00B35B07">
        <w:rPr>
          <w:rFonts w:ascii="Calibri" w:hAnsi="Calibri" w:cs="Calibri"/>
          <w:lang w:val="en-US"/>
        </w:rPr>
        <w:t xml:space="preserve"> and </w:t>
      </w:r>
      <w:proofErr w:type="spellStart"/>
      <w:r w:rsidRPr="00B35B07">
        <w:rPr>
          <w:rFonts w:ascii="Calibri" w:hAnsi="Calibri" w:cs="Calibri"/>
          <w:lang w:val="en-US"/>
        </w:rPr>
        <w:t>Watzka</w:t>
      </w:r>
      <w:proofErr w:type="spellEnd"/>
      <w:r w:rsidRPr="00B35B07">
        <w:rPr>
          <w:rFonts w:ascii="Calibri" w:hAnsi="Calibri" w:cs="Calibri"/>
          <w:lang w:val="en-US"/>
        </w:rPr>
        <w:t xml:space="preserve">, 2020; Afonso et al., 2020), </w:t>
      </w:r>
      <w:r w:rsidRPr="00B35B07">
        <w:rPr>
          <w:rFonts w:ascii="Calibri" w:hAnsi="Calibri" w:cs="Calibri"/>
          <w:color w:val="000000"/>
          <w:lang w:val="en-US"/>
        </w:rPr>
        <w:t>resulting in the following hypothesis:</w:t>
      </w:r>
    </w:p>
    <w:p w14:paraId="1A91C2B6" w14:textId="77777777" w:rsidR="00B35B07" w:rsidRPr="00B35B07" w:rsidRDefault="00B35B07" w:rsidP="00B35B07">
      <w:pPr>
        <w:spacing w:after="240"/>
        <w:ind w:firstLine="0"/>
        <w:rPr>
          <w:rFonts w:ascii="Calibri" w:hAnsi="Calibri" w:cs="Calibri"/>
          <w:b/>
          <w:bCs/>
          <w:color w:val="000000"/>
          <w:lang w:val="en-US"/>
        </w:rPr>
      </w:pPr>
      <w:r w:rsidRPr="00B35B07">
        <w:rPr>
          <w:rFonts w:ascii="Calibri" w:hAnsi="Calibri" w:cs="Calibri"/>
          <w:b/>
          <w:bCs/>
          <w:color w:val="000000"/>
          <w:lang w:val="en-US"/>
        </w:rPr>
        <w:t>H</w:t>
      </w:r>
      <w:r w:rsidRPr="00B35B07">
        <w:rPr>
          <w:rFonts w:ascii="Calibri" w:hAnsi="Calibri" w:cs="Calibri"/>
          <w:b/>
          <w:bCs/>
          <w:color w:val="000000"/>
          <w:vertAlign w:val="subscript"/>
          <w:lang w:val="en-US"/>
        </w:rPr>
        <w:t>3</w:t>
      </w:r>
      <w:r w:rsidRPr="00B35B07">
        <w:rPr>
          <w:rFonts w:ascii="Calibri" w:hAnsi="Calibri" w:cs="Calibri"/>
          <w:b/>
          <w:color w:val="000000"/>
          <w:lang w:val="en-US"/>
        </w:rPr>
        <w:t xml:space="preserve">: Sovereign long-term yield levels decrease stronger (less strong) for Periphery (Core) countries of the EU when the ECB announces </w:t>
      </w:r>
      <w:r w:rsidRPr="00B35B07">
        <w:rPr>
          <w:rFonts w:ascii="Calibri" w:hAnsi="Calibri" w:cs="Calibri"/>
          <w:b/>
          <w:bCs/>
          <w:color w:val="000000"/>
          <w:lang w:val="en-US"/>
        </w:rPr>
        <w:t>QE</w:t>
      </w:r>
      <w:r w:rsidRPr="00B35B07">
        <w:rPr>
          <w:rFonts w:ascii="Calibri" w:hAnsi="Calibri" w:cs="Calibri"/>
          <w:b/>
          <w:color w:val="000000"/>
          <w:lang w:val="en-US"/>
        </w:rPr>
        <w:t xml:space="preserve"> measures</w:t>
      </w:r>
      <w:r w:rsidRPr="00B35B07">
        <w:rPr>
          <w:rFonts w:ascii="Calibri" w:hAnsi="Calibri" w:cs="Calibri"/>
          <w:b/>
          <w:bCs/>
          <w:color w:val="000000"/>
          <w:lang w:val="en-US"/>
        </w:rPr>
        <w:t xml:space="preserve"> in severe crisis</w:t>
      </w:r>
    </w:p>
    <w:p w14:paraId="64E78161" w14:textId="77777777" w:rsidR="00B35B07" w:rsidRPr="00B35B07" w:rsidRDefault="00B35B07" w:rsidP="00B35B07">
      <w:pPr>
        <w:spacing w:line="240" w:lineRule="auto"/>
        <w:ind w:firstLine="0"/>
        <w:jc w:val="left"/>
        <w:rPr>
          <w:rFonts w:ascii="Calibri" w:hAnsi="Calibri" w:cs="Calibri"/>
          <w:b/>
          <w:bCs/>
          <w:color w:val="000000"/>
          <w:lang w:val="en-US"/>
        </w:rPr>
      </w:pPr>
      <w:r w:rsidRPr="00B35B07">
        <w:rPr>
          <w:rFonts w:ascii="Calibri" w:hAnsi="Calibri" w:cs="Calibri"/>
          <w:b/>
          <w:bCs/>
          <w:color w:val="000000"/>
          <w:lang w:val="en-US"/>
        </w:rPr>
        <w:br w:type="page"/>
      </w:r>
    </w:p>
    <w:p w14:paraId="205B4819" w14:textId="77777777" w:rsidR="00B35B07" w:rsidRPr="00B35B07" w:rsidRDefault="00B35B07" w:rsidP="00B35B07">
      <w:pPr>
        <w:keepNext/>
        <w:keepLines/>
        <w:numPr>
          <w:ilvl w:val="0"/>
          <w:numId w:val="4"/>
        </w:numPr>
        <w:spacing w:before="260" w:after="260"/>
        <w:contextualSpacing/>
        <w:outlineLvl w:val="0"/>
        <w:rPr>
          <w:rFonts w:ascii="Calibri" w:eastAsia="Times New Roman" w:hAnsi="Calibri"/>
          <w:b/>
          <w:bCs/>
          <w:color w:val="000000"/>
          <w:sz w:val="28"/>
          <w:szCs w:val="32"/>
        </w:rPr>
      </w:pPr>
      <w:bookmarkStart w:id="61" w:name="_Toc121316981"/>
      <w:bookmarkStart w:id="62" w:name="_Toc122697343"/>
      <w:bookmarkEnd w:id="1"/>
      <w:bookmarkEnd w:id="60"/>
      <w:r w:rsidRPr="00B35B07">
        <w:rPr>
          <w:rFonts w:ascii="Calibri" w:eastAsia="Times New Roman" w:hAnsi="Calibri"/>
          <w:b/>
          <w:bCs/>
          <w:color w:val="000000"/>
          <w:sz w:val="28"/>
          <w:szCs w:val="32"/>
        </w:rPr>
        <w:lastRenderedPageBreak/>
        <w:t>Methods and data</w:t>
      </w:r>
      <w:bookmarkEnd w:id="61"/>
      <w:bookmarkEnd w:id="62"/>
    </w:p>
    <w:p w14:paraId="68E9A319" w14:textId="77777777" w:rsidR="00B35B07" w:rsidRPr="00B35B07" w:rsidRDefault="00B35B07" w:rsidP="00B35B07">
      <w:pPr>
        <w:keepNext/>
        <w:keepLines/>
        <w:numPr>
          <w:ilvl w:val="0"/>
          <w:numId w:val="7"/>
        </w:numPr>
        <w:spacing w:before="260" w:after="260"/>
        <w:contextualSpacing/>
        <w:outlineLvl w:val="0"/>
        <w:rPr>
          <w:rFonts w:ascii="Calibri" w:eastAsia="Times New Roman" w:hAnsi="Calibri"/>
          <w:b/>
          <w:bCs/>
          <w:vanish/>
          <w:color w:val="000000"/>
          <w:sz w:val="28"/>
          <w:szCs w:val="32"/>
          <w:lang w:val="en-US"/>
        </w:rPr>
      </w:pPr>
      <w:bookmarkStart w:id="63" w:name="_Toc117688813"/>
      <w:bookmarkStart w:id="64" w:name="_Toc117688899"/>
      <w:bookmarkStart w:id="65" w:name="_Toc117693389"/>
      <w:bookmarkStart w:id="66" w:name="_Toc117776729"/>
      <w:bookmarkStart w:id="67" w:name="_Toc117776812"/>
      <w:bookmarkStart w:id="68" w:name="_Toc121316982"/>
      <w:bookmarkStart w:id="69" w:name="_Toc122696472"/>
      <w:bookmarkStart w:id="70" w:name="_Toc122696533"/>
      <w:bookmarkStart w:id="71" w:name="_Toc122697344"/>
      <w:bookmarkEnd w:id="63"/>
      <w:bookmarkEnd w:id="64"/>
      <w:bookmarkEnd w:id="65"/>
      <w:bookmarkEnd w:id="66"/>
      <w:bookmarkEnd w:id="67"/>
      <w:bookmarkEnd w:id="68"/>
      <w:bookmarkEnd w:id="69"/>
      <w:bookmarkEnd w:id="70"/>
      <w:bookmarkEnd w:id="71"/>
    </w:p>
    <w:p w14:paraId="6622E2E0" w14:textId="77777777" w:rsidR="00B35B07" w:rsidRPr="00B35B07" w:rsidRDefault="00B35B07" w:rsidP="00B35B07">
      <w:pPr>
        <w:numPr>
          <w:ilvl w:val="1"/>
          <w:numId w:val="7"/>
        </w:numPr>
        <w:spacing w:line="240" w:lineRule="auto"/>
        <w:jc w:val="left"/>
        <w:outlineLvl w:val="1"/>
        <w:rPr>
          <w:rFonts w:ascii="Calibri" w:eastAsia="Times New Roman" w:hAnsi="Calibri"/>
          <w:b/>
          <w:bCs/>
          <w:color w:val="000000"/>
          <w:szCs w:val="32"/>
          <w:lang w:val="en-US"/>
        </w:rPr>
      </w:pPr>
      <w:bookmarkStart w:id="72" w:name="_heading=h.gjdgxs" w:colFirst="0" w:colLast="0"/>
      <w:bookmarkStart w:id="73" w:name="_Toc122697345"/>
      <w:bookmarkEnd w:id="72"/>
      <w:r w:rsidRPr="00B35B07">
        <w:rPr>
          <w:rFonts w:ascii="Calibri" w:eastAsia="Times New Roman" w:hAnsi="Calibri"/>
          <w:b/>
          <w:bCs/>
          <w:color w:val="000000"/>
          <w:szCs w:val="32"/>
          <w:lang w:val="en-US"/>
        </w:rPr>
        <w:t>Sample and data sources</w:t>
      </w:r>
      <w:bookmarkEnd w:id="73"/>
    </w:p>
    <w:p w14:paraId="6366A1AF" w14:textId="77777777" w:rsidR="00B35B07" w:rsidRPr="00B35B07" w:rsidRDefault="00B35B07" w:rsidP="00B35B07">
      <w:pPr>
        <w:pBdr>
          <w:top w:val="nil"/>
          <w:left w:val="nil"/>
          <w:bottom w:val="nil"/>
          <w:right w:val="nil"/>
          <w:between w:val="nil"/>
        </w:pBdr>
        <w:spacing w:line="240" w:lineRule="auto"/>
        <w:ind w:firstLine="0"/>
        <w:jc w:val="left"/>
        <w:rPr>
          <w:rFonts w:ascii="Calibri" w:hAnsi="Calibri"/>
        </w:rPr>
      </w:pPr>
    </w:p>
    <w:p w14:paraId="7355AF81" w14:textId="3473797A"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We consider a database of announcements comprising 8 </w:t>
      </w:r>
      <w:r w:rsidR="004C51EF">
        <w:rPr>
          <w:rFonts w:ascii="Calibri" w:hAnsi="Calibri" w:cs="Calibri"/>
          <w:color w:val="000000"/>
          <w:lang w:val="en-US"/>
        </w:rPr>
        <w:t>COVID-19</w:t>
      </w:r>
      <w:r w:rsidRPr="00B35B07">
        <w:rPr>
          <w:rFonts w:ascii="Calibri" w:hAnsi="Calibri" w:cs="Calibri"/>
          <w:color w:val="000000"/>
          <w:lang w:val="en-US"/>
        </w:rPr>
        <w:t xml:space="preserve"> Pandemic Emergency Program announcements from the </w:t>
      </w:r>
      <w:r w:rsidR="004C51EF">
        <w:rPr>
          <w:rFonts w:ascii="Calibri" w:hAnsi="Calibri" w:cs="Calibri"/>
          <w:color w:val="000000"/>
          <w:lang w:val="en-US"/>
        </w:rPr>
        <w:t>ECB</w:t>
      </w:r>
      <w:r w:rsidRPr="00B35B07">
        <w:rPr>
          <w:rFonts w:ascii="Calibri" w:hAnsi="Calibri" w:cs="Calibri"/>
          <w:color w:val="000000"/>
          <w:lang w:val="en-US"/>
        </w:rPr>
        <w:t xml:space="preserve"> from 1 March 2020 until 1 November 2022. This study focuses on (long term) 10-year sovereign bonds yields. The announcements of the ECB </w:t>
      </w:r>
      <w:sdt>
        <w:sdtPr>
          <w:rPr>
            <w:rFonts w:ascii="Calibri" w:hAnsi="Calibri" w:cs="Calibri"/>
            <w:color w:val="000000"/>
            <w:lang w:val="en-US"/>
          </w:rPr>
          <w:tag w:val="goog_rdk_1"/>
          <w:id w:val="-1878302808"/>
        </w:sdtPr>
        <w:sdtContent/>
      </w:sdt>
      <w:r w:rsidRPr="00B35B07">
        <w:rPr>
          <w:rFonts w:ascii="Calibri" w:hAnsi="Calibri" w:cs="Calibri"/>
          <w:color w:val="000000"/>
          <w:lang w:val="en-US"/>
        </w:rPr>
        <w:t xml:space="preserve">are collected from the website of the ECB which contains all official published announcements. </w:t>
      </w:r>
    </w:p>
    <w:p w14:paraId="393AEE83" w14:textId="065DE804"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The long-term government yield levels are collected from Eikon Database (Thomson Reuters).  Furthermore, the control variables per country are also collected from the Eikon database. To ensure greater granularity and achieve higher statistical power in econometric tests, we rely on daily data. This allows for a precise identification of the effects of UMP on sovereign bond yields. </w:t>
      </w:r>
      <w:r w:rsidR="00E927C2" w:rsidRPr="00E927C2">
        <w:rPr>
          <w:rFonts w:ascii="Calibri" w:hAnsi="Calibri" w:cs="Calibri"/>
          <w:color w:val="000000"/>
          <w:lang w:val="en-US"/>
        </w:rPr>
        <w:t xml:space="preserve">This effect holds, </w:t>
      </w:r>
      <w:proofErr w:type="gramStart"/>
      <w:r w:rsidR="00E927C2" w:rsidRPr="00E927C2">
        <w:rPr>
          <w:rFonts w:ascii="Calibri" w:hAnsi="Calibri" w:cs="Calibri"/>
          <w:color w:val="000000"/>
          <w:lang w:val="en-US"/>
        </w:rPr>
        <w:t>provided that</w:t>
      </w:r>
      <w:proofErr w:type="gramEnd"/>
      <w:r w:rsidR="00E927C2" w:rsidRPr="00E927C2">
        <w:rPr>
          <w:rFonts w:ascii="Calibri" w:hAnsi="Calibri" w:cs="Calibri"/>
          <w:color w:val="000000"/>
          <w:lang w:val="en-US"/>
        </w:rPr>
        <w:t xml:space="preserve"> policy actions are the main drivers of market movements during the daily window of analysis.</w:t>
      </w:r>
      <w:r w:rsidR="00E927C2">
        <w:rPr>
          <w:rFonts w:ascii="Calibri" w:hAnsi="Calibri" w:cs="Calibri"/>
          <w:color w:val="000000"/>
          <w:lang w:val="en-US"/>
        </w:rPr>
        <w:t xml:space="preserve"> </w:t>
      </w:r>
      <w:r w:rsidRPr="00B35B07">
        <w:rPr>
          <w:rFonts w:ascii="Calibri" w:hAnsi="Calibri" w:cs="Calibri"/>
          <w:color w:val="000000"/>
          <w:lang w:val="en-US"/>
        </w:rPr>
        <w:t xml:space="preserve">Besides that, ECB’s UMP is not intended to react </w:t>
      </w:r>
      <w:proofErr w:type="gramStart"/>
      <w:r w:rsidRPr="00B35B07">
        <w:rPr>
          <w:rFonts w:ascii="Calibri" w:hAnsi="Calibri" w:cs="Calibri"/>
          <w:color w:val="000000"/>
          <w:lang w:val="en-US"/>
        </w:rPr>
        <w:t>on</w:t>
      </w:r>
      <w:proofErr w:type="gramEnd"/>
      <w:r w:rsidRPr="00B35B07">
        <w:rPr>
          <w:rFonts w:ascii="Calibri" w:hAnsi="Calibri" w:cs="Calibri"/>
          <w:color w:val="000000"/>
          <w:lang w:val="en-US"/>
        </w:rPr>
        <w:t xml:space="preserve"> day-to-day developments but rather on a longer-term economic outlook. Prior literature confirms this assumption (</w:t>
      </w:r>
      <w:proofErr w:type="spellStart"/>
      <w:r w:rsidRPr="00B35B07">
        <w:rPr>
          <w:rFonts w:ascii="Calibri" w:hAnsi="Calibri" w:cs="Calibri"/>
          <w:color w:val="000000"/>
          <w:lang w:val="en-US"/>
        </w:rPr>
        <w:t>Altavilla</w:t>
      </w:r>
      <w:proofErr w:type="spellEnd"/>
      <w:r w:rsidRPr="00B35B07">
        <w:rPr>
          <w:rFonts w:ascii="Calibri" w:hAnsi="Calibri" w:cs="Calibri"/>
          <w:color w:val="000000"/>
          <w:lang w:val="en-US"/>
        </w:rPr>
        <w:t>, 201</w:t>
      </w:r>
      <w:r w:rsidR="007211A3">
        <w:rPr>
          <w:rFonts w:ascii="Calibri" w:hAnsi="Calibri" w:cs="Calibri"/>
          <w:color w:val="000000"/>
          <w:lang w:val="en-US"/>
        </w:rPr>
        <w:t>5</w:t>
      </w:r>
      <w:r w:rsidRPr="00B35B07">
        <w:rPr>
          <w:rFonts w:ascii="Calibri" w:hAnsi="Calibri" w:cs="Calibri"/>
          <w:color w:val="000000"/>
          <w:lang w:val="en-US"/>
        </w:rPr>
        <w:t>).</w:t>
      </w:r>
    </w:p>
    <w:p w14:paraId="24DCDACD" w14:textId="77777777" w:rsidR="00B35B07" w:rsidRPr="00B35B07" w:rsidRDefault="00B35B07" w:rsidP="00B35B07">
      <w:pPr>
        <w:numPr>
          <w:ilvl w:val="1"/>
          <w:numId w:val="7"/>
        </w:numPr>
        <w:spacing w:line="240" w:lineRule="auto"/>
        <w:jc w:val="left"/>
        <w:outlineLvl w:val="1"/>
        <w:rPr>
          <w:rFonts w:ascii="Calibri" w:eastAsia="Times New Roman" w:hAnsi="Calibri"/>
          <w:b/>
          <w:bCs/>
          <w:color w:val="000000"/>
          <w:szCs w:val="32"/>
          <w:lang w:val="en-US"/>
        </w:rPr>
      </w:pPr>
      <w:bookmarkStart w:id="74" w:name="_heading=h.30j0zll" w:colFirst="0" w:colLast="0"/>
      <w:bookmarkStart w:id="75" w:name="_Toc122697346"/>
      <w:bookmarkEnd w:id="74"/>
      <w:r w:rsidRPr="00B35B07">
        <w:rPr>
          <w:rFonts w:ascii="Calibri" w:eastAsia="Times New Roman" w:hAnsi="Calibri"/>
          <w:b/>
          <w:bCs/>
          <w:color w:val="000000"/>
          <w:szCs w:val="32"/>
          <w:lang w:val="en-US"/>
        </w:rPr>
        <w:t>Event Study Methodology</w:t>
      </w:r>
      <w:bookmarkEnd w:id="75"/>
      <w:r w:rsidRPr="00B35B07">
        <w:rPr>
          <w:rFonts w:ascii="Calibri" w:eastAsia="Times New Roman" w:hAnsi="Calibri"/>
          <w:b/>
          <w:bCs/>
          <w:color w:val="000000"/>
          <w:szCs w:val="32"/>
          <w:lang w:val="en-US"/>
        </w:rPr>
        <w:t xml:space="preserve"> </w:t>
      </w:r>
    </w:p>
    <w:p w14:paraId="47C2C1B0" w14:textId="77777777" w:rsidR="00B35B07" w:rsidRPr="00B35B07" w:rsidRDefault="00B35B07" w:rsidP="00B35B07">
      <w:pPr>
        <w:pBdr>
          <w:top w:val="nil"/>
          <w:left w:val="nil"/>
          <w:bottom w:val="nil"/>
          <w:right w:val="nil"/>
          <w:between w:val="nil"/>
        </w:pBdr>
        <w:spacing w:line="240" w:lineRule="auto"/>
        <w:ind w:firstLine="0"/>
        <w:jc w:val="left"/>
        <w:rPr>
          <w:rFonts w:ascii="Calibri" w:hAnsi="Calibri"/>
        </w:rPr>
      </w:pPr>
    </w:p>
    <w:p w14:paraId="158D6743" w14:textId="42046FCE"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To capture the effect of announcements, event study methodology is used. This technique uses price changes within a short window of time around a known event date to measure the financial market’s impact of a specific event (Krishnamurthy and </w:t>
      </w:r>
      <w:proofErr w:type="spellStart"/>
      <w:r w:rsidRPr="00B35B07">
        <w:rPr>
          <w:rFonts w:ascii="Calibri" w:hAnsi="Calibri" w:cs="Calibri"/>
          <w:color w:val="000000"/>
          <w:lang w:val="en-US"/>
        </w:rPr>
        <w:t>Vissing</w:t>
      </w:r>
      <w:proofErr w:type="spellEnd"/>
      <w:r w:rsidRPr="00B35B07">
        <w:rPr>
          <w:rFonts w:ascii="Calibri" w:hAnsi="Calibri" w:cs="Calibri"/>
          <w:color w:val="000000"/>
          <w:lang w:val="en-US"/>
        </w:rPr>
        <w:t xml:space="preserve">-Jorgensen, 2011). To conduct this analysis, this study follows the approach established by Krishnamurthy and </w:t>
      </w:r>
      <w:proofErr w:type="spellStart"/>
      <w:r w:rsidRPr="00B35B07">
        <w:rPr>
          <w:rFonts w:ascii="Calibri" w:hAnsi="Calibri" w:cs="Calibri"/>
          <w:color w:val="000000"/>
          <w:lang w:val="en-US"/>
        </w:rPr>
        <w:t>Vissing</w:t>
      </w:r>
      <w:proofErr w:type="spellEnd"/>
      <w:r w:rsidRPr="00B35B07">
        <w:rPr>
          <w:rFonts w:ascii="Calibri" w:hAnsi="Calibri" w:cs="Calibri"/>
          <w:color w:val="000000"/>
          <w:lang w:val="en-US"/>
        </w:rPr>
        <w:t>-Jorgensen (2011)</w:t>
      </w:r>
      <w:r w:rsidR="00936A5D">
        <w:rPr>
          <w:rFonts w:ascii="Calibri" w:hAnsi="Calibri" w:cs="Calibri"/>
          <w:color w:val="000000"/>
          <w:lang w:val="en-US"/>
        </w:rPr>
        <w:t xml:space="preserve"> and</w:t>
      </w:r>
      <w:r w:rsidRPr="00B35B07">
        <w:rPr>
          <w:rFonts w:ascii="Calibri" w:hAnsi="Calibri" w:cs="Calibri"/>
          <w:color w:val="000000"/>
          <w:lang w:val="en-US"/>
        </w:rPr>
        <w:t xml:space="preserve"> Swanson et al. (2011). This approach is widely accepted as a reliable way to analyze the impact of announcements on bond yields.</w:t>
      </w:r>
    </w:p>
    <w:p w14:paraId="6CBF4583" w14:textId="656D7901" w:rsidR="00B35B07" w:rsidRPr="00B35B07" w:rsidRDefault="00B35B07" w:rsidP="00B35B07">
      <w:pPr>
        <w:spacing w:after="240"/>
        <w:ind w:firstLine="720"/>
        <w:rPr>
          <w:rFonts w:ascii="Calibri" w:hAnsi="Calibri" w:cs="Calibri"/>
          <w:color w:val="000000"/>
          <w:lang w:val="en-US"/>
        </w:rPr>
      </w:pPr>
      <w:proofErr w:type="spellStart"/>
      <w:r w:rsidRPr="00B35B07">
        <w:rPr>
          <w:rFonts w:ascii="Calibri" w:hAnsi="Calibri" w:cs="Calibri"/>
          <w:color w:val="000000"/>
          <w:lang w:val="en-US"/>
        </w:rPr>
        <w:t>Fama</w:t>
      </w:r>
      <w:proofErr w:type="spellEnd"/>
      <w:r w:rsidRPr="00B35B07">
        <w:rPr>
          <w:rFonts w:ascii="Calibri" w:hAnsi="Calibri" w:cs="Calibri"/>
          <w:color w:val="000000"/>
          <w:lang w:val="en-US"/>
        </w:rPr>
        <w:t xml:space="preserve"> and French (199</w:t>
      </w:r>
      <w:r w:rsidR="005A696A">
        <w:rPr>
          <w:rFonts w:ascii="Calibri" w:hAnsi="Calibri" w:cs="Calibri"/>
          <w:color w:val="000000"/>
          <w:lang w:val="en-US"/>
        </w:rPr>
        <w:t>6</w:t>
      </w:r>
      <w:r w:rsidRPr="00B35B07">
        <w:rPr>
          <w:rFonts w:ascii="Calibri" w:hAnsi="Calibri" w:cs="Calibri"/>
          <w:color w:val="000000"/>
          <w:lang w:val="en-US"/>
        </w:rPr>
        <w:t xml:space="preserve">) use the following three assumptions to justify the use of an event-study approach. In their paper they state that an event study is most fitting when the event is unexpected, there should be no other confounding factors impacting asset prices being studied during the event-window and markets are efficient in the transmission of information towards prices. Interpreting their findings </w:t>
      </w:r>
      <w:proofErr w:type="gramStart"/>
      <w:r w:rsidRPr="00B35B07">
        <w:rPr>
          <w:rFonts w:ascii="Calibri" w:hAnsi="Calibri" w:cs="Calibri"/>
          <w:color w:val="000000"/>
          <w:lang w:val="en-US"/>
        </w:rPr>
        <w:t>towards</w:t>
      </w:r>
      <w:proofErr w:type="gramEnd"/>
      <w:r w:rsidRPr="00B35B07">
        <w:rPr>
          <w:rFonts w:ascii="Calibri" w:hAnsi="Calibri" w:cs="Calibri"/>
          <w:color w:val="000000"/>
          <w:lang w:val="en-US"/>
        </w:rPr>
        <w:t xml:space="preserve"> our context of the </w:t>
      </w:r>
      <w:r w:rsidR="004C51EF">
        <w:rPr>
          <w:rFonts w:ascii="Calibri" w:hAnsi="Calibri" w:cs="Calibri"/>
          <w:color w:val="000000"/>
          <w:lang w:val="en-US"/>
        </w:rPr>
        <w:t>COVID-19</w:t>
      </w:r>
      <w:r w:rsidRPr="00B35B07">
        <w:rPr>
          <w:rFonts w:ascii="Calibri" w:hAnsi="Calibri" w:cs="Calibri"/>
          <w:color w:val="000000"/>
          <w:lang w:val="en-US"/>
        </w:rPr>
        <w:t xml:space="preserve"> crisis means that the UMP measures undertaken by the ECB and in particular the timing of the measures could be argued to </w:t>
      </w:r>
      <w:r w:rsidRPr="00B35B07">
        <w:rPr>
          <w:rFonts w:ascii="Calibri" w:hAnsi="Calibri" w:cs="Calibri"/>
          <w:color w:val="000000"/>
          <w:lang w:val="en-US"/>
        </w:rPr>
        <w:lastRenderedPageBreak/>
        <w:t>be unexpected. Focusing on the asset purchase programs, you could argue that other non-APP programs of the EU have influenced this effect, however these programs are not focused on directly influencing the transmission of monetary policy. The timing of the ECB's asset purchases through its APP is often uncertain and vague for market participants, making it difficult to predict or anticipate the timing of the interventions. To account for this concern, vast literature (</w:t>
      </w:r>
      <w:proofErr w:type="spellStart"/>
      <w:r w:rsidRPr="00B35B07">
        <w:rPr>
          <w:rFonts w:ascii="Calibri" w:hAnsi="Calibri" w:cs="Calibri"/>
          <w:color w:val="000000"/>
          <w:lang w:val="en-US"/>
        </w:rPr>
        <w:t>Altavilla</w:t>
      </w:r>
      <w:proofErr w:type="spellEnd"/>
      <w:r w:rsidRPr="00B35B07">
        <w:rPr>
          <w:rFonts w:ascii="Calibri" w:hAnsi="Calibri" w:cs="Calibri"/>
          <w:color w:val="000000"/>
          <w:lang w:val="en-US"/>
        </w:rPr>
        <w:t xml:space="preserve">, 2015; Krishnamurthy and </w:t>
      </w:r>
      <w:proofErr w:type="spellStart"/>
      <w:r w:rsidRPr="00B35B07">
        <w:rPr>
          <w:rFonts w:ascii="Calibri" w:hAnsi="Calibri" w:cs="Calibri"/>
          <w:color w:val="000000"/>
          <w:lang w:val="en-US"/>
        </w:rPr>
        <w:t>Vissing</w:t>
      </w:r>
      <w:proofErr w:type="spellEnd"/>
      <w:r w:rsidRPr="00B35B07">
        <w:rPr>
          <w:rFonts w:ascii="Calibri" w:hAnsi="Calibri" w:cs="Calibri"/>
          <w:color w:val="000000"/>
          <w:lang w:val="en-US"/>
        </w:rPr>
        <w:t>-Jorgensen, 2011) uses only the announcement of the program instead of the actual purchase of bonds to analyze the impact. In this study, we assume that financial markets are efficient in interpreting the policy changes issued by the European Central Bank</w:t>
      </w:r>
      <w:r w:rsidR="004C51EF">
        <w:rPr>
          <w:rFonts w:ascii="Calibri" w:hAnsi="Calibri" w:cs="Calibri"/>
          <w:color w:val="000000"/>
          <w:lang w:val="en-US"/>
        </w:rPr>
        <w:t xml:space="preserve"> </w:t>
      </w:r>
      <w:r w:rsidRPr="00B35B07">
        <w:rPr>
          <w:rFonts w:ascii="Calibri" w:hAnsi="Calibri" w:cs="Calibri"/>
          <w:color w:val="000000"/>
          <w:lang w:val="en-US"/>
        </w:rPr>
        <w:t xml:space="preserve">and that these changes are reflected in market prices, specifically bond yields. This assumption is based on the idea that financial markets </w:t>
      </w:r>
      <w:proofErr w:type="gramStart"/>
      <w:r w:rsidRPr="00B35B07">
        <w:rPr>
          <w:rFonts w:ascii="Calibri" w:hAnsi="Calibri" w:cs="Calibri"/>
          <w:color w:val="000000"/>
          <w:lang w:val="en-US"/>
        </w:rPr>
        <w:t>are able to</w:t>
      </w:r>
      <w:proofErr w:type="gramEnd"/>
      <w:r w:rsidRPr="00B35B07">
        <w:rPr>
          <w:rFonts w:ascii="Calibri" w:hAnsi="Calibri" w:cs="Calibri"/>
          <w:color w:val="000000"/>
          <w:lang w:val="en-US"/>
        </w:rPr>
        <w:t xml:space="preserve"> quickly and accurately incorporate new information into prices.</w:t>
      </w:r>
    </w:p>
    <w:p w14:paraId="00DA9A12" w14:textId="15E5A12C"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In this study, we use a two-day event window [-1,1] around the announcement to measure the effect on bond yields, following the approach established by Krishnamurthy and </w:t>
      </w:r>
      <w:proofErr w:type="spellStart"/>
      <w:r w:rsidRPr="00B35B07">
        <w:rPr>
          <w:rFonts w:ascii="Calibri" w:hAnsi="Calibri" w:cs="Calibri"/>
          <w:color w:val="000000"/>
          <w:lang w:val="en-US"/>
        </w:rPr>
        <w:t>Vissing</w:t>
      </w:r>
      <w:proofErr w:type="spellEnd"/>
      <w:r w:rsidRPr="00B35B07">
        <w:rPr>
          <w:rFonts w:ascii="Calibri" w:hAnsi="Calibri" w:cs="Calibri"/>
          <w:color w:val="000000"/>
          <w:lang w:val="en-US"/>
        </w:rPr>
        <w:t xml:space="preserve">-Jorgensen (2011) and </w:t>
      </w:r>
      <w:proofErr w:type="spellStart"/>
      <w:r w:rsidRPr="00B35B07">
        <w:rPr>
          <w:rFonts w:ascii="Calibri" w:hAnsi="Calibri" w:cs="Calibri"/>
          <w:color w:val="000000"/>
          <w:lang w:val="en-US"/>
        </w:rPr>
        <w:t>Altavilla</w:t>
      </w:r>
      <w:proofErr w:type="spellEnd"/>
      <w:r w:rsidR="005A696A">
        <w:rPr>
          <w:rFonts w:ascii="Calibri" w:hAnsi="Calibri" w:cs="Calibri"/>
          <w:color w:val="000000"/>
          <w:lang w:val="en-US"/>
        </w:rPr>
        <w:t xml:space="preserve"> et al.</w:t>
      </w:r>
      <w:r w:rsidRPr="00B35B07">
        <w:rPr>
          <w:rFonts w:ascii="Calibri" w:hAnsi="Calibri" w:cs="Calibri"/>
          <w:color w:val="000000"/>
          <w:lang w:val="en-US"/>
        </w:rPr>
        <w:t xml:space="preserve"> (2015). This event window is commonly used in literature to analyze yield reactions, and it involves comparing the change in yields (or spreads) from the closing level the day before the event [-1] to the closing level the day after the event [1]. By using this approach, we aim to understand how the announcement affected bond yields over this two-day period.</w:t>
      </w:r>
    </w:p>
    <w:p w14:paraId="5D55522B" w14:textId="18920002" w:rsid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To measure the effect on yield, the event window is minimized to two </w:t>
      </w:r>
      <w:proofErr w:type="gramStart"/>
      <w:r w:rsidRPr="00B35B07">
        <w:rPr>
          <w:rFonts w:ascii="Calibri" w:hAnsi="Calibri" w:cs="Calibri"/>
          <w:color w:val="000000"/>
          <w:lang w:val="en-US"/>
        </w:rPr>
        <w:t>day</w:t>
      </w:r>
      <w:proofErr w:type="gramEnd"/>
      <w:r w:rsidRPr="00B35B07">
        <w:rPr>
          <w:rFonts w:ascii="Calibri" w:hAnsi="Calibri" w:cs="Calibri"/>
          <w:color w:val="000000"/>
          <w:lang w:val="en-US"/>
        </w:rPr>
        <w:t>, an advantage of this approach with a short window is that variabilities in yield can be attributed with relative confident towards the ECB announcements, while the chance of the influence of other events or information is minimized (</w:t>
      </w:r>
      <w:proofErr w:type="spellStart"/>
      <w:r w:rsidRPr="00B35B07">
        <w:rPr>
          <w:rFonts w:ascii="Calibri" w:hAnsi="Calibri" w:cs="Calibri"/>
          <w:color w:val="000000"/>
          <w:lang w:val="en-US"/>
        </w:rPr>
        <w:t>Graffin</w:t>
      </w:r>
      <w:proofErr w:type="spellEnd"/>
      <w:r w:rsidRPr="00B35B07">
        <w:rPr>
          <w:rFonts w:ascii="Calibri" w:hAnsi="Calibri" w:cs="Calibri"/>
          <w:color w:val="000000"/>
          <w:lang w:val="en-US"/>
        </w:rPr>
        <w:t xml:space="preserve"> </w:t>
      </w:r>
      <w:r w:rsidR="005F371B">
        <w:rPr>
          <w:rFonts w:ascii="Calibri" w:hAnsi="Calibri" w:cs="Calibri"/>
          <w:color w:val="000000"/>
          <w:lang w:val="en-US"/>
        </w:rPr>
        <w:t>and</w:t>
      </w:r>
      <w:r w:rsidRPr="00B35B07">
        <w:rPr>
          <w:rFonts w:ascii="Calibri" w:hAnsi="Calibri" w:cs="Calibri"/>
          <w:color w:val="000000"/>
          <w:lang w:val="en-US"/>
        </w:rPr>
        <w:t xml:space="preserve"> </w:t>
      </w:r>
      <w:proofErr w:type="spellStart"/>
      <w:r w:rsidRPr="00B35B07">
        <w:rPr>
          <w:rFonts w:ascii="Calibri" w:hAnsi="Calibri" w:cs="Calibri"/>
          <w:color w:val="000000"/>
          <w:lang w:val="en-US"/>
        </w:rPr>
        <w:t>Haleblian</w:t>
      </w:r>
      <w:proofErr w:type="spellEnd"/>
      <w:r w:rsidRPr="00B35B07">
        <w:rPr>
          <w:rFonts w:ascii="Calibri" w:hAnsi="Calibri" w:cs="Calibri"/>
          <w:color w:val="000000"/>
          <w:lang w:val="en-US"/>
        </w:rPr>
        <w:t>, 2016). As a robustness check to capture potential delayed reactions, we include a lagged dummy variable maintaining. (</w:t>
      </w:r>
      <w:proofErr w:type="spellStart"/>
      <w:r w:rsidRPr="00B35B07">
        <w:rPr>
          <w:rFonts w:ascii="Calibri" w:hAnsi="Calibri" w:cs="Calibri"/>
          <w:color w:val="000000"/>
          <w:lang w:val="en-US"/>
        </w:rPr>
        <w:t>Fendel</w:t>
      </w:r>
      <w:proofErr w:type="spellEnd"/>
      <w:r w:rsidRPr="00B35B07">
        <w:rPr>
          <w:rFonts w:ascii="Calibri" w:hAnsi="Calibri" w:cs="Calibri"/>
          <w:color w:val="000000"/>
          <w:lang w:val="en-US"/>
        </w:rPr>
        <w:t xml:space="preserve"> et al</w:t>
      </w:r>
      <w:r w:rsidR="005F371B">
        <w:rPr>
          <w:rFonts w:ascii="Calibri" w:hAnsi="Calibri" w:cs="Calibri"/>
          <w:color w:val="000000"/>
          <w:lang w:val="en-US"/>
        </w:rPr>
        <w:t>.</w:t>
      </w:r>
      <w:r w:rsidRPr="00B35B07">
        <w:rPr>
          <w:rFonts w:ascii="Calibri" w:hAnsi="Calibri" w:cs="Calibri"/>
          <w:color w:val="000000"/>
          <w:lang w:val="en-US"/>
        </w:rPr>
        <w:t xml:space="preserve">, 2019). For unconventional monetary policy dummy takes the value of one within the event window of the announcement and zero elsewhere, following the design of </w:t>
      </w:r>
      <w:proofErr w:type="spellStart"/>
      <w:r w:rsidRPr="00B35B07">
        <w:rPr>
          <w:rFonts w:ascii="Calibri" w:hAnsi="Calibri" w:cs="Calibri"/>
          <w:color w:val="000000"/>
          <w:lang w:val="en-US"/>
        </w:rPr>
        <w:t>F</w:t>
      </w:r>
      <w:r w:rsidR="00240A6D">
        <w:rPr>
          <w:rFonts w:ascii="Calibri" w:hAnsi="Calibri" w:cs="Calibri"/>
          <w:color w:val="000000"/>
          <w:lang w:val="en-US"/>
        </w:rPr>
        <w:t>a</w:t>
      </w:r>
      <w:r w:rsidRPr="00B35B07">
        <w:rPr>
          <w:rFonts w:ascii="Calibri" w:hAnsi="Calibri" w:cs="Calibri"/>
          <w:color w:val="000000"/>
          <w:lang w:val="en-US"/>
        </w:rPr>
        <w:t>lagia</w:t>
      </w:r>
      <w:r w:rsidR="00240A6D">
        <w:rPr>
          <w:rFonts w:ascii="Calibri" w:hAnsi="Calibri" w:cs="Calibri"/>
          <w:color w:val="000000"/>
          <w:lang w:val="en-US"/>
        </w:rPr>
        <w:t>r</w:t>
      </w:r>
      <w:r w:rsidRPr="00B35B07">
        <w:rPr>
          <w:rFonts w:ascii="Calibri" w:hAnsi="Calibri" w:cs="Calibri"/>
          <w:color w:val="000000"/>
          <w:lang w:val="en-US"/>
        </w:rPr>
        <w:t>da</w:t>
      </w:r>
      <w:proofErr w:type="spellEnd"/>
      <w:r w:rsidRPr="00B35B07">
        <w:rPr>
          <w:rFonts w:ascii="Calibri" w:hAnsi="Calibri" w:cs="Calibri"/>
          <w:color w:val="000000"/>
          <w:lang w:val="en-US"/>
        </w:rPr>
        <w:t xml:space="preserve"> and Reitz (2015).</w:t>
      </w:r>
    </w:p>
    <w:p w14:paraId="13C8C749" w14:textId="341700F4" w:rsidR="00E304EC" w:rsidRDefault="00E304EC" w:rsidP="00B35B07">
      <w:pPr>
        <w:spacing w:after="240"/>
        <w:ind w:firstLine="720"/>
        <w:rPr>
          <w:rFonts w:ascii="Calibri" w:hAnsi="Calibri" w:cs="Calibri"/>
          <w:color w:val="000000"/>
          <w:lang w:val="en-US"/>
        </w:rPr>
      </w:pPr>
    </w:p>
    <w:p w14:paraId="718C5B44" w14:textId="77777777" w:rsidR="00E304EC" w:rsidRPr="00B35B07" w:rsidRDefault="00E304EC" w:rsidP="00B35B07">
      <w:pPr>
        <w:spacing w:after="240"/>
        <w:ind w:firstLine="720"/>
        <w:rPr>
          <w:rFonts w:ascii="Calibri" w:hAnsi="Calibri" w:cs="Calibri"/>
          <w:color w:val="000000"/>
          <w:lang w:val="en-US"/>
        </w:rPr>
      </w:pPr>
    </w:p>
    <w:p w14:paraId="2D3E2D37" w14:textId="77777777" w:rsidR="00B35B07" w:rsidRPr="00B35B07" w:rsidRDefault="00B35B07" w:rsidP="00B35B07">
      <w:pPr>
        <w:numPr>
          <w:ilvl w:val="1"/>
          <w:numId w:val="7"/>
        </w:numPr>
        <w:tabs>
          <w:tab w:val="num" w:pos="0"/>
        </w:tabs>
        <w:spacing w:line="240" w:lineRule="auto"/>
        <w:ind w:left="1282" w:hanging="360"/>
        <w:jc w:val="left"/>
        <w:outlineLvl w:val="1"/>
        <w:rPr>
          <w:rFonts w:ascii="Calibri" w:eastAsia="Times New Roman" w:hAnsi="Calibri"/>
          <w:b/>
          <w:bCs/>
          <w:color w:val="000000"/>
          <w:szCs w:val="32"/>
          <w:lang w:val="en-US"/>
        </w:rPr>
      </w:pPr>
      <w:bookmarkStart w:id="76" w:name="_heading=h.1fob9te" w:colFirst="0" w:colLast="0"/>
      <w:bookmarkStart w:id="77" w:name="_Toc122697347"/>
      <w:bookmarkEnd w:id="76"/>
      <w:r w:rsidRPr="00B35B07">
        <w:rPr>
          <w:rFonts w:ascii="Calibri" w:eastAsia="Times New Roman" w:hAnsi="Calibri"/>
          <w:b/>
          <w:bCs/>
          <w:color w:val="000000"/>
          <w:szCs w:val="32"/>
          <w:lang w:val="en-US"/>
        </w:rPr>
        <w:lastRenderedPageBreak/>
        <w:t>Independent variable</w:t>
      </w:r>
      <w:r w:rsidRPr="00B35B07">
        <w:rPr>
          <w:rFonts w:ascii="Calibri" w:eastAsia="Calibri" w:hAnsi="Calibri"/>
          <w:b/>
          <w:bCs/>
          <w:color w:val="000000"/>
          <w:szCs w:val="32"/>
          <w:lang w:val="en-US"/>
        </w:rPr>
        <w:t xml:space="preserve"> – </w:t>
      </w:r>
      <w:r w:rsidRPr="00B35B07">
        <w:rPr>
          <w:rFonts w:ascii="Calibri" w:eastAsia="Times New Roman" w:hAnsi="Calibri"/>
          <w:b/>
          <w:bCs/>
          <w:color w:val="000000"/>
          <w:szCs w:val="32"/>
          <w:lang w:val="en-US"/>
        </w:rPr>
        <w:t>ECB unconventional monetary announcements</w:t>
      </w:r>
      <w:bookmarkEnd w:id="77"/>
    </w:p>
    <w:p w14:paraId="45596402" w14:textId="77777777" w:rsidR="00B35B07" w:rsidRPr="00B35B07" w:rsidRDefault="00B35B07" w:rsidP="00B35B07">
      <w:pPr>
        <w:ind w:firstLine="0"/>
        <w:rPr>
          <w:rFonts w:ascii="Calibri" w:hAnsi="Calibri"/>
        </w:rPr>
      </w:pPr>
    </w:p>
    <w:p w14:paraId="115E7014" w14:textId="1B4BAC04"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Central bank policies, especially new decisions, take into consideration not merely the present realities or the needs of the relevant jurisdiction but also the prevailing global macroeconomic climate. These drivers are reflected in the tone, timing, and delivery of new announcements. </w:t>
      </w:r>
      <w:r w:rsidR="00BC2706" w:rsidRPr="00BC2706">
        <w:rPr>
          <w:rFonts w:ascii="Calibri" w:hAnsi="Calibri" w:cs="Calibri"/>
          <w:color w:val="000000"/>
          <w:lang w:val="en-US"/>
        </w:rPr>
        <w:t>According to the Efficient Market Hypothesis (EMH), bond prices should reflect all information available to market participants. If this were the case, market movements in response to monetary policy announcements should not be observed (the semi-strong form of EMH). However, in practice, financial markets can experience significant movements following monetary policy announcements (</w:t>
      </w:r>
      <w:proofErr w:type="spellStart"/>
      <w:r w:rsidR="00BC2706" w:rsidRPr="00BC2706">
        <w:rPr>
          <w:rFonts w:ascii="Calibri" w:hAnsi="Calibri" w:cs="Calibri"/>
          <w:color w:val="000000"/>
          <w:lang w:val="en-US"/>
        </w:rPr>
        <w:t>Kuttner</w:t>
      </w:r>
      <w:proofErr w:type="spellEnd"/>
      <w:r w:rsidR="00BC2706" w:rsidRPr="00BC2706">
        <w:rPr>
          <w:rFonts w:ascii="Calibri" w:hAnsi="Calibri" w:cs="Calibri"/>
          <w:color w:val="000000"/>
          <w:lang w:val="en-US"/>
        </w:rPr>
        <w:t>, 2001).</w:t>
      </w:r>
      <w:r w:rsidR="00BC2706">
        <w:rPr>
          <w:rFonts w:ascii="Calibri" w:hAnsi="Calibri" w:cs="Calibri"/>
          <w:color w:val="000000"/>
          <w:lang w:val="en-US"/>
        </w:rPr>
        <w:t xml:space="preserve"> </w:t>
      </w:r>
      <w:r w:rsidR="003D60DD" w:rsidRPr="003D60DD">
        <w:rPr>
          <w:rFonts w:ascii="Calibri" w:hAnsi="Calibri" w:cs="Calibri"/>
          <w:color w:val="000000"/>
          <w:lang w:val="en-US"/>
        </w:rPr>
        <w:t>The fact that financial markets move in response to monetary policy announcements suggests that these announcements contain information that is not fully anticipated by market participants. These changes in market prices can be interpreted as monetary policy "surprises," or "shocks" (</w:t>
      </w:r>
      <w:proofErr w:type="spellStart"/>
      <w:r w:rsidR="003D60DD" w:rsidRPr="003D60DD">
        <w:rPr>
          <w:rFonts w:ascii="Calibri" w:hAnsi="Calibri" w:cs="Calibri"/>
          <w:color w:val="000000"/>
          <w:lang w:val="en-US"/>
        </w:rPr>
        <w:t>Kuttner</w:t>
      </w:r>
      <w:proofErr w:type="spellEnd"/>
      <w:r w:rsidR="003D60DD" w:rsidRPr="003D60DD">
        <w:rPr>
          <w:rFonts w:ascii="Calibri" w:hAnsi="Calibri" w:cs="Calibri"/>
          <w:color w:val="000000"/>
          <w:lang w:val="en-US"/>
        </w:rPr>
        <w:t xml:space="preserve">, 2001). </w:t>
      </w:r>
    </w:p>
    <w:p w14:paraId="6EFE7073" w14:textId="415D3004" w:rsidR="00B35B07" w:rsidRPr="00B35B07" w:rsidRDefault="00970560" w:rsidP="00B35B07">
      <w:pPr>
        <w:spacing w:after="240"/>
        <w:ind w:firstLine="720"/>
        <w:rPr>
          <w:rFonts w:ascii="Calibri" w:hAnsi="Calibri" w:cs="Calibri"/>
          <w:color w:val="000000"/>
          <w:lang w:val="en-US"/>
        </w:rPr>
      </w:pPr>
      <w:r w:rsidRPr="00970560">
        <w:rPr>
          <w:rFonts w:ascii="Calibri" w:hAnsi="Calibri" w:cs="Calibri"/>
          <w:color w:val="000000"/>
          <w:lang w:val="en-US"/>
        </w:rPr>
        <w:t>The element of surprise in unconventional monetary policy announcements makes them an interesting topic for study. By examining changes in the prices of financial assets around the time of these announcements, it is possible to isolate the impact of the announcements and better understand their effects. This is because it is unlikely that other variables will significantly affect asset prices within a short window around the announcement</w:t>
      </w:r>
      <w:r w:rsidR="00B35B07" w:rsidRPr="00B35B07">
        <w:rPr>
          <w:rFonts w:ascii="Calibri" w:hAnsi="Calibri" w:cs="Calibri"/>
          <w:color w:val="000000"/>
          <w:lang w:val="en-US"/>
        </w:rPr>
        <w:t>. The most important reaction of financial markets is expected to occur upon the announcement of the stock of purchases, while the ‘flow’ effects from the actual execution (or: purchase) of the program are minor in comparison (</w:t>
      </w:r>
      <w:proofErr w:type="spellStart"/>
      <w:r w:rsidR="00B35B07" w:rsidRPr="00B35B07">
        <w:rPr>
          <w:rFonts w:ascii="Calibri" w:hAnsi="Calibri" w:cs="Calibri"/>
          <w:color w:val="000000"/>
          <w:lang w:val="en-US"/>
        </w:rPr>
        <w:t>Urbschat</w:t>
      </w:r>
      <w:proofErr w:type="spellEnd"/>
      <w:r w:rsidR="00B35B07" w:rsidRPr="00B35B07">
        <w:rPr>
          <w:rFonts w:ascii="Calibri" w:hAnsi="Calibri" w:cs="Calibri"/>
          <w:color w:val="000000"/>
          <w:lang w:val="en-US"/>
        </w:rPr>
        <w:t xml:space="preserve"> et al., 2020). Therefore, studying unconventional monetary policy by measuring yield level changes on the short-term via event study methodology is fitting. </w:t>
      </w:r>
    </w:p>
    <w:p w14:paraId="322CED08" w14:textId="5D9A0A30"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Selecting the announcements to include, we used in general an approach of announcements that included new information. This research, in its core, focuses on unexpected monetary policy announcements, therefore we include only these announcements that contain new information. For example: the introduction of the new PEPP program, or announcements of additional monetary supplies that flow towards specific APP programs. Since the ECB updates every month about their monetary policy progress. However, if this incorporates no ‘new’ or </w:t>
      </w:r>
      <w:r w:rsidRPr="00B35B07">
        <w:rPr>
          <w:rFonts w:ascii="Calibri" w:hAnsi="Calibri" w:cs="Calibri"/>
          <w:color w:val="000000"/>
          <w:lang w:val="en-US"/>
        </w:rPr>
        <w:lastRenderedPageBreak/>
        <w:t xml:space="preserve">‘unexpected’ information, these events are excluded from the events studied. This selection of events results in the following 8 event dates and announcements in Table 1. </w:t>
      </w:r>
    </w:p>
    <w:p w14:paraId="008E0C20" w14:textId="77777777" w:rsidR="00B35B07" w:rsidRPr="00B35B07" w:rsidRDefault="00B35B07" w:rsidP="00B35B07">
      <w:pPr>
        <w:ind w:firstLine="720"/>
        <w:rPr>
          <w:rFonts w:ascii="Calibri" w:hAnsi="Calibri"/>
        </w:rPr>
      </w:pPr>
    </w:p>
    <w:p w14:paraId="6473CE49" w14:textId="77777777" w:rsidR="00B35B07" w:rsidRPr="00B35B07" w:rsidRDefault="00B35B07" w:rsidP="00B35B07">
      <w:pPr>
        <w:ind w:firstLine="0"/>
        <w:rPr>
          <w:rFonts w:ascii="Calibri" w:hAnsi="Calibri"/>
        </w:rPr>
      </w:pPr>
      <w:r w:rsidRPr="00B35B07">
        <w:rPr>
          <w:rFonts w:ascii="Calibri" w:hAnsi="Calibri"/>
        </w:rPr>
        <w:t>Table 1: Unconventional Monetary Policy events European Central Bank</w:t>
      </w:r>
    </w:p>
    <w:tbl>
      <w:tblPr>
        <w:tblW w:w="5000" w:type="pct"/>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firstRow="1" w:lastRow="0" w:firstColumn="1" w:lastColumn="0" w:noHBand="0" w:noVBand="1"/>
      </w:tblPr>
      <w:tblGrid>
        <w:gridCol w:w="1499"/>
        <w:gridCol w:w="7895"/>
      </w:tblGrid>
      <w:tr w:rsidR="00B35B07" w:rsidRPr="00B35B07" w14:paraId="6BC90CA5" w14:textId="77777777" w:rsidTr="008E0221">
        <w:trPr>
          <w:trHeight w:val="350"/>
        </w:trPr>
        <w:tc>
          <w:tcPr>
            <w:tcW w:w="798" w:type="pct"/>
          </w:tcPr>
          <w:p w14:paraId="49BDBC3C" w14:textId="77777777" w:rsidR="00B35B07" w:rsidRPr="00B35B07" w:rsidRDefault="00B35B07" w:rsidP="00B35B07">
            <w:pPr>
              <w:widowControl w:val="0"/>
              <w:tabs>
                <w:tab w:val="center" w:pos="1359"/>
              </w:tabs>
              <w:spacing w:after="240" w:line="240" w:lineRule="auto"/>
              <w:ind w:firstLine="0"/>
              <w:jc w:val="left"/>
              <w:rPr>
                <w:rFonts w:ascii="Calibri" w:hAnsi="Calibri"/>
                <w:b/>
                <w:bCs/>
                <w:sz w:val="18"/>
                <w:szCs w:val="18"/>
              </w:rPr>
            </w:pPr>
            <w:r w:rsidRPr="00B35B07">
              <w:rPr>
                <w:rFonts w:ascii="Calibri" w:hAnsi="Calibri"/>
                <w:b/>
                <w:bCs/>
                <w:sz w:val="18"/>
                <w:szCs w:val="18"/>
              </w:rPr>
              <w:t>Date</w:t>
            </w:r>
          </w:p>
        </w:tc>
        <w:tc>
          <w:tcPr>
            <w:tcW w:w="4202" w:type="pct"/>
          </w:tcPr>
          <w:p w14:paraId="0EEB1674" w14:textId="77777777" w:rsidR="00B35B07" w:rsidRPr="00B35B07" w:rsidRDefault="00B35B07" w:rsidP="00B35B07">
            <w:pPr>
              <w:widowControl w:val="0"/>
              <w:tabs>
                <w:tab w:val="center" w:pos="1359"/>
              </w:tabs>
              <w:spacing w:after="240" w:line="240" w:lineRule="auto"/>
              <w:ind w:firstLine="0"/>
              <w:jc w:val="left"/>
              <w:rPr>
                <w:rFonts w:ascii="Calibri" w:hAnsi="Calibri"/>
                <w:b/>
                <w:bCs/>
                <w:sz w:val="18"/>
                <w:szCs w:val="18"/>
              </w:rPr>
            </w:pPr>
            <w:r w:rsidRPr="00B35B07">
              <w:rPr>
                <w:rFonts w:ascii="Calibri" w:hAnsi="Calibri"/>
                <w:b/>
                <w:bCs/>
                <w:sz w:val="18"/>
                <w:szCs w:val="18"/>
              </w:rPr>
              <w:t>Content</w:t>
            </w:r>
          </w:p>
        </w:tc>
      </w:tr>
      <w:tr w:rsidR="00B35B07" w:rsidRPr="00B35B07" w14:paraId="68F1CAB3" w14:textId="77777777" w:rsidTr="008E0221">
        <w:trPr>
          <w:trHeight w:val="224"/>
        </w:trPr>
        <w:tc>
          <w:tcPr>
            <w:tcW w:w="798" w:type="pct"/>
          </w:tcPr>
          <w:p w14:paraId="1AF7121A" w14:textId="77777777" w:rsidR="00B35B07" w:rsidRPr="00B35B07" w:rsidRDefault="00B35B07" w:rsidP="00B35B07">
            <w:pPr>
              <w:widowControl w:val="0"/>
              <w:spacing w:after="240" w:line="240" w:lineRule="auto"/>
              <w:ind w:firstLine="0"/>
              <w:jc w:val="left"/>
              <w:rPr>
                <w:rFonts w:ascii="Calibri" w:hAnsi="Calibri"/>
                <w:sz w:val="18"/>
                <w:szCs w:val="18"/>
              </w:rPr>
            </w:pPr>
            <w:r w:rsidRPr="00B35B07">
              <w:rPr>
                <w:rFonts w:ascii="Calibri" w:hAnsi="Calibri"/>
                <w:sz w:val="18"/>
                <w:szCs w:val="18"/>
              </w:rPr>
              <w:t>12/3/2020</w:t>
            </w:r>
          </w:p>
        </w:tc>
        <w:tc>
          <w:tcPr>
            <w:tcW w:w="4202" w:type="pct"/>
          </w:tcPr>
          <w:p w14:paraId="137E222D" w14:textId="77777777" w:rsidR="00B35B07" w:rsidRPr="00B35B07" w:rsidRDefault="00B35B07" w:rsidP="00B35B07">
            <w:pPr>
              <w:widowControl w:val="0"/>
              <w:spacing w:after="240" w:line="240" w:lineRule="auto"/>
              <w:ind w:firstLine="0"/>
              <w:jc w:val="left"/>
              <w:rPr>
                <w:rFonts w:ascii="Calibri" w:hAnsi="Calibri"/>
                <w:sz w:val="18"/>
                <w:szCs w:val="18"/>
              </w:rPr>
            </w:pPr>
            <w:r w:rsidRPr="00B35B07">
              <w:rPr>
                <w:rFonts w:ascii="Calibri" w:hAnsi="Calibri"/>
                <w:sz w:val="18"/>
                <w:szCs w:val="18"/>
              </w:rPr>
              <w:t>A temporary envelope of additional net asset purchases of €120 billion will be added until the end of the year</w:t>
            </w:r>
          </w:p>
        </w:tc>
      </w:tr>
      <w:tr w:rsidR="00B35B07" w:rsidRPr="00B35B07" w14:paraId="7B935BAD" w14:textId="77777777" w:rsidTr="008E0221">
        <w:trPr>
          <w:trHeight w:val="72"/>
        </w:trPr>
        <w:tc>
          <w:tcPr>
            <w:tcW w:w="798" w:type="pct"/>
          </w:tcPr>
          <w:p w14:paraId="1EFA1144" w14:textId="77777777" w:rsidR="00B35B07" w:rsidRPr="00B35B07" w:rsidRDefault="00B35B07" w:rsidP="00B35B07">
            <w:pPr>
              <w:widowControl w:val="0"/>
              <w:spacing w:after="240" w:line="240" w:lineRule="auto"/>
              <w:ind w:firstLine="0"/>
              <w:jc w:val="left"/>
              <w:rPr>
                <w:rFonts w:ascii="Calibri" w:hAnsi="Calibri"/>
                <w:sz w:val="18"/>
                <w:szCs w:val="18"/>
              </w:rPr>
            </w:pPr>
            <w:r w:rsidRPr="00B35B07">
              <w:rPr>
                <w:rFonts w:ascii="Calibri" w:hAnsi="Calibri"/>
                <w:sz w:val="18"/>
                <w:szCs w:val="18"/>
              </w:rPr>
              <w:t>18/3/2020</w:t>
            </w:r>
          </w:p>
        </w:tc>
        <w:tc>
          <w:tcPr>
            <w:tcW w:w="4202" w:type="pct"/>
          </w:tcPr>
          <w:p w14:paraId="7A75282E" w14:textId="77777777" w:rsidR="00B35B07" w:rsidRPr="00B35B07" w:rsidRDefault="00B35B07" w:rsidP="00B35B07">
            <w:pPr>
              <w:widowControl w:val="0"/>
              <w:spacing w:after="240" w:line="240" w:lineRule="auto"/>
              <w:ind w:firstLine="0"/>
              <w:jc w:val="left"/>
              <w:rPr>
                <w:rFonts w:ascii="Calibri" w:hAnsi="Calibri"/>
                <w:sz w:val="18"/>
                <w:szCs w:val="18"/>
              </w:rPr>
            </w:pPr>
            <w:r w:rsidRPr="00B35B07">
              <w:rPr>
                <w:rFonts w:ascii="Calibri" w:hAnsi="Calibri"/>
                <w:sz w:val="18"/>
                <w:szCs w:val="18"/>
              </w:rPr>
              <w:t>ECB announces €750 billion Pandemic Emergency Purchase Programme (PEPP)</w:t>
            </w:r>
          </w:p>
        </w:tc>
      </w:tr>
      <w:tr w:rsidR="00B35B07" w:rsidRPr="00B35B07" w14:paraId="21BC674C" w14:textId="77777777" w:rsidTr="008E0221">
        <w:trPr>
          <w:trHeight w:val="72"/>
        </w:trPr>
        <w:tc>
          <w:tcPr>
            <w:tcW w:w="798" w:type="pct"/>
          </w:tcPr>
          <w:p w14:paraId="5F30FC7F" w14:textId="77777777" w:rsidR="00B35B07" w:rsidRPr="00B35B07" w:rsidRDefault="00B35B07" w:rsidP="00B35B07">
            <w:pPr>
              <w:widowControl w:val="0"/>
              <w:spacing w:after="240" w:line="240" w:lineRule="auto"/>
              <w:ind w:firstLine="0"/>
              <w:jc w:val="left"/>
              <w:rPr>
                <w:rFonts w:ascii="Calibri" w:hAnsi="Calibri"/>
                <w:sz w:val="18"/>
                <w:szCs w:val="18"/>
              </w:rPr>
            </w:pPr>
            <w:r w:rsidRPr="00B35B07">
              <w:rPr>
                <w:rFonts w:ascii="Calibri" w:hAnsi="Calibri"/>
                <w:sz w:val="18"/>
                <w:szCs w:val="18"/>
              </w:rPr>
              <w:t>20/3/2020</w:t>
            </w:r>
          </w:p>
        </w:tc>
        <w:tc>
          <w:tcPr>
            <w:tcW w:w="4202" w:type="pct"/>
          </w:tcPr>
          <w:p w14:paraId="75538FB1" w14:textId="77777777" w:rsidR="00B35B07" w:rsidRPr="00B35B07" w:rsidRDefault="00B35B07" w:rsidP="00B35B07">
            <w:pPr>
              <w:widowControl w:val="0"/>
              <w:spacing w:after="240" w:line="240" w:lineRule="auto"/>
              <w:ind w:firstLine="0"/>
              <w:jc w:val="left"/>
              <w:rPr>
                <w:rFonts w:ascii="Calibri" w:hAnsi="Calibri"/>
                <w:sz w:val="18"/>
                <w:szCs w:val="18"/>
              </w:rPr>
            </w:pPr>
            <w:r w:rsidRPr="00B35B07">
              <w:rPr>
                <w:rFonts w:ascii="Calibri" w:hAnsi="Calibri"/>
                <w:sz w:val="18"/>
                <w:szCs w:val="18"/>
              </w:rPr>
              <w:t>Coordinated central bank action to further enhance the provision of US dollar liquidity</w:t>
            </w:r>
          </w:p>
        </w:tc>
      </w:tr>
      <w:tr w:rsidR="00B35B07" w:rsidRPr="00B35B07" w14:paraId="4DAB41D9" w14:textId="77777777" w:rsidTr="008E0221">
        <w:trPr>
          <w:trHeight w:val="72"/>
        </w:trPr>
        <w:tc>
          <w:tcPr>
            <w:tcW w:w="798" w:type="pct"/>
          </w:tcPr>
          <w:p w14:paraId="53D39AF6" w14:textId="77777777" w:rsidR="00B35B07" w:rsidRPr="00B35B07" w:rsidRDefault="00B35B07" w:rsidP="00B35B07">
            <w:pPr>
              <w:widowControl w:val="0"/>
              <w:spacing w:after="240" w:line="240" w:lineRule="auto"/>
              <w:ind w:firstLine="0"/>
              <w:jc w:val="left"/>
              <w:rPr>
                <w:rFonts w:ascii="Calibri" w:hAnsi="Calibri"/>
                <w:sz w:val="18"/>
                <w:szCs w:val="18"/>
              </w:rPr>
            </w:pPr>
            <w:r w:rsidRPr="00B35B07">
              <w:rPr>
                <w:rFonts w:ascii="Calibri" w:hAnsi="Calibri"/>
                <w:sz w:val="18"/>
                <w:szCs w:val="18"/>
              </w:rPr>
              <w:t>7/4/2020</w:t>
            </w:r>
          </w:p>
        </w:tc>
        <w:tc>
          <w:tcPr>
            <w:tcW w:w="4202" w:type="pct"/>
          </w:tcPr>
          <w:p w14:paraId="77ECACBA" w14:textId="77777777" w:rsidR="00B35B07" w:rsidRPr="00B35B07" w:rsidRDefault="00B35B07" w:rsidP="00B35B07">
            <w:pPr>
              <w:widowControl w:val="0"/>
              <w:spacing w:after="240" w:line="240" w:lineRule="auto"/>
              <w:ind w:firstLine="0"/>
              <w:jc w:val="left"/>
              <w:rPr>
                <w:rFonts w:ascii="Calibri" w:hAnsi="Calibri"/>
                <w:sz w:val="18"/>
                <w:szCs w:val="18"/>
              </w:rPr>
            </w:pPr>
            <w:r w:rsidRPr="00B35B07">
              <w:rPr>
                <w:rFonts w:ascii="Calibri" w:hAnsi="Calibri"/>
                <w:sz w:val="18"/>
                <w:szCs w:val="18"/>
              </w:rPr>
              <w:t>ECB announces package of temporary collateral easing measures</w:t>
            </w:r>
          </w:p>
        </w:tc>
      </w:tr>
      <w:tr w:rsidR="00B35B07" w:rsidRPr="00B35B07" w14:paraId="1F8CBA34" w14:textId="77777777" w:rsidTr="008E0221">
        <w:trPr>
          <w:trHeight w:val="72"/>
        </w:trPr>
        <w:tc>
          <w:tcPr>
            <w:tcW w:w="798" w:type="pct"/>
          </w:tcPr>
          <w:p w14:paraId="3E09F96C" w14:textId="77777777" w:rsidR="00B35B07" w:rsidRPr="00B35B07" w:rsidRDefault="00B35B07" w:rsidP="00B35B07">
            <w:pPr>
              <w:widowControl w:val="0"/>
              <w:spacing w:after="240" w:line="240" w:lineRule="auto"/>
              <w:ind w:firstLine="0"/>
              <w:jc w:val="left"/>
              <w:rPr>
                <w:rFonts w:ascii="Calibri" w:hAnsi="Calibri"/>
                <w:sz w:val="18"/>
                <w:szCs w:val="18"/>
              </w:rPr>
            </w:pPr>
            <w:r w:rsidRPr="00B35B07">
              <w:rPr>
                <w:rFonts w:ascii="Calibri" w:hAnsi="Calibri"/>
                <w:sz w:val="18"/>
                <w:szCs w:val="18"/>
              </w:rPr>
              <w:t>30/4/2020</w:t>
            </w:r>
          </w:p>
        </w:tc>
        <w:tc>
          <w:tcPr>
            <w:tcW w:w="4202" w:type="pct"/>
          </w:tcPr>
          <w:p w14:paraId="1FB28B0A" w14:textId="77777777" w:rsidR="00B35B07" w:rsidRPr="00B35B07" w:rsidRDefault="00B35B07" w:rsidP="00B35B07">
            <w:pPr>
              <w:widowControl w:val="0"/>
              <w:spacing w:after="240" w:line="240" w:lineRule="auto"/>
              <w:ind w:firstLine="0"/>
              <w:jc w:val="left"/>
              <w:rPr>
                <w:rFonts w:ascii="Calibri" w:hAnsi="Calibri"/>
                <w:sz w:val="18"/>
                <w:szCs w:val="18"/>
              </w:rPr>
            </w:pPr>
            <w:r w:rsidRPr="00B35B07">
              <w:rPr>
                <w:rFonts w:ascii="Calibri" w:hAnsi="Calibri"/>
                <w:sz w:val="18"/>
                <w:szCs w:val="18"/>
              </w:rPr>
              <w:t>Additional impulse towards APP program, together with the purchases under the additional €120 billion temporary envelope until the end of the year. </w:t>
            </w:r>
          </w:p>
        </w:tc>
      </w:tr>
      <w:tr w:rsidR="00B35B07" w:rsidRPr="00B35B07" w14:paraId="60586C1E" w14:textId="77777777" w:rsidTr="008E0221">
        <w:trPr>
          <w:trHeight w:val="72"/>
        </w:trPr>
        <w:tc>
          <w:tcPr>
            <w:tcW w:w="798" w:type="pct"/>
          </w:tcPr>
          <w:p w14:paraId="74D01FE0" w14:textId="77777777" w:rsidR="00B35B07" w:rsidRPr="00B35B07" w:rsidRDefault="00B35B07" w:rsidP="00B35B07">
            <w:pPr>
              <w:widowControl w:val="0"/>
              <w:spacing w:after="240" w:line="240" w:lineRule="auto"/>
              <w:ind w:firstLine="0"/>
              <w:jc w:val="left"/>
              <w:rPr>
                <w:rFonts w:ascii="Calibri" w:hAnsi="Calibri"/>
                <w:sz w:val="18"/>
                <w:szCs w:val="18"/>
              </w:rPr>
            </w:pPr>
            <w:r w:rsidRPr="00B35B07">
              <w:rPr>
                <w:rFonts w:ascii="Calibri" w:hAnsi="Calibri"/>
                <w:sz w:val="18"/>
                <w:szCs w:val="18"/>
              </w:rPr>
              <w:t>4/6/2020</w:t>
            </w:r>
          </w:p>
        </w:tc>
        <w:tc>
          <w:tcPr>
            <w:tcW w:w="4202" w:type="pct"/>
          </w:tcPr>
          <w:p w14:paraId="6F63BD0C" w14:textId="77777777" w:rsidR="00B35B07" w:rsidRPr="00B35B07" w:rsidRDefault="00B35B07" w:rsidP="00B35B07">
            <w:pPr>
              <w:widowControl w:val="0"/>
              <w:spacing w:after="240" w:line="240" w:lineRule="auto"/>
              <w:ind w:firstLine="0"/>
              <w:jc w:val="left"/>
              <w:rPr>
                <w:rFonts w:ascii="Calibri" w:hAnsi="Calibri"/>
                <w:sz w:val="18"/>
                <w:szCs w:val="18"/>
              </w:rPr>
            </w:pPr>
            <w:r w:rsidRPr="00B35B07">
              <w:rPr>
                <w:rFonts w:ascii="Calibri" w:hAnsi="Calibri"/>
                <w:sz w:val="18"/>
                <w:szCs w:val="18"/>
              </w:rPr>
              <w:t>The envelope for the pandemic emergency purchase programme (PEPP) will be increased by €600 billion</w:t>
            </w:r>
          </w:p>
        </w:tc>
      </w:tr>
      <w:tr w:rsidR="00B35B07" w:rsidRPr="00B35B07" w14:paraId="4826F7C1" w14:textId="77777777" w:rsidTr="008E0221">
        <w:trPr>
          <w:trHeight w:val="72"/>
        </w:trPr>
        <w:tc>
          <w:tcPr>
            <w:tcW w:w="798" w:type="pct"/>
          </w:tcPr>
          <w:p w14:paraId="3B38B75B" w14:textId="77777777" w:rsidR="00B35B07" w:rsidRPr="00B35B07" w:rsidRDefault="00B35B07" w:rsidP="00B35B07">
            <w:pPr>
              <w:widowControl w:val="0"/>
              <w:spacing w:after="240" w:line="240" w:lineRule="auto"/>
              <w:ind w:firstLine="0"/>
              <w:jc w:val="left"/>
              <w:rPr>
                <w:rFonts w:ascii="Calibri" w:hAnsi="Calibri"/>
                <w:sz w:val="18"/>
                <w:szCs w:val="18"/>
              </w:rPr>
            </w:pPr>
            <w:r w:rsidRPr="00B35B07">
              <w:rPr>
                <w:rFonts w:ascii="Calibri" w:hAnsi="Calibri"/>
                <w:sz w:val="18"/>
                <w:szCs w:val="18"/>
              </w:rPr>
              <w:t>10/12/2020</w:t>
            </w:r>
          </w:p>
        </w:tc>
        <w:tc>
          <w:tcPr>
            <w:tcW w:w="4202" w:type="pct"/>
          </w:tcPr>
          <w:p w14:paraId="09DEEC96" w14:textId="77777777" w:rsidR="00B35B07" w:rsidRPr="00B35B07" w:rsidRDefault="00B35B07" w:rsidP="00B35B07">
            <w:pPr>
              <w:widowControl w:val="0"/>
              <w:spacing w:after="240" w:line="240" w:lineRule="auto"/>
              <w:ind w:firstLine="0"/>
              <w:jc w:val="left"/>
              <w:rPr>
                <w:rFonts w:ascii="Calibri" w:hAnsi="Calibri"/>
                <w:sz w:val="18"/>
                <w:szCs w:val="18"/>
              </w:rPr>
            </w:pPr>
            <w:r w:rsidRPr="00B35B07">
              <w:rPr>
                <w:rFonts w:ascii="Calibri" w:hAnsi="Calibri"/>
                <w:sz w:val="18"/>
                <w:szCs w:val="18"/>
              </w:rPr>
              <w:t>Increase the envelope of the pandemic emergency purchase programme (PEPP) by €500 billion.</w:t>
            </w:r>
          </w:p>
        </w:tc>
      </w:tr>
      <w:tr w:rsidR="00B35B07" w:rsidRPr="00B35B07" w14:paraId="7BFB32C0" w14:textId="77777777" w:rsidTr="008E0221">
        <w:trPr>
          <w:trHeight w:val="339"/>
        </w:trPr>
        <w:tc>
          <w:tcPr>
            <w:tcW w:w="798" w:type="pct"/>
          </w:tcPr>
          <w:p w14:paraId="19FB88F9" w14:textId="77777777" w:rsidR="00B35B07" w:rsidRPr="00B35B07" w:rsidRDefault="00B35B07" w:rsidP="00B35B07">
            <w:pPr>
              <w:widowControl w:val="0"/>
              <w:spacing w:after="240" w:line="240" w:lineRule="auto"/>
              <w:ind w:firstLine="0"/>
              <w:jc w:val="left"/>
              <w:rPr>
                <w:rFonts w:ascii="Calibri" w:hAnsi="Calibri"/>
                <w:sz w:val="18"/>
                <w:szCs w:val="18"/>
              </w:rPr>
            </w:pPr>
            <w:r w:rsidRPr="00B35B07">
              <w:rPr>
                <w:rFonts w:ascii="Calibri" w:hAnsi="Calibri"/>
                <w:sz w:val="18"/>
                <w:szCs w:val="18"/>
              </w:rPr>
              <w:t>28/10/2021</w:t>
            </w:r>
          </w:p>
        </w:tc>
        <w:tc>
          <w:tcPr>
            <w:tcW w:w="4202" w:type="pct"/>
          </w:tcPr>
          <w:p w14:paraId="61C27479" w14:textId="77777777" w:rsidR="00B35B07" w:rsidRPr="00B35B07" w:rsidRDefault="00B35B07" w:rsidP="00B35B07">
            <w:pPr>
              <w:widowControl w:val="0"/>
              <w:spacing w:after="240" w:line="240" w:lineRule="auto"/>
              <w:ind w:firstLine="0"/>
              <w:jc w:val="left"/>
              <w:rPr>
                <w:rFonts w:ascii="Calibri" w:hAnsi="Calibri"/>
                <w:sz w:val="18"/>
                <w:szCs w:val="18"/>
              </w:rPr>
            </w:pPr>
            <w:r w:rsidRPr="00B35B07">
              <w:rPr>
                <w:rFonts w:ascii="Calibri" w:hAnsi="Calibri"/>
                <w:sz w:val="18"/>
                <w:szCs w:val="18"/>
              </w:rPr>
              <w:t xml:space="preserve">Announcement of ECB that PEPP will continue until the ECB judges that coronavirus crisis phase is over. </w:t>
            </w:r>
          </w:p>
        </w:tc>
      </w:tr>
    </w:tbl>
    <w:p w14:paraId="6ED6E60F" w14:textId="77777777" w:rsidR="00B35B07" w:rsidRPr="00B35B07" w:rsidRDefault="00B35B07" w:rsidP="00B35B07">
      <w:pPr>
        <w:ind w:firstLine="0"/>
        <w:rPr>
          <w:rFonts w:ascii="Calibri" w:hAnsi="Calibri"/>
        </w:rPr>
      </w:pPr>
    </w:p>
    <w:p w14:paraId="4544C675" w14:textId="77777777" w:rsidR="00B35B07" w:rsidRPr="00B35B07" w:rsidRDefault="00B35B07" w:rsidP="00B35B07">
      <w:pPr>
        <w:numPr>
          <w:ilvl w:val="1"/>
          <w:numId w:val="7"/>
        </w:numPr>
        <w:tabs>
          <w:tab w:val="num" w:pos="0"/>
        </w:tabs>
        <w:spacing w:line="240" w:lineRule="auto"/>
        <w:ind w:left="1282" w:hanging="360"/>
        <w:jc w:val="left"/>
        <w:outlineLvl w:val="1"/>
        <w:rPr>
          <w:rFonts w:ascii="Calibri" w:eastAsia="Times New Roman" w:hAnsi="Calibri"/>
          <w:b/>
          <w:bCs/>
          <w:color w:val="000000"/>
          <w:szCs w:val="32"/>
          <w:lang w:val="en-US"/>
        </w:rPr>
      </w:pPr>
      <w:bookmarkStart w:id="78" w:name="_heading=h.3znysh7" w:colFirst="0" w:colLast="0"/>
      <w:bookmarkStart w:id="79" w:name="_Toc122697348"/>
      <w:bookmarkEnd w:id="78"/>
      <w:r w:rsidRPr="00B35B07">
        <w:rPr>
          <w:rFonts w:ascii="Calibri" w:eastAsia="Times New Roman" w:hAnsi="Calibri"/>
          <w:b/>
          <w:bCs/>
          <w:color w:val="000000"/>
          <w:szCs w:val="32"/>
          <w:lang w:val="en-US"/>
        </w:rPr>
        <w:t>Dependent variable – Long-term sovereign bond yields</w:t>
      </w:r>
      <w:bookmarkEnd w:id="79"/>
    </w:p>
    <w:p w14:paraId="7A7E5DD4" w14:textId="77777777" w:rsidR="00B35B07" w:rsidRPr="00B35B07" w:rsidRDefault="00B35B07" w:rsidP="00B35B07">
      <w:pPr>
        <w:rPr>
          <w:rFonts w:ascii="Calibri" w:hAnsi="Calibri"/>
        </w:rPr>
      </w:pPr>
    </w:p>
    <w:p w14:paraId="5CE27A5C" w14:textId="77777777"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The yield on a sovereign bond reflects the perceived risk of the bond. If a government is perceived as being financially stable and unlikely to default on its debt, then its bonds will typically have a lower yield. On the other hand, if a government is perceived as being financially risky, then its bonds will typically have a higher yield to compensate investors for the added risk.</w:t>
      </w:r>
    </w:p>
    <w:p w14:paraId="777D0E6F" w14:textId="77777777"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Sovereign bond yields are closely watched by investors, as they can provide insight into the financial health and stability of a government, as well as the direction of interest rates in the economy. They can also have a significant impact on the overall cost of borrowing for a government, as higher yields on its bonds will increase the cost of borrowing.</w:t>
      </w:r>
    </w:p>
    <w:p w14:paraId="139FB190" w14:textId="77777777"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When the ECB announces an APP, this program can have an impact on sovereign bond yields because the program involves the central bank buying large volumes of bonds from the </w:t>
      </w:r>
      <w:r w:rsidRPr="00B35B07">
        <w:rPr>
          <w:rFonts w:ascii="Calibri" w:hAnsi="Calibri" w:cs="Calibri"/>
          <w:color w:val="000000"/>
          <w:lang w:val="en-US"/>
        </w:rPr>
        <w:lastRenderedPageBreak/>
        <w:t xml:space="preserve">market.  This is because the increased demand for bonds from the ECB can drive up the price of bonds, which in turn lowers the yield. This can </w:t>
      </w:r>
      <w:proofErr w:type="gramStart"/>
      <w:r w:rsidRPr="00B35B07">
        <w:rPr>
          <w:rFonts w:ascii="Calibri" w:hAnsi="Calibri" w:cs="Calibri"/>
          <w:color w:val="000000"/>
          <w:lang w:val="en-US"/>
        </w:rPr>
        <w:t>be as</w:t>
      </w:r>
      <w:proofErr w:type="gramEnd"/>
      <w:r w:rsidRPr="00B35B07">
        <w:rPr>
          <w:rFonts w:ascii="Calibri" w:hAnsi="Calibri" w:cs="Calibri"/>
          <w:color w:val="000000"/>
          <w:lang w:val="en-US"/>
        </w:rPr>
        <w:t xml:space="preserve"> a signal that the ECB is taking action to stimulate economic activity and boost inflation, which can be seen as positive by investors and lead to increased demand for bonds.</w:t>
      </w:r>
    </w:p>
    <w:p w14:paraId="706B90E4" w14:textId="03767DF0"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Research of among others Joyce et al. (201</w:t>
      </w:r>
      <w:r w:rsidR="001923CC">
        <w:rPr>
          <w:rFonts w:ascii="Calibri" w:hAnsi="Calibri" w:cs="Calibri"/>
          <w:color w:val="000000"/>
          <w:lang w:val="en-US"/>
        </w:rPr>
        <w:t>2</w:t>
      </w:r>
      <w:r w:rsidRPr="00B35B07">
        <w:rPr>
          <w:rFonts w:ascii="Calibri" w:hAnsi="Calibri" w:cs="Calibri"/>
          <w:color w:val="000000"/>
          <w:lang w:val="en-US"/>
        </w:rPr>
        <w:t xml:space="preserve">) show evidence for yield reductions to </w:t>
      </w:r>
      <w:r w:rsidR="001923CC">
        <w:rPr>
          <w:rFonts w:ascii="Calibri" w:hAnsi="Calibri" w:cs="Calibri"/>
          <w:color w:val="000000"/>
          <w:lang w:val="en-US"/>
        </w:rPr>
        <w:t>QE</w:t>
      </w:r>
      <w:r w:rsidRPr="00B35B07">
        <w:rPr>
          <w:rFonts w:ascii="Calibri" w:hAnsi="Calibri" w:cs="Calibri"/>
          <w:color w:val="000000"/>
          <w:lang w:val="en-US"/>
        </w:rPr>
        <w:t xml:space="preserve"> announcements in the United Kingdom and in the U</w:t>
      </w:r>
      <w:r w:rsidR="001923CC">
        <w:rPr>
          <w:rFonts w:ascii="Calibri" w:hAnsi="Calibri" w:cs="Calibri"/>
          <w:color w:val="000000"/>
          <w:lang w:val="en-US"/>
        </w:rPr>
        <w:t xml:space="preserve">nited </w:t>
      </w:r>
      <w:r w:rsidRPr="00B35B07">
        <w:rPr>
          <w:rFonts w:ascii="Calibri" w:hAnsi="Calibri" w:cs="Calibri"/>
          <w:color w:val="000000"/>
          <w:lang w:val="en-US"/>
        </w:rPr>
        <w:t>S</w:t>
      </w:r>
      <w:r w:rsidR="001923CC">
        <w:rPr>
          <w:rFonts w:ascii="Calibri" w:hAnsi="Calibri" w:cs="Calibri"/>
          <w:color w:val="000000"/>
          <w:lang w:val="en-US"/>
        </w:rPr>
        <w:t>tates of America</w:t>
      </w:r>
      <w:r w:rsidRPr="00B35B07">
        <w:rPr>
          <w:rFonts w:ascii="Calibri" w:hAnsi="Calibri" w:cs="Calibri"/>
          <w:color w:val="000000"/>
          <w:lang w:val="en-US"/>
        </w:rPr>
        <w:t xml:space="preserve">. However, their research shows sovereign state differences in the response, measured in government bond yields, towards these Central Bank announcements. </w:t>
      </w:r>
    </w:p>
    <w:p w14:paraId="69A261C7" w14:textId="19649197" w:rsidR="00B35B07" w:rsidRPr="00B35B07" w:rsidRDefault="00B35B07" w:rsidP="00B35B07">
      <w:pPr>
        <w:spacing w:after="240"/>
        <w:ind w:firstLine="720"/>
        <w:rPr>
          <w:rFonts w:ascii="Calibri" w:hAnsi="Calibri" w:cs="Calibri"/>
          <w:color w:val="000000"/>
          <w:lang w:val="en-US"/>
        </w:rPr>
      </w:pPr>
      <w:r w:rsidRPr="00B35B07">
        <w:rPr>
          <w:rFonts w:ascii="Calibri" w:hAnsi="Calibri" w:cs="Calibri"/>
          <w:color w:val="000000"/>
          <w:lang w:val="en-US"/>
        </w:rPr>
        <w:t xml:space="preserve">The relationship between sovereign yield and UMP announcements could work as follows: </w:t>
      </w:r>
      <w:r w:rsidR="006D77EB">
        <w:rPr>
          <w:rFonts w:ascii="Calibri" w:hAnsi="Calibri" w:cs="Calibri"/>
          <w:color w:val="000000"/>
          <w:lang w:val="en-US"/>
        </w:rPr>
        <w:t>r</w:t>
      </w:r>
      <w:r w:rsidR="006D77EB" w:rsidRPr="006D77EB">
        <w:rPr>
          <w:rFonts w:ascii="Calibri" w:hAnsi="Calibri" w:cs="Calibri"/>
          <w:color w:val="000000"/>
          <w:lang w:val="en-US"/>
        </w:rPr>
        <w:t>eduction of sovereign bond yields can have a stimulative effect on the economy by lowering the external financing costs for banks, which in turn can reduce the costs for corporations and consumers seeking loans from these banks.</w:t>
      </w:r>
      <w:r w:rsidRPr="00B35B07">
        <w:rPr>
          <w:rFonts w:ascii="Calibri" w:hAnsi="Calibri" w:cs="Calibri"/>
          <w:color w:val="000000"/>
          <w:lang w:val="en-US"/>
        </w:rPr>
        <w:t xml:space="preserve">  This dependent variable is studied at </w:t>
      </w:r>
      <w:sdt>
        <w:sdtPr>
          <w:rPr>
            <w:rFonts w:ascii="Calibri" w:hAnsi="Calibri" w:cs="Calibri"/>
            <w:color w:val="000000"/>
            <w:lang w:val="en-US"/>
          </w:rPr>
          <w:tag w:val="goog_rdk_5"/>
          <w:id w:val="-1607574431"/>
        </w:sdtPr>
        <w:sdtContent/>
      </w:sdt>
      <w:r w:rsidRPr="00B35B07">
        <w:rPr>
          <w:rFonts w:ascii="Calibri" w:hAnsi="Calibri" w:cs="Calibri"/>
          <w:color w:val="000000"/>
          <w:lang w:val="en-US"/>
        </w:rPr>
        <w:t xml:space="preserve">an absolute level. </w:t>
      </w:r>
    </w:p>
    <w:p w14:paraId="158DFF50" w14:textId="77777777" w:rsidR="00B35B07" w:rsidRPr="00B35B07" w:rsidRDefault="00B35B07" w:rsidP="00B35B07">
      <w:pPr>
        <w:numPr>
          <w:ilvl w:val="1"/>
          <w:numId w:val="7"/>
        </w:numPr>
        <w:spacing w:line="240" w:lineRule="auto"/>
        <w:jc w:val="left"/>
        <w:outlineLvl w:val="1"/>
        <w:rPr>
          <w:rFonts w:ascii="Calibri" w:eastAsia="Times New Roman" w:hAnsi="Calibri"/>
          <w:b/>
          <w:bCs/>
          <w:color w:val="000000"/>
          <w:szCs w:val="32"/>
          <w:lang w:val="en-US"/>
        </w:rPr>
      </w:pPr>
      <w:bookmarkStart w:id="80" w:name="_heading=h.2et92p0" w:colFirst="0" w:colLast="0"/>
      <w:bookmarkStart w:id="81" w:name="_Toc122697349"/>
      <w:bookmarkEnd w:id="80"/>
      <w:r w:rsidRPr="00B35B07">
        <w:rPr>
          <w:rFonts w:ascii="Calibri" w:eastAsia="Times New Roman" w:hAnsi="Calibri"/>
          <w:b/>
          <w:bCs/>
          <w:color w:val="000000"/>
          <w:szCs w:val="32"/>
          <w:lang w:val="en-US"/>
        </w:rPr>
        <w:t>Control variables</w:t>
      </w:r>
      <w:bookmarkEnd w:id="81"/>
    </w:p>
    <w:p w14:paraId="038868BF" w14:textId="77777777" w:rsidR="00B35B07" w:rsidRPr="00B35B07" w:rsidRDefault="00B35B07" w:rsidP="00B35B07">
      <w:pPr>
        <w:ind w:firstLine="0"/>
        <w:rPr>
          <w:rFonts w:ascii="Calibri" w:hAnsi="Calibri"/>
        </w:rPr>
      </w:pPr>
    </w:p>
    <w:p w14:paraId="23272235" w14:textId="77777777" w:rsidR="00B35B07" w:rsidRPr="00B35B07" w:rsidRDefault="00B35B07" w:rsidP="00E304EC">
      <w:pPr>
        <w:ind w:firstLine="576"/>
        <w:rPr>
          <w:rFonts w:ascii="Calibri" w:hAnsi="Calibri"/>
        </w:rPr>
      </w:pPr>
      <w:r w:rsidRPr="00B35B07">
        <w:rPr>
          <w:rFonts w:ascii="Calibri" w:hAnsi="Calibri"/>
        </w:rPr>
        <w:t>To control for the additional effect of the announcement we take in control the main predictors of sovereign long-term yields, resulting in the following control variables:</w:t>
      </w:r>
    </w:p>
    <w:p w14:paraId="2F581549" w14:textId="77777777" w:rsidR="00B35B07" w:rsidRPr="00B35B07" w:rsidRDefault="00B35B07" w:rsidP="00B35B07">
      <w:pPr>
        <w:numPr>
          <w:ilvl w:val="2"/>
          <w:numId w:val="7"/>
        </w:numPr>
        <w:spacing w:before="260"/>
        <w:outlineLvl w:val="2"/>
        <w:rPr>
          <w:rFonts w:ascii="Calibri" w:eastAsia="Times New Roman" w:hAnsi="Calibri"/>
          <w:b/>
          <w:bCs/>
        </w:rPr>
      </w:pPr>
      <w:bookmarkStart w:id="82" w:name="_heading=h.tyjcwt" w:colFirst="0" w:colLast="0"/>
      <w:bookmarkStart w:id="83" w:name="_Toc122697350"/>
      <w:bookmarkEnd w:id="82"/>
      <w:r w:rsidRPr="00B35B07">
        <w:rPr>
          <w:rFonts w:ascii="Calibri" w:eastAsia="Times New Roman" w:hAnsi="Calibri"/>
          <w:b/>
          <w:bCs/>
        </w:rPr>
        <w:t>Lagged sovereign bond yield</w:t>
      </w:r>
      <w:bookmarkEnd w:id="83"/>
    </w:p>
    <w:p w14:paraId="613556AD" w14:textId="0815A875" w:rsidR="00B35B07" w:rsidRPr="00B35B07" w:rsidRDefault="00B35B07" w:rsidP="00E304EC">
      <w:pPr>
        <w:ind w:firstLine="720"/>
        <w:rPr>
          <w:rFonts w:ascii="Calibri" w:hAnsi="Calibri"/>
        </w:rPr>
      </w:pPr>
      <w:r w:rsidRPr="00B35B07">
        <w:rPr>
          <w:rFonts w:ascii="Calibri" w:hAnsi="Calibri"/>
        </w:rPr>
        <w:t xml:space="preserve">Following the approach of </w:t>
      </w:r>
      <w:proofErr w:type="spellStart"/>
      <w:r w:rsidRPr="00B35B07">
        <w:rPr>
          <w:rFonts w:ascii="Calibri" w:hAnsi="Calibri"/>
        </w:rPr>
        <w:t>Fendel</w:t>
      </w:r>
      <w:proofErr w:type="spellEnd"/>
      <w:r w:rsidRPr="00B35B07">
        <w:rPr>
          <w:rFonts w:ascii="Calibri" w:hAnsi="Calibri"/>
        </w:rPr>
        <w:t xml:space="preserve"> et al. (2020) and </w:t>
      </w:r>
      <w:proofErr w:type="spellStart"/>
      <w:r w:rsidRPr="00B35B07">
        <w:rPr>
          <w:rFonts w:ascii="Calibri" w:hAnsi="Calibri"/>
        </w:rPr>
        <w:t>Urbschat</w:t>
      </w:r>
      <w:proofErr w:type="spellEnd"/>
      <w:r w:rsidRPr="00B35B07">
        <w:rPr>
          <w:rFonts w:ascii="Calibri" w:hAnsi="Calibri"/>
        </w:rPr>
        <w:t xml:space="preserve"> and </w:t>
      </w:r>
      <w:proofErr w:type="spellStart"/>
      <w:r w:rsidRPr="00B35B07">
        <w:rPr>
          <w:rFonts w:ascii="Calibri" w:hAnsi="Calibri"/>
        </w:rPr>
        <w:t>Watzka</w:t>
      </w:r>
      <w:proofErr w:type="spellEnd"/>
      <w:r w:rsidRPr="00B35B07">
        <w:rPr>
          <w:rFonts w:ascii="Calibri" w:hAnsi="Calibri"/>
        </w:rPr>
        <w:t xml:space="preserve"> (20</w:t>
      </w:r>
      <w:r w:rsidR="003B4E71">
        <w:rPr>
          <w:rFonts w:ascii="Calibri" w:hAnsi="Calibri"/>
        </w:rPr>
        <w:t>20</w:t>
      </w:r>
      <w:r w:rsidRPr="00B35B07">
        <w:rPr>
          <w:rFonts w:ascii="Calibri" w:hAnsi="Calibri"/>
        </w:rPr>
        <w:t xml:space="preserve">), </w:t>
      </w:r>
      <w:r w:rsidR="00237680">
        <w:rPr>
          <w:rFonts w:ascii="Calibri" w:hAnsi="Calibri"/>
        </w:rPr>
        <w:t>this study</w:t>
      </w:r>
      <w:r w:rsidRPr="00B35B07">
        <w:rPr>
          <w:rFonts w:ascii="Calibri" w:hAnsi="Calibri"/>
        </w:rPr>
        <w:t xml:space="preserve"> assume</w:t>
      </w:r>
      <w:r w:rsidR="00237680">
        <w:rPr>
          <w:rFonts w:ascii="Calibri" w:hAnsi="Calibri"/>
        </w:rPr>
        <w:t>s</w:t>
      </w:r>
      <w:r w:rsidRPr="00B35B07">
        <w:rPr>
          <w:rFonts w:ascii="Calibri" w:hAnsi="Calibri"/>
        </w:rPr>
        <w:t xml:space="preserve"> the government bond yield change is dependent on that of the previous day as is common in financial time series</w:t>
      </w:r>
      <w:r w:rsidR="001E5A51">
        <w:rPr>
          <w:rFonts w:ascii="Calibri" w:hAnsi="Calibri"/>
        </w:rPr>
        <w:t xml:space="preserve"> (</w:t>
      </w:r>
      <w:proofErr w:type="spellStart"/>
      <w:r w:rsidR="001E5A51">
        <w:rPr>
          <w:rFonts w:ascii="Calibri" w:hAnsi="Calibri"/>
        </w:rPr>
        <w:t>Ubrschat</w:t>
      </w:r>
      <w:proofErr w:type="spellEnd"/>
      <w:r w:rsidR="001E5A51">
        <w:rPr>
          <w:rFonts w:ascii="Calibri" w:hAnsi="Calibri"/>
        </w:rPr>
        <w:t xml:space="preserve"> and </w:t>
      </w:r>
      <w:proofErr w:type="spellStart"/>
      <w:r w:rsidR="001E5A51">
        <w:rPr>
          <w:rFonts w:ascii="Calibri" w:hAnsi="Calibri"/>
        </w:rPr>
        <w:t>Watzka</w:t>
      </w:r>
      <w:proofErr w:type="spellEnd"/>
      <w:r w:rsidR="001E5A51">
        <w:rPr>
          <w:rFonts w:ascii="Calibri" w:hAnsi="Calibri"/>
        </w:rPr>
        <w:t>, 2020)</w:t>
      </w:r>
      <w:r w:rsidRPr="00B35B07">
        <w:rPr>
          <w:rFonts w:ascii="Calibri" w:hAnsi="Calibri"/>
        </w:rPr>
        <w:t>. We use a one day lagged variable in our regression to represent this.</w:t>
      </w:r>
    </w:p>
    <w:p w14:paraId="564B1DC9" w14:textId="77777777" w:rsidR="00B35B07" w:rsidRPr="00B35B07" w:rsidRDefault="00B35B07" w:rsidP="00B35B07">
      <w:pPr>
        <w:numPr>
          <w:ilvl w:val="2"/>
          <w:numId w:val="7"/>
        </w:numPr>
        <w:spacing w:before="260"/>
        <w:outlineLvl w:val="2"/>
        <w:rPr>
          <w:rFonts w:ascii="Calibri" w:eastAsia="Times New Roman" w:hAnsi="Calibri"/>
          <w:b/>
          <w:bCs/>
        </w:rPr>
      </w:pPr>
      <w:bookmarkStart w:id="84" w:name="_heading=h.3dy6vkm" w:colFirst="0" w:colLast="0"/>
      <w:bookmarkStart w:id="85" w:name="_Toc122697351"/>
      <w:bookmarkEnd w:id="84"/>
      <w:r w:rsidRPr="00B35B07">
        <w:rPr>
          <w:rFonts w:ascii="Calibri" w:eastAsia="Times New Roman" w:hAnsi="Calibri"/>
          <w:b/>
          <w:bCs/>
        </w:rPr>
        <w:t xml:space="preserve">Country-specific stock market index </w:t>
      </w:r>
      <w:r w:rsidRPr="00B35B07">
        <w:rPr>
          <w:rFonts w:ascii="Calibri" w:eastAsia="Times New Roman" w:hAnsi="Calibri"/>
        </w:rPr>
        <w:t>(- sign, meaning an increase in stock market index will result in lower yields)</w:t>
      </w:r>
      <w:bookmarkEnd w:id="85"/>
    </w:p>
    <w:p w14:paraId="1AC29A4A" w14:textId="0D543606" w:rsidR="00B35B07" w:rsidRPr="00B35B07" w:rsidRDefault="00AD74AD" w:rsidP="00E304EC">
      <w:pPr>
        <w:ind w:firstLine="720"/>
        <w:rPr>
          <w:rFonts w:ascii="Calibri" w:hAnsi="Calibri"/>
        </w:rPr>
      </w:pPr>
      <w:r w:rsidRPr="00AD74AD">
        <w:rPr>
          <w:rFonts w:ascii="Calibri" w:hAnsi="Calibri"/>
        </w:rPr>
        <w:t>The country-specific stock market index is included in the analysis to account for investors' overall perception of the economy.</w:t>
      </w:r>
      <w:r>
        <w:rPr>
          <w:rFonts w:ascii="Calibri" w:hAnsi="Calibri"/>
        </w:rPr>
        <w:t xml:space="preserve"> </w:t>
      </w:r>
      <w:r w:rsidR="00B35B07" w:rsidRPr="00B35B07">
        <w:rPr>
          <w:rFonts w:ascii="Calibri" w:hAnsi="Calibri"/>
        </w:rPr>
        <w:t xml:space="preserve">A rising country-specific stock index reduces the risk of default of sovereign debt, while the investors perceive a country’s economy as more stable. This reduces </w:t>
      </w:r>
      <w:r w:rsidR="00B35B07" w:rsidRPr="00B35B07">
        <w:rPr>
          <w:rFonts w:ascii="Calibri" w:hAnsi="Calibri"/>
        </w:rPr>
        <w:lastRenderedPageBreak/>
        <w:t>the default risk and therefore reduces government bond yields (</w:t>
      </w:r>
      <w:proofErr w:type="spellStart"/>
      <w:r w:rsidR="00B35B07" w:rsidRPr="00B35B07">
        <w:rPr>
          <w:rFonts w:ascii="Calibri" w:hAnsi="Calibri"/>
        </w:rPr>
        <w:t>Fendel</w:t>
      </w:r>
      <w:proofErr w:type="spellEnd"/>
      <w:r w:rsidR="00B35B07" w:rsidRPr="00B35B07">
        <w:rPr>
          <w:rFonts w:ascii="Calibri" w:hAnsi="Calibri"/>
        </w:rPr>
        <w:t xml:space="preserve"> and Neugebauer, 20</w:t>
      </w:r>
      <w:r w:rsidR="00EB5E98">
        <w:rPr>
          <w:rFonts w:ascii="Calibri" w:hAnsi="Calibri"/>
        </w:rPr>
        <w:t>21</w:t>
      </w:r>
      <w:r w:rsidR="00B35B07" w:rsidRPr="00B35B07">
        <w:rPr>
          <w:rFonts w:ascii="Calibri" w:hAnsi="Calibri"/>
        </w:rPr>
        <w:t xml:space="preserve">). Therefore, we expect a negative relationship between Yield and country-specific stock market index.  </w:t>
      </w:r>
    </w:p>
    <w:p w14:paraId="36A5BC6F" w14:textId="77777777" w:rsidR="00B35B07" w:rsidRPr="00B35B07" w:rsidRDefault="00B35B07" w:rsidP="00B35B07">
      <w:pPr>
        <w:numPr>
          <w:ilvl w:val="2"/>
          <w:numId w:val="7"/>
        </w:numPr>
        <w:spacing w:before="260"/>
        <w:outlineLvl w:val="2"/>
        <w:rPr>
          <w:rFonts w:ascii="Calibri" w:eastAsia="Times New Roman" w:hAnsi="Calibri"/>
          <w:b/>
          <w:bCs/>
        </w:rPr>
      </w:pPr>
      <w:bookmarkStart w:id="86" w:name="_heading=h.1t3h5sf" w:colFirst="0" w:colLast="0"/>
      <w:bookmarkStart w:id="87" w:name="_Toc122697352"/>
      <w:bookmarkEnd w:id="86"/>
      <w:r w:rsidRPr="00B35B07">
        <w:rPr>
          <w:rFonts w:ascii="Calibri" w:eastAsia="Times New Roman" w:hAnsi="Calibri"/>
          <w:b/>
          <w:bCs/>
        </w:rPr>
        <w:t xml:space="preserve">Europe </w:t>
      </w:r>
      <w:proofErr w:type="spellStart"/>
      <w:r w:rsidRPr="00B35B07">
        <w:rPr>
          <w:rFonts w:ascii="Calibri" w:eastAsia="Times New Roman" w:hAnsi="Calibri"/>
          <w:b/>
          <w:bCs/>
        </w:rPr>
        <w:t>Vstoxx</w:t>
      </w:r>
      <w:proofErr w:type="spellEnd"/>
      <w:r w:rsidRPr="00B35B07">
        <w:rPr>
          <w:rFonts w:ascii="Calibri" w:eastAsia="Times New Roman" w:hAnsi="Calibri"/>
          <w:b/>
          <w:bCs/>
        </w:rPr>
        <w:t xml:space="preserve"> index </w:t>
      </w:r>
      <w:r w:rsidRPr="00B35B07">
        <w:rPr>
          <w:rFonts w:ascii="Calibri" w:eastAsia="Times New Roman" w:hAnsi="Calibri"/>
        </w:rPr>
        <w:t xml:space="preserve">(sign: +, meaning an increase in the </w:t>
      </w:r>
      <w:proofErr w:type="spellStart"/>
      <w:r w:rsidRPr="00B35B07">
        <w:rPr>
          <w:rFonts w:ascii="Calibri" w:eastAsia="Times New Roman" w:hAnsi="Calibri"/>
        </w:rPr>
        <w:t>Vstoxx</w:t>
      </w:r>
      <w:proofErr w:type="spellEnd"/>
      <w:r w:rsidRPr="00B35B07">
        <w:rPr>
          <w:rFonts w:ascii="Calibri" w:eastAsia="Times New Roman" w:hAnsi="Calibri"/>
        </w:rPr>
        <w:t xml:space="preserve"> index increases the sovereign bond yield)</w:t>
      </w:r>
      <w:bookmarkEnd w:id="87"/>
    </w:p>
    <w:p w14:paraId="0F3AC6F8" w14:textId="06AE3991" w:rsidR="00B35B07" w:rsidRPr="00B35B07" w:rsidRDefault="00B35B07" w:rsidP="00E304EC">
      <w:pPr>
        <w:ind w:firstLine="720"/>
        <w:rPr>
          <w:rFonts w:ascii="Calibri" w:hAnsi="Calibri"/>
        </w:rPr>
      </w:pPr>
      <w:r w:rsidRPr="00B35B07">
        <w:rPr>
          <w:rFonts w:ascii="Calibri" w:hAnsi="Calibri"/>
        </w:rPr>
        <w:t xml:space="preserve">The </w:t>
      </w:r>
      <w:proofErr w:type="spellStart"/>
      <w:r w:rsidRPr="00B35B07">
        <w:rPr>
          <w:rFonts w:ascii="Calibri" w:hAnsi="Calibri"/>
        </w:rPr>
        <w:t>Vstoxx</w:t>
      </w:r>
      <w:proofErr w:type="spellEnd"/>
      <w:r w:rsidRPr="00B35B07">
        <w:rPr>
          <w:rFonts w:ascii="Calibri" w:hAnsi="Calibri"/>
        </w:rPr>
        <w:t xml:space="preserve"> volatility index indicates the expectations of volatility of the market in the Eurozone. Also called the: investor sentiment or investor fear indicator in other studies. The </w:t>
      </w:r>
      <w:proofErr w:type="spellStart"/>
      <w:r w:rsidRPr="00B35B07">
        <w:rPr>
          <w:rFonts w:ascii="Calibri" w:hAnsi="Calibri"/>
        </w:rPr>
        <w:t>Vstoxx</w:t>
      </w:r>
      <w:proofErr w:type="spellEnd"/>
      <w:r w:rsidRPr="00B35B07">
        <w:rPr>
          <w:rFonts w:ascii="Calibri" w:hAnsi="Calibri"/>
        </w:rPr>
        <w:t xml:space="preserve"> volatility index is based on the EURO STOXX 50 real-time options prices and measures the volatility of the market by </w:t>
      </w:r>
      <w:proofErr w:type="spellStart"/>
      <w:r w:rsidRPr="00B35B07">
        <w:rPr>
          <w:rFonts w:ascii="Calibri" w:hAnsi="Calibri"/>
        </w:rPr>
        <w:t>analyzing</w:t>
      </w:r>
      <w:proofErr w:type="spellEnd"/>
      <w:r w:rsidRPr="00B35B07">
        <w:rPr>
          <w:rFonts w:ascii="Calibri" w:hAnsi="Calibri"/>
        </w:rPr>
        <w:t xml:space="preserve"> the square root of the implied variance across all options. The higher the volatility in the market, the higher the economic uncertainty of a country. Therefore, we expect a positive relation between the sovereign bond yield and market volatility. (</w:t>
      </w:r>
      <w:proofErr w:type="spellStart"/>
      <w:r w:rsidRPr="00B35B07">
        <w:rPr>
          <w:rFonts w:ascii="Calibri" w:hAnsi="Calibri"/>
        </w:rPr>
        <w:t>Fendel</w:t>
      </w:r>
      <w:proofErr w:type="spellEnd"/>
      <w:r w:rsidRPr="00B35B07">
        <w:rPr>
          <w:rFonts w:ascii="Calibri" w:hAnsi="Calibri"/>
        </w:rPr>
        <w:t xml:space="preserve"> and Neugebauer, 20</w:t>
      </w:r>
      <w:r w:rsidR="00EB5E98">
        <w:rPr>
          <w:rFonts w:ascii="Calibri" w:hAnsi="Calibri"/>
        </w:rPr>
        <w:t>21</w:t>
      </w:r>
      <w:r w:rsidRPr="00B35B07">
        <w:rPr>
          <w:rFonts w:ascii="Calibri" w:hAnsi="Calibri"/>
        </w:rPr>
        <w:t>)</w:t>
      </w:r>
    </w:p>
    <w:p w14:paraId="5CEFC6FF" w14:textId="77777777" w:rsidR="00B35B07" w:rsidRPr="00B35B07" w:rsidRDefault="00B35B07" w:rsidP="00B35B07">
      <w:pPr>
        <w:numPr>
          <w:ilvl w:val="2"/>
          <w:numId w:val="7"/>
        </w:numPr>
        <w:spacing w:before="260"/>
        <w:outlineLvl w:val="2"/>
        <w:rPr>
          <w:rFonts w:ascii="Calibri" w:eastAsia="Times New Roman" w:hAnsi="Calibri"/>
          <w:b/>
          <w:bCs/>
        </w:rPr>
      </w:pPr>
      <w:bookmarkStart w:id="88" w:name="_heading=h.4d34og8" w:colFirst="0" w:colLast="0"/>
      <w:bookmarkStart w:id="89" w:name="_Toc122697353"/>
      <w:bookmarkEnd w:id="88"/>
      <w:proofErr w:type="spellStart"/>
      <w:r w:rsidRPr="00B35B07">
        <w:rPr>
          <w:rFonts w:ascii="Calibri" w:eastAsia="Times New Roman" w:hAnsi="Calibri"/>
          <w:b/>
          <w:bCs/>
        </w:rPr>
        <w:t>iTraxx</w:t>
      </w:r>
      <w:proofErr w:type="spellEnd"/>
      <w:r w:rsidRPr="00B35B07">
        <w:rPr>
          <w:rFonts w:ascii="Calibri" w:eastAsia="Times New Roman" w:hAnsi="Calibri"/>
          <w:b/>
          <w:bCs/>
        </w:rPr>
        <w:t xml:space="preserve"> Europe index </w:t>
      </w:r>
      <w:r w:rsidRPr="00B35B07">
        <w:rPr>
          <w:rFonts w:ascii="Calibri" w:eastAsia="Times New Roman" w:hAnsi="Calibri"/>
        </w:rPr>
        <w:t xml:space="preserve">(+ sign, meaning an increase in CDS if </w:t>
      </w:r>
      <w:proofErr w:type="spellStart"/>
      <w:r w:rsidRPr="00B35B07">
        <w:rPr>
          <w:rFonts w:ascii="Calibri" w:eastAsia="Times New Roman" w:hAnsi="Calibri"/>
        </w:rPr>
        <w:t>iTraxx</w:t>
      </w:r>
      <w:proofErr w:type="spellEnd"/>
      <w:r w:rsidRPr="00B35B07">
        <w:rPr>
          <w:rFonts w:ascii="Calibri" w:eastAsia="Times New Roman" w:hAnsi="Calibri"/>
        </w:rPr>
        <w:t xml:space="preserve"> index increases)</w:t>
      </w:r>
      <w:bookmarkEnd w:id="89"/>
    </w:p>
    <w:p w14:paraId="75B21999" w14:textId="48F63828" w:rsidR="00B35B07" w:rsidRPr="00B35B07" w:rsidRDefault="00B35B07" w:rsidP="00E304EC">
      <w:pPr>
        <w:ind w:firstLine="720"/>
        <w:rPr>
          <w:rFonts w:ascii="Calibri" w:hAnsi="Calibri"/>
        </w:rPr>
      </w:pPr>
      <w:r w:rsidRPr="00B35B07">
        <w:rPr>
          <w:rFonts w:ascii="Calibri" w:hAnsi="Calibri"/>
        </w:rPr>
        <w:t xml:space="preserve">The </w:t>
      </w:r>
      <w:proofErr w:type="spellStart"/>
      <w:r w:rsidRPr="00B35B07">
        <w:rPr>
          <w:rFonts w:ascii="Calibri" w:hAnsi="Calibri"/>
        </w:rPr>
        <w:t>iTraxx</w:t>
      </w:r>
      <w:proofErr w:type="spellEnd"/>
      <w:r w:rsidRPr="00B35B07">
        <w:rPr>
          <w:rFonts w:ascii="Calibri" w:hAnsi="Calibri"/>
        </w:rPr>
        <w:t xml:space="preserve"> Europe index consists of 125 most liquid CDS series in the European market</w:t>
      </w:r>
      <w:r w:rsidR="00F34271">
        <w:rPr>
          <w:rFonts w:ascii="Calibri" w:hAnsi="Calibri"/>
        </w:rPr>
        <w:t xml:space="preserve"> (de </w:t>
      </w:r>
      <w:proofErr w:type="spellStart"/>
      <w:r w:rsidR="00F34271">
        <w:rPr>
          <w:rFonts w:ascii="Calibri" w:hAnsi="Calibri"/>
        </w:rPr>
        <w:t>Bruy</w:t>
      </w:r>
      <w:r w:rsidR="00157D93">
        <w:rPr>
          <w:rFonts w:ascii="Calibri" w:hAnsi="Calibri"/>
        </w:rPr>
        <w:t>c</w:t>
      </w:r>
      <w:r w:rsidR="00F34271">
        <w:rPr>
          <w:rFonts w:ascii="Calibri" w:hAnsi="Calibri"/>
        </w:rPr>
        <w:t>kere</w:t>
      </w:r>
      <w:proofErr w:type="spellEnd"/>
      <w:r w:rsidR="00F34271">
        <w:rPr>
          <w:rFonts w:ascii="Calibri" w:hAnsi="Calibri"/>
        </w:rPr>
        <w:t xml:space="preserve"> et al., 2013). </w:t>
      </w:r>
      <w:r w:rsidRPr="00B35B07">
        <w:rPr>
          <w:rFonts w:ascii="Calibri" w:hAnsi="Calibri"/>
        </w:rPr>
        <w:t xml:space="preserve">The index is a collection of indexes for the credit market in Europe. A higher </w:t>
      </w:r>
      <w:proofErr w:type="spellStart"/>
      <w:r w:rsidRPr="00B35B07">
        <w:rPr>
          <w:rFonts w:ascii="Calibri" w:hAnsi="Calibri"/>
        </w:rPr>
        <w:t>iTraxx</w:t>
      </w:r>
      <w:proofErr w:type="spellEnd"/>
      <w:r w:rsidRPr="00B35B07">
        <w:rPr>
          <w:rFonts w:ascii="Calibri" w:hAnsi="Calibri"/>
        </w:rPr>
        <w:t xml:space="preserve"> index indicates higher default risk within the economy, which decreases bond prices and increases yields. Thus, we expect a positive relationship between the </w:t>
      </w:r>
      <w:proofErr w:type="spellStart"/>
      <w:r w:rsidRPr="00B35B07">
        <w:rPr>
          <w:rFonts w:ascii="Calibri" w:hAnsi="Calibri"/>
        </w:rPr>
        <w:t>Itraxx</w:t>
      </w:r>
      <w:proofErr w:type="spellEnd"/>
      <w:r w:rsidRPr="00B35B07">
        <w:rPr>
          <w:rFonts w:ascii="Calibri" w:hAnsi="Calibri"/>
        </w:rPr>
        <w:t xml:space="preserve"> index and yield. </w:t>
      </w:r>
    </w:p>
    <w:p w14:paraId="4C8CF12D" w14:textId="77777777" w:rsidR="00B35B07" w:rsidRPr="00B35B07" w:rsidRDefault="00B35B07" w:rsidP="00B35B07">
      <w:pPr>
        <w:numPr>
          <w:ilvl w:val="2"/>
          <w:numId w:val="7"/>
        </w:numPr>
        <w:spacing w:before="260"/>
        <w:outlineLvl w:val="2"/>
        <w:rPr>
          <w:rFonts w:ascii="Calibri" w:eastAsia="Times New Roman" w:hAnsi="Calibri"/>
          <w:b/>
          <w:bCs/>
        </w:rPr>
      </w:pPr>
      <w:bookmarkStart w:id="90" w:name="_heading=h.2s8eyo1" w:colFirst="0" w:colLast="0"/>
      <w:bookmarkStart w:id="91" w:name="_Toc122697354"/>
      <w:bookmarkEnd w:id="90"/>
      <w:r w:rsidRPr="00B35B07">
        <w:rPr>
          <w:rFonts w:ascii="Calibri" w:eastAsia="Times New Roman" w:hAnsi="Calibri"/>
          <w:b/>
          <w:bCs/>
        </w:rPr>
        <w:t xml:space="preserve">Total stock market index </w:t>
      </w:r>
      <w:r w:rsidRPr="00B35B07">
        <w:rPr>
          <w:rFonts w:ascii="Calibri" w:eastAsia="Times New Roman" w:hAnsi="Calibri"/>
        </w:rPr>
        <w:t>(- sign, meaning an increase in total stock market index will result in lower yield)</w:t>
      </w:r>
      <w:bookmarkEnd w:id="91"/>
    </w:p>
    <w:p w14:paraId="560D2915" w14:textId="27E64BC9" w:rsidR="00B35B07" w:rsidRPr="00B35B07" w:rsidRDefault="00B35B07" w:rsidP="00E304EC">
      <w:pPr>
        <w:ind w:firstLine="720"/>
        <w:rPr>
          <w:rFonts w:ascii="Calibri" w:hAnsi="Calibri"/>
        </w:rPr>
      </w:pPr>
      <w:r w:rsidRPr="00B35B07">
        <w:rPr>
          <w:rFonts w:ascii="Calibri" w:hAnsi="Calibri"/>
        </w:rPr>
        <w:t>The total stock market index differences control for the market-wide business climate changes in the EU</w:t>
      </w:r>
      <w:r w:rsidR="00157D93">
        <w:rPr>
          <w:rFonts w:ascii="Calibri" w:hAnsi="Calibri"/>
        </w:rPr>
        <w:t xml:space="preserve"> </w:t>
      </w:r>
      <w:r w:rsidR="00157D93">
        <w:rPr>
          <w:rFonts w:ascii="Calibri" w:hAnsi="Calibri"/>
        </w:rPr>
        <w:t xml:space="preserve">(de </w:t>
      </w:r>
      <w:proofErr w:type="spellStart"/>
      <w:r w:rsidR="00157D93">
        <w:rPr>
          <w:rFonts w:ascii="Calibri" w:hAnsi="Calibri"/>
        </w:rPr>
        <w:t>Bruy</w:t>
      </w:r>
      <w:r w:rsidR="00157D93">
        <w:rPr>
          <w:rFonts w:ascii="Calibri" w:hAnsi="Calibri"/>
        </w:rPr>
        <w:t>c</w:t>
      </w:r>
      <w:r w:rsidR="00157D93">
        <w:rPr>
          <w:rFonts w:ascii="Calibri" w:hAnsi="Calibri"/>
        </w:rPr>
        <w:t>kere</w:t>
      </w:r>
      <w:proofErr w:type="spellEnd"/>
      <w:r w:rsidR="00157D93">
        <w:rPr>
          <w:rFonts w:ascii="Calibri" w:hAnsi="Calibri"/>
        </w:rPr>
        <w:t xml:space="preserve"> et al., 2013).</w:t>
      </w:r>
      <w:r w:rsidRPr="00B35B07">
        <w:rPr>
          <w:rFonts w:ascii="Calibri" w:hAnsi="Calibri"/>
        </w:rPr>
        <w:t xml:space="preserve"> Since, the total stock market index is often used to explain the performance of a business climate. A higher total stock market index suggests investor optimism and thus lower default probabilities since the probability (risk) of default is lower when the business climate thrives. For this reason, we expect a negative sign for the stock market index. </w:t>
      </w:r>
    </w:p>
    <w:p w14:paraId="51EDED62" w14:textId="77777777" w:rsidR="00B35B07" w:rsidRPr="00B35B07" w:rsidRDefault="00B35B07" w:rsidP="00B35B07">
      <w:pPr>
        <w:numPr>
          <w:ilvl w:val="2"/>
          <w:numId w:val="7"/>
        </w:numPr>
        <w:spacing w:before="260"/>
        <w:outlineLvl w:val="2"/>
        <w:rPr>
          <w:rFonts w:ascii="Calibri" w:eastAsia="Calibri" w:hAnsi="Calibri"/>
          <w:b/>
          <w:bCs/>
        </w:rPr>
      </w:pPr>
      <w:bookmarkStart w:id="92" w:name="_heading=h.17dp8vu" w:colFirst="0" w:colLast="0"/>
      <w:bookmarkStart w:id="93" w:name="_Toc122697355"/>
      <w:bookmarkEnd w:id="92"/>
      <w:r w:rsidRPr="00B35B07">
        <w:rPr>
          <w:rFonts w:ascii="Calibri" w:eastAsia="Times New Roman" w:hAnsi="Calibri"/>
          <w:b/>
          <w:bCs/>
        </w:rPr>
        <w:t xml:space="preserve">Citigroup Economic Surprise Index (CESI) </w:t>
      </w:r>
      <w:r w:rsidRPr="00B35B07">
        <w:rPr>
          <w:rFonts w:ascii="Calibri" w:eastAsia="Times New Roman" w:hAnsi="Calibri"/>
        </w:rPr>
        <w:t>(sign: +, meaning an increase in spread if variable increases).</w:t>
      </w:r>
      <w:bookmarkEnd w:id="93"/>
    </w:p>
    <w:p w14:paraId="5A3C3993" w14:textId="28CCFBBB" w:rsidR="00B35B07" w:rsidRPr="00B35B07" w:rsidRDefault="00783752" w:rsidP="00765E5F">
      <w:pPr>
        <w:ind w:firstLine="720"/>
        <w:rPr>
          <w:rFonts w:ascii="Calibri" w:hAnsi="Calibri"/>
        </w:rPr>
      </w:pPr>
      <w:r w:rsidRPr="00783752">
        <w:rPr>
          <w:rFonts w:ascii="Calibri" w:hAnsi="Calibri"/>
        </w:rPr>
        <w:lastRenderedPageBreak/>
        <w:t xml:space="preserve">The CESI, or </w:t>
      </w:r>
      <w:r w:rsidR="008453F9">
        <w:rPr>
          <w:rFonts w:ascii="Calibri" w:hAnsi="Calibri"/>
        </w:rPr>
        <w:t>Citigroup</w:t>
      </w:r>
      <w:r w:rsidRPr="00783752">
        <w:rPr>
          <w:rFonts w:ascii="Calibri" w:hAnsi="Calibri"/>
        </w:rPr>
        <w:t xml:space="preserve"> Economic Surprise Index, is a measure of the weighted historical standard deviation of macroeconomic data surprises that </w:t>
      </w:r>
      <w:proofErr w:type="gramStart"/>
      <w:r w:rsidRPr="00783752">
        <w:rPr>
          <w:rFonts w:ascii="Calibri" w:hAnsi="Calibri"/>
        </w:rPr>
        <w:t>takes into account</w:t>
      </w:r>
      <w:proofErr w:type="gramEnd"/>
      <w:r w:rsidRPr="00783752">
        <w:rPr>
          <w:rFonts w:ascii="Calibri" w:hAnsi="Calibri"/>
        </w:rPr>
        <w:t xml:space="preserve"> general events occurring throughout Europe (Scotti, 2016). It serves as a control for the impact of such events on the analysis.</w:t>
      </w:r>
      <w:r w:rsidR="00B35B07" w:rsidRPr="00B35B07">
        <w:rPr>
          <w:rFonts w:ascii="Calibri" w:hAnsi="Calibri"/>
        </w:rPr>
        <w:t xml:space="preserve"> The higher the index, the more perceived risks for investors, while macro-economic events increase bond yields in this situation. Since the CESI bundles several control factors in one variable it could measure the global influence on the event in a precise manner. This index has a good reputation for representing data surprises and had outperformed rival indicators during the global financial crisis of 2008 (Scotti, 201</w:t>
      </w:r>
      <w:r w:rsidR="00765E5F">
        <w:rPr>
          <w:rFonts w:ascii="Calibri" w:hAnsi="Calibri"/>
        </w:rPr>
        <w:t>6</w:t>
      </w:r>
      <w:r w:rsidR="00B35B07" w:rsidRPr="00B35B07">
        <w:rPr>
          <w:rFonts w:ascii="Calibri" w:hAnsi="Calibri"/>
        </w:rPr>
        <w:t xml:space="preserve">). </w:t>
      </w:r>
    </w:p>
    <w:p w14:paraId="5379B1F7" w14:textId="77777777" w:rsidR="00B35B07" w:rsidRPr="00B35B07" w:rsidRDefault="00B35B07" w:rsidP="00B35B07">
      <w:pPr>
        <w:ind w:firstLine="720"/>
        <w:rPr>
          <w:rFonts w:ascii="Calibri" w:hAnsi="Calibri"/>
        </w:rPr>
      </w:pPr>
    </w:p>
    <w:p w14:paraId="7EAD2A57" w14:textId="77777777" w:rsidR="00B35B07" w:rsidRPr="00B35B07" w:rsidRDefault="00B35B07" w:rsidP="00B35B07">
      <w:pPr>
        <w:numPr>
          <w:ilvl w:val="1"/>
          <w:numId w:val="7"/>
        </w:numPr>
        <w:spacing w:line="240" w:lineRule="auto"/>
        <w:jc w:val="left"/>
        <w:outlineLvl w:val="1"/>
        <w:rPr>
          <w:rFonts w:ascii="Calibri" w:eastAsia="Times New Roman" w:hAnsi="Calibri"/>
          <w:b/>
          <w:bCs/>
          <w:color w:val="000000"/>
          <w:szCs w:val="32"/>
          <w:lang w:val="en-US"/>
        </w:rPr>
      </w:pPr>
      <w:bookmarkStart w:id="94" w:name="_Toc122697356"/>
      <w:r w:rsidRPr="00B35B07">
        <w:rPr>
          <w:rFonts w:ascii="Calibri" w:eastAsia="Times New Roman" w:hAnsi="Calibri"/>
          <w:b/>
          <w:bCs/>
          <w:color w:val="000000"/>
          <w:szCs w:val="32"/>
          <w:lang w:val="en-US"/>
        </w:rPr>
        <w:t>Robustness check: Credit Default Swap</w:t>
      </w:r>
      <w:bookmarkEnd w:id="94"/>
    </w:p>
    <w:p w14:paraId="543E5519" w14:textId="77777777" w:rsidR="00B35B07" w:rsidRPr="00B35B07" w:rsidRDefault="00B35B07" w:rsidP="00B35B07">
      <w:pPr>
        <w:ind w:firstLine="720"/>
        <w:rPr>
          <w:rFonts w:ascii="Calibri" w:hAnsi="Calibri"/>
        </w:rPr>
      </w:pPr>
    </w:p>
    <w:p w14:paraId="3F96FD26" w14:textId="77777777" w:rsidR="00765E5F" w:rsidRPr="00E304EC" w:rsidRDefault="00765E5F" w:rsidP="00E304EC">
      <w:pPr>
        <w:spacing w:after="240"/>
        <w:ind w:firstLine="720"/>
        <w:rPr>
          <w:rFonts w:cstheme="minorHAnsi"/>
          <w:color w:val="000000"/>
          <w:lang w:val="en-US"/>
        </w:rPr>
      </w:pPr>
      <w:r w:rsidRPr="00765E5F">
        <w:rPr>
          <w:rFonts w:ascii="Calibri" w:hAnsi="Calibri"/>
        </w:rPr>
        <w:t xml:space="preserve">As a robustness check we use the sovereign CDS. CDS is an instrument to transfer the risk of a bond towards an alternative individual investor. The debt buyer can purchase a CDS to transfer the risk to another investor, who agrees to pay in the case the debt issuer defaults on its obligation. CDS instruments are used as a form of insurance to hedge against the possibility that the bond issuer will default on their payment obligations. CDS are the most used credit derivative dominating the credit derivative market (Krishnamurthy and </w:t>
      </w:r>
      <w:proofErr w:type="spellStart"/>
      <w:r w:rsidRPr="00765E5F">
        <w:rPr>
          <w:rFonts w:ascii="Calibri" w:hAnsi="Calibri"/>
        </w:rPr>
        <w:t>Vissing</w:t>
      </w:r>
      <w:proofErr w:type="spellEnd"/>
      <w:r w:rsidRPr="00765E5F">
        <w:rPr>
          <w:rFonts w:ascii="Calibri" w:hAnsi="Calibri"/>
        </w:rPr>
        <w:t xml:space="preserve">-Jorgensen, 2011). In this study the CDS change is used as a robustness check mainly due to three reasons. First, CDS can provide more dynamic market-based pricing, while these are more actively traded and have a shorter settlement period than bonds (de </w:t>
      </w:r>
      <w:proofErr w:type="spellStart"/>
      <w:r w:rsidRPr="00765E5F">
        <w:rPr>
          <w:rFonts w:ascii="Calibri" w:hAnsi="Calibri"/>
        </w:rPr>
        <w:t>Bruyckere</w:t>
      </w:r>
      <w:proofErr w:type="spellEnd"/>
      <w:r w:rsidRPr="00765E5F">
        <w:rPr>
          <w:rFonts w:ascii="Calibri" w:hAnsi="Calibri"/>
        </w:rPr>
        <w:t xml:space="preserve"> et al., 2013). Second, bond spreads include inflation expectations and demand and supply for lending conditions as well as a default risk (Codogno et al., 2003). However, since we are interested in the risk of default per country by </w:t>
      </w:r>
      <w:proofErr w:type="spellStart"/>
      <w:r w:rsidRPr="00E304EC">
        <w:rPr>
          <w:rFonts w:cstheme="minorHAnsi"/>
          <w:color w:val="000000"/>
          <w:lang w:val="en-US"/>
        </w:rPr>
        <w:t>analyzing</w:t>
      </w:r>
      <w:proofErr w:type="spellEnd"/>
      <w:r w:rsidRPr="00E304EC">
        <w:rPr>
          <w:rFonts w:cstheme="minorHAnsi"/>
          <w:color w:val="000000"/>
          <w:lang w:val="en-US"/>
        </w:rPr>
        <w:t xml:space="preserve"> the UMP announcements, we focus on CDS changes. Lastly, using CDS avoids the difficulty in dealing with time to maturity as in the case of using sovereign yield rates (de </w:t>
      </w:r>
      <w:proofErr w:type="spellStart"/>
      <w:r w:rsidRPr="00E304EC">
        <w:rPr>
          <w:rFonts w:cstheme="minorHAnsi"/>
          <w:color w:val="000000"/>
          <w:lang w:val="en-US"/>
        </w:rPr>
        <w:t>Bruyckere</w:t>
      </w:r>
      <w:proofErr w:type="spellEnd"/>
      <w:r w:rsidRPr="00E304EC">
        <w:rPr>
          <w:rFonts w:cstheme="minorHAnsi"/>
          <w:color w:val="000000"/>
          <w:lang w:val="en-US"/>
        </w:rPr>
        <w:t xml:space="preserve"> et al., 2013) </w:t>
      </w:r>
    </w:p>
    <w:p w14:paraId="723187AF" w14:textId="72A01850" w:rsidR="00B35B07" w:rsidRDefault="00FD4918" w:rsidP="00E304EC">
      <w:pPr>
        <w:spacing w:after="240"/>
        <w:ind w:firstLine="720"/>
        <w:rPr>
          <w:rFonts w:ascii="Calibri" w:hAnsi="Calibri"/>
        </w:rPr>
      </w:pPr>
      <w:r w:rsidRPr="00E304EC">
        <w:rPr>
          <w:rFonts w:cstheme="minorHAnsi"/>
          <w:color w:val="000000"/>
          <w:lang w:val="en-US"/>
        </w:rPr>
        <w:t>Sovereign credit default swaps reflect the risk premium associated with a specific country's creditworthiness. When a central bank announces a policy that is expected to improve the creditworthiness</w:t>
      </w:r>
      <w:r w:rsidRPr="00FD4918">
        <w:rPr>
          <w:rFonts w:ascii="Calibri" w:hAnsi="Calibri"/>
        </w:rPr>
        <w:t xml:space="preserve"> of the country, investors in the credit derivative market may revise their expectations and drive down the CDS. This happens because the CDS reflects the perceived risk </w:t>
      </w:r>
      <w:r w:rsidRPr="00FD4918">
        <w:rPr>
          <w:rFonts w:ascii="Calibri" w:hAnsi="Calibri"/>
        </w:rPr>
        <w:lastRenderedPageBreak/>
        <w:t>of default on the country's debt</w:t>
      </w:r>
      <w:r>
        <w:rPr>
          <w:rFonts w:ascii="Calibri" w:hAnsi="Calibri"/>
        </w:rPr>
        <w:t xml:space="preserve">. </w:t>
      </w:r>
      <w:r w:rsidR="00765E5F" w:rsidRPr="00765E5F">
        <w:rPr>
          <w:rFonts w:ascii="Calibri" w:hAnsi="Calibri"/>
        </w:rPr>
        <w:t xml:space="preserve">For example, if the ECB announces UMP that is perceived by the market as effective in addressing financial market stress or improving economic conditions, this can reduce the risk of default on the sovereign bond and, in turn, the price of the sovereign CDS. Conversely, if a UMP announcement is seen as insufficient or inadequate in addressing these issues, it may increase the risk of default and the price of the CDS. Following the argumentation of </w:t>
      </w:r>
      <w:proofErr w:type="spellStart"/>
      <w:r w:rsidR="00765E5F" w:rsidRPr="00765E5F">
        <w:rPr>
          <w:rFonts w:ascii="Calibri" w:hAnsi="Calibri"/>
        </w:rPr>
        <w:t>Urbschat</w:t>
      </w:r>
      <w:proofErr w:type="spellEnd"/>
      <w:r w:rsidR="00765E5F" w:rsidRPr="00765E5F">
        <w:rPr>
          <w:rFonts w:ascii="Calibri" w:hAnsi="Calibri"/>
        </w:rPr>
        <w:t xml:space="preserve"> and </w:t>
      </w:r>
      <w:proofErr w:type="spellStart"/>
      <w:r w:rsidR="00765E5F" w:rsidRPr="00765E5F">
        <w:rPr>
          <w:rFonts w:ascii="Calibri" w:hAnsi="Calibri"/>
        </w:rPr>
        <w:t>Watzka</w:t>
      </w:r>
      <w:proofErr w:type="spellEnd"/>
      <w:r w:rsidR="00765E5F" w:rsidRPr="00765E5F">
        <w:rPr>
          <w:rFonts w:ascii="Calibri" w:hAnsi="Calibri"/>
        </w:rPr>
        <w:t xml:space="preserve"> (2017) controlling for lagged yield, this study controls for a lagged effect of CDS too.  </w:t>
      </w:r>
    </w:p>
    <w:p w14:paraId="5ECEF643" w14:textId="77777777" w:rsidR="009D6410" w:rsidRPr="00B35B07" w:rsidRDefault="009D6410" w:rsidP="00765E5F">
      <w:pPr>
        <w:ind w:firstLine="720"/>
        <w:rPr>
          <w:rFonts w:ascii="Calibri" w:hAnsi="Calibri"/>
        </w:rPr>
      </w:pPr>
    </w:p>
    <w:p w14:paraId="712F466C" w14:textId="77777777" w:rsidR="00B35B07" w:rsidRPr="00B35B07" w:rsidRDefault="00B35B07" w:rsidP="00B35B07">
      <w:pPr>
        <w:numPr>
          <w:ilvl w:val="1"/>
          <w:numId w:val="7"/>
        </w:numPr>
        <w:spacing w:line="240" w:lineRule="auto"/>
        <w:jc w:val="left"/>
        <w:outlineLvl w:val="1"/>
        <w:rPr>
          <w:rFonts w:ascii="Calibri" w:eastAsia="Calibri" w:hAnsi="Calibri"/>
          <w:b/>
          <w:bCs/>
          <w:color w:val="000000"/>
          <w:szCs w:val="32"/>
          <w:lang w:val="en-US"/>
        </w:rPr>
      </w:pPr>
      <w:bookmarkStart w:id="95" w:name="_heading=h.3rdcrjn" w:colFirst="0" w:colLast="0"/>
      <w:bookmarkStart w:id="96" w:name="_Toc122697357"/>
      <w:bookmarkEnd w:id="95"/>
      <w:r w:rsidRPr="00B35B07">
        <w:rPr>
          <w:rFonts w:ascii="Calibri" w:eastAsia="Times New Roman" w:hAnsi="Calibri"/>
          <w:b/>
          <w:bCs/>
          <w:color w:val="000000"/>
          <w:szCs w:val="32"/>
          <w:lang w:val="en-US"/>
        </w:rPr>
        <w:t>Baseline model specification</w:t>
      </w:r>
      <w:bookmarkEnd w:id="96"/>
    </w:p>
    <w:p w14:paraId="3DAD9532" w14:textId="77777777" w:rsidR="00B35B07" w:rsidRPr="00B35B07" w:rsidRDefault="00B35B07" w:rsidP="00B35B07">
      <w:pPr>
        <w:ind w:firstLine="0"/>
        <w:rPr>
          <w:rFonts w:ascii="Calibri" w:hAnsi="Calibri"/>
        </w:rPr>
      </w:pPr>
    </w:p>
    <w:p w14:paraId="474171A9" w14:textId="3EAC372F" w:rsidR="00B35B07" w:rsidRPr="00B35B07" w:rsidRDefault="00B35B07" w:rsidP="00E304EC">
      <w:pPr>
        <w:spacing w:after="240"/>
        <w:ind w:firstLine="720"/>
        <w:rPr>
          <w:rFonts w:cstheme="minorHAnsi"/>
          <w:color w:val="000000"/>
          <w:lang w:val="en-US"/>
        </w:rPr>
      </w:pPr>
      <w:r w:rsidRPr="00B35B07">
        <w:rPr>
          <w:rFonts w:cstheme="minorHAnsi"/>
          <w:color w:val="000000"/>
          <w:lang w:val="en-US"/>
        </w:rPr>
        <w:t xml:space="preserve">Our main variable of interest is the European Central Bank announcement, ECB(t), it is considered a dummy variable taking the value of 1 on the time-window chosen around the announcement of news regarding the APP of the EU, or a 0 otherwise. Following the strategy of </w:t>
      </w:r>
      <w:proofErr w:type="spellStart"/>
      <w:r w:rsidRPr="00B35B07">
        <w:rPr>
          <w:rFonts w:cstheme="minorHAnsi"/>
          <w:color w:val="000000"/>
          <w:lang w:val="en-US"/>
        </w:rPr>
        <w:t>Falagiarda</w:t>
      </w:r>
      <w:proofErr w:type="spellEnd"/>
      <w:r w:rsidRPr="00B35B07">
        <w:rPr>
          <w:rFonts w:cstheme="minorHAnsi"/>
          <w:color w:val="000000"/>
          <w:lang w:val="en-US"/>
        </w:rPr>
        <w:t xml:space="preserve"> and Reitz (2015), including the findings of </w:t>
      </w:r>
      <w:proofErr w:type="spellStart"/>
      <w:r w:rsidRPr="00B35B07">
        <w:rPr>
          <w:rFonts w:cstheme="minorHAnsi"/>
          <w:color w:val="000000"/>
          <w:lang w:val="en-US"/>
        </w:rPr>
        <w:t>Fendel</w:t>
      </w:r>
      <w:proofErr w:type="spellEnd"/>
      <w:r w:rsidRPr="00B35B07">
        <w:rPr>
          <w:rFonts w:cstheme="minorHAnsi"/>
          <w:color w:val="000000"/>
          <w:lang w:val="en-US"/>
        </w:rPr>
        <w:t xml:space="preserve"> et al. (2020) finding the day after the announcement significant effects we include a lagged dummy for ECB announcement too. Forming a base for studying delayed announcement effects with regards towards ECB publications. </w:t>
      </w:r>
    </w:p>
    <w:p w14:paraId="345CC260" w14:textId="6FCDD80B" w:rsidR="00B35B07" w:rsidRPr="00B35B07" w:rsidRDefault="00B35B07" w:rsidP="00E304EC">
      <w:pPr>
        <w:spacing w:after="240"/>
        <w:ind w:firstLine="720"/>
        <w:rPr>
          <w:rFonts w:ascii="Calibri" w:hAnsi="Calibri"/>
        </w:rPr>
      </w:pPr>
      <w:r w:rsidRPr="00B35B07">
        <w:rPr>
          <w:rFonts w:cstheme="minorHAnsi"/>
          <w:color w:val="000000"/>
          <w:lang w:val="en-US"/>
        </w:rPr>
        <w:t>We use several variables to control the initial relationship by controlling for their first differences, this is represented by variable delta Z(t). This study uses three panel regression (fixed effects) by altering variable c</w:t>
      </w:r>
      <w:r w:rsidRPr="00B35B07">
        <w:rPr>
          <w:rFonts w:ascii="Calibri" w:hAnsi="Calibri"/>
        </w:rPr>
        <w:t xml:space="preserve"> in Equation (1) resulting in the following regression: aggregate of all EU area countries and core European Countries and Periphery countries.</w:t>
      </w:r>
    </w:p>
    <w:p w14:paraId="6599ACBF"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b/>
          <w:bCs/>
        </w:rPr>
      </w:pPr>
      <w:r w:rsidRPr="00B35B07">
        <w:rPr>
          <w:rFonts w:ascii="Calibri" w:hAnsi="Calibri"/>
          <w:b/>
          <w:bCs/>
        </w:rPr>
        <w:t>Absolute yield level panel regression following in Equation (1):</w:t>
      </w:r>
    </w:p>
    <w:p w14:paraId="53850D5A" w14:textId="77777777" w:rsidR="00B35B07" w:rsidRPr="00B35B07" w:rsidRDefault="00B35B07" w:rsidP="00B35B07">
      <w:pPr>
        <w:pBdr>
          <w:top w:val="nil"/>
          <w:left w:val="nil"/>
          <w:bottom w:val="nil"/>
          <w:right w:val="nil"/>
          <w:between w:val="nil"/>
        </w:pBdr>
        <w:spacing w:before="280" w:after="280" w:line="240" w:lineRule="auto"/>
        <w:ind w:left="708" w:firstLine="708"/>
        <w:jc w:val="left"/>
        <w:rPr>
          <w:rFonts w:ascii="Times New Roman" w:hAnsi="Times New Roman"/>
        </w:rPr>
      </w:pPr>
      <w:sdt>
        <w:sdtPr>
          <w:rPr>
            <w:rFonts w:ascii="Times New Roman" w:hAnsi="Times New Roman"/>
          </w:rPr>
          <w:tag w:val="goog_rdk_7"/>
          <w:id w:val="1023671225"/>
        </w:sdtPr>
        <w:sdtContent/>
      </w:sdt>
      <w:sdt>
        <w:sdtPr>
          <w:rPr>
            <w:rFonts w:ascii="Times New Roman" w:hAnsi="Times New Roman"/>
          </w:rPr>
          <w:tag w:val="goog_rdk_8"/>
          <w:id w:val="1775979299"/>
        </w:sdtPr>
        <w:sdtContent/>
      </w:sdt>
      <m:oMath>
        <m:r>
          <w:rPr>
            <w:rFonts w:ascii="Cambria Math" w:hAnsi="Cambria Math"/>
          </w:rPr>
          <m:t>△</m:t>
        </m:r>
        <m:nary>
          <m:naryPr>
            <m:chr m:val="∑"/>
            <m:ctrlPr>
              <w:rPr>
                <w:rFonts w:ascii="Cambria Math" w:hAnsi="Cambria Math"/>
              </w:rPr>
            </m:ctrlPr>
          </m:naryPr>
          <m:sub>
            <m:r>
              <w:rPr>
                <w:rFonts w:ascii="Cambria Math" w:hAnsi="Cambria Math"/>
              </w:rPr>
              <m:t>C=1</m:t>
            </m:r>
          </m:sub>
          <m:sup>
            <m:r>
              <w:rPr>
                <w:rFonts w:ascii="Cambria Math" w:hAnsi="Cambria Math"/>
              </w:rPr>
              <m:t>C=10</m:t>
            </m:r>
          </m:sup>
          <m:e>
            <m:sSub>
              <m:sSubPr>
                <m:ctrlPr>
                  <w:rPr>
                    <w:rFonts w:ascii="Cambria Math" w:hAnsi="Cambria Math"/>
                  </w:rPr>
                </m:ctrlPr>
              </m:sSubPr>
              <m:e>
                <m:r>
                  <w:rPr>
                    <w:rFonts w:ascii="Cambria Math" w:hAnsi="Cambria Math"/>
                  </w:rPr>
                  <m:t>Y</m:t>
                </m:r>
              </m:e>
              <m:sub>
                <m:r>
                  <w:rPr>
                    <w:rFonts w:ascii="Cambria Math" w:hAnsi="Cambria Math"/>
                  </w:rPr>
                  <m:t>i,t</m:t>
                </m:r>
              </m:sub>
            </m:sSub>
            <m:r>
              <w:rPr>
                <w:rFonts w:ascii="Cambria Math" w:hAnsi="Cambria Math"/>
              </w:rPr>
              <m:t>=α+β△</m:t>
            </m:r>
            <m:sSub>
              <m:sSubPr>
                <m:ctrlPr>
                  <w:rPr>
                    <w:rFonts w:ascii="Cambria Math" w:hAnsi="Cambria Math"/>
                  </w:rPr>
                </m:ctrlPr>
              </m:sSubPr>
              <m:e>
                <m:r>
                  <w:rPr>
                    <w:rFonts w:ascii="Cambria Math" w:hAnsi="Cambria Math"/>
                  </w:rPr>
                  <m:t>Y</m:t>
                </m:r>
              </m:e>
              <m:sub>
                <m:r>
                  <w:rPr>
                    <w:rFonts w:ascii="Cambria Math" w:hAnsi="Cambria Math"/>
                  </w:rPr>
                  <m:t>i,t-1</m:t>
                </m:r>
              </m:sub>
            </m:sSub>
            <m:r>
              <w:rPr>
                <w:rFonts w:ascii="Cambria Math" w:hAnsi="Cambria Math"/>
              </w:rPr>
              <m:t>+γEC</m:t>
            </m:r>
            <m:sSub>
              <m:sSubPr>
                <m:ctrlPr>
                  <w:rPr>
                    <w:rFonts w:ascii="Cambria Math" w:hAnsi="Cambria Math"/>
                  </w:rPr>
                </m:ctrlPr>
              </m:sSubPr>
              <m:e>
                <m:r>
                  <w:rPr>
                    <w:rFonts w:ascii="Cambria Math" w:hAnsi="Cambria Math"/>
                  </w:rPr>
                  <m:t>B</m:t>
                </m:r>
              </m:e>
              <m:sub>
                <m:r>
                  <w:rPr>
                    <w:rFonts w:ascii="Cambria Math" w:hAnsi="Cambria Math"/>
                  </w:rPr>
                  <m:t>t</m:t>
                </m:r>
              </m:sub>
            </m:sSub>
            <m:r>
              <w:rPr>
                <w:rFonts w:ascii="Cambria Math" w:hAnsi="Cambria Math"/>
              </w:rPr>
              <m:t>+δ△</m:t>
            </m:r>
            <m:sSub>
              <m:sSubPr>
                <m:ctrlPr>
                  <w:rPr>
                    <w:rFonts w:ascii="Cambria Math" w:hAnsi="Cambria Math"/>
                  </w:rPr>
                </m:ctrlPr>
              </m:sSubPr>
              <m:e>
                <m:r>
                  <w:rPr>
                    <w:rFonts w:ascii="Cambria Math" w:hAnsi="Cambria Math"/>
                  </w:rPr>
                  <m:t>Z</m:t>
                </m:r>
              </m:e>
              <m:sub>
                <m:r>
                  <w:rPr>
                    <w:rFonts w:ascii="Cambria Math" w:hAnsi="Cambria Math"/>
                  </w:rPr>
                  <m:t>i,t</m:t>
                </m:r>
              </m:sub>
            </m:sSub>
            <m:r>
              <w:rPr>
                <w:rFonts w:ascii="Cambria Math" w:hAnsi="Cambria Math"/>
              </w:rPr>
              <m:t>+</m:t>
            </m:r>
            <m:sSub>
              <m:sSubPr>
                <m:ctrlPr>
                  <w:rPr>
                    <w:rFonts w:ascii="Cambria Math" w:hAnsi="Cambria Math"/>
                  </w:rPr>
                </m:ctrlPr>
              </m:sSubPr>
              <m:e>
                <m:r>
                  <w:rPr>
                    <w:rFonts w:ascii="Cambria Math" w:hAnsi="Cambria Math"/>
                  </w:rPr>
                  <m:t>μ</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ε</m:t>
                </m:r>
              </m:e>
              <m:sub>
                <m:r>
                  <w:rPr>
                    <w:rFonts w:ascii="Cambria Math" w:hAnsi="Cambria Math"/>
                  </w:rPr>
                  <m:t>i,t</m:t>
                </m:r>
              </m:sub>
            </m:sSub>
          </m:e>
        </m:nary>
      </m:oMath>
      <w:r w:rsidRPr="00B35B07">
        <w:rPr>
          <w:rFonts w:ascii="Times New Roman" w:hAnsi="Times New Roman"/>
        </w:rPr>
        <w:tab/>
        <w:t>(1)</w:t>
      </w:r>
    </w:p>
    <w:p w14:paraId="325E1A1A"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r>
          <w:rPr>
            <w:rFonts w:ascii="Cambria Math" w:hAnsi="Cambria Math"/>
          </w:rPr>
          <m:t>△</m:t>
        </m:r>
        <m:sSub>
          <m:sSubPr>
            <m:ctrlPr>
              <w:rPr>
                <w:rFonts w:ascii="Cambria Math" w:hAnsi="Cambria Math"/>
              </w:rPr>
            </m:ctrlPr>
          </m:sSubPr>
          <m:e>
            <m:r>
              <w:rPr>
                <w:rFonts w:ascii="Cambria Math" w:hAnsi="Cambria Math"/>
              </w:rPr>
              <m:t>Y</m:t>
            </m:r>
          </m:e>
          <m:sub>
            <m:r>
              <w:rPr>
                <w:rFonts w:ascii="Cambria Math" w:hAnsi="Cambria Math"/>
              </w:rPr>
              <m:t>i,t</m:t>
            </m:r>
          </m:sub>
        </m:sSub>
      </m:oMath>
      <w:r w:rsidRPr="00B35B07">
        <w:rPr>
          <w:rFonts w:ascii="Calibri" w:hAnsi="Calibri"/>
        </w:rPr>
        <w:t xml:space="preserve"> </w:t>
      </w:r>
      <w:r w:rsidRPr="00B35B07">
        <w:rPr>
          <w:rFonts w:ascii="Calibri" w:hAnsi="Calibri"/>
        </w:rPr>
        <w:tab/>
        <w:t>= Change in yield within discussed time-window for specific country i</w:t>
      </w:r>
    </w:p>
    <w:p w14:paraId="5F1C1A34"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r>
          <w:rPr>
            <w:rFonts w:ascii="Cambria Math" w:hAnsi="Cambria Math"/>
          </w:rPr>
          <m:t>△</m:t>
        </m:r>
        <m:sSub>
          <m:sSubPr>
            <m:ctrlPr>
              <w:rPr>
                <w:rFonts w:ascii="Cambria Math" w:hAnsi="Cambria Math"/>
              </w:rPr>
            </m:ctrlPr>
          </m:sSubPr>
          <m:e>
            <m:r>
              <w:rPr>
                <w:rFonts w:ascii="Cambria Math" w:hAnsi="Cambria Math"/>
              </w:rPr>
              <m:t>Y</m:t>
            </m:r>
          </m:e>
          <m:sub>
            <m:r>
              <w:rPr>
                <w:rFonts w:ascii="Cambria Math" w:hAnsi="Cambria Math"/>
              </w:rPr>
              <m:t>i,t-1</m:t>
            </m:r>
          </m:sub>
        </m:sSub>
      </m:oMath>
      <w:r w:rsidRPr="00B35B07">
        <w:rPr>
          <w:rFonts w:ascii="Calibri" w:hAnsi="Calibri"/>
        </w:rPr>
        <w:t>= One day Lagged variable of yield for specific country i</w:t>
      </w:r>
    </w:p>
    <w:p w14:paraId="54263706"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r>
          <w:rPr>
            <w:rFonts w:ascii="Cambria Math" w:hAnsi="Cambria Math"/>
          </w:rPr>
          <m:t>γEC</m:t>
        </m:r>
        <m:sSub>
          <m:sSubPr>
            <m:ctrlPr>
              <w:rPr>
                <w:rFonts w:ascii="Cambria Math" w:hAnsi="Cambria Math"/>
              </w:rPr>
            </m:ctrlPr>
          </m:sSubPr>
          <m:e>
            <m:r>
              <w:rPr>
                <w:rFonts w:ascii="Cambria Math" w:hAnsi="Cambria Math"/>
              </w:rPr>
              <m:t>B</m:t>
            </m:r>
          </m:e>
          <m:sub>
            <m:r>
              <w:rPr>
                <w:rFonts w:ascii="Cambria Math" w:hAnsi="Cambria Math"/>
              </w:rPr>
              <m:t>t</m:t>
            </m:r>
          </m:sub>
        </m:sSub>
      </m:oMath>
      <w:r w:rsidRPr="00B35B07">
        <w:rPr>
          <w:rFonts w:ascii="Calibri" w:hAnsi="Calibri"/>
        </w:rPr>
        <w:tab/>
        <w:t>= Dummy variable for ECB’s UMP announcement</w:t>
      </w:r>
    </w:p>
    <w:p w14:paraId="5919BDDD"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r>
          <w:rPr>
            <w:rFonts w:ascii="Cambria Math" w:hAnsi="Cambria Math"/>
          </w:rPr>
          <w:lastRenderedPageBreak/>
          <m:t>△</m:t>
        </m:r>
        <m:sSub>
          <m:sSubPr>
            <m:ctrlPr>
              <w:rPr>
                <w:rFonts w:ascii="Cambria Math" w:hAnsi="Cambria Math"/>
              </w:rPr>
            </m:ctrlPr>
          </m:sSubPr>
          <m:e>
            <m:r>
              <w:rPr>
                <w:rFonts w:ascii="Cambria Math" w:hAnsi="Cambria Math"/>
              </w:rPr>
              <m:t>Z</m:t>
            </m:r>
          </m:e>
          <m:sub>
            <m:r>
              <w:rPr>
                <w:rFonts w:ascii="Cambria Math" w:hAnsi="Cambria Math"/>
              </w:rPr>
              <m:t>i,t</m:t>
            </m:r>
          </m:sub>
        </m:sSub>
      </m:oMath>
      <w:r w:rsidRPr="00B35B07">
        <w:rPr>
          <w:rFonts w:ascii="Calibri" w:hAnsi="Calibri"/>
        </w:rPr>
        <w:t xml:space="preserve">  = Accounts for all three control variables (Implied Volatility Index, </w:t>
      </w:r>
      <w:proofErr w:type="gramStart"/>
      <w:r w:rsidRPr="00B35B07">
        <w:rPr>
          <w:rFonts w:ascii="Calibri" w:hAnsi="Calibri"/>
        </w:rPr>
        <w:t>CESI</w:t>
      </w:r>
      <w:proofErr w:type="gramEnd"/>
      <w:r w:rsidRPr="00B35B07">
        <w:rPr>
          <w:rFonts w:ascii="Calibri" w:hAnsi="Calibri"/>
        </w:rPr>
        <w:t xml:space="preserve"> and Futures rate) for specific country i</w:t>
      </w:r>
    </w:p>
    <w:p w14:paraId="4B95BB93"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w:r w:rsidRPr="00B35B07">
        <w:rPr>
          <w:rFonts w:ascii="Calibri" w:hAnsi="Calibri"/>
        </w:rPr>
        <w:t>c = specific EU country</w:t>
      </w:r>
    </w:p>
    <w:p w14:paraId="4A49CCA5"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sSub>
          <m:sSubPr>
            <m:ctrlPr>
              <w:rPr>
                <w:rFonts w:ascii="Cambria Math" w:hAnsi="Cambria Math"/>
              </w:rPr>
            </m:ctrlPr>
          </m:sSubPr>
          <m:e>
            <m:r>
              <w:rPr>
                <w:rFonts w:ascii="Cambria Math" w:hAnsi="Cambria Math"/>
              </w:rPr>
              <m:t>μ</m:t>
            </m:r>
          </m:e>
          <m:sub>
            <m:r>
              <w:rPr>
                <w:rFonts w:ascii="Cambria Math" w:hAnsi="Cambria Math"/>
              </w:rPr>
              <m:t>i</m:t>
            </m:r>
          </m:sub>
        </m:sSub>
      </m:oMath>
      <w:r w:rsidRPr="00B35B07">
        <w:rPr>
          <w:rFonts w:ascii="Calibri" w:hAnsi="Calibri"/>
        </w:rPr>
        <w:t xml:space="preserve"> = country-specific fixed effect within panel regression for specific country i</w:t>
      </w:r>
    </w:p>
    <w:p w14:paraId="0C3CB268"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sSub>
          <m:sSubPr>
            <m:ctrlPr>
              <w:rPr>
                <w:rFonts w:ascii="Cambria Math" w:hAnsi="Cambria Math"/>
              </w:rPr>
            </m:ctrlPr>
          </m:sSubPr>
          <m:e>
            <m:r>
              <w:rPr>
                <w:rFonts w:ascii="Cambria Math" w:hAnsi="Cambria Math"/>
              </w:rPr>
              <m:t>ε</m:t>
            </m:r>
          </m:e>
          <m:sub>
            <m:r>
              <w:rPr>
                <w:rFonts w:ascii="Cambria Math" w:hAnsi="Cambria Math"/>
              </w:rPr>
              <m:t>i,t</m:t>
            </m:r>
          </m:sub>
        </m:sSub>
      </m:oMath>
      <w:r w:rsidRPr="00B35B07">
        <w:rPr>
          <w:rFonts w:ascii="Calibri" w:hAnsi="Calibri"/>
        </w:rPr>
        <w:t>= Error term</w:t>
      </w:r>
    </w:p>
    <w:p w14:paraId="0F94F8CE" w14:textId="77777777" w:rsidR="00B35B07" w:rsidRPr="00B35B07" w:rsidRDefault="00B35B07" w:rsidP="00B35B07">
      <w:pPr>
        <w:numPr>
          <w:ilvl w:val="1"/>
          <w:numId w:val="7"/>
        </w:numPr>
        <w:spacing w:line="240" w:lineRule="auto"/>
        <w:jc w:val="left"/>
        <w:outlineLvl w:val="1"/>
        <w:rPr>
          <w:rFonts w:ascii="Calibri" w:eastAsia="Calibri" w:hAnsi="Calibri"/>
          <w:b/>
          <w:bCs/>
          <w:color w:val="000000"/>
          <w:szCs w:val="32"/>
          <w:lang w:val="en-US"/>
        </w:rPr>
      </w:pPr>
      <w:bookmarkStart w:id="97" w:name="_Toc122697358"/>
      <w:r w:rsidRPr="00B35B07">
        <w:rPr>
          <w:rFonts w:ascii="Calibri" w:eastAsia="Times New Roman" w:hAnsi="Calibri"/>
          <w:b/>
          <w:bCs/>
          <w:color w:val="000000"/>
          <w:szCs w:val="32"/>
          <w:lang w:val="en-US"/>
        </w:rPr>
        <w:t>Country specific regression – Sovereign bond yields</w:t>
      </w:r>
      <w:bookmarkEnd w:id="97"/>
    </w:p>
    <w:p w14:paraId="6119B314" w14:textId="77777777" w:rsidR="00B35B07" w:rsidRPr="00B35B07" w:rsidRDefault="00B35B07" w:rsidP="00B35B07">
      <w:pPr>
        <w:ind w:firstLine="0"/>
        <w:rPr>
          <w:rFonts w:ascii="Calibri" w:hAnsi="Calibri"/>
        </w:rPr>
      </w:pPr>
    </w:p>
    <w:p w14:paraId="31F7E19B" w14:textId="77777777" w:rsidR="00B35B07" w:rsidRPr="00B35B07" w:rsidRDefault="00B35B07" w:rsidP="00B35B07">
      <w:pPr>
        <w:ind w:firstLine="0"/>
        <w:rPr>
          <w:rFonts w:ascii="Calibri" w:hAnsi="Calibri"/>
        </w:rPr>
      </w:pPr>
      <w:r w:rsidRPr="00B35B07">
        <w:rPr>
          <w:rFonts w:ascii="Calibri" w:hAnsi="Calibri"/>
        </w:rPr>
        <w:t xml:space="preserve">To study country specific </w:t>
      </w:r>
      <w:proofErr w:type="gramStart"/>
      <w:r w:rsidRPr="00B35B07">
        <w:rPr>
          <w:rFonts w:ascii="Calibri" w:hAnsi="Calibri"/>
        </w:rPr>
        <w:t>effects</w:t>
      </w:r>
      <w:proofErr w:type="gramEnd"/>
      <w:r w:rsidRPr="00B35B07">
        <w:rPr>
          <w:rFonts w:ascii="Calibri" w:hAnsi="Calibri"/>
        </w:rPr>
        <w:t xml:space="preserve"> the following equation of the baseline model is used:</w:t>
      </w:r>
    </w:p>
    <w:p w14:paraId="0D96BAE6" w14:textId="35A12A75" w:rsidR="00B35B07" w:rsidRPr="00B35B07" w:rsidRDefault="00B35B07" w:rsidP="00B35B07">
      <w:pPr>
        <w:pBdr>
          <w:top w:val="nil"/>
          <w:left w:val="nil"/>
          <w:bottom w:val="nil"/>
          <w:right w:val="nil"/>
          <w:between w:val="nil"/>
        </w:pBdr>
        <w:spacing w:before="280" w:after="280" w:line="240" w:lineRule="auto"/>
        <w:jc w:val="left"/>
        <w:rPr>
          <w:rFonts w:ascii="Times New Roman" w:hAnsi="Times New Roman"/>
        </w:rPr>
      </w:pPr>
      <w:sdt>
        <w:sdtPr>
          <w:rPr>
            <w:rFonts w:ascii="Times New Roman" w:hAnsi="Times New Roman"/>
          </w:rPr>
          <w:tag w:val="goog_rdk_9"/>
          <w:id w:val="-1540346668"/>
        </w:sdtPr>
        <w:sdtContent/>
      </w:sdt>
      <w:sdt>
        <w:sdtPr>
          <w:rPr>
            <w:rFonts w:ascii="Times New Roman" w:hAnsi="Times New Roman"/>
          </w:rPr>
          <w:tag w:val="goog_rdk_10"/>
          <w:id w:val="581949766"/>
          <w:showingPlcHdr/>
        </w:sdtPr>
        <w:sdtContent>
          <w:r w:rsidR="00D65D51">
            <w:rPr>
              <w:rFonts w:ascii="Times New Roman" w:hAnsi="Times New Roman"/>
            </w:rPr>
            <w:t xml:space="preserve">     </w:t>
          </w:r>
        </w:sdtContent>
      </w:sdt>
      <w:r w:rsidRPr="00B35B07">
        <w:rPr>
          <w:rFonts w:ascii="Times New Roman" w:hAnsi="Times New Roman"/>
        </w:rPr>
        <w:tab/>
      </w:r>
      <w:r w:rsidRPr="00B35B07">
        <w:rPr>
          <w:rFonts w:ascii="Times New Roman" w:hAnsi="Times New Roman"/>
        </w:rPr>
        <w:tab/>
      </w:r>
      <w:sdt>
        <w:sdtPr>
          <w:rPr>
            <w:rFonts w:ascii="Times New Roman" w:hAnsi="Times New Roman"/>
          </w:rPr>
          <w:tag w:val="goog_rdk_11"/>
          <w:id w:val="-1040207936"/>
          <w:showingPlcHdr/>
        </w:sdtPr>
        <w:sdtContent>
          <w:r w:rsidRPr="00B35B07">
            <w:rPr>
              <w:rFonts w:ascii="Times New Roman" w:hAnsi="Times New Roman"/>
            </w:rPr>
            <w:t xml:space="preserve">     </w:t>
          </w:r>
        </w:sdtContent>
      </w:sdt>
      <m:oMath>
        <m:r>
          <w:rPr>
            <w:rFonts w:ascii="Cambria Math" w:hAnsi="Cambria Math"/>
          </w:rPr>
          <m:t>△</m:t>
        </m:r>
        <m:sSub>
          <m:sSubPr>
            <m:ctrlPr>
              <w:rPr>
                <w:rFonts w:ascii="Cambria Math" w:hAnsi="Cambria Math"/>
              </w:rPr>
            </m:ctrlPr>
          </m:sSubPr>
          <m:e>
            <m:r>
              <w:rPr>
                <w:rFonts w:ascii="Cambria Math" w:hAnsi="Cambria Math"/>
              </w:rPr>
              <m:t>Y</m:t>
            </m:r>
          </m:e>
          <m:sub>
            <m:r>
              <w:rPr>
                <w:rFonts w:ascii="Cambria Math" w:hAnsi="Cambria Math"/>
              </w:rPr>
              <m:t>i,t</m:t>
            </m:r>
          </m:sub>
        </m:sSub>
        <m:r>
          <w:rPr>
            <w:rFonts w:ascii="Cambria Math" w:hAnsi="Cambria Math"/>
          </w:rPr>
          <m:t>=α+β△</m:t>
        </m:r>
        <m:sSub>
          <m:sSubPr>
            <m:ctrlPr>
              <w:rPr>
                <w:rFonts w:ascii="Cambria Math" w:hAnsi="Cambria Math"/>
              </w:rPr>
            </m:ctrlPr>
          </m:sSubPr>
          <m:e>
            <m:r>
              <w:rPr>
                <w:rFonts w:ascii="Cambria Math" w:hAnsi="Cambria Math"/>
              </w:rPr>
              <m:t>Y</m:t>
            </m:r>
          </m:e>
          <m:sub>
            <m:r>
              <w:rPr>
                <w:rFonts w:ascii="Cambria Math" w:hAnsi="Cambria Math"/>
              </w:rPr>
              <m:t>i,t-1</m:t>
            </m:r>
          </m:sub>
        </m:sSub>
        <m:r>
          <w:rPr>
            <w:rFonts w:ascii="Cambria Math" w:hAnsi="Cambria Math"/>
          </w:rPr>
          <m:t>+γEC</m:t>
        </m:r>
        <m:sSub>
          <m:sSubPr>
            <m:ctrlPr>
              <w:rPr>
                <w:rFonts w:ascii="Cambria Math" w:hAnsi="Cambria Math"/>
              </w:rPr>
            </m:ctrlPr>
          </m:sSubPr>
          <m:e>
            <m:r>
              <w:rPr>
                <w:rFonts w:ascii="Cambria Math" w:hAnsi="Cambria Math"/>
              </w:rPr>
              <m:t>B</m:t>
            </m:r>
          </m:e>
          <m:sub>
            <m:r>
              <w:rPr>
                <w:rFonts w:ascii="Cambria Math" w:hAnsi="Cambria Math"/>
              </w:rPr>
              <m:t>t</m:t>
            </m:r>
          </m:sub>
        </m:sSub>
        <m:r>
          <w:rPr>
            <w:rFonts w:ascii="Cambria Math" w:hAnsi="Cambria Math"/>
          </w:rPr>
          <m:t>+δ△</m:t>
        </m:r>
        <m:sSub>
          <m:sSubPr>
            <m:ctrlPr>
              <w:rPr>
                <w:rFonts w:ascii="Cambria Math" w:hAnsi="Cambria Math"/>
              </w:rPr>
            </m:ctrlPr>
          </m:sSubPr>
          <m:e>
            <m:r>
              <w:rPr>
                <w:rFonts w:ascii="Cambria Math" w:hAnsi="Cambria Math"/>
              </w:rPr>
              <m:t>Z</m:t>
            </m:r>
          </m:e>
          <m:sub>
            <m:r>
              <w:rPr>
                <w:rFonts w:ascii="Cambria Math" w:hAnsi="Cambria Math"/>
              </w:rPr>
              <m:t>i,t</m:t>
            </m:r>
          </m:sub>
        </m:sSub>
        <m:r>
          <w:rPr>
            <w:rFonts w:ascii="Cambria Math" w:hAnsi="Cambria Math"/>
          </w:rPr>
          <m:t>+</m:t>
        </m:r>
        <m:sSub>
          <m:sSubPr>
            <m:ctrlPr>
              <w:rPr>
                <w:rFonts w:ascii="Cambria Math" w:hAnsi="Cambria Math"/>
              </w:rPr>
            </m:ctrlPr>
          </m:sSubPr>
          <m:e>
            <m:r>
              <w:rPr>
                <w:rFonts w:ascii="Cambria Math" w:hAnsi="Cambria Math"/>
              </w:rPr>
              <m:t>μ</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ε</m:t>
            </m:r>
          </m:e>
          <m:sub>
            <m:r>
              <w:rPr>
                <w:rFonts w:ascii="Cambria Math" w:hAnsi="Cambria Math"/>
              </w:rPr>
              <m:t>i,t</m:t>
            </m:r>
          </m:sub>
        </m:sSub>
      </m:oMath>
      <w:r w:rsidRPr="00B35B07">
        <w:rPr>
          <w:rFonts w:ascii="Times New Roman" w:hAnsi="Times New Roman"/>
        </w:rPr>
        <w:tab/>
      </w:r>
      <w:r w:rsidRPr="00B35B07">
        <w:rPr>
          <w:rFonts w:ascii="Times New Roman" w:hAnsi="Times New Roman"/>
        </w:rPr>
        <w:tab/>
        <w:t>(2)</w:t>
      </w:r>
    </w:p>
    <w:p w14:paraId="6A8CB6E2"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r>
          <w:rPr>
            <w:rFonts w:ascii="Cambria Math" w:hAnsi="Cambria Math"/>
          </w:rPr>
          <m:t>△</m:t>
        </m:r>
        <m:sSub>
          <m:sSubPr>
            <m:ctrlPr>
              <w:rPr>
                <w:rFonts w:ascii="Cambria Math" w:hAnsi="Cambria Math"/>
              </w:rPr>
            </m:ctrlPr>
          </m:sSubPr>
          <m:e>
            <m:r>
              <w:rPr>
                <w:rFonts w:ascii="Cambria Math" w:hAnsi="Cambria Math"/>
              </w:rPr>
              <m:t>Y</m:t>
            </m:r>
          </m:e>
          <m:sub>
            <m:r>
              <w:rPr>
                <w:rFonts w:ascii="Cambria Math" w:hAnsi="Cambria Math"/>
              </w:rPr>
              <m:t>i,t</m:t>
            </m:r>
          </m:sub>
        </m:sSub>
      </m:oMath>
      <w:r w:rsidRPr="00B35B07">
        <w:rPr>
          <w:rFonts w:ascii="Calibri" w:hAnsi="Calibri"/>
        </w:rPr>
        <w:t xml:space="preserve"> </w:t>
      </w:r>
      <w:r w:rsidRPr="00B35B07">
        <w:rPr>
          <w:rFonts w:ascii="Calibri" w:hAnsi="Calibri"/>
        </w:rPr>
        <w:tab/>
        <w:t xml:space="preserve">= Change in yield level within discussed time-window for specific country </w:t>
      </w:r>
      <w:proofErr w:type="spellStart"/>
      <w:r w:rsidRPr="00B35B07">
        <w:rPr>
          <w:rFonts w:ascii="Calibri" w:hAnsi="Calibri"/>
        </w:rPr>
        <w:t>i</w:t>
      </w:r>
      <w:proofErr w:type="spellEnd"/>
    </w:p>
    <w:p w14:paraId="3350F82F"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r>
          <w:rPr>
            <w:rFonts w:ascii="Cambria Math" w:hAnsi="Cambria Math"/>
          </w:rPr>
          <m:t>△</m:t>
        </m:r>
        <m:sSub>
          <m:sSubPr>
            <m:ctrlPr>
              <w:rPr>
                <w:rFonts w:ascii="Cambria Math" w:hAnsi="Cambria Math"/>
              </w:rPr>
            </m:ctrlPr>
          </m:sSubPr>
          <m:e>
            <m:r>
              <w:rPr>
                <w:rFonts w:ascii="Cambria Math" w:hAnsi="Cambria Math"/>
              </w:rPr>
              <m:t>Y</m:t>
            </m:r>
          </m:e>
          <m:sub>
            <m:r>
              <w:rPr>
                <w:rFonts w:ascii="Cambria Math" w:hAnsi="Cambria Math"/>
              </w:rPr>
              <m:t>i,t-1</m:t>
            </m:r>
          </m:sub>
        </m:sSub>
      </m:oMath>
      <w:r w:rsidRPr="00B35B07">
        <w:rPr>
          <w:rFonts w:ascii="Calibri" w:hAnsi="Calibri"/>
        </w:rPr>
        <w:t>= One day Lagged variable of yield for specific country i</w:t>
      </w:r>
    </w:p>
    <w:p w14:paraId="444DF51F"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r>
          <w:rPr>
            <w:rFonts w:ascii="Cambria Math" w:hAnsi="Cambria Math"/>
          </w:rPr>
          <m:t>γEC</m:t>
        </m:r>
        <m:sSub>
          <m:sSubPr>
            <m:ctrlPr>
              <w:rPr>
                <w:rFonts w:ascii="Cambria Math" w:hAnsi="Cambria Math"/>
              </w:rPr>
            </m:ctrlPr>
          </m:sSubPr>
          <m:e>
            <m:r>
              <w:rPr>
                <w:rFonts w:ascii="Cambria Math" w:hAnsi="Cambria Math"/>
              </w:rPr>
              <m:t>B</m:t>
            </m:r>
          </m:e>
          <m:sub>
            <m:r>
              <w:rPr>
                <w:rFonts w:ascii="Cambria Math" w:hAnsi="Cambria Math"/>
              </w:rPr>
              <m:t>t</m:t>
            </m:r>
          </m:sub>
        </m:sSub>
      </m:oMath>
      <w:r w:rsidRPr="00B35B07">
        <w:rPr>
          <w:rFonts w:ascii="Calibri" w:hAnsi="Calibri"/>
        </w:rPr>
        <w:tab/>
        <w:t>= Dummy variable for ECB’s UMP announcement</w:t>
      </w:r>
    </w:p>
    <w:p w14:paraId="7DC17C20"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r>
          <w:rPr>
            <w:rFonts w:ascii="Cambria Math" w:hAnsi="Cambria Math"/>
          </w:rPr>
          <m:t>△</m:t>
        </m:r>
        <m:sSub>
          <m:sSubPr>
            <m:ctrlPr>
              <w:rPr>
                <w:rFonts w:ascii="Cambria Math" w:hAnsi="Cambria Math"/>
              </w:rPr>
            </m:ctrlPr>
          </m:sSubPr>
          <m:e>
            <m:r>
              <w:rPr>
                <w:rFonts w:ascii="Cambria Math" w:hAnsi="Cambria Math"/>
              </w:rPr>
              <m:t>Z</m:t>
            </m:r>
          </m:e>
          <m:sub>
            <m:r>
              <w:rPr>
                <w:rFonts w:ascii="Cambria Math" w:hAnsi="Cambria Math"/>
              </w:rPr>
              <m:t>i,t</m:t>
            </m:r>
          </m:sub>
        </m:sSub>
      </m:oMath>
      <w:r w:rsidRPr="00B35B07">
        <w:rPr>
          <w:rFonts w:ascii="Calibri" w:hAnsi="Calibri"/>
        </w:rPr>
        <w:t xml:space="preserve">  = Accounts for all three control variables for specific country i</w:t>
      </w:r>
    </w:p>
    <w:p w14:paraId="02C3DDFA"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sSub>
          <m:sSubPr>
            <m:ctrlPr>
              <w:rPr>
                <w:rFonts w:ascii="Cambria Math" w:hAnsi="Cambria Math"/>
              </w:rPr>
            </m:ctrlPr>
          </m:sSubPr>
          <m:e>
            <m:r>
              <w:rPr>
                <w:rFonts w:ascii="Cambria Math" w:hAnsi="Cambria Math"/>
              </w:rPr>
              <m:t>μ</m:t>
            </m:r>
          </m:e>
          <m:sub>
            <m:r>
              <w:rPr>
                <w:rFonts w:ascii="Cambria Math" w:hAnsi="Cambria Math"/>
              </w:rPr>
              <m:t>i</m:t>
            </m:r>
          </m:sub>
        </m:sSub>
      </m:oMath>
      <w:r w:rsidRPr="00B35B07">
        <w:rPr>
          <w:rFonts w:ascii="Calibri" w:hAnsi="Calibri"/>
        </w:rPr>
        <w:t xml:space="preserve"> = country-specific fixed effect within panel regression for specific country i</w:t>
      </w:r>
    </w:p>
    <w:p w14:paraId="2F276729" w14:textId="706B1BB7" w:rsid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sSub>
          <m:sSubPr>
            <m:ctrlPr>
              <w:rPr>
                <w:rFonts w:ascii="Cambria Math" w:hAnsi="Cambria Math"/>
              </w:rPr>
            </m:ctrlPr>
          </m:sSubPr>
          <m:e>
            <m:r>
              <w:rPr>
                <w:rFonts w:ascii="Cambria Math" w:hAnsi="Cambria Math"/>
              </w:rPr>
              <m:t>ε</m:t>
            </m:r>
          </m:e>
          <m:sub>
            <m:r>
              <w:rPr>
                <w:rFonts w:ascii="Cambria Math" w:hAnsi="Cambria Math"/>
              </w:rPr>
              <m:t>i,t</m:t>
            </m:r>
          </m:sub>
        </m:sSub>
      </m:oMath>
      <w:r w:rsidRPr="00B35B07">
        <w:rPr>
          <w:rFonts w:ascii="Calibri" w:hAnsi="Calibri"/>
        </w:rPr>
        <w:t>= Error term</w:t>
      </w:r>
    </w:p>
    <w:p w14:paraId="581324E7" w14:textId="77777777" w:rsidR="00E304EC" w:rsidRPr="00B35B07" w:rsidRDefault="00E304EC" w:rsidP="00B35B07">
      <w:pPr>
        <w:pBdr>
          <w:top w:val="nil"/>
          <w:left w:val="nil"/>
          <w:bottom w:val="nil"/>
          <w:right w:val="nil"/>
          <w:between w:val="nil"/>
        </w:pBdr>
        <w:spacing w:before="280" w:after="280" w:line="240" w:lineRule="auto"/>
        <w:ind w:firstLine="0"/>
        <w:jc w:val="left"/>
        <w:rPr>
          <w:rFonts w:ascii="Calibri" w:hAnsi="Calibri"/>
        </w:rPr>
      </w:pPr>
    </w:p>
    <w:p w14:paraId="35124443" w14:textId="77777777" w:rsidR="00B35B07" w:rsidRPr="00B35B07" w:rsidRDefault="00B35B07" w:rsidP="00B35B07">
      <w:pPr>
        <w:numPr>
          <w:ilvl w:val="1"/>
          <w:numId w:val="7"/>
        </w:numPr>
        <w:spacing w:line="240" w:lineRule="auto"/>
        <w:jc w:val="left"/>
        <w:outlineLvl w:val="1"/>
        <w:rPr>
          <w:rFonts w:ascii="Calibri" w:eastAsia="Times New Roman" w:hAnsi="Calibri"/>
          <w:b/>
          <w:bCs/>
          <w:color w:val="000000"/>
          <w:szCs w:val="32"/>
          <w:lang w:val="en-US"/>
        </w:rPr>
      </w:pPr>
      <w:bookmarkStart w:id="98" w:name="_Toc122697359"/>
      <w:r w:rsidRPr="00B35B07">
        <w:rPr>
          <w:rFonts w:ascii="Calibri" w:eastAsia="Times New Roman" w:hAnsi="Calibri"/>
          <w:b/>
          <w:bCs/>
          <w:color w:val="000000"/>
          <w:szCs w:val="32"/>
          <w:lang w:val="en-US"/>
        </w:rPr>
        <w:t>Robustness check – CDS Baseline model specification</w:t>
      </w:r>
      <w:bookmarkEnd w:id="98"/>
    </w:p>
    <w:p w14:paraId="18D19389" w14:textId="77777777" w:rsidR="00B35B07" w:rsidRPr="00B35B07" w:rsidRDefault="00B35B07" w:rsidP="00B35B07">
      <w:pPr>
        <w:rPr>
          <w:rFonts w:ascii="Calibri" w:hAnsi="Calibri"/>
          <w:lang w:val="en-US"/>
        </w:rPr>
      </w:pPr>
    </w:p>
    <w:p w14:paraId="3B15B667" w14:textId="56639112" w:rsidR="00B35B07" w:rsidRPr="00B35B07" w:rsidRDefault="00B35B07" w:rsidP="00B35B07">
      <w:pPr>
        <w:shd w:val="clear" w:color="auto" w:fill="FFFFFF"/>
        <w:rPr>
          <w:rFonts w:ascii="Calibri" w:hAnsi="Calibri"/>
        </w:rPr>
      </w:pPr>
      <w:r w:rsidRPr="00B35B07">
        <w:rPr>
          <w:rFonts w:ascii="Calibri" w:hAnsi="Calibri"/>
        </w:rPr>
        <w:t>As a robustness check, this study uses three panel regression (fixed effects) by altering variable c in Equation (3) resulting in the following regressions: aggregate of all EU area countries, core European Countries and Periphery countries.</w:t>
      </w:r>
    </w:p>
    <w:p w14:paraId="4B0359C5"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w:r w:rsidRPr="00B35B07">
        <w:rPr>
          <w:rFonts w:ascii="Calibri" w:hAnsi="Calibri"/>
        </w:rPr>
        <w:t>Absolute CDS level panel regression following in equation (3):</w:t>
      </w:r>
    </w:p>
    <w:p w14:paraId="5A97B7ED" w14:textId="77777777" w:rsidR="00B35B07" w:rsidRPr="00B35B07" w:rsidRDefault="00B35B07" w:rsidP="00B35B07">
      <w:pPr>
        <w:pBdr>
          <w:top w:val="nil"/>
          <w:left w:val="nil"/>
          <w:bottom w:val="nil"/>
          <w:right w:val="nil"/>
          <w:between w:val="nil"/>
        </w:pBdr>
        <w:spacing w:before="280" w:after="280" w:line="240" w:lineRule="auto"/>
        <w:ind w:left="708" w:firstLine="708"/>
        <w:jc w:val="left"/>
        <w:rPr>
          <w:rFonts w:ascii="Calibri" w:hAnsi="Calibri"/>
        </w:rPr>
      </w:pPr>
      <w:sdt>
        <w:sdtPr>
          <w:rPr>
            <w:rFonts w:ascii="Calibri" w:hAnsi="Calibri"/>
          </w:rPr>
          <w:tag w:val="goog_rdk_12"/>
          <w:id w:val="1419671470"/>
        </w:sdtPr>
        <w:sdtContent/>
      </w:sdt>
      <w:sdt>
        <w:sdtPr>
          <w:rPr>
            <w:rFonts w:ascii="Calibri" w:hAnsi="Calibri"/>
          </w:rPr>
          <w:tag w:val="goog_rdk_13"/>
          <w:id w:val="-1393112102"/>
        </w:sdtPr>
        <w:sdtContent/>
      </w:sdt>
      <m:oMath>
        <m:r>
          <w:rPr>
            <w:rFonts w:ascii="Cambria Math" w:hAnsi="Cambria Math"/>
          </w:rPr>
          <m:t>△</m:t>
        </m:r>
        <m:nary>
          <m:naryPr>
            <m:chr m:val="∑"/>
            <m:ctrlPr>
              <w:rPr>
                <w:rFonts w:ascii="Cambria Math" w:hAnsi="Cambria Math"/>
              </w:rPr>
            </m:ctrlPr>
          </m:naryPr>
          <m:sub>
            <m:r>
              <w:rPr>
                <w:rFonts w:ascii="Cambria Math" w:hAnsi="Cambria Math"/>
              </w:rPr>
              <m:t>C=1</m:t>
            </m:r>
          </m:sub>
          <m:sup>
            <m:r>
              <w:rPr>
                <w:rFonts w:ascii="Cambria Math" w:hAnsi="Cambria Math"/>
              </w:rPr>
              <m:t>C=10</m:t>
            </m:r>
          </m:sup>
          <m:e>
            <m:sSub>
              <m:sSubPr>
                <m:ctrlPr>
                  <w:rPr>
                    <w:rFonts w:ascii="Cambria Math" w:hAnsi="Cambria Math"/>
                  </w:rPr>
                </m:ctrlPr>
              </m:sSubPr>
              <m:e>
                <m:r>
                  <w:rPr>
                    <w:rFonts w:ascii="Cambria Math" w:hAnsi="Cambria Math"/>
                  </w:rPr>
                  <m:t>CDS</m:t>
                </m:r>
              </m:e>
              <m:sub>
                <m:r>
                  <w:rPr>
                    <w:rFonts w:ascii="Cambria Math" w:hAnsi="Cambria Math"/>
                  </w:rPr>
                  <m:t>i,t</m:t>
                </m:r>
              </m:sub>
            </m:sSub>
            <m:r>
              <w:rPr>
                <w:rFonts w:ascii="Cambria Math" w:hAnsi="Cambria Math"/>
              </w:rPr>
              <m:t>=α+β△</m:t>
            </m:r>
            <m:sSub>
              <m:sSubPr>
                <m:ctrlPr>
                  <w:rPr>
                    <w:rFonts w:ascii="Cambria Math" w:hAnsi="Cambria Math"/>
                  </w:rPr>
                </m:ctrlPr>
              </m:sSubPr>
              <m:e>
                <m:r>
                  <w:rPr>
                    <w:rFonts w:ascii="Cambria Math" w:hAnsi="Cambria Math"/>
                  </w:rPr>
                  <m:t>CDS</m:t>
                </m:r>
              </m:e>
              <m:sub>
                <m:r>
                  <w:rPr>
                    <w:rFonts w:ascii="Cambria Math" w:hAnsi="Cambria Math"/>
                  </w:rPr>
                  <m:t>i,t-1</m:t>
                </m:r>
              </m:sub>
            </m:sSub>
            <m:r>
              <w:rPr>
                <w:rFonts w:ascii="Cambria Math" w:hAnsi="Cambria Math"/>
              </w:rPr>
              <m:t>+γEC</m:t>
            </m:r>
            <m:sSub>
              <m:sSubPr>
                <m:ctrlPr>
                  <w:rPr>
                    <w:rFonts w:ascii="Cambria Math" w:hAnsi="Cambria Math"/>
                  </w:rPr>
                </m:ctrlPr>
              </m:sSubPr>
              <m:e>
                <m:r>
                  <w:rPr>
                    <w:rFonts w:ascii="Cambria Math" w:hAnsi="Cambria Math"/>
                  </w:rPr>
                  <m:t>B</m:t>
                </m:r>
              </m:e>
              <m:sub>
                <m:r>
                  <w:rPr>
                    <w:rFonts w:ascii="Cambria Math" w:hAnsi="Cambria Math"/>
                  </w:rPr>
                  <m:t>t</m:t>
                </m:r>
              </m:sub>
            </m:sSub>
            <m:r>
              <w:rPr>
                <w:rFonts w:ascii="Cambria Math" w:hAnsi="Cambria Math"/>
              </w:rPr>
              <m:t>+δ△</m:t>
            </m:r>
            <m:sSub>
              <m:sSubPr>
                <m:ctrlPr>
                  <w:rPr>
                    <w:rFonts w:ascii="Cambria Math" w:hAnsi="Cambria Math"/>
                  </w:rPr>
                </m:ctrlPr>
              </m:sSubPr>
              <m:e>
                <m:r>
                  <w:rPr>
                    <w:rFonts w:ascii="Cambria Math" w:hAnsi="Cambria Math"/>
                  </w:rPr>
                  <m:t>Z</m:t>
                </m:r>
              </m:e>
              <m:sub>
                <m:r>
                  <w:rPr>
                    <w:rFonts w:ascii="Cambria Math" w:hAnsi="Cambria Math"/>
                  </w:rPr>
                  <m:t>i,t</m:t>
                </m:r>
              </m:sub>
            </m:sSub>
            <m:r>
              <w:rPr>
                <w:rFonts w:ascii="Cambria Math" w:hAnsi="Cambria Math"/>
              </w:rPr>
              <m:t>+</m:t>
            </m:r>
            <m:sSub>
              <m:sSubPr>
                <m:ctrlPr>
                  <w:rPr>
                    <w:rFonts w:ascii="Cambria Math" w:hAnsi="Cambria Math"/>
                  </w:rPr>
                </m:ctrlPr>
              </m:sSubPr>
              <m:e>
                <m:r>
                  <w:rPr>
                    <w:rFonts w:ascii="Cambria Math" w:hAnsi="Cambria Math"/>
                  </w:rPr>
                  <m:t>μ</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ε</m:t>
                </m:r>
              </m:e>
              <m:sub>
                <m:r>
                  <w:rPr>
                    <w:rFonts w:ascii="Cambria Math" w:hAnsi="Cambria Math"/>
                  </w:rPr>
                  <m:t>i,t</m:t>
                </m:r>
              </m:sub>
            </m:sSub>
          </m:e>
        </m:nary>
      </m:oMath>
      <w:r w:rsidRPr="00B35B07">
        <w:rPr>
          <w:rFonts w:ascii="Calibri" w:hAnsi="Calibri"/>
        </w:rPr>
        <w:tab/>
        <w:t>(3)</w:t>
      </w:r>
    </w:p>
    <w:p w14:paraId="0977E561"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r>
          <w:rPr>
            <w:rFonts w:ascii="Cambria Math" w:hAnsi="Cambria Math"/>
          </w:rPr>
          <m:t>△</m:t>
        </m:r>
        <m:sSub>
          <m:sSubPr>
            <m:ctrlPr>
              <w:rPr>
                <w:rFonts w:ascii="Cambria Math" w:hAnsi="Cambria Math"/>
              </w:rPr>
            </m:ctrlPr>
          </m:sSubPr>
          <m:e>
            <m:r>
              <w:rPr>
                <w:rFonts w:ascii="Cambria Math" w:hAnsi="Cambria Math"/>
              </w:rPr>
              <m:t>CDS</m:t>
            </m:r>
          </m:e>
          <m:sub>
            <m:r>
              <w:rPr>
                <w:rFonts w:ascii="Cambria Math" w:hAnsi="Cambria Math"/>
              </w:rPr>
              <m:t>i,t</m:t>
            </m:r>
          </m:sub>
        </m:sSub>
      </m:oMath>
      <w:r w:rsidRPr="00B35B07">
        <w:rPr>
          <w:rFonts w:ascii="Calibri" w:hAnsi="Calibri"/>
        </w:rPr>
        <w:t xml:space="preserve"> </w:t>
      </w:r>
      <w:r w:rsidRPr="00B35B07">
        <w:rPr>
          <w:rFonts w:ascii="Calibri" w:hAnsi="Calibri"/>
        </w:rPr>
        <w:tab/>
        <w:t>= Change in CDS within discussed time-window for specific country i</w:t>
      </w:r>
    </w:p>
    <w:p w14:paraId="57A76B64"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r>
          <w:rPr>
            <w:rFonts w:ascii="Cambria Math" w:hAnsi="Cambria Math"/>
          </w:rPr>
          <w:lastRenderedPageBreak/>
          <m:t>△</m:t>
        </m:r>
        <m:sSub>
          <m:sSubPr>
            <m:ctrlPr>
              <w:rPr>
                <w:rFonts w:ascii="Cambria Math" w:hAnsi="Cambria Math"/>
              </w:rPr>
            </m:ctrlPr>
          </m:sSubPr>
          <m:e>
            <m:r>
              <w:rPr>
                <w:rFonts w:ascii="Cambria Math" w:hAnsi="Cambria Math"/>
              </w:rPr>
              <m:t>CDS</m:t>
            </m:r>
          </m:e>
          <m:sub>
            <m:r>
              <w:rPr>
                <w:rFonts w:ascii="Cambria Math" w:hAnsi="Cambria Math"/>
              </w:rPr>
              <m:t>i,t-1</m:t>
            </m:r>
          </m:sub>
        </m:sSub>
      </m:oMath>
      <w:r w:rsidRPr="00B35B07">
        <w:rPr>
          <w:rFonts w:ascii="Calibri" w:hAnsi="Calibri"/>
        </w:rPr>
        <w:t xml:space="preserve">= One day Lagged variable of CDS for specific country </w:t>
      </w:r>
      <w:proofErr w:type="spellStart"/>
      <w:r w:rsidRPr="00B35B07">
        <w:rPr>
          <w:rFonts w:ascii="Calibri" w:hAnsi="Calibri"/>
        </w:rPr>
        <w:t>i</w:t>
      </w:r>
      <w:proofErr w:type="spellEnd"/>
    </w:p>
    <w:p w14:paraId="4CCFBB29"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r>
          <w:rPr>
            <w:rFonts w:ascii="Cambria Math" w:hAnsi="Cambria Math"/>
          </w:rPr>
          <m:t>γEC</m:t>
        </m:r>
        <m:sSub>
          <m:sSubPr>
            <m:ctrlPr>
              <w:rPr>
                <w:rFonts w:ascii="Cambria Math" w:hAnsi="Cambria Math"/>
              </w:rPr>
            </m:ctrlPr>
          </m:sSubPr>
          <m:e>
            <m:r>
              <w:rPr>
                <w:rFonts w:ascii="Cambria Math" w:hAnsi="Cambria Math"/>
              </w:rPr>
              <m:t>B</m:t>
            </m:r>
          </m:e>
          <m:sub>
            <m:r>
              <w:rPr>
                <w:rFonts w:ascii="Cambria Math" w:hAnsi="Cambria Math"/>
              </w:rPr>
              <m:t>t</m:t>
            </m:r>
          </m:sub>
        </m:sSub>
      </m:oMath>
      <w:r w:rsidRPr="00B35B07">
        <w:rPr>
          <w:rFonts w:ascii="Calibri" w:hAnsi="Calibri"/>
        </w:rPr>
        <w:tab/>
        <w:t>= Dummy variable for ECB’s UMP announcement</w:t>
      </w:r>
    </w:p>
    <w:p w14:paraId="584BF9F2"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r>
          <w:rPr>
            <w:rFonts w:ascii="Cambria Math" w:hAnsi="Cambria Math"/>
          </w:rPr>
          <m:t>△</m:t>
        </m:r>
        <m:sSub>
          <m:sSubPr>
            <m:ctrlPr>
              <w:rPr>
                <w:rFonts w:ascii="Cambria Math" w:hAnsi="Cambria Math"/>
              </w:rPr>
            </m:ctrlPr>
          </m:sSubPr>
          <m:e>
            <m:r>
              <w:rPr>
                <w:rFonts w:ascii="Cambria Math" w:hAnsi="Cambria Math"/>
              </w:rPr>
              <m:t>Z</m:t>
            </m:r>
          </m:e>
          <m:sub>
            <m:r>
              <w:rPr>
                <w:rFonts w:ascii="Cambria Math" w:hAnsi="Cambria Math"/>
              </w:rPr>
              <m:t>i,t</m:t>
            </m:r>
          </m:sub>
        </m:sSub>
      </m:oMath>
      <w:r w:rsidRPr="00B35B07">
        <w:rPr>
          <w:rFonts w:ascii="Calibri" w:hAnsi="Calibri"/>
        </w:rPr>
        <w:t xml:space="preserve">  = Accounts for all control variables</w:t>
      </w:r>
    </w:p>
    <w:p w14:paraId="75C0A1E3"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w:r w:rsidRPr="00B35B07">
        <w:rPr>
          <w:rFonts w:ascii="Calibri" w:hAnsi="Calibri"/>
        </w:rPr>
        <w:t>c = specific EU country</w:t>
      </w:r>
    </w:p>
    <w:p w14:paraId="7A0F6DA8"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sSub>
          <m:sSubPr>
            <m:ctrlPr>
              <w:rPr>
                <w:rFonts w:ascii="Cambria Math" w:hAnsi="Cambria Math"/>
              </w:rPr>
            </m:ctrlPr>
          </m:sSubPr>
          <m:e>
            <m:r>
              <w:rPr>
                <w:rFonts w:ascii="Cambria Math" w:hAnsi="Cambria Math"/>
              </w:rPr>
              <m:t>μ</m:t>
            </m:r>
          </m:e>
          <m:sub>
            <m:r>
              <w:rPr>
                <w:rFonts w:ascii="Cambria Math" w:hAnsi="Cambria Math"/>
              </w:rPr>
              <m:t>i</m:t>
            </m:r>
          </m:sub>
        </m:sSub>
      </m:oMath>
      <w:r w:rsidRPr="00B35B07">
        <w:rPr>
          <w:rFonts w:ascii="Calibri" w:hAnsi="Calibri"/>
        </w:rPr>
        <w:t xml:space="preserve"> = country-specific fixed effect within panel regression for specific country i</w:t>
      </w:r>
    </w:p>
    <w:p w14:paraId="3CEED153"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sSub>
          <m:sSubPr>
            <m:ctrlPr>
              <w:rPr>
                <w:rFonts w:ascii="Cambria Math" w:hAnsi="Cambria Math"/>
              </w:rPr>
            </m:ctrlPr>
          </m:sSubPr>
          <m:e>
            <m:r>
              <w:rPr>
                <w:rFonts w:ascii="Cambria Math" w:hAnsi="Cambria Math"/>
              </w:rPr>
              <m:t>ε</m:t>
            </m:r>
          </m:e>
          <m:sub>
            <m:r>
              <w:rPr>
                <w:rFonts w:ascii="Cambria Math" w:hAnsi="Cambria Math"/>
              </w:rPr>
              <m:t>i,t</m:t>
            </m:r>
          </m:sub>
        </m:sSub>
      </m:oMath>
      <w:r w:rsidRPr="00B35B07">
        <w:rPr>
          <w:rFonts w:ascii="Calibri" w:hAnsi="Calibri"/>
        </w:rPr>
        <w:t>= Error term</w:t>
      </w:r>
    </w:p>
    <w:p w14:paraId="30E12A68"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w:p>
    <w:p w14:paraId="492495AC" w14:textId="77777777" w:rsidR="00B35B07" w:rsidRPr="00B35B07" w:rsidRDefault="00B35B07" w:rsidP="00B35B07">
      <w:pPr>
        <w:numPr>
          <w:ilvl w:val="1"/>
          <w:numId w:val="7"/>
        </w:numPr>
        <w:spacing w:line="240" w:lineRule="auto"/>
        <w:jc w:val="left"/>
        <w:outlineLvl w:val="1"/>
        <w:rPr>
          <w:rFonts w:ascii="Calibri" w:eastAsia="Times New Roman" w:hAnsi="Calibri"/>
          <w:b/>
          <w:bCs/>
          <w:color w:val="000000"/>
          <w:szCs w:val="32"/>
          <w:lang w:val="en-US"/>
        </w:rPr>
      </w:pPr>
      <w:bookmarkStart w:id="99" w:name="_Toc122697360"/>
      <w:r w:rsidRPr="00B35B07">
        <w:rPr>
          <w:rFonts w:ascii="Calibri" w:eastAsia="Times New Roman" w:hAnsi="Calibri"/>
          <w:b/>
          <w:bCs/>
          <w:color w:val="000000"/>
          <w:szCs w:val="32"/>
          <w:lang w:val="en-US"/>
        </w:rPr>
        <w:t>Robustness check – CDS Country Specific regression</w:t>
      </w:r>
      <w:bookmarkEnd w:id="99"/>
    </w:p>
    <w:p w14:paraId="1B8EC2AD" w14:textId="77777777" w:rsidR="00B35B07" w:rsidRPr="00B35B07" w:rsidRDefault="00B35B07" w:rsidP="00B35B07">
      <w:pPr>
        <w:rPr>
          <w:rFonts w:ascii="Calibri" w:hAnsi="Calibri"/>
          <w:lang w:val="en-US"/>
        </w:rPr>
      </w:pPr>
    </w:p>
    <w:p w14:paraId="4ECF1C7F" w14:textId="77777777" w:rsidR="00B35B07" w:rsidRPr="00B35B07" w:rsidRDefault="00B35B07" w:rsidP="00B35B07">
      <w:pPr>
        <w:ind w:firstLine="0"/>
        <w:rPr>
          <w:rFonts w:ascii="Calibri" w:hAnsi="Calibri"/>
        </w:rPr>
      </w:pPr>
      <w:r w:rsidRPr="00B35B07">
        <w:rPr>
          <w:rFonts w:ascii="Calibri" w:hAnsi="Calibri"/>
        </w:rPr>
        <w:t xml:space="preserve">Resulting in the following equation l </w:t>
      </w:r>
      <w:proofErr w:type="spellStart"/>
      <w:r w:rsidRPr="00B35B07">
        <w:rPr>
          <w:rFonts w:ascii="Calibri" w:hAnsi="Calibri"/>
        </w:rPr>
        <w:t>analyze</w:t>
      </w:r>
      <w:proofErr w:type="spellEnd"/>
      <w:r w:rsidRPr="00B35B07">
        <w:rPr>
          <w:rFonts w:ascii="Calibri" w:hAnsi="Calibri"/>
        </w:rPr>
        <w:t xml:space="preserve"> individual countries:</w:t>
      </w:r>
    </w:p>
    <w:p w14:paraId="7A851012" w14:textId="6D464CB9" w:rsidR="00B35B07" w:rsidRPr="00B35B07" w:rsidRDefault="00B35B07" w:rsidP="00B35B07">
      <w:pPr>
        <w:pBdr>
          <w:top w:val="nil"/>
          <w:left w:val="nil"/>
          <w:bottom w:val="nil"/>
          <w:right w:val="nil"/>
          <w:between w:val="nil"/>
        </w:pBdr>
        <w:spacing w:before="280" w:after="280" w:line="240" w:lineRule="auto"/>
        <w:ind w:left="708" w:firstLine="708"/>
        <w:jc w:val="left"/>
        <w:rPr>
          <w:rFonts w:ascii="Calibri" w:hAnsi="Calibri"/>
        </w:rPr>
      </w:pPr>
      <w:sdt>
        <w:sdtPr>
          <w:rPr>
            <w:rFonts w:ascii="Calibri" w:hAnsi="Calibri"/>
          </w:rPr>
          <w:tag w:val="goog_rdk_14"/>
          <w:id w:val="1297572149"/>
        </w:sdtPr>
        <w:sdtContent/>
      </w:sdt>
      <w:sdt>
        <w:sdtPr>
          <w:rPr>
            <w:rFonts w:ascii="Calibri" w:hAnsi="Calibri"/>
          </w:rPr>
          <w:tag w:val="goog_rdk_15"/>
          <w:id w:val="-2055066346"/>
        </w:sdtPr>
        <w:sdtContent/>
      </w:sdt>
      <w:sdt>
        <w:sdtPr>
          <w:rPr>
            <w:rFonts w:ascii="Calibri" w:hAnsi="Calibri"/>
          </w:rPr>
          <w:tag w:val="goog_rdk_16"/>
          <w:id w:val="-278331047"/>
          <w:showingPlcHdr/>
        </w:sdtPr>
        <w:sdtContent>
          <w:r w:rsidRPr="00B35B07">
            <w:rPr>
              <w:rFonts w:ascii="Calibri" w:hAnsi="Calibri"/>
            </w:rPr>
            <w:t xml:space="preserve">     </w:t>
          </w:r>
        </w:sdtContent>
      </w:sdt>
      <m:oMath>
        <m:r>
          <w:rPr>
            <w:rFonts w:ascii="Cambria Math" w:hAnsi="Cambria Math"/>
          </w:rPr>
          <m:t>△</m:t>
        </m:r>
        <m:sSub>
          <m:sSubPr>
            <m:ctrlPr>
              <w:rPr>
                <w:rFonts w:ascii="Cambria Math" w:hAnsi="Cambria Math"/>
              </w:rPr>
            </m:ctrlPr>
          </m:sSubPr>
          <m:e>
            <m:r>
              <w:rPr>
                <w:rFonts w:ascii="Cambria Math" w:hAnsi="Cambria Math"/>
              </w:rPr>
              <m:t>CDS</m:t>
            </m:r>
          </m:e>
          <m:sub>
            <m:r>
              <w:rPr>
                <w:rFonts w:ascii="Cambria Math" w:hAnsi="Cambria Math"/>
              </w:rPr>
              <m:t>i,t</m:t>
            </m:r>
          </m:sub>
        </m:sSub>
        <m:r>
          <w:rPr>
            <w:rFonts w:ascii="Cambria Math" w:hAnsi="Cambria Math"/>
          </w:rPr>
          <m:t>=α+β△</m:t>
        </m:r>
        <m:sSub>
          <m:sSubPr>
            <m:ctrlPr>
              <w:rPr>
                <w:rFonts w:ascii="Cambria Math" w:hAnsi="Cambria Math"/>
              </w:rPr>
            </m:ctrlPr>
          </m:sSubPr>
          <m:e>
            <m:r>
              <w:rPr>
                <w:rFonts w:ascii="Cambria Math" w:hAnsi="Cambria Math"/>
              </w:rPr>
              <m:t>CDS</m:t>
            </m:r>
          </m:e>
          <m:sub>
            <m:r>
              <w:rPr>
                <w:rFonts w:ascii="Cambria Math" w:hAnsi="Cambria Math"/>
              </w:rPr>
              <m:t>i,t-1</m:t>
            </m:r>
          </m:sub>
        </m:sSub>
        <m:r>
          <w:rPr>
            <w:rFonts w:ascii="Cambria Math" w:hAnsi="Cambria Math"/>
          </w:rPr>
          <m:t>+γEC</m:t>
        </m:r>
        <m:sSub>
          <m:sSubPr>
            <m:ctrlPr>
              <w:rPr>
                <w:rFonts w:ascii="Cambria Math" w:hAnsi="Cambria Math"/>
              </w:rPr>
            </m:ctrlPr>
          </m:sSubPr>
          <m:e>
            <m:r>
              <w:rPr>
                <w:rFonts w:ascii="Cambria Math" w:hAnsi="Cambria Math"/>
              </w:rPr>
              <m:t>B</m:t>
            </m:r>
          </m:e>
          <m:sub>
            <m:r>
              <w:rPr>
                <w:rFonts w:ascii="Cambria Math" w:hAnsi="Cambria Math"/>
              </w:rPr>
              <m:t>t</m:t>
            </m:r>
          </m:sub>
        </m:sSub>
        <m:r>
          <w:rPr>
            <w:rFonts w:ascii="Cambria Math" w:hAnsi="Cambria Math"/>
          </w:rPr>
          <m:t>+δ△</m:t>
        </m:r>
        <m:sSub>
          <m:sSubPr>
            <m:ctrlPr>
              <w:rPr>
                <w:rFonts w:ascii="Cambria Math" w:hAnsi="Cambria Math"/>
              </w:rPr>
            </m:ctrlPr>
          </m:sSubPr>
          <m:e>
            <m:r>
              <w:rPr>
                <w:rFonts w:ascii="Cambria Math" w:hAnsi="Cambria Math"/>
              </w:rPr>
              <m:t>Z</m:t>
            </m:r>
          </m:e>
          <m:sub>
            <m:r>
              <w:rPr>
                <w:rFonts w:ascii="Cambria Math" w:hAnsi="Cambria Math"/>
              </w:rPr>
              <m:t>i,t</m:t>
            </m:r>
          </m:sub>
        </m:sSub>
        <m:r>
          <w:rPr>
            <w:rFonts w:ascii="Cambria Math" w:hAnsi="Cambria Math"/>
          </w:rPr>
          <m:t>+</m:t>
        </m:r>
        <m:sSub>
          <m:sSubPr>
            <m:ctrlPr>
              <w:rPr>
                <w:rFonts w:ascii="Cambria Math" w:hAnsi="Cambria Math"/>
              </w:rPr>
            </m:ctrlPr>
          </m:sSubPr>
          <m:e>
            <m:r>
              <w:rPr>
                <w:rFonts w:ascii="Cambria Math" w:hAnsi="Cambria Math"/>
              </w:rPr>
              <m:t>μ</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ε</m:t>
            </m:r>
          </m:e>
          <m:sub>
            <m:r>
              <w:rPr>
                <w:rFonts w:ascii="Cambria Math" w:hAnsi="Cambria Math"/>
              </w:rPr>
              <m:t>i,t</m:t>
            </m:r>
          </m:sub>
        </m:sSub>
      </m:oMath>
      <w:r w:rsidRPr="00B35B07">
        <w:rPr>
          <w:rFonts w:ascii="Calibri" w:hAnsi="Calibri"/>
        </w:rPr>
        <w:tab/>
      </w:r>
      <w:r w:rsidR="008A31BE">
        <w:rPr>
          <w:rFonts w:ascii="Calibri" w:hAnsi="Calibri"/>
        </w:rPr>
        <w:tab/>
      </w:r>
      <w:r w:rsidRPr="00B35B07">
        <w:rPr>
          <w:rFonts w:ascii="Calibri" w:hAnsi="Calibri"/>
        </w:rPr>
        <w:t>(4)</w:t>
      </w:r>
    </w:p>
    <w:p w14:paraId="5DC67DDF" w14:textId="77777777" w:rsidR="00B35B07" w:rsidRPr="00B35B07" w:rsidRDefault="00B35B07" w:rsidP="00B35B07">
      <w:pPr>
        <w:pBdr>
          <w:top w:val="nil"/>
          <w:left w:val="nil"/>
          <w:bottom w:val="nil"/>
          <w:right w:val="nil"/>
          <w:between w:val="nil"/>
        </w:pBdr>
        <w:spacing w:before="280" w:after="280" w:line="240" w:lineRule="auto"/>
        <w:ind w:left="708" w:firstLine="708"/>
        <w:jc w:val="left"/>
        <w:rPr>
          <w:rFonts w:ascii="Calibri" w:hAnsi="Calibri"/>
        </w:rPr>
      </w:pPr>
    </w:p>
    <w:p w14:paraId="22D7AD41"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r>
          <w:rPr>
            <w:rFonts w:ascii="Cambria Math" w:hAnsi="Cambria Math"/>
          </w:rPr>
          <m:t>△</m:t>
        </m:r>
        <m:sSub>
          <m:sSubPr>
            <m:ctrlPr>
              <w:rPr>
                <w:rFonts w:ascii="Cambria Math" w:hAnsi="Cambria Math"/>
              </w:rPr>
            </m:ctrlPr>
          </m:sSubPr>
          <m:e>
            <m:r>
              <w:rPr>
                <w:rFonts w:ascii="Cambria Math" w:hAnsi="Cambria Math"/>
              </w:rPr>
              <m:t>CDS</m:t>
            </m:r>
          </m:e>
          <m:sub>
            <m:r>
              <w:rPr>
                <w:rFonts w:ascii="Cambria Math" w:hAnsi="Cambria Math"/>
              </w:rPr>
              <m:t>i,t</m:t>
            </m:r>
          </m:sub>
        </m:sSub>
      </m:oMath>
      <w:r w:rsidRPr="00B35B07">
        <w:rPr>
          <w:rFonts w:ascii="Calibri" w:hAnsi="Calibri"/>
        </w:rPr>
        <w:t xml:space="preserve"> </w:t>
      </w:r>
      <w:r w:rsidRPr="00B35B07">
        <w:rPr>
          <w:rFonts w:ascii="Calibri" w:hAnsi="Calibri"/>
        </w:rPr>
        <w:tab/>
        <w:t xml:space="preserve">= Change in CDS level within discussed time-window for specific country </w:t>
      </w:r>
      <w:proofErr w:type="spellStart"/>
      <w:r w:rsidRPr="00B35B07">
        <w:rPr>
          <w:rFonts w:ascii="Calibri" w:hAnsi="Calibri"/>
        </w:rPr>
        <w:t>i</w:t>
      </w:r>
      <w:proofErr w:type="spellEnd"/>
    </w:p>
    <w:p w14:paraId="471E56E7"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r>
          <w:rPr>
            <w:rFonts w:ascii="Cambria Math" w:hAnsi="Cambria Math"/>
          </w:rPr>
          <m:t>△</m:t>
        </m:r>
        <m:sSub>
          <m:sSubPr>
            <m:ctrlPr>
              <w:rPr>
                <w:rFonts w:ascii="Cambria Math" w:hAnsi="Cambria Math"/>
              </w:rPr>
            </m:ctrlPr>
          </m:sSubPr>
          <m:e>
            <m:r>
              <w:rPr>
                <w:rFonts w:ascii="Cambria Math" w:hAnsi="Cambria Math"/>
              </w:rPr>
              <m:t>Y</m:t>
            </m:r>
          </m:e>
          <m:sub>
            <m:r>
              <w:rPr>
                <w:rFonts w:ascii="Cambria Math" w:hAnsi="Cambria Math"/>
              </w:rPr>
              <m:t>i,t-1</m:t>
            </m:r>
          </m:sub>
        </m:sSub>
      </m:oMath>
      <w:r w:rsidRPr="00B35B07">
        <w:rPr>
          <w:rFonts w:ascii="Calibri" w:hAnsi="Calibri"/>
        </w:rPr>
        <w:t>= One day Lagged variable of CDS for specific country i</w:t>
      </w:r>
    </w:p>
    <w:p w14:paraId="71F8AFE9"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r>
          <w:rPr>
            <w:rFonts w:ascii="Cambria Math" w:hAnsi="Cambria Math"/>
          </w:rPr>
          <m:t>γEC</m:t>
        </m:r>
        <m:sSub>
          <m:sSubPr>
            <m:ctrlPr>
              <w:rPr>
                <w:rFonts w:ascii="Cambria Math" w:hAnsi="Cambria Math"/>
              </w:rPr>
            </m:ctrlPr>
          </m:sSubPr>
          <m:e>
            <m:r>
              <w:rPr>
                <w:rFonts w:ascii="Cambria Math" w:hAnsi="Cambria Math"/>
              </w:rPr>
              <m:t>B</m:t>
            </m:r>
          </m:e>
          <m:sub>
            <m:r>
              <w:rPr>
                <w:rFonts w:ascii="Cambria Math" w:hAnsi="Cambria Math"/>
              </w:rPr>
              <m:t>t</m:t>
            </m:r>
          </m:sub>
        </m:sSub>
      </m:oMath>
      <w:r w:rsidRPr="00B35B07">
        <w:rPr>
          <w:rFonts w:ascii="Calibri" w:hAnsi="Calibri"/>
        </w:rPr>
        <w:tab/>
        <w:t>= Dummy variable for ECB’s UMP announcement</w:t>
      </w:r>
    </w:p>
    <w:p w14:paraId="6C816F3C"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r>
          <w:rPr>
            <w:rFonts w:ascii="Cambria Math" w:hAnsi="Cambria Math"/>
          </w:rPr>
          <m:t>△</m:t>
        </m:r>
        <m:sSub>
          <m:sSubPr>
            <m:ctrlPr>
              <w:rPr>
                <w:rFonts w:ascii="Cambria Math" w:hAnsi="Cambria Math"/>
              </w:rPr>
            </m:ctrlPr>
          </m:sSubPr>
          <m:e>
            <m:r>
              <w:rPr>
                <w:rFonts w:ascii="Cambria Math" w:hAnsi="Cambria Math"/>
              </w:rPr>
              <m:t>Z</m:t>
            </m:r>
          </m:e>
          <m:sub>
            <m:r>
              <w:rPr>
                <w:rFonts w:ascii="Cambria Math" w:hAnsi="Cambria Math"/>
              </w:rPr>
              <m:t>i,t</m:t>
            </m:r>
          </m:sub>
        </m:sSub>
      </m:oMath>
      <w:r w:rsidRPr="00B35B07">
        <w:rPr>
          <w:rFonts w:ascii="Calibri" w:hAnsi="Calibri"/>
        </w:rPr>
        <w:t xml:space="preserve">  = Accounts for all control variables for specific country </w:t>
      </w:r>
      <w:proofErr w:type="spellStart"/>
      <w:r w:rsidRPr="00B35B07">
        <w:rPr>
          <w:rFonts w:ascii="Calibri" w:hAnsi="Calibri"/>
        </w:rPr>
        <w:t>i</w:t>
      </w:r>
      <w:proofErr w:type="spellEnd"/>
    </w:p>
    <w:p w14:paraId="3C9538B9"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sSub>
          <m:sSubPr>
            <m:ctrlPr>
              <w:rPr>
                <w:rFonts w:ascii="Cambria Math" w:hAnsi="Cambria Math"/>
              </w:rPr>
            </m:ctrlPr>
          </m:sSubPr>
          <m:e>
            <m:r>
              <w:rPr>
                <w:rFonts w:ascii="Cambria Math" w:hAnsi="Cambria Math"/>
              </w:rPr>
              <m:t>μ</m:t>
            </m:r>
          </m:e>
          <m:sub>
            <m:r>
              <w:rPr>
                <w:rFonts w:ascii="Cambria Math" w:hAnsi="Cambria Math"/>
              </w:rPr>
              <m:t>i</m:t>
            </m:r>
          </m:sub>
        </m:sSub>
      </m:oMath>
      <w:r w:rsidRPr="00B35B07">
        <w:rPr>
          <w:rFonts w:ascii="Calibri" w:hAnsi="Calibri"/>
        </w:rPr>
        <w:t xml:space="preserve"> = country-specific fixed effect within panel regression for specific country i</w:t>
      </w:r>
    </w:p>
    <w:p w14:paraId="43ADE8A6" w14:textId="77777777" w:rsidR="00B35B07" w:rsidRPr="00B35B07" w:rsidRDefault="00B35B07" w:rsidP="00B35B07">
      <w:pPr>
        <w:pBdr>
          <w:top w:val="nil"/>
          <w:left w:val="nil"/>
          <w:bottom w:val="nil"/>
          <w:right w:val="nil"/>
          <w:between w:val="nil"/>
        </w:pBdr>
        <w:spacing w:before="280" w:after="280" w:line="240" w:lineRule="auto"/>
        <w:ind w:firstLine="0"/>
        <w:jc w:val="left"/>
        <w:rPr>
          <w:rFonts w:ascii="Calibri" w:hAnsi="Calibri"/>
        </w:rPr>
      </w:pPr>
      <m:oMath>
        <m:sSub>
          <m:sSubPr>
            <m:ctrlPr>
              <w:rPr>
                <w:rFonts w:ascii="Cambria Math" w:hAnsi="Cambria Math"/>
              </w:rPr>
            </m:ctrlPr>
          </m:sSubPr>
          <m:e>
            <m:r>
              <w:rPr>
                <w:rFonts w:ascii="Cambria Math" w:hAnsi="Cambria Math"/>
              </w:rPr>
              <m:t>ε</m:t>
            </m:r>
          </m:e>
          <m:sub>
            <m:r>
              <w:rPr>
                <w:rFonts w:ascii="Cambria Math" w:hAnsi="Cambria Math"/>
              </w:rPr>
              <m:t>i,t</m:t>
            </m:r>
          </m:sub>
        </m:sSub>
      </m:oMath>
      <w:r w:rsidRPr="00B35B07">
        <w:rPr>
          <w:rFonts w:ascii="Calibri" w:hAnsi="Calibri"/>
        </w:rPr>
        <w:t>= Error term</w:t>
      </w:r>
    </w:p>
    <w:p w14:paraId="01C3012C" w14:textId="5A24A34F" w:rsidR="00513A55" w:rsidRDefault="00513A55">
      <w:pPr>
        <w:spacing w:line="240" w:lineRule="auto"/>
        <w:ind w:firstLine="0"/>
        <w:jc w:val="left"/>
        <w:rPr>
          <w:rFonts w:ascii="Calibri" w:hAnsi="Calibri"/>
        </w:rPr>
      </w:pPr>
      <w:r>
        <w:rPr>
          <w:rFonts w:ascii="Calibri" w:hAnsi="Calibri"/>
        </w:rPr>
        <w:br w:type="page"/>
      </w:r>
    </w:p>
    <w:p w14:paraId="781DD8C0" w14:textId="77777777" w:rsidR="0032508B" w:rsidRPr="00B146D2" w:rsidRDefault="0032508B" w:rsidP="003F1688">
      <w:pPr>
        <w:pStyle w:val="Heading1"/>
        <w:tabs>
          <w:tab w:val="num" w:pos="0"/>
        </w:tabs>
        <w:ind w:left="562" w:hanging="360"/>
      </w:pPr>
      <w:bookmarkStart w:id="100" w:name="_Toc122697361"/>
      <w:r w:rsidRPr="00B146D2">
        <w:lastRenderedPageBreak/>
        <w:t>Results</w:t>
      </w:r>
      <w:bookmarkEnd w:id="100"/>
    </w:p>
    <w:p w14:paraId="68F5C4EA" w14:textId="77B16FF0" w:rsidR="003A7CC5" w:rsidRDefault="00513A55" w:rsidP="00E304EC">
      <w:pPr>
        <w:ind w:firstLine="562"/>
        <w:rPr>
          <w:lang w:val="en-US"/>
        </w:rPr>
      </w:pPr>
      <w:r w:rsidRPr="003A7CC5">
        <w:rPr>
          <w:lang w:val="en-US"/>
        </w:rPr>
        <w:t xml:space="preserve">This section presents the empirical findings and analyses them in line of the research objective and hypotheses developed above to examine the relationship between sovereign bond yields and ECB announcements of unconventional monetary policy measures during the </w:t>
      </w:r>
      <w:r w:rsidR="004C51EF">
        <w:rPr>
          <w:lang w:val="en-US"/>
        </w:rPr>
        <w:t>COVID-19</w:t>
      </w:r>
      <w:r w:rsidRPr="003A7CC5">
        <w:rPr>
          <w:lang w:val="en-US"/>
        </w:rPr>
        <w:t xml:space="preserve"> crisis. To begin, this study used a Pearson correlation matrix to identify the strength and direction of the linear rela</w:t>
      </w:r>
      <w:r w:rsidRPr="004A3C80">
        <w:rPr>
          <w:lang w:val="en-US"/>
        </w:rPr>
        <w:t>tionships between these variables. We then conducted a panel regression of the whole sample of EMU countries to examine the aggregate effect of UMP announcements on sovereign bond yields.</w:t>
      </w:r>
      <w:r>
        <w:rPr>
          <w:lang w:val="en-US"/>
        </w:rPr>
        <w:t xml:space="preserve"> </w:t>
      </w:r>
      <w:r w:rsidRPr="004A3C80">
        <w:rPr>
          <w:lang w:val="en-US"/>
        </w:rPr>
        <w:t xml:space="preserve">Next, </w:t>
      </w:r>
      <w:r>
        <w:rPr>
          <w:lang w:val="en-US"/>
        </w:rPr>
        <w:t>this study</w:t>
      </w:r>
      <w:r w:rsidRPr="004A3C80">
        <w:rPr>
          <w:lang w:val="en-US"/>
        </w:rPr>
        <w:t xml:space="preserve"> divided the sample into two groups: "core" countries and "periphery" countries and analyzed the country-specific effects of UMP announcements on bond yields in each group. As a robustness check, the relationship between UMP announcements and credit default swap (CDS) changes</w:t>
      </w:r>
      <w:r>
        <w:rPr>
          <w:lang w:val="en-US"/>
        </w:rPr>
        <w:t xml:space="preserve"> was examined</w:t>
      </w:r>
      <w:r w:rsidRPr="004A3C80">
        <w:rPr>
          <w:lang w:val="en-US"/>
        </w:rPr>
        <w:t xml:space="preserve">. </w:t>
      </w:r>
    </w:p>
    <w:p w14:paraId="30F345E0" w14:textId="77777777" w:rsidR="003A7CC5" w:rsidRDefault="003A7CC5" w:rsidP="003A7CC5">
      <w:pPr>
        <w:ind w:firstLine="0"/>
        <w:rPr>
          <w:lang w:val="en-US"/>
        </w:rPr>
      </w:pPr>
    </w:p>
    <w:p w14:paraId="3B87D51F" w14:textId="7B913679" w:rsidR="00513A55" w:rsidRDefault="00513A55" w:rsidP="003A7CC5">
      <w:pPr>
        <w:pStyle w:val="Heading2"/>
      </w:pPr>
      <w:bookmarkStart w:id="101" w:name="_Toc122697362"/>
      <w:r w:rsidRPr="00B146D2">
        <w:t>Pearson correlation matrix – Sovereign bond yields</w:t>
      </w:r>
      <w:bookmarkEnd w:id="101"/>
    </w:p>
    <w:p w14:paraId="0CE3A7F7" w14:textId="77777777" w:rsidR="003A7CC5" w:rsidRPr="003A7CC5" w:rsidRDefault="003A7CC5" w:rsidP="003A7CC5">
      <w:pPr>
        <w:rPr>
          <w:lang w:val="en-US"/>
        </w:rPr>
      </w:pPr>
    </w:p>
    <w:p w14:paraId="6507E259" w14:textId="625BB6BF" w:rsidR="00513A55" w:rsidRPr="00B146D2" w:rsidRDefault="00513A55" w:rsidP="00513A55">
      <w:pPr>
        <w:spacing w:after="240"/>
        <w:ind w:firstLine="720"/>
        <w:rPr>
          <w:rFonts w:cstheme="minorHAnsi"/>
          <w:color w:val="000000"/>
          <w:lang w:val="en-US"/>
        </w:rPr>
      </w:pPr>
      <w:r w:rsidRPr="00B146D2">
        <w:rPr>
          <w:rFonts w:cstheme="minorHAnsi"/>
          <w:color w:val="000000"/>
          <w:lang w:val="en-US"/>
        </w:rPr>
        <w:t xml:space="preserve">Based on the Pearson correlation </w:t>
      </w:r>
      <w:r w:rsidRPr="009D6410">
        <w:rPr>
          <w:rFonts w:cstheme="minorHAnsi"/>
          <w:color w:val="000000"/>
          <w:lang w:val="en-US"/>
        </w:rPr>
        <w:t xml:space="preserve">matrix in Table </w:t>
      </w:r>
      <w:r w:rsidR="00D65D51">
        <w:rPr>
          <w:rFonts w:cstheme="minorHAnsi"/>
          <w:color w:val="000000"/>
          <w:lang w:val="en-US"/>
        </w:rPr>
        <w:t>2</w:t>
      </w:r>
      <w:r w:rsidRPr="009D6410">
        <w:rPr>
          <w:rFonts w:cstheme="minorHAnsi"/>
          <w:color w:val="000000"/>
          <w:lang w:val="en-US"/>
        </w:rPr>
        <w:t>, which</w:t>
      </w:r>
      <w:r>
        <w:rPr>
          <w:rFonts w:cstheme="minorHAnsi"/>
          <w:color w:val="000000"/>
          <w:lang w:val="en-US"/>
        </w:rPr>
        <w:t xml:space="preserve"> helps to understand and makes sense of the relationship between variables</w:t>
      </w:r>
      <w:r w:rsidRPr="00B146D2">
        <w:rPr>
          <w:rFonts w:cstheme="minorHAnsi"/>
          <w:color w:val="000000"/>
          <w:lang w:val="en-US"/>
        </w:rPr>
        <w:t>, this study concludes the following. Starting with the ECB UMP announcement dummy variable (</w:t>
      </w:r>
      <w:proofErr w:type="spellStart"/>
      <w:r w:rsidRPr="00B146D2">
        <w:rPr>
          <w:rFonts w:cstheme="minorHAnsi"/>
          <w:color w:val="000000"/>
          <w:lang w:val="en-US"/>
        </w:rPr>
        <w:t>dummy_special</w:t>
      </w:r>
      <w:proofErr w:type="spellEnd"/>
      <w:r w:rsidRPr="00B146D2">
        <w:rPr>
          <w:rFonts w:cstheme="minorHAnsi"/>
          <w:color w:val="000000"/>
          <w:lang w:val="en-US"/>
        </w:rPr>
        <w:t xml:space="preserve">) containing all ECB PEPP announcements in the sample. This variable correlates positively with the sovereign bond yield, the correlation is small but significant. This suggests that the government bond yields increases when the ECB announces UMP measures. When </w:t>
      </w:r>
      <w:r>
        <w:rPr>
          <w:rFonts w:cstheme="minorHAnsi"/>
          <w:color w:val="000000"/>
          <w:lang w:val="en-US"/>
        </w:rPr>
        <w:t>examining the correlation</w:t>
      </w:r>
      <w:r w:rsidRPr="00B146D2">
        <w:rPr>
          <w:rFonts w:cstheme="minorHAnsi"/>
          <w:color w:val="000000"/>
          <w:lang w:val="en-US"/>
        </w:rPr>
        <w:t xml:space="preserve"> for the one day lagged variable (</w:t>
      </w:r>
      <w:proofErr w:type="spellStart"/>
      <w:r w:rsidRPr="00B146D2">
        <w:rPr>
          <w:rFonts w:cstheme="minorHAnsi"/>
          <w:color w:val="000000"/>
          <w:lang w:val="en-US"/>
        </w:rPr>
        <w:t>dummy_special_d</w:t>
      </w:r>
      <w:proofErr w:type="spellEnd"/>
      <w:r w:rsidRPr="00B146D2">
        <w:rPr>
          <w:rFonts w:cstheme="minorHAnsi"/>
          <w:color w:val="000000"/>
          <w:lang w:val="en-US"/>
        </w:rPr>
        <w:t>) and the two-day lagged variable (dummy_special_d2), the correlation between the UMP</w:t>
      </w:r>
      <w:r>
        <w:rPr>
          <w:rFonts w:cstheme="minorHAnsi"/>
          <w:color w:val="000000"/>
          <w:lang w:val="en-US"/>
        </w:rPr>
        <w:t xml:space="preserve"> announcement</w:t>
      </w:r>
      <w:r w:rsidRPr="00B146D2">
        <w:rPr>
          <w:rFonts w:cstheme="minorHAnsi"/>
          <w:color w:val="000000"/>
          <w:lang w:val="en-US"/>
        </w:rPr>
        <w:t xml:space="preserve"> and sovereign bond yields is positive. However, in both cases, </w:t>
      </w:r>
      <w:r>
        <w:rPr>
          <w:rFonts w:cstheme="minorHAnsi"/>
          <w:color w:val="000000"/>
          <w:lang w:val="en-US"/>
        </w:rPr>
        <w:t>these</w:t>
      </w:r>
      <w:r w:rsidRPr="00B146D2">
        <w:rPr>
          <w:rFonts w:cstheme="minorHAnsi"/>
          <w:color w:val="000000"/>
          <w:lang w:val="en-US"/>
        </w:rPr>
        <w:t xml:space="preserve"> correlation</w:t>
      </w:r>
      <w:r>
        <w:rPr>
          <w:rFonts w:cstheme="minorHAnsi"/>
          <w:color w:val="000000"/>
          <w:lang w:val="en-US"/>
        </w:rPr>
        <w:t>s</w:t>
      </w:r>
      <w:r w:rsidRPr="00B146D2">
        <w:rPr>
          <w:rFonts w:cstheme="minorHAnsi"/>
          <w:color w:val="000000"/>
          <w:lang w:val="en-US"/>
        </w:rPr>
        <w:t xml:space="preserve"> </w:t>
      </w:r>
      <w:r>
        <w:rPr>
          <w:rFonts w:cstheme="minorHAnsi"/>
          <w:color w:val="000000"/>
          <w:lang w:val="en-US"/>
        </w:rPr>
        <w:t xml:space="preserve">were not </w:t>
      </w:r>
      <w:r w:rsidRPr="00B146D2">
        <w:rPr>
          <w:rFonts w:cstheme="minorHAnsi"/>
          <w:color w:val="000000"/>
          <w:lang w:val="en-US"/>
        </w:rPr>
        <w:t>statistically significant</w:t>
      </w:r>
      <w:r>
        <w:rPr>
          <w:rFonts w:cstheme="minorHAnsi"/>
          <w:color w:val="000000"/>
          <w:lang w:val="en-US"/>
        </w:rPr>
        <w:t xml:space="preserve">, suggesting only an immediate correlation exists.  </w:t>
      </w:r>
    </w:p>
    <w:p w14:paraId="7A83533C" w14:textId="0310F628" w:rsidR="009D6410" w:rsidRDefault="00513A55" w:rsidP="00513A55">
      <w:pPr>
        <w:spacing w:after="240"/>
        <w:ind w:firstLine="720"/>
        <w:rPr>
          <w:rFonts w:cstheme="minorHAnsi"/>
          <w:color w:val="000000"/>
          <w:lang w:val="en-US"/>
        </w:rPr>
      </w:pPr>
      <w:r w:rsidRPr="00B146D2">
        <w:rPr>
          <w:rFonts w:cstheme="minorHAnsi"/>
          <w:color w:val="000000"/>
          <w:lang w:val="en-US"/>
        </w:rPr>
        <w:t xml:space="preserve">With regards </w:t>
      </w:r>
      <w:proofErr w:type="gramStart"/>
      <w:r w:rsidRPr="00B146D2">
        <w:rPr>
          <w:rFonts w:cstheme="minorHAnsi"/>
          <w:color w:val="000000"/>
          <w:lang w:val="en-US"/>
        </w:rPr>
        <w:t>towards</w:t>
      </w:r>
      <w:proofErr w:type="gramEnd"/>
      <w:r w:rsidRPr="00B146D2">
        <w:rPr>
          <w:rFonts w:cstheme="minorHAnsi"/>
          <w:color w:val="000000"/>
          <w:lang w:val="en-US"/>
        </w:rPr>
        <w:t xml:space="preserve"> the other control variables, the lagged yield variable (</w:t>
      </w:r>
      <w:proofErr w:type="spellStart"/>
      <w:r w:rsidRPr="00B146D2">
        <w:rPr>
          <w:rFonts w:cstheme="minorHAnsi"/>
          <w:color w:val="000000"/>
          <w:lang w:val="en-US"/>
        </w:rPr>
        <w:t>lag_yield_fd</w:t>
      </w:r>
      <w:proofErr w:type="spellEnd"/>
      <w:r w:rsidRPr="00B146D2">
        <w:rPr>
          <w:rFonts w:cstheme="minorHAnsi"/>
          <w:color w:val="000000"/>
          <w:lang w:val="en-US"/>
        </w:rPr>
        <w:t xml:space="preserve">) correlates positively with sovereign long-term yield and this correlation is significant. </w:t>
      </w:r>
      <w:r>
        <w:rPr>
          <w:rFonts w:cstheme="minorHAnsi"/>
          <w:color w:val="000000"/>
          <w:lang w:val="en-US"/>
        </w:rPr>
        <w:t>This suggests t</w:t>
      </w:r>
      <w:r w:rsidRPr="00B146D2">
        <w:rPr>
          <w:rFonts w:cstheme="minorHAnsi"/>
          <w:color w:val="000000"/>
          <w:lang w:val="en-US"/>
        </w:rPr>
        <w:t xml:space="preserve">hat lagged yield has </w:t>
      </w:r>
      <w:proofErr w:type="gramStart"/>
      <w:r w:rsidRPr="00B146D2">
        <w:rPr>
          <w:rFonts w:cstheme="minorHAnsi"/>
          <w:color w:val="000000"/>
          <w:lang w:val="en-US"/>
        </w:rPr>
        <w:t>a</w:t>
      </w:r>
      <w:proofErr w:type="gramEnd"/>
      <w:r w:rsidRPr="00B146D2">
        <w:rPr>
          <w:rFonts w:cstheme="minorHAnsi"/>
          <w:color w:val="000000"/>
          <w:lang w:val="en-US"/>
        </w:rPr>
        <w:t xml:space="preserve"> </w:t>
      </w:r>
      <w:r>
        <w:rPr>
          <w:rFonts w:cstheme="minorHAnsi"/>
          <w:color w:val="000000"/>
          <w:lang w:val="en-US"/>
        </w:rPr>
        <w:t>upward</w:t>
      </w:r>
      <w:r w:rsidRPr="00B146D2">
        <w:rPr>
          <w:rFonts w:cstheme="minorHAnsi"/>
          <w:color w:val="000000"/>
          <w:lang w:val="en-US"/>
        </w:rPr>
        <w:t xml:space="preserve"> influence on the current yield changes in our sample. </w:t>
      </w:r>
      <w:r>
        <w:rPr>
          <w:rFonts w:cstheme="minorHAnsi"/>
          <w:color w:val="000000"/>
          <w:lang w:val="en-US"/>
        </w:rPr>
        <w:t>Our</w:t>
      </w:r>
      <w:r w:rsidRPr="00B146D2">
        <w:rPr>
          <w:rFonts w:cstheme="minorHAnsi"/>
          <w:color w:val="000000"/>
          <w:lang w:val="en-US"/>
        </w:rPr>
        <w:t xml:space="preserve"> analysis show</w:t>
      </w:r>
      <w:r>
        <w:rPr>
          <w:rFonts w:cstheme="minorHAnsi"/>
          <w:color w:val="000000"/>
          <w:lang w:val="en-US"/>
        </w:rPr>
        <w:t>s</w:t>
      </w:r>
      <w:r w:rsidRPr="00B146D2">
        <w:rPr>
          <w:rFonts w:cstheme="minorHAnsi"/>
          <w:color w:val="000000"/>
          <w:lang w:val="en-US"/>
        </w:rPr>
        <w:t xml:space="preserve"> that the country-specific stock index (</w:t>
      </w:r>
      <w:proofErr w:type="spellStart"/>
      <w:r w:rsidRPr="00B146D2">
        <w:rPr>
          <w:rFonts w:cstheme="minorHAnsi"/>
          <w:color w:val="000000"/>
          <w:lang w:val="en-US"/>
        </w:rPr>
        <w:t>stock_fd</w:t>
      </w:r>
      <w:proofErr w:type="spellEnd"/>
      <w:r w:rsidRPr="00B146D2">
        <w:rPr>
          <w:rFonts w:cstheme="minorHAnsi"/>
          <w:color w:val="000000"/>
          <w:lang w:val="en-US"/>
        </w:rPr>
        <w:t xml:space="preserve">) significantly correlates negatively </w:t>
      </w:r>
      <w:r w:rsidRPr="00B146D2">
        <w:rPr>
          <w:rFonts w:cstheme="minorHAnsi"/>
          <w:color w:val="000000"/>
          <w:lang w:val="en-US"/>
        </w:rPr>
        <w:lastRenderedPageBreak/>
        <w:t xml:space="preserve">with changes in sovereign yield levels, </w:t>
      </w:r>
      <w:r>
        <w:rPr>
          <w:rFonts w:cstheme="minorHAnsi"/>
          <w:color w:val="000000"/>
          <w:lang w:val="en-US"/>
        </w:rPr>
        <w:t>which indicates</w:t>
      </w:r>
      <w:r w:rsidRPr="00B146D2">
        <w:rPr>
          <w:rFonts w:cstheme="minorHAnsi"/>
          <w:color w:val="000000"/>
          <w:lang w:val="en-US"/>
        </w:rPr>
        <w:t xml:space="preserve"> that the stock market</w:t>
      </w:r>
      <w:r>
        <w:rPr>
          <w:rFonts w:cstheme="minorHAnsi"/>
          <w:color w:val="000000"/>
          <w:lang w:val="en-US"/>
        </w:rPr>
        <w:t xml:space="preserve"> investors</w:t>
      </w:r>
      <w:r w:rsidRPr="00B146D2">
        <w:rPr>
          <w:rFonts w:cstheme="minorHAnsi"/>
          <w:color w:val="000000"/>
          <w:lang w:val="en-US"/>
        </w:rPr>
        <w:t xml:space="preserve"> tend to re</w:t>
      </w:r>
      <w:r>
        <w:rPr>
          <w:rFonts w:cstheme="minorHAnsi"/>
          <w:color w:val="000000"/>
          <w:lang w:val="en-US"/>
        </w:rPr>
        <w:t>evaluate stocks downward when sovereign yield increase</w:t>
      </w:r>
      <w:r w:rsidRPr="00B146D2">
        <w:rPr>
          <w:rFonts w:cstheme="minorHAnsi"/>
          <w:color w:val="000000"/>
          <w:lang w:val="en-US"/>
        </w:rPr>
        <w:t>.</w:t>
      </w:r>
      <w:r>
        <w:rPr>
          <w:rFonts w:cstheme="minorHAnsi"/>
          <w:color w:val="000000"/>
          <w:lang w:val="en-US"/>
        </w:rPr>
        <w:t xml:space="preserve"> Contrarily, t</w:t>
      </w:r>
      <w:r w:rsidRPr="00B146D2">
        <w:rPr>
          <w:rFonts w:cstheme="minorHAnsi"/>
          <w:color w:val="000000"/>
          <w:lang w:val="en-US"/>
        </w:rPr>
        <w:t xml:space="preserve">he Europe </w:t>
      </w:r>
      <w:proofErr w:type="spellStart"/>
      <w:r w:rsidRPr="00B146D2">
        <w:rPr>
          <w:rFonts w:cstheme="minorHAnsi"/>
          <w:color w:val="000000"/>
          <w:lang w:val="en-US"/>
        </w:rPr>
        <w:t>Vstoxx</w:t>
      </w:r>
      <w:proofErr w:type="spellEnd"/>
      <w:r w:rsidRPr="00B146D2">
        <w:rPr>
          <w:rFonts w:cstheme="minorHAnsi"/>
          <w:color w:val="000000"/>
          <w:lang w:val="en-US"/>
        </w:rPr>
        <w:t xml:space="preserve"> index (</w:t>
      </w:r>
      <w:proofErr w:type="spellStart"/>
      <w:r w:rsidRPr="00B146D2">
        <w:rPr>
          <w:rFonts w:cstheme="minorHAnsi"/>
          <w:color w:val="000000"/>
          <w:lang w:val="en-US"/>
        </w:rPr>
        <w:t>vstoxx_fd</w:t>
      </w:r>
      <w:proofErr w:type="spellEnd"/>
      <w:r w:rsidRPr="00B146D2">
        <w:rPr>
          <w:rFonts w:cstheme="minorHAnsi"/>
          <w:color w:val="000000"/>
          <w:lang w:val="en-US"/>
        </w:rPr>
        <w:t xml:space="preserve">) has a positive and statistically significant correlation with sovereign yield level changes. The </w:t>
      </w:r>
      <w:proofErr w:type="spellStart"/>
      <w:r w:rsidRPr="00B146D2">
        <w:rPr>
          <w:rFonts w:cstheme="minorHAnsi"/>
          <w:color w:val="000000"/>
          <w:lang w:val="en-US"/>
        </w:rPr>
        <w:t>iTraxx</w:t>
      </w:r>
      <w:proofErr w:type="spellEnd"/>
      <w:r w:rsidRPr="00B146D2">
        <w:rPr>
          <w:rFonts w:cstheme="minorHAnsi"/>
          <w:color w:val="000000"/>
          <w:lang w:val="en-US"/>
        </w:rPr>
        <w:t xml:space="preserve"> Europe index (</w:t>
      </w:r>
      <w:proofErr w:type="spellStart"/>
      <w:r w:rsidRPr="00B146D2">
        <w:rPr>
          <w:rFonts w:cstheme="minorHAnsi"/>
          <w:color w:val="000000"/>
          <w:lang w:val="en-US"/>
        </w:rPr>
        <w:t>itraxx_fd</w:t>
      </w:r>
      <w:proofErr w:type="spellEnd"/>
      <w:r w:rsidRPr="00B146D2">
        <w:rPr>
          <w:rFonts w:cstheme="minorHAnsi"/>
          <w:color w:val="000000"/>
          <w:lang w:val="en-US"/>
        </w:rPr>
        <w:t xml:space="preserve">) also exhibits a relatively large, positive, and statistically significant correlation with sovereign yield levels. </w:t>
      </w:r>
      <w:r>
        <w:rPr>
          <w:rFonts w:cstheme="minorHAnsi"/>
          <w:color w:val="000000"/>
          <w:lang w:val="en-US"/>
        </w:rPr>
        <w:t>In general,</w:t>
      </w:r>
      <w:r w:rsidRPr="00B146D2">
        <w:rPr>
          <w:rFonts w:cstheme="minorHAnsi"/>
          <w:color w:val="000000"/>
          <w:lang w:val="en-US"/>
        </w:rPr>
        <w:t xml:space="preserve"> </w:t>
      </w:r>
      <w:proofErr w:type="gramStart"/>
      <w:r w:rsidRPr="00B146D2">
        <w:rPr>
          <w:rFonts w:cstheme="minorHAnsi"/>
          <w:color w:val="000000"/>
          <w:lang w:val="en-US"/>
        </w:rPr>
        <w:t>total</w:t>
      </w:r>
      <w:proofErr w:type="gramEnd"/>
      <w:r w:rsidRPr="00B146D2">
        <w:rPr>
          <w:rFonts w:cstheme="minorHAnsi"/>
          <w:color w:val="000000"/>
          <w:lang w:val="en-US"/>
        </w:rPr>
        <w:t xml:space="preserve"> stock market index (</w:t>
      </w:r>
      <w:proofErr w:type="spellStart"/>
      <w:r w:rsidRPr="00B146D2">
        <w:rPr>
          <w:rFonts w:cstheme="minorHAnsi"/>
          <w:color w:val="000000"/>
          <w:lang w:val="en-US"/>
        </w:rPr>
        <w:t>tsm_fd</w:t>
      </w:r>
      <w:proofErr w:type="spellEnd"/>
      <w:r w:rsidRPr="00B146D2">
        <w:rPr>
          <w:rFonts w:cstheme="minorHAnsi"/>
          <w:color w:val="000000"/>
          <w:lang w:val="en-US"/>
        </w:rPr>
        <w:t xml:space="preserve">) </w:t>
      </w:r>
      <w:r>
        <w:rPr>
          <w:rFonts w:cstheme="minorHAnsi"/>
          <w:color w:val="000000"/>
          <w:lang w:val="en-US"/>
        </w:rPr>
        <w:t>was found</w:t>
      </w:r>
      <w:r w:rsidRPr="00B146D2">
        <w:rPr>
          <w:rFonts w:cstheme="minorHAnsi"/>
          <w:color w:val="000000"/>
          <w:lang w:val="en-US"/>
        </w:rPr>
        <w:t xml:space="preserve"> negative and statistically significant </w:t>
      </w:r>
      <w:r>
        <w:rPr>
          <w:rFonts w:cstheme="minorHAnsi"/>
          <w:color w:val="000000"/>
          <w:lang w:val="en-US"/>
        </w:rPr>
        <w:t>correlated</w:t>
      </w:r>
      <w:r w:rsidRPr="00B146D2">
        <w:rPr>
          <w:rFonts w:cstheme="minorHAnsi"/>
          <w:color w:val="000000"/>
          <w:lang w:val="en-US"/>
        </w:rPr>
        <w:t xml:space="preserve"> with sovereign yields. The Citigroup Economic Surprise Index (</w:t>
      </w:r>
      <w:proofErr w:type="spellStart"/>
      <w:r w:rsidRPr="00B146D2">
        <w:rPr>
          <w:rFonts w:cstheme="minorHAnsi"/>
          <w:color w:val="000000"/>
          <w:lang w:val="en-US"/>
        </w:rPr>
        <w:t>cesi_fd</w:t>
      </w:r>
      <w:proofErr w:type="spellEnd"/>
      <w:r w:rsidRPr="00B146D2">
        <w:rPr>
          <w:rFonts w:cstheme="minorHAnsi"/>
          <w:color w:val="000000"/>
          <w:lang w:val="en-US"/>
        </w:rPr>
        <w:t>) has a positive, but statistically insignificant, correlation with sovereign yields. Both the Credit Default Swap Index (</w:t>
      </w:r>
      <w:proofErr w:type="spellStart"/>
      <w:r w:rsidRPr="00B146D2">
        <w:rPr>
          <w:rFonts w:cstheme="minorHAnsi"/>
          <w:color w:val="000000"/>
          <w:lang w:val="en-US"/>
        </w:rPr>
        <w:t>cds_fd</w:t>
      </w:r>
      <w:proofErr w:type="spellEnd"/>
      <w:r w:rsidRPr="00B146D2">
        <w:rPr>
          <w:rFonts w:cstheme="minorHAnsi"/>
          <w:color w:val="000000"/>
          <w:lang w:val="en-US"/>
        </w:rPr>
        <w:t>) and the lagged Credit Default Swap (</w:t>
      </w:r>
      <w:proofErr w:type="spellStart"/>
      <w:r w:rsidRPr="00B146D2">
        <w:rPr>
          <w:rFonts w:cstheme="minorHAnsi"/>
          <w:color w:val="000000"/>
          <w:lang w:val="en-US"/>
        </w:rPr>
        <w:t>lag_cds_fd</w:t>
      </w:r>
      <w:proofErr w:type="spellEnd"/>
      <w:r w:rsidRPr="00B146D2">
        <w:rPr>
          <w:rFonts w:cstheme="minorHAnsi"/>
          <w:color w:val="000000"/>
          <w:lang w:val="en-US"/>
        </w:rPr>
        <w:t>) have a statistically significant and positive effect on sovereign yields.</w:t>
      </w:r>
    </w:p>
    <w:p w14:paraId="3CC00F2F" w14:textId="77777777" w:rsidR="009D6410" w:rsidRDefault="009D6410">
      <w:pPr>
        <w:spacing w:line="240" w:lineRule="auto"/>
        <w:ind w:firstLine="0"/>
        <w:jc w:val="left"/>
        <w:rPr>
          <w:rFonts w:cstheme="minorHAnsi"/>
          <w:color w:val="000000"/>
          <w:lang w:val="en-US"/>
        </w:rPr>
      </w:pPr>
      <w:r>
        <w:rPr>
          <w:rFonts w:cstheme="minorHAnsi"/>
          <w:color w:val="000000"/>
          <w:lang w:val="en-US"/>
        </w:rPr>
        <w:br w:type="page"/>
      </w:r>
    </w:p>
    <w:p w14:paraId="0D7AE240" w14:textId="77777777" w:rsidR="009D6410" w:rsidRDefault="009D6410" w:rsidP="009D6410">
      <w:pPr>
        <w:pStyle w:val="Caption"/>
        <w:jc w:val="left"/>
        <w:rPr>
          <w:lang w:val="en-GB"/>
        </w:rPr>
        <w:sectPr w:rsidR="009D6410" w:rsidSect="009D6410">
          <w:footerReference w:type="default" r:id="rId9"/>
          <w:footerReference w:type="first" r:id="rId10"/>
          <w:pgSz w:w="12240" w:h="15840"/>
          <w:pgMar w:top="1418" w:right="1418" w:bottom="1418" w:left="1418" w:header="720" w:footer="720" w:gutter="0"/>
          <w:pgNumType w:start="1"/>
          <w:cols w:space="708"/>
          <w:formProt w:val="0"/>
          <w:titlePg/>
          <w:docGrid w:linePitch="326"/>
        </w:sectPr>
      </w:pPr>
    </w:p>
    <w:p w14:paraId="4EDF7EA3" w14:textId="5D4B146A" w:rsidR="009D6410" w:rsidRPr="0064134A" w:rsidRDefault="009D6410" w:rsidP="009D6410">
      <w:pPr>
        <w:pStyle w:val="Caption"/>
        <w:jc w:val="left"/>
      </w:pPr>
      <w:r>
        <w:rPr>
          <w:lang w:val="en-GB"/>
        </w:rPr>
        <w:lastRenderedPageBreak/>
        <w:t>T</w:t>
      </w:r>
      <w:r w:rsidRPr="00BC2E42">
        <w:rPr>
          <w:lang w:val="en-GB"/>
        </w:rPr>
        <w:t xml:space="preserve">able </w:t>
      </w:r>
      <w:r w:rsidR="00D65D51">
        <w:rPr>
          <w:lang w:val="en-GB"/>
        </w:rPr>
        <w:t>2</w:t>
      </w:r>
      <w:r>
        <w:rPr>
          <w:lang w:val="en-GB"/>
        </w:rPr>
        <w:t>.</w:t>
      </w:r>
      <w:r w:rsidRPr="00072E3C">
        <w:t xml:space="preserve"> </w:t>
      </w:r>
      <w:r w:rsidRPr="005312DE">
        <w:t xml:space="preserve">Pearson Pairwise correlations </w:t>
      </w:r>
      <w:proofErr w:type="gramStart"/>
      <w:r w:rsidRPr="005312DE">
        <w:t>-  Sovereign</w:t>
      </w:r>
      <w:proofErr w:type="gramEnd"/>
      <w:r w:rsidRPr="005312DE">
        <w:t xml:space="preserve"> Bond Yields</w:t>
      </w:r>
    </w:p>
    <w:tbl>
      <w:tblPr>
        <w:tblW w:w="14829" w:type="dxa"/>
        <w:tblInd w:w="-443" w:type="dxa"/>
        <w:tblLayout w:type="fixed"/>
        <w:tblLook w:val="0000" w:firstRow="0" w:lastRow="0" w:firstColumn="0" w:lastColumn="0" w:noHBand="0" w:noVBand="0"/>
      </w:tblPr>
      <w:tblGrid>
        <w:gridCol w:w="2268"/>
        <w:gridCol w:w="1276"/>
        <w:gridCol w:w="1095"/>
        <w:gridCol w:w="1010"/>
        <w:gridCol w:w="1010"/>
        <w:gridCol w:w="1010"/>
        <w:gridCol w:w="1010"/>
        <w:gridCol w:w="1010"/>
        <w:gridCol w:w="1010"/>
        <w:gridCol w:w="1095"/>
        <w:gridCol w:w="1010"/>
        <w:gridCol w:w="1010"/>
        <w:gridCol w:w="1015"/>
      </w:tblGrid>
      <w:tr w:rsidR="009D6410" w:rsidRPr="007164C4" w14:paraId="49F76A5C" w14:textId="77777777" w:rsidTr="008E0221">
        <w:trPr>
          <w:trHeight w:val="136"/>
        </w:trPr>
        <w:tc>
          <w:tcPr>
            <w:tcW w:w="2268" w:type="dxa"/>
            <w:tcBorders>
              <w:top w:val="single" w:sz="4" w:space="0" w:color="auto"/>
              <w:left w:val="nil"/>
              <w:bottom w:val="single" w:sz="6" w:space="0" w:color="auto"/>
              <w:right w:val="nil"/>
            </w:tcBorders>
          </w:tcPr>
          <w:p w14:paraId="6F0A1A8A" w14:textId="77777777" w:rsidR="009D6410" w:rsidRPr="005312DE" w:rsidRDefault="009D6410" w:rsidP="008E0221">
            <w:pPr>
              <w:widowControl w:val="0"/>
              <w:autoSpaceDE w:val="0"/>
              <w:autoSpaceDN w:val="0"/>
              <w:adjustRightInd w:val="0"/>
              <w:spacing w:line="240" w:lineRule="auto"/>
              <w:rPr>
                <w:rFonts w:cstheme="minorHAnsi"/>
                <w:b/>
                <w:bCs/>
                <w:sz w:val="20"/>
                <w:szCs w:val="20"/>
                <w:lang w:val="en-US"/>
              </w:rPr>
            </w:pPr>
            <w:r w:rsidRPr="005312DE">
              <w:rPr>
                <w:rFonts w:cstheme="minorHAnsi"/>
                <w:b/>
                <w:bCs/>
                <w:sz w:val="20"/>
                <w:szCs w:val="20"/>
                <w:lang w:val="en-US"/>
              </w:rPr>
              <w:t>Variables</w:t>
            </w:r>
          </w:p>
        </w:tc>
        <w:tc>
          <w:tcPr>
            <w:tcW w:w="1276" w:type="dxa"/>
            <w:tcBorders>
              <w:top w:val="single" w:sz="4" w:space="0" w:color="auto"/>
              <w:left w:val="nil"/>
              <w:bottom w:val="single" w:sz="6" w:space="0" w:color="auto"/>
              <w:right w:val="nil"/>
            </w:tcBorders>
          </w:tcPr>
          <w:p w14:paraId="71A90C7A" w14:textId="77777777" w:rsidR="009D6410" w:rsidRPr="005312DE" w:rsidRDefault="009D6410" w:rsidP="008E0221">
            <w:pPr>
              <w:widowControl w:val="0"/>
              <w:autoSpaceDE w:val="0"/>
              <w:autoSpaceDN w:val="0"/>
              <w:adjustRightInd w:val="0"/>
              <w:spacing w:line="240" w:lineRule="auto"/>
              <w:jc w:val="left"/>
              <w:rPr>
                <w:rFonts w:cstheme="minorHAnsi"/>
                <w:b/>
                <w:bCs/>
                <w:sz w:val="20"/>
                <w:szCs w:val="20"/>
                <w:lang w:val="en-US"/>
              </w:rPr>
            </w:pPr>
            <w:r w:rsidRPr="005312DE">
              <w:rPr>
                <w:rFonts w:cstheme="minorHAnsi"/>
                <w:b/>
                <w:bCs/>
                <w:sz w:val="20"/>
                <w:szCs w:val="20"/>
                <w:lang w:val="en-US"/>
              </w:rPr>
              <w:t>(1)</w:t>
            </w:r>
          </w:p>
        </w:tc>
        <w:tc>
          <w:tcPr>
            <w:tcW w:w="1095" w:type="dxa"/>
            <w:tcBorders>
              <w:top w:val="single" w:sz="4" w:space="0" w:color="auto"/>
              <w:left w:val="nil"/>
              <w:bottom w:val="single" w:sz="6" w:space="0" w:color="auto"/>
              <w:right w:val="nil"/>
            </w:tcBorders>
          </w:tcPr>
          <w:p w14:paraId="7D509755" w14:textId="77777777" w:rsidR="009D6410" w:rsidRPr="005312DE" w:rsidRDefault="009D6410" w:rsidP="008E0221">
            <w:pPr>
              <w:widowControl w:val="0"/>
              <w:autoSpaceDE w:val="0"/>
              <w:autoSpaceDN w:val="0"/>
              <w:adjustRightInd w:val="0"/>
              <w:spacing w:line="240" w:lineRule="auto"/>
              <w:jc w:val="left"/>
              <w:rPr>
                <w:rFonts w:cstheme="minorHAnsi"/>
                <w:b/>
                <w:bCs/>
                <w:sz w:val="20"/>
                <w:szCs w:val="20"/>
                <w:lang w:val="en-US"/>
              </w:rPr>
            </w:pPr>
            <w:r w:rsidRPr="005312DE">
              <w:rPr>
                <w:rFonts w:cstheme="minorHAnsi"/>
                <w:b/>
                <w:bCs/>
                <w:sz w:val="20"/>
                <w:szCs w:val="20"/>
                <w:lang w:val="en-US"/>
              </w:rPr>
              <w:t>(2)</w:t>
            </w:r>
          </w:p>
        </w:tc>
        <w:tc>
          <w:tcPr>
            <w:tcW w:w="1010" w:type="dxa"/>
            <w:tcBorders>
              <w:top w:val="single" w:sz="4" w:space="0" w:color="auto"/>
              <w:left w:val="nil"/>
              <w:bottom w:val="single" w:sz="6" w:space="0" w:color="auto"/>
              <w:right w:val="nil"/>
            </w:tcBorders>
          </w:tcPr>
          <w:p w14:paraId="17CA9131" w14:textId="77777777" w:rsidR="009D6410" w:rsidRPr="005312DE" w:rsidRDefault="009D6410" w:rsidP="008E0221">
            <w:pPr>
              <w:widowControl w:val="0"/>
              <w:autoSpaceDE w:val="0"/>
              <w:autoSpaceDN w:val="0"/>
              <w:adjustRightInd w:val="0"/>
              <w:spacing w:line="240" w:lineRule="auto"/>
              <w:jc w:val="left"/>
              <w:rPr>
                <w:rFonts w:cstheme="minorHAnsi"/>
                <w:b/>
                <w:bCs/>
                <w:sz w:val="20"/>
                <w:szCs w:val="20"/>
                <w:lang w:val="en-US"/>
              </w:rPr>
            </w:pPr>
            <w:r w:rsidRPr="005312DE">
              <w:rPr>
                <w:rFonts w:cstheme="minorHAnsi"/>
                <w:b/>
                <w:bCs/>
                <w:sz w:val="20"/>
                <w:szCs w:val="20"/>
                <w:lang w:val="en-US"/>
              </w:rPr>
              <w:t>(3)</w:t>
            </w:r>
          </w:p>
        </w:tc>
        <w:tc>
          <w:tcPr>
            <w:tcW w:w="1010" w:type="dxa"/>
            <w:tcBorders>
              <w:top w:val="single" w:sz="4" w:space="0" w:color="auto"/>
              <w:left w:val="nil"/>
              <w:bottom w:val="single" w:sz="6" w:space="0" w:color="auto"/>
              <w:right w:val="nil"/>
            </w:tcBorders>
          </w:tcPr>
          <w:p w14:paraId="5130BB46" w14:textId="77777777" w:rsidR="009D6410" w:rsidRPr="005312DE" w:rsidRDefault="009D6410" w:rsidP="008E0221">
            <w:pPr>
              <w:widowControl w:val="0"/>
              <w:autoSpaceDE w:val="0"/>
              <w:autoSpaceDN w:val="0"/>
              <w:adjustRightInd w:val="0"/>
              <w:spacing w:line="240" w:lineRule="auto"/>
              <w:jc w:val="left"/>
              <w:rPr>
                <w:rFonts w:cstheme="minorHAnsi"/>
                <w:b/>
                <w:bCs/>
                <w:sz w:val="20"/>
                <w:szCs w:val="20"/>
                <w:lang w:val="en-US"/>
              </w:rPr>
            </w:pPr>
            <w:r w:rsidRPr="005312DE">
              <w:rPr>
                <w:rFonts w:cstheme="minorHAnsi"/>
                <w:b/>
                <w:bCs/>
                <w:sz w:val="20"/>
                <w:szCs w:val="20"/>
                <w:lang w:val="en-US"/>
              </w:rPr>
              <w:t>(4)</w:t>
            </w:r>
          </w:p>
        </w:tc>
        <w:tc>
          <w:tcPr>
            <w:tcW w:w="1010" w:type="dxa"/>
            <w:tcBorders>
              <w:top w:val="single" w:sz="4" w:space="0" w:color="auto"/>
              <w:left w:val="nil"/>
              <w:bottom w:val="single" w:sz="6" w:space="0" w:color="auto"/>
              <w:right w:val="nil"/>
            </w:tcBorders>
          </w:tcPr>
          <w:p w14:paraId="558D484A" w14:textId="77777777" w:rsidR="009D6410" w:rsidRPr="005312DE" w:rsidRDefault="009D6410" w:rsidP="008E0221">
            <w:pPr>
              <w:widowControl w:val="0"/>
              <w:autoSpaceDE w:val="0"/>
              <w:autoSpaceDN w:val="0"/>
              <w:adjustRightInd w:val="0"/>
              <w:spacing w:line="240" w:lineRule="auto"/>
              <w:jc w:val="left"/>
              <w:rPr>
                <w:rFonts w:cstheme="minorHAnsi"/>
                <w:b/>
                <w:bCs/>
                <w:sz w:val="20"/>
                <w:szCs w:val="20"/>
                <w:lang w:val="en-US"/>
              </w:rPr>
            </w:pPr>
            <w:r w:rsidRPr="005312DE">
              <w:rPr>
                <w:rFonts w:cstheme="minorHAnsi"/>
                <w:b/>
                <w:bCs/>
                <w:sz w:val="20"/>
                <w:szCs w:val="20"/>
                <w:lang w:val="en-US"/>
              </w:rPr>
              <w:t>(5)</w:t>
            </w:r>
          </w:p>
        </w:tc>
        <w:tc>
          <w:tcPr>
            <w:tcW w:w="1010" w:type="dxa"/>
            <w:tcBorders>
              <w:top w:val="single" w:sz="4" w:space="0" w:color="auto"/>
              <w:left w:val="nil"/>
              <w:bottom w:val="single" w:sz="6" w:space="0" w:color="auto"/>
              <w:right w:val="nil"/>
            </w:tcBorders>
          </w:tcPr>
          <w:p w14:paraId="281B3340" w14:textId="77777777" w:rsidR="009D6410" w:rsidRPr="005312DE" w:rsidRDefault="009D6410" w:rsidP="008E0221">
            <w:pPr>
              <w:widowControl w:val="0"/>
              <w:autoSpaceDE w:val="0"/>
              <w:autoSpaceDN w:val="0"/>
              <w:adjustRightInd w:val="0"/>
              <w:spacing w:line="240" w:lineRule="auto"/>
              <w:jc w:val="left"/>
              <w:rPr>
                <w:rFonts w:cstheme="minorHAnsi"/>
                <w:b/>
                <w:bCs/>
                <w:sz w:val="20"/>
                <w:szCs w:val="20"/>
                <w:lang w:val="en-US"/>
              </w:rPr>
            </w:pPr>
            <w:r w:rsidRPr="005312DE">
              <w:rPr>
                <w:rFonts w:cstheme="minorHAnsi"/>
                <w:b/>
                <w:bCs/>
                <w:sz w:val="20"/>
                <w:szCs w:val="20"/>
                <w:lang w:val="en-US"/>
              </w:rPr>
              <w:t>(6)</w:t>
            </w:r>
          </w:p>
        </w:tc>
        <w:tc>
          <w:tcPr>
            <w:tcW w:w="1010" w:type="dxa"/>
            <w:tcBorders>
              <w:top w:val="single" w:sz="4" w:space="0" w:color="auto"/>
              <w:left w:val="nil"/>
              <w:bottom w:val="single" w:sz="6" w:space="0" w:color="auto"/>
              <w:right w:val="nil"/>
            </w:tcBorders>
          </w:tcPr>
          <w:p w14:paraId="3689D519" w14:textId="77777777" w:rsidR="009D6410" w:rsidRPr="005312DE" w:rsidRDefault="009D6410" w:rsidP="008E0221">
            <w:pPr>
              <w:widowControl w:val="0"/>
              <w:autoSpaceDE w:val="0"/>
              <w:autoSpaceDN w:val="0"/>
              <w:adjustRightInd w:val="0"/>
              <w:spacing w:line="240" w:lineRule="auto"/>
              <w:jc w:val="left"/>
              <w:rPr>
                <w:rFonts w:cstheme="minorHAnsi"/>
                <w:b/>
                <w:bCs/>
                <w:sz w:val="20"/>
                <w:szCs w:val="20"/>
                <w:lang w:val="en-US"/>
              </w:rPr>
            </w:pPr>
            <w:r w:rsidRPr="005312DE">
              <w:rPr>
                <w:rFonts w:cstheme="minorHAnsi"/>
                <w:b/>
                <w:bCs/>
                <w:sz w:val="20"/>
                <w:szCs w:val="20"/>
                <w:lang w:val="en-US"/>
              </w:rPr>
              <w:t>(7)</w:t>
            </w:r>
          </w:p>
        </w:tc>
        <w:tc>
          <w:tcPr>
            <w:tcW w:w="1010" w:type="dxa"/>
            <w:tcBorders>
              <w:top w:val="single" w:sz="4" w:space="0" w:color="auto"/>
              <w:left w:val="nil"/>
              <w:bottom w:val="single" w:sz="6" w:space="0" w:color="auto"/>
              <w:right w:val="nil"/>
            </w:tcBorders>
          </w:tcPr>
          <w:p w14:paraId="60C0F86C" w14:textId="77777777" w:rsidR="009D6410" w:rsidRPr="005312DE" w:rsidRDefault="009D6410" w:rsidP="008E0221">
            <w:pPr>
              <w:widowControl w:val="0"/>
              <w:autoSpaceDE w:val="0"/>
              <w:autoSpaceDN w:val="0"/>
              <w:adjustRightInd w:val="0"/>
              <w:spacing w:line="240" w:lineRule="auto"/>
              <w:jc w:val="left"/>
              <w:rPr>
                <w:rFonts w:cstheme="minorHAnsi"/>
                <w:b/>
                <w:bCs/>
                <w:sz w:val="20"/>
                <w:szCs w:val="20"/>
                <w:lang w:val="en-US"/>
              </w:rPr>
            </w:pPr>
            <w:r w:rsidRPr="005312DE">
              <w:rPr>
                <w:rFonts w:cstheme="minorHAnsi"/>
                <w:b/>
                <w:bCs/>
                <w:sz w:val="20"/>
                <w:szCs w:val="20"/>
                <w:lang w:val="en-US"/>
              </w:rPr>
              <w:t>(8)</w:t>
            </w:r>
          </w:p>
        </w:tc>
        <w:tc>
          <w:tcPr>
            <w:tcW w:w="1095" w:type="dxa"/>
            <w:tcBorders>
              <w:top w:val="single" w:sz="4" w:space="0" w:color="auto"/>
              <w:left w:val="nil"/>
              <w:bottom w:val="single" w:sz="6" w:space="0" w:color="auto"/>
              <w:right w:val="nil"/>
            </w:tcBorders>
          </w:tcPr>
          <w:p w14:paraId="660726FE" w14:textId="77777777" w:rsidR="009D6410" w:rsidRPr="005312DE" w:rsidRDefault="009D6410" w:rsidP="008E0221">
            <w:pPr>
              <w:widowControl w:val="0"/>
              <w:autoSpaceDE w:val="0"/>
              <w:autoSpaceDN w:val="0"/>
              <w:adjustRightInd w:val="0"/>
              <w:spacing w:line="240" w:lineRule="auto"/>
              <w:jc w:val="left"/>
              <w:rPr>
                <w:rFonts w:cstheme="minorHAnsi"/>
                <w:b/>
                <w:bCs/>
                <w:sz w:val="20"/>
                <w:szCs w:val="20"/>
                <w:lang w:val="en-US"/>
              </w:rPr>
            </w:pPr>
            <w:r w:rsidRPr="005312DE">
              <w:rPr>
                <w:rFonts w:cstheme="minorHAnsi"/>
                <w:b/>
                <w:bCs/>
                <w:sz w:val="20"/>
                <w:szCs w:val="20"/>
                <w:lang w:val="en-US"/>
              </w:rPr>
              <w:t>(9)</w:t>
            </w:r>
          </w:p>
        </w:tc>
        <w:tc>
          <w:tcPr>
            <w:tcW w:w="1010" w:type="dxa"/>
            <w:tcBorders>
              <w:top w:val="single" w:sz="4" w:space="0" w:color="auto"/>
              <w:left w:val="nil"/>
              <w:bottom w:val="single" w:sz="6" w:space="0" w:color="auto"/>
              <w:right w:val="nil"/>
            </w:tcBorders>
          </w:tcPr>
          <w:p w14:paraId="3B6FBD5C" w14:textId="77777777" w:rsidR="009D6410" w:rsidRPr="005312DE" w:rsidRDefault="009D6410" w:rsidP="008E0221">
            <w:pPr>
              <w:widowControl w:val="0"/>
              <w:autoSpaceDE w:val="0"/>
              <w:autoSpaceDN w:val="0"/>
              <w:adjustRightInd w:val="0"/>
              <w:spacing w:line="240" w:lineRule="auto"/>
              <w:jc w:val="left"/>
              <w:rPr>
                <w:rFonts w:cstheme="minorHAnsi"/>
                <w:b/>
                <w:bCs/>
                <w:sz w:val="20"/>
                <w:szCs w:val="20"/>
                <w:lang w:val="en-US"/>
              </w:rPr>
            </w:pPr>
            <w:r w:rsidRPr="005312DE">
              <w:rPr>
                <w:rFonts w:cstheme="minorHAnsi"/>
                <w:b/>
                <w:bCs/>
                <w:sz w:val="20"/>
                <w:szCs w:val="20"/>
                <w:lang w:val="en-US"/>
              </w:rPr>
              <w:t>(10)</w:t>
            </w:r>
          </w:p>
        </w:tc>
        <w:tc>
          <w:tcPr>
            <w:tcW w:w="1010" w:type="dxa"/>
            <w:tcBorders>
              <w:top w:val="single" w:sz="4" w:space="0" w:color="auto"/>
              <w:left w:val="nil"/>
              <w:bottom w:val="single" w:sz="6" w:space="0" w:color="auto"/>
              <w:right w:val="nil"/>
            </w:tcBorders>
          </w:tcPr>
          <w:p w14:paraId="48C03927" w14:textId="77777777" w:rsidR="009D6410" w:rsidRPr="005312DE" w:rsidRDefault="009D6410" w:rsidP="008E0221">
            <w:pPr>
              <w:widowControl w:val="0"/>
              <w:autoSpaceDE w:val="0"/>
              <w:autoSpaceDN w:val="0"/>
              <w:adjustRightInd w:val="0"/>
              <w:spacing w:line="240" w:lineRule="auto"/>
              <w:jc w:val="left"/>
              <w:rPr>
                <w:rFonts w:cstheme="minorHAnsi"/>
                <w:b/>
                <w:bCs/>
                <w:sz w:val="20"/>
                <w:szCs w:val="20"/>
                <w:lang w:val="en-US"/>
              </w:rPr>
            </w:pPr>
            <w:r w:rsidRPr="005312DE">
              <w:rPr>
                <w:rFonts w:cstheme="minorHAnsi"/>
                <w:b/>
                <w:bCs/>
                <w:sz w:val="20"/>
                <w:szCs w:val="20"/>
                <w:lang w:val="en-US"/>
              </w:rPr>
              <w:t>(11)</w:t>
            </w:r>
          </w:p>
        </w:tc>
        <w:tc>
          <w:tcPr>
            <w:tcW w:w="1015" w:type="dxa"/>
            <w:tcBorders>
              <w:top w:val="single" w:sz="4" w:space="0" w:color="auto"/>
              <w:left w:val="nil"/>
              <w:bottom w:val="single" w:sz="6" w:space="0" w:color="auto"/>
              <w:right w:val="nil"/>
            </w:tcBorders>
          </w:tcPr>
          <w:p w14:paraId="115D78FE" w14:textId="77777777" w:rsidR="009D6410" w:rsidRPr="005312DE" w:rsidRDefault="009D6410" w:rsidP="008E0221">
            <w:pPr>
              <w:widowControl w:val="0"/>
              <w:autoSpaceDE w:val="0"/>
              <w:autoSpaceDN w:val="0"/>
              <w:adjustRightInd w:val="0"/>
              <w:spacing w:line="240" w:lineRule="auto"/>
              <w:jc w:val="left"/>
              <w:rPr>
                <w:rFonts w:cstheme="minorHAnsi"/>
                <w:b/>
                <w:bCs/>
                <w:sz w:val="20"/>
                <w:szCs w:val="20"/>
                <w:lang w:val="en-US"/>
              </w:rPr>
            </w:pPr>
            <w:r w:rsidRPr="005312DE">
              <w:rPr>
                <w:rFonts w:cstheme="minorHAnsi"/>
                <w:b/>
                <w:bCs/>
                <w:sz w:val="20"/>
                <w:szCs w:val="20"/>
                <w:lang w:val="en-US"/>
              </w:rPr>
              <w:t>(12)</w:t>
            </w:r>
          </w:p>
        </w:tc>
      </w:tr>
      <w:tr w:rsidR="009D6410" w:rsidRPr="007164C4" w14:paraId="39E14B22" w14:textId="77777777" w:rsidTr="008E0221">
        <w:trPr>
          <w:trHeight w:val="274"/>
        </w:trPr>
        <w:tc>
          <w:tcPr>
            <w:tcW w:w="2268" w:type="dxa"/>
            <w:tcBorders>
              <w:top w:val="nil"/>
              <w:left w:val="nil"/>
              <w:bottom w:val="nil"/>
              <w:right w:val="nil"/>
            </w:tcBorders>
          </w:tcPr>
          <w:p w14:paraId="33B82D34"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r w:rsidRPr="007164C4">
              <w:rPr>
                <w:rFonts w:cstheme="minorHAnsi"/>
                <w:sz w:val="20"/>
                <w:szCs w:val="20"/>
                <w:lang w:val="en-US"/>
              </w:rPr>
              <w:t xml:space="preserve">(1) </w:t>
            </w:r>
            <w:proofErr w:type="spellStart"/>
            <w:r w:rsidRPr="007164C4">
              <w:rPr>
                <w:rFonts w:cstheme="minorHAnsi"/>
                <w:sz w:val="20"/>
                <w:szCs w:val="20"/>
                <w:lang w:val="en-US"/>
              </w:rPr>
              <w:t>yield_fd</w:t>
            </w:r>
            <w:proofErr w:type="spellEnd"/>
            <w:r w:rsidRPr="007164C4">
              <w:rPr>
                <w:rFonts w:cstheme="minorHAnsi"/>
                <w:sz w:val="20"/>
                <w:szCs w:val="20"/>
                <w:lang w:val="en-US"/>
              </w:rPr>
              <w:t>_</w:t>
            </w:r>
          </w:p>
        </w:tc>
        <w:tc>
          <w:tcPr>
            <w:tcW w:w="1276" w:type="dxa"/>
            <w:tcBorders>
              <w:top w:val="nil"/>
              <w:left w:val="nil"/>
              <w:bottom w:val="nil"/>
              <w:right w:val="nil"/>
            </w:tcBorders>
          </w:tcPr>
          <w:p w14:paraId="3BAAFF4E"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1.000</w:t>
            </w:r>
          </w:p>
        </w:tc>
        <w:tc>
          <w:tcPr>
            <w:tcW w:w="1095" w:type="dxa"/>
            <w:tcBorders>
              <w:top w:val="nil"/>
              <w:left w:val="nil"/>
              <w:bottom w:val="nil"/>
              <w:right w:val="nil"/>
            </w:tcBorders>
          </w:tcPr>
          <w:p w14:paraId="2A111DE4"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6DB48366"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4121DC83"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4B155C30"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0D7E8C09"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4ACEECA4"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7F593254"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95" w:type="dxa"/>
            <w:tcBorders>
              <w:top w:val="nil"/>
              <w:left w:val="nil"/>
              <w:bottom w:val="nil"/>
              <w:right w:val="nil"/>
            </w:tcBorders>
          </w:tcPr>
          <w:p w14:paraId="1BECD028"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66FA49F3"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2AF3CAB1"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5" w:type="dxa"/>
            <w:tcBorders>
              <w:top w:val="nil"/>
              <w:left w:val="nil"/>
              <w:bottom w:val="nil"/>
              <w:right w:val="nil"/>
            </w:tcBorders>
          </w:tcPr>
          <w:p w14:paraId="65B3B2DA"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r w:rsidR="009D6410" w:rsidRPr="007164C4" w14:paraId="202FC997" w14:textId="77777777" w:rsidTr="008E0221">
        <w:trPr>
          <w:trHeight w:val="136"/>
        </w:trPr>
        <w:tc>
          <w:tcPr>
            <w:tcW w:w="2268" w:type="dxa"/>
            <w:tcBorders>
              <w:top w:val="nil"/>
              <w:left w:val="nil"/>
              <w:bottom w:val="nil"/>
              <w:right w:val="nil"/>
            </w:tcBorders>
          </w:tcPr>
          <w:p w14:paraId="130C2D72"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p>
        </w:tc>
        <w:tc>
          <w:tcPr>
            <w:tcW w:w="1276" w:type="dxa"/>
            <w:tcBorders>
              <w:top w:val="nil"/>
              <w:left w:val="nil"/>
              <w:bottom w:val="nil"/>
              <w:right w:val="nil"/>
            </w:tcBorders>
          </w:tcPr>
          <w:p w14:paraId="55383CF0"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95" w:type="dxa"/>
            <w:tcBorders>
              <w:top w:val="nil"/>
              <w:left w:val="nil"/>
              <w:bottom w:val="nil"/>
              <w:right w:val="nil"/>
            </w:tcBorders>
          </w:tcPr>
          <w:p w14:paraId="6986AAD0"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6E53CF6B"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20491E41"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301A6A1F"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0065FE2F"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63D4F929"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7C677A8D"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95" w:type="dxa"/>
            <w:tcBorders>
              <w:top w:val="nil"/>
              <w:left w:val="nil"/>
              <w:bottom w:val="nil"/>
              <w:right w:val="nil"/>
            </w:tcBorders>
          </w:tcPr>
          <w:p w14:paraId="28D56797"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1DF3C2C8"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2B842B9A"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5" w:type="dxa"/>
            <w:tcBorders>
              <w:top w:val="nil"/>
              <w:left w:val="nil"/>
              <w:bottom w:val="nil"/>
              <w:right w:val="nil"/>
            </w:tcBorders>
          </w:tcPr>
          <w:p w14:paraId="08898E96"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r w:rsidR="009D6410" w:rsidRPr="007164C4" w14:paraId="3E56B82E" w14:textId="77777777" w:rsidTr="008E0221">
        <w:trPr>
          <w:trHeight w:val="266"/>
        </w:trPr>
        <w:tc>
          <w:tcPr>
            <w:tcW w:w="2268" w:type="dxa"/>
            <w:tcBorders>
              <w:top w:val="nil"/>
              <w:left w:val="nil"/>
              <w:bottom w:val="nil"/>
              <w:right w:val="nil"/>
            </w:tcBorders>
          </w:tcPr>
          <w:p w14:paraId="64556910"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r w:rsidRPr="007164C4">
              <w:rPr>
                <w:rFonts w:cstheme="minorHAnsi"/>
                <w:sz w:val="20"/>
                <w:szCs w:val="20"/>
                <w:lang w:val="en-US"/>
              </w:rPr>
              <w:t xml:space="preserve">(2) </w:t>
            </w:r>
            <w:proofErr w:type="spellStart"/>
            <w:r w:rsidRPr="007164C4">
              <w:rPr>
                <w:rFonts w:cstheme="minorHAnsi"/>
                <w:sz w:val="20"/>
                <w:szCs w:val="20"/>
                <w:lang w:val="en-US"/>
              </w:rPr>
              <w:t>dummy_special</w:t>
            </w:r>
            <w:proofErr w:type="spellEnd"/>
          </w:p>
        </w:tc>
        <w:tc>
          <w:tcPr>
            <w:tcW w:w="1276" w:type="dxa"/>
            <w:tcBorders>
              <w:top w:val="nil"/>
              <w:left w:val="nil"/>
              <w:bottom w:val="nil"/>
              <w:right w:val="nil"/>
            </w:tcBorders>
          </w:tcPr>
          <w:p w14:paraId="3BAC886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0.041</w:t>
            </w:r>
          </w:p>
        </w:tc>
        <w:tc>
          <w:tcPr>
            <w:tcW w:w="1095" w:type="dxa"/>
            <w:tcBorders>
              <w:top w:val="nil"/>
              <w:left w:val="nil"/>
              <w:bottom w:val="nil"/>
              <w:right w:val="nil"/>
            </w:tcBorders>
          </w:tcPr>
          <w:p w14:paraId="64F94EA6"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1.000</w:t>
            </w:r>
          </w:p>
        </w:tc>
        <w:tc>
          <w:tcPr>
            <w:tcW w:w="1010" w:type="dxa"/>
            <w:tcBorders>
              <w:top w:val="nil"/>
              <w:left w:val="nil"/>
              <w:bottom w:val="nil"/>
              <w:right w:val="nil"/>
            </w:tcBorders>
          </w:tcPr>
          <w:p w14:paraId="4B4B2CD7"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1E041B9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1EA2F70D"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6CEC71FB"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45DD963B"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60D92C93"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95" w:type="dxa"/>
            <w:tcBorders>
              <w:top w:val="nil"/>
              <w:left w:val="nil"/>
              <w:bottom w:val="nil"/>
              <w:right w:val="nil"/>
            </w:tcBorders>
          </w:tcPr>
          <w:p w14:paraId="068FE6C3"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599474C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2F5090AB"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5" w:type="dxa"/>
            <w:tcBorders>
              <w:top w:val="nil"/>
              <w:left w:val="nil"/>
              <w:bottom w:val="nil"/>
              <w:right w:val="nil"/>
            </w:tcBorders>
          </w:tcPr>
          <w:p w14:paraId="40CAC790"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r w:rsidR="009D6410" w:rsidRPr="007164C4" w14:paraId="7725EC4D" w14:textId="77777777" w:rsidTr="008E0221">
        <w:trPr>
          <w:trHeight w:val="274"/>
        </w:trPr>
        <w:tc>
          <w:tcPr>
            <w:tcW w:w="2268" w:type="dxa"/>
            <w:tcBorders>
              <w:top w:val="nil"/>
              <w:left w:val="nil"/>
              <w:bottom w:val="nil"/>
              <w:right w:val="nil"/>
            </w:tcBorders>
          </w:tcPr>
          <w:p w14:paraId="1FE48086"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p>
        </w:tc>
        <w:tc>
          <w:tcPr>
            <w:tcW w:w="1276" w:type="dxa"/>
            <w:tcBorders>
              <w:top w:val="nil"/>
              <w:left w:val="nil"/>
              <w:bottom w:val="nil"/>
              <w:right w:val="nil"/>
            </w:tcBorders>
          </w:tcPr>
          <w:p w14:paraId="1C2356EB"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(0.001)</w:t>
            </w:r>
          </w:p>
        </w:tc>
        <w:tc>
          <w:tcPr>
            <w:tcW w:w="1095" w:type="dxa"/>
            <w:tcBorders>
              <w:top w:val="nil"/>
              <w:left w:val="nil"/>
              <w:bottom w:val="nil"/>
              <w:right w:val="nil"/>
            </w:tcBorders>
          </w:tcPr>
          <w:p w14:paraId="12CA3EBB"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73D538BD"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55EE9C53"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3DF00B1F"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3CE77E7A"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17EBDC79"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4E75D2BE"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95" w:type="dxa"/>
            <w:tcBorders>
              <w:top w:val="nil"/>
              <w:left w:val="nil"/>
              <w:bottom w:val="nil"/>
              <w:right w:val="nil"/>
            </w:tcBorders>
          </w:tcPr>
          <w:p w14:paraId="19229320"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5E72ECC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79F2199B"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5" w:type="dxa"/>
            <w:tcBorders>
              <w:top w:val="nil"/>
              <w:left w:val="nil"/>
              <w:bottom w:val="nil"/>
              <w:right w:val="nil"/>
            </w:tcBorders>
          </w:tcPr>
          <w:p w14:paraId="57CD398E"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r w:rsidR="009D6410" w:rsidRPr="007164C4" w14:paraId="6AC977F3" w14:textId="77777777" w:rsidTr="008E0221">
        <w:trPr>
          <w:trHeight w:val="274"/>
        </w:trPr>
        <w:tc>
          <w:tcPr>
            <w:tcW w:w="2268" w:type="dxa"/>
            <w:tcBorders>
              <w:top w:val="nil"/>
              <w:left w:val="nil"/>
              <w:bottom w:val="nil"/>
              <w:right w:val="nil"/>
            </w:tcBorders>
          </w:tcPr>
          <w:p w14:paraId="04E73F83"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r w:rsidRPr="007164C4">
              <w:rPr>
                <w:rFonts w:cstheme="minorHAnsi"/>
                <w:sz w:val="20"/>
                <w:szCs w:val="20"/>
                <w:lang w:val="en-US"/>
              </w:rPr>
              <w:t xml:space="preserve">(3) </w:t>
            </w:r>
            <w:proofErr w:type="spellStart"/>
            <w:r w:rsidRPr="007164C4">
              <w:rPr>
                <w:rFonts w:cstheme="minorHAnsi"/>
                <w:sz w:val="20"/>
                <w:szCs w:val="20"/>
                <w:lang w:val="en-US"/>
              </w:rPr>
              <w:t>dummy_special_d</w:t>
            </w:r>
            <w:proofErr w:type="spellEnd"/>
          </w:p>
        </w:tc>
        <w:tc>
          <w:tcPr>
            <w:tcW w:w="1276" w:type="dxa"/>
            <w:tcBorders>
              <w:top w:val="nil"/>
              <w:left w:val="nil"/>
              <w:bottom w:val="nil"/>
              <w:right w:val="nil"/>
            </w:tcBorders>
          </w:tcPr>
          <w:p w14:paraId="367C29AE"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0.012</w:t>
            </w:r>
          </w:p>
        </w:tc>
        <w:tc>
          <w:tcPr>
            <w:tcW w:w="1095" w:type="dxa"/>
            <w:tcBorders>
              <w:top w:val="nil"/>
              <w:left w:val="nil"/>
              <w:bottom w:val="nil"/>
              <w:right w:val="nil"/>
            </w:tcBorders>
          </w:tcPr>
          <w:p w14:paraId="5457CEAD"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-0.012</w:t>
            </w:r>
          </w:p>
        </w:tc>
        <w:tc>
          <w:tcPr>
            <w:tcW w:w="1010" w:type="dxa"/>
            <w:tcBorders>
              <w:top w:val="nil"/>
              <w:left w:val="nil"/>
              <w:bottom w:val="nil"/>
              <w:right w:val="nil"/>
            </w:tcBorders>
          </w:tcPr>
          <w:p w14:paraId="47A0B437"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1.000</w:t>
            </w:r>
          </w:p>
        </w:tc>
        <w:tc>
          <w:tcPr>
            <w:tcW w:w="1010" w:type="dxa"/>
            <w:tcBorders>
              <w:top w:val="nil"/>
              <w:left w:val="nil"/>
              <w:bottom w:val="nil"/>
              <w:right w:val="nil"/>
            </w:tcBorders>
          </w:tcPr>
          <w:p w14:paraId="7B2E74FF"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404B64BB"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27642AC8"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48CA141F"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0B72BE7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95" w:type="dxa"/>
            <w:tcBorders>
              <w:top w:val="nil"/>
              <w:left w:val="nil"/>
              <w:bottom w:val="nil"/>
              <w:right w:val="nil"/>
            </w:tcBorders>
          </w:tcPr>
          <w:p w14:paraId="4C015623"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6A524911"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71C9EE89"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5" w:type="dxa"/>
            <w:tcBorders>
              <w:top w:val="nil"/>
              <w:left w:val="nil"/>
              <w:bottom w:val="nil"/>
              <w:right w:val="nil"/>
            </w:tcBorders>
          </w:tcPr>
          <w:p w14:paraId="6AD0E40B"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r w:rsidR="009D6410" w:rsidRPr="007164C4" w14:paraId="52B238AB" w14:textId="77777777" w:rsidTr="008E0221">
        <w:trPr>
          <w:trHeight w:val="274"/>
        </w:trPr>
        <w:tc>
          <w:tcPr>
            <w:tcW w:w="2268" w:type="dxa"/>
            <w:tcBorders>
              <w:top w:val="nil"/>
              <w:left w:val="nil"/>
              <w:bottom w:val="nil"/>
              <w:right w:val="nil"/>
            </w:tcBorders>
          </w:tcPr>
          <w:p w14:paraId="4E0B8C27"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p>
        </w:tc>
        <w:tc>
          <w:tcPr>
            <w:tcW w:w="1276" w:type="dxa"/>
            <w:tcBorders>
              <w:top w:val="nil"/>
              <w:left w:val="nil"/>
              <w:bottom w:val="nil"/>
              <w:right w:val="nil"/>
            </w:tcBorders>
          </w:tcPr>
          <w:p w14:paraId="2C0C9D2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(0.309)</w:t>
            </w:r>
          </w:p>
        </w:tc>
        <w:tc>
          <w:tcPr>
            <w:tcW w:w="1095" w:type="dxa"/>
            <w:tcBorders>
              <w:top w:val="nil"/>
              <w:left w:val="nil"/>
              <w:bottom w:val="nil"/>
              <w:right w:val="nil"/>
            </w:tcBorders>
          </w:tcPr>
          <w:p w14:paraId="7AF55A4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(0.333)</w:t>
            </w:r>
          </w:p>
        </w:tc>
        <w:tc>
          <w:tcPr>
            <w:tcW w:w="1010" w:type="dxa"/>
            <w:tcBorders>
              <w:top w:val="nil"/>
              <w:left w:val="nil"/>
              <w:bottom w:val="nil"/>
              <w:right w:val="nil"/>
            </w:tcBorders>
          </w:tcPr>
          <w:p w14:paraId="3195145C"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3F3ADAAC"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4FE3DCBD"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739819D8"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2D2475D8"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6AC9BB67"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95" w:type="dxa"/>
            <w:tcBorders>
              <w:top w:val="nil"/>
              <w:left w:val="nil"/>
              <w:bottom w:val="nil"/>
              <w:right w:val="nil"/>
            </w:tcBorders>
          </w:tcPr>
          <w:p w14:paraId="582759C0"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78AAF3FD"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515F1790"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5" w:type="dxa"/>
            <w:tcBorders>
              <w:top w:val="nil"/>
              <w:left w:val="nil"/>
              <w:bottom w:val="nil"/>
              <w:right w:val="nil"/>
            </w:tcBorders>
          </w:tcPr>
          <w:p w14:paraId="4817C37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r w:rsidR="009D6410" w:rsidRPr="007164C4" w14:paraId="1DEDE74E" w14:textId="77777777" w:rsidTr="008E0221">
        <w:trPr>
          <w:trHeight w:val="80"/>
        </w:trPr>
        <w:tc>
          <w:tcPr>
            <w:tcW w:w="2268" w:type="dxa"/>
            <w:tcBorders>
              <w:top w:val="nil"/>
              <w:left w:val="nil"/>
              <w:bottom w:val="nil"/>
              <w:right w:val="nil"/>
            </w:tcBorders>
          </w:tcPr>
          <w:p w14:paraId="1A34D7CF"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r w:rsidRPr="007164C4">
              <w:rPr>
                <w:rFonts w:cstheme="minorHAnsi"/>
                <w:sz w:val="20"/>
                <w:szCs w:val="20"/>
                <w:lang w:val="en-US"/>
              </w:rPr>
              <w:t>(4) dummy_special_d2</w:t>
            </w:r>
          </w:p>
        </w:tc>
        <w:tc>
          <w:tcPr>
            <w:tcW w:w="1276" w:type="dxa"/>
            <w:tcBorders>
              <w:top w:val="nil"/>
              <w:left w:val="nil"/>
              <w:bottom w:val="nil"/>
              <w:right w:val="nil"/>
            </w:tcBorders>
          </w:tcPr>
          <w:p w14:paraId="7847D1F3"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0.006</w:t>
            </w:r>
          </w:p>
        </w:tc>
        <w:tc>
          <w:tcPr>
            <w:tcW w:w="1095" w:type="dxa"/>
            <w:tcBorders>
              <w:top w:val="nil"/>
              <w:left w:val="nil"/>
              <w:bottom w:val="nil"/>
              <w:right w:val="nil"/>
            </w:tcBorders>
          </w:tcPr>
          <w:p w14:paraId="764E487E"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0.115</w:t>
            </w:r>
          </w:p>
        </w:tc>
        <w:tc>
          <w:tcPr>
            <w:tcW w:w="1010" w:type="dxa"/>
            <w:tcBorders>
              <w:top w:val="nil"/>
              <w:left w:val="nil"/>
              <w:bottom w:val="nil"/>
              <w:right w:val="nil"/>
            </w:tcBorders>
          </w:tcPr>
          <w:p w14:paraId="343FF54C"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-0.012</w:t>
            </w:r>
          </w:p>
        </w:tc>
        <w:tc>
          <w:tcPr>
            <w:tcW w:w="1010" w:type="dxa"/>
            <w:tcBorders>
              <w:top w:val="nil"/>
              <w:left w:val="nil"/>
              <w:bottom w:val="nil"/>
              <w:right w:val="nil"/>
            </w:tcBorders>
          </w:tcPr>
          <w:p w14:paraId="14B23144"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1.000</w:t>
            </w:r>
          </w:p>
        </w:tc>
        <w:tc>
          <w:tcPr>
            <w:tcW w:w="1010" w:type="dxa"/>
            <w:tcBorders>
              <w:top w:val="nil"/>
              <w:left w:val="nil"/>
              <w:bottom w:val="nil"/>
              <w:right w:val="nil"/>
            </w:tcBorders>
          </w:tcPr>
          <w:p w14:paraId="1318AA37"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3446AF69"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16C4282A"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7E457EA3"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95" w:type="dxa"/>
            <w:tcBorders>
              <w:top w:val="nil"/>
              <w:left w:val="nil"/>
              <w:bottom w:val="nil"/>
              <w:right w:val="nil"/>
            </w:tcBorders>
          </w:tcPr>
          <w:p w14:paraId="4B1839F0"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7B737670"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1793A71E"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5" w:type="dxa"/>
            <w:tcBorders>
              <w:top w:val="nil"/>
              <w:left w:val="nil"/>
              <w:bottom w:val="nil"/>
              <w:right w:val="nil"/>
            </w:tcBorders>
          </w:tcPr>
          <w:p w14:paraId="167EEA44"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r w:rsidR="009D6410" w:rsidRPr="007164C4" w14:paraId="39474E85" w14:textId="77777777" w:rsidTr="008E0221">
        <w:trPr>
          <w:trHeight w:val="274"/>
        </w:trPr>
        <w:tc>
          <w:tcPr>
            <w:tcW w:w="2268" w:type="dxa"/>
            <w:tcBorders>
              <w:top w:val="nil"/>
              <w:left w:val="nil"/>
              <w:bottom w:val="nil"/>
              <w:right w:val="nil"/>
            </w:tcBorders>
          </w:tcPr>
          <w:p w14:paraId="4ACF6271"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p>
        </w:tc>
        <w:tc>
          <w:tcPr>
            <w:tcW w:w="1276" w:type="dxa"/>
            <w:tcBorders>
              <w:top w:val="nil"/>
              <w:left w:val="nil"/>
              <w:bottom w:val="nil"/>
              <w:right w:val="nil"/>
            </w:tcBorders>
          </w:tcPr>
          <w:p w14:paraId="1100715B"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(0.646)</w:t>
            </w:r>
          </w:p>
        </w:tc>
        <w:tc>
          <w:tcPr>
            <w:tcW w:w="1095" w:type="dxa"/>
            <w:tcBorders>
              <w:top w:val="nil"/>
              <w:left w:val="nil"/>
              <w:bottom w:val="nil"/>
              <w:right w:val="nil"/>
            </w:tcBorders>
          </w:tcPr>
          <w:p w14:paraId="59095D8A"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57565AC9"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(0.333)</w:t>
            </w:r>
          </w:p>
        </w:tc>
        <w:tc>
          <w:tcPr>
            <w:tcW w:w="1010" w:type="dxa"/>
            <w:tcBorders>
              <w:top w:val="nil"/>
              <w:left w:val="nil"/>
              <w:bottom w:val="nil"/>
              <w:right w:val="nil"/>
            </w:tcBorders>
          </w:tcPr>
          <w:p w14:paraId="26E5C130"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5731250E"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13676307"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004ECE53"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6A4E0444"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95" w:type="dxa"/>
            <w:tcBorders>
              <w:top w:val="nil"/>
              <w:left w:val="nil"/>
              <w:bottom w:val="nil"/>
              <w:right w:val="nil"/>
            </w:tcBorders>
          </w:tcPr>
          <w:p w14:paraId="4E0694CC"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6D873424"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76E847B4"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5" w:type="dxa"/>
            <w:tcBorders>
              <w:top w:val="nil"/>
              <w:left w:val="nil"/>
              <w:bottom w:val="nil"/>
              <w:right w:val="nil"/>
            </w:tcBorders>
          </w:tcPr>
          <w:p w14:paraId="4813C3B2"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r w:rsidR="009D6410" w:rsidRPr="007164C4" w14:paraId="001B29D2" w14:textId="77777777" w:rsidTr="008E0221">
        <w:trPr>
          <w:trHeight w:val="274"/>
        </w:trPr>
        <w:tc>
          <w:tcPr>
            <w:tcW w:w="2268" w:type="dxa"/>
            <w:tcBorders>
              <w:top w:val="nil"/>
              <w:left w:val="nil"/>
              <w:bottom w:val="nil"/>
              <w:right w:val="nil"/>
            </w:tcBorders>
          </w:tcPr>
          <w:p w14:paraId="7F9C0966"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r w:rsidRPr="007164C4">
              <w:rPr>
                <w:rFonts w:cstheme="minorHAnsi"/>
                <w:sz w:val="20"/>
                <w:szCs w:val="20"/>
                <w:lang w:val="en-US"/>
              </w:rPr>
              <w:t xml:space="preserve">(5) </w:t>
            </w:r>
            <w:proofErr w:type="spellStart"/>
            <w:r w:rsidRPr="007164C4">
              <w:rPr>
                <w:rFonts w:cstheme="minorHAnsi"/>
                <w:sz w:val="20"/>
                <w:szCs w:val="20"/>
                <w:lang w:val="en-US"/>
              </w:rPr>
              <w:t>lag_yield_fd</w:t>
            </w:r>
            <w:proofErr w:type="spellEnd"/>
            <w:r w:rsidRPr="007164C4">
              <w:rPr>
                <w:rFonts w:cstheme="minorHAnsi"/>
                <w:sz w:val="20"/>
                <w:szCs w:val="20"/>
                <w:lang w:val="en-US"/>
              </w:rPr>
              <w:t>_</w:t>
            </w:r>
          </w:p>
        </w:tc>
        <w:tc>
          <w:tcPr>
            <w:tcW w:w="1276" w:type="dxa"/>
            <w:tcBorders>
              <w:top w:val="nil"/>
              <w:left w:val="nil"/>
              <w:bottom w:val="nil"/>
              <w:right w:val="nil"/>
            </w:tcBorders>
          </w:tcPr>
          <w:p w14:paraId="20217A07"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0.089</w:t>
            </w:r>
          </w:p>
        </w:tc>
        <w:tc>
          <w:tcPr>
            <w:tcW w:w="1095" w:type="dxa"/>
            <w:tcBorders>
              <w:top w:val="nil"/>
              <w:left w:val="nil"/>
              <w:bottom w:val="nil"/>
              <w:right w:val="nil"/>
            </w:tcBorders>
          </w:tcPr>
          <w:p w14:paraId="3F532EA4"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-0.030</w:t>
            </w:r>
          </w:p>
        </w:tc>
        <w:tc>
          <w:tcPr>
            <w:tcW w:w="1010" w:type="dxa"/>
            <w:tcBorders>
              <w:top w:val="nil"/>
              <w:left w:val="nil"/>
              <w:bottom w:val="nil"/>
              <w:right w:val="nil"/>
            </w:tcBorders>
          </w:tcPr>
          <w:p w14:paraId="75312A1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0.041</w:t>
            </w:r>
          </w:p>
        </w:tc>
        <w:tc>
          <w:tcPr>
            <w:tcW w:w="1010" w:type="dxa"/>
            <w:tcBorders>
              <w:top w:val="nil"/>
              <w:left w:val="nil"/>
              <w:bottom w:val="nil"/>
              <w:right w:val="nil"/>
            </w:tcBorders>
          </w:tcPr>
          <w:p w14:paraId="7A286608"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0.012</w:t>
            </w:r>
          </w:p>
        </w:tc>
        <w:tc>
          <w:tcPr>
            <w:tcW w:w="1010" w:type="dxa"/>
            <w:tcBorders>
              <w:top w:val="nil"/>
              <w:left w:val="nil"/>
              <w:bottom w:val="nil"/>
              <w:right w:val="nil"/>
            </w:tcBorders>
          </w:tcPr>
          <w:p w14:paraId="7ADF2B3A"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1.000</w:t>
            </w:r>
          </w:p>
        </w:tc>
        <w:tc>
          <w:tcPr>
            <w:tcW w:w="1010" w:type="dxa"/>
            <w:tcBorders>
              <w:top w:val="nil"/>
              <w:left w:val="nil"/>
              <w:bottom w:val="nil"/>
              <w:right w:val="nil"/>
            </w:tcBorders>
          </w:tcPr>
          <w:p w14:paraId="5E8A46AE"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79C66FBA"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4CB92FB3"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95" w:type="dxa"/>
            <w:tcBorders>
              <w:top w:val="nil"/>
              <w:left w:val="nil"/>
              <w:bottom w:val="nil"/>
              <w:right w:val="nil"/>
            </w:tcBorders>
          </w:tcPr>
          <w:p w14:paraId="7767CD0D"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6432628F"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7BFBE51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5" w:type="dxa"/>
            <w:tcBorders>
              <w:top w:val="nil"/>
              <w:left w:val="nil"/>
              <w:bottom w:val="nil"/>
              <w:right w:val="nil"/>
            </w:tcBorders>
          </w:tcPr>
          <w:p w14:paraId="09904E5E"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r w:rsidR="009D6410" w:rsidRPr="007164C4" w14:paraId="3816D672" w14:textId="77777777" w:rsidTr="008E0221">
        <w:trPr>
          <w:trHeight w:val="266"/>
        </w:trPr>
        <w:tc>
          <w:tcPr>
            <w:tcW w:w="2268" w:type="dxa"/>
            <w:tcBorders>
              <w:top w:val="nil"/>
              <w:left w:val="nil"/>
              <w:bottom w:val="nil"/>
              <w:right w:val="nil"/>
            </w:tcBorders>
          </w:tcPr>
          <w:p w14:paraId="2D1FFD36"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p>
        </w:tc>
        <w:tc>
          <w:tcPr>
            <w:tcW w:w="1276" w:type="dxa"/>
            <w:tcBorders>
              <w:top w:val="nil"/>
              <w:left w:val="nil"/>
              <w:bottom w:val="nil"/>
              <w:right w:val="nil"/>
            </w:tcBorders>
          </w:tcPr>
          <w:p w14:paraId="3F41C2A1"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95" w:type="dxa"/>
            <w:tcBorders>
              <w:top w:val="nil"/>
              <w:left w:val="nil"/>
              <w:bottom w:val="nil"/>
              <w:right w:val="nil"/>
            </w:tcBorders>
          </w:tcPr>
          <w:p w14:paraId="58D483B0"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(0.013)</w:t>
            </w:r>
          </w:p>
        </w:tc>
        <w:tc>
          <w:tcPr>
            <w:tcW w:w="1010" w:type="dxa"/>
            <w:tcBorders>
              <w:top w:val="nil"/>
              <w:left w:val="nil"/>
              <w:bottom w:val="nil"/>
              <w:right w:val="nil"/>
            </w:tcBorders>
          </w:tcPr>
          <w:p w14:paraId="6BCCD1AC"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(0.001)</w:t>
            </w:r>
          </w:p>
        </w:tc>
        <w:tc>
          <w:tcPr>
            <w:tcW w:w="1010" w:type="dxa"/>
            <w:tcBorders>
              <w:top w:val="nil"/>
              <w:left w:val="nil"/>
              <w:bottom w:val="nil"/>
              <w:right w:val="nil"/>
            </w:tcBorders>
          </w:tcPr>
          <w:p w14:paraId="2B94B26A"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(0.311)</w:t>
            </w:r>
          </w:p>
        </w:tc>
        <w:tc>
          <w:tcPr>
            <w:tcW w:w="1010" w:type="dxa"/>
            <w:tcBorders>
              <w:top w:val="nil"/>
              <w:left w:val="nil"/>
              <w:bottom w:val="nil"/>
              <w:right w:val="nil"/>
            </w:tcBorders>
          </w:tcPr>
          <w:p w14:paraId="028D5AF6"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03E749AA"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5B01BE5F"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6CF13B82"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95" w:type="dxa"/>
            <w:tcBorders>
              <w:top w:val="nil"/>
              <w:left w:val="nil"/>
              <w:bottom w:val="nil"/>
              <w:right w:val="nil"/>
            </w:tcBorders>
          </w:tcPr>
          <w:p w14:paraId="7D84E88D"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6EDA7303"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4D7B3BCA"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5" w:type="dxa"/>
            <w:tcBorders>
              <w:top w:val="nil"/>
              <w:left w:val="nil"/>
              <w:bottom w:val="nil"/>
              <w:right w:val="nil"/>
            </w:tcBorders>
          </w:tcPr>
          <w:p w14:paraId="0BB19E69"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r w:rsidR="009D6410" w:rsidRPr="007164C4" w14:paraId="274795E5" w14:textId="77777777" w:rsidTr="008E0221">
        <w:trPr>
          <w:trHeight w:val="274"/>
        </w:trPr>
        <w:tc>
          <w:tcPr>
            <w:tcW w:w="2268" w:type="dxa"/>
            <w:tcBorders>
              <w:top w:val="nil"/>
              <w:left w:val="nil"/>
              <w:bottom w:val="nil"/>
              <w:right w:val="nil"/>
            </w:tcBorders>
          </w:tcPr>
          <w:p w14:paraId="5F2DA502"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r w:rsidRPr="007164C4">
              <w:rPr>
                <w:rFonts w:cstheme="minorHAnsi"/>
                <w:sz w:val="20"/>
                <w:szCs w:val="20"/>
                <w:lang w:val="en-US"/>
              </w:rPr>
              <w:t xml:space="preserve">(6) </w:t>
            </w:r>
            <w:proofErr w:type="spellStart"/>
            <w:r w:rsidRPr="007164C4">
              <w:rPr>
                <w:rFonts w:cstheme="minorHAnsi"/>
                <w:sz w:val="20"/>
                <w:szCs w:val="20"/>
                <w:lang w:val="en-US"/>
              </w:rPr>
              <w:t>stock_fd</w:t>
            </w:r>
            <w:proofErr w:type="spellEnd"/>
            <w:r w:rsidRPr="007164C4">
              <w:rPr>
                <w:rFonts w:cstheme="minorHAnsi"/>
                <w:sz w:val="20"/>
                <w:szCs w:val="20"/>
                <w:lang w:val="en-US"/>
              </w:rPr>
              <w:t>_</w:t>
            </w:r>
          </w:p>
        </w:tc>
        <w:tc>
          <w:tcPr>
            <w:tcW w:w="1276" w:type="dxa"/>
            <w:tcBorders>
              <w:top w:val="nil"/>
              <w:left w:val="nil"/>
              <w:bottom w:val="nil"/>
              <w:right w:val="nil"/>
            </w:tcBorders>
          </w:tcPr>
          <w:p w14:paraId="75203682"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-0.082</w:t>
            </w:r>
          </w:p>
        </w:tc>
        <w:tc>
          <w:tcPr>
            <w:tcW w:w="1095" w:type="dxa"/>
            <w:tcBorders>
              <w:top w:val="nil"/>
              <w:left w:val="nil"/>
              <w:bottom w:val="nil"/>
              <w:right w:val="nil"/>
            </w:tcBorders>
          </w:tcPr>
          <w:p w14:paraId="6FD811EF"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-0.081</w:t>
            </w:r>
          </w:p>
        </w:tc>
        <w:tc>
          <w:tcPr>
            <w:tcW w:w="1010" w:type="dxa"/>
            <w:tcBorders>
              <w:top w:val="nil"/>
              <w:left w:val="nil"/>
              <w:bottom w:val="nil"/>
              <w:right w:val="nil"/>
            </w:tcBorders>
          </w:tcPr>
          <w:p w14:paraId="4F34EFA4"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0.018</w:t>
            </w:r>
          </w:p>
        </w:tc>
        <w:tc>
          <w:tcPr>
            <w:tcW w:w="1010" w:type="dxa"/>
            <w:tcBorders>
              <w:top w:val="nil"/>
              <w:left w:val="nil"/>
              <w:bottom w:val="nil"/>
              <w:right w:val="nil"/>
            </w:tcBorders>
          </w:tcPr>
          <w:p w14:paraId="3CDA3D1F"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0.022</w:t>
            </w:r>
          </w:p>
        </w:tc>
        <w:tc>
          <w:tcPr>
            <w:tcW w:w="1010" w:type="dxa"/>
            <w:tcBorders>
              <w:top w:val="nil"/>
              <w:left w:val="nil"/>
              <w:bottom w:val="nil"/>
              <w:right w:val="nil"/>
            </w:tcBorders>
          </w:tcPr>
          <w:p w14:paraId="1B67A03C"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-0.035</w:t>
            </w:r>
          </w:p>
        </w:tc>
        <w:tc>
          <w:tcPr>
            <w:tcW w:w="1010" w:type="dxa"/>
            <w:tcBorders>
              <w:top w:val="nil"/>
              <w:left w:val="nil"/>
              <w:bottom w:val="nil"/>
              <w:right w:val="nil"/>
            </w:tcBorders>
          </w:tcPr>
          <w:p w14:paraId="717AECB2"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1.000</w:t>
            </w:r>
          </w:p>
        </w:tc>
        <w:tc>
          <w:tcPr>
            <w:tcW w:w="1010" w:type="dxa"/>
            <w:tcBorders>
              <w:top w:val="nil"/>
              <w:left w:val="nil"/>
              <w:bottom w:val="nil"/>
              <w:right w:val="nil"/>
            </w:tcBorders>
          </w:tcPr>
          <w:p w14:paraId="13D74CC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45A8EED1"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95" w:type="dxa"/>
            <w:tcBorders>
              <w:top w:val="nil"/>
              <w:left w:val="nil"/>
              <w:bottom w:val="nil"/>
              <w:right w:val="nil"/>
            </w:tcBorders>
          </w:tcPr>
          <w:p w14:paraId="7CDEAC2D"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05803BE7"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2386C2A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5" w:type="dxa"/>
            <w:tcBorders>
              <w:top w:val="nil"/>
              <w:left w:val="nil"/>
              <w:bottom w:val="nil"/>
              <w:right w:val="nil"/>
            </w:tcBorders>
          </w:tcPr>
          <w:p w14:paraId="03E5F07D"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r w:rsidR="009D6410" w:rsidRPr="007164C4" w14:paraId="2F5A3FFC" w14:textId="77777777" w:rsidTr="008E0221">
        <w:trPr>
          <w:trHeight w:val="274"/>
        </w:trPr>
        <w:tc>
          <w:tcPr>
            <w:tcW w:w="2268" w:type="dxa"/>
            <w:tcBorders>
              <w:top w:val="nil"/>
              <w:left w:val="nil"/>
              <w:bottom w:val="nil"/>
              <w:right w:val="nil"/>
            </w:tcBorders>
          </w:tcPr>
          <w:p w14:paraId="004E4BA9"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p>
        </w:tc>
        <w:tc>
          <w:tcPr>
            <w:tcW w:w="1276" w:type="dxa"/>
            <w:tcBorders>
              <w:top w:val="nil"/>
              <w:left w:val="nil"/>
              <w:bottom w:val="nil"/>
              <w:right w:val="nil"/>
            </w:tcBorders>
          </w:tcPr>
          <w:p w14:paraId="56B94139"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95" w:type="dxa"/>
            <w:tcBorders>
              <w:top w:val="nil"/>
              <w:left w:val="nil"/>
              <w:bottom w:val="nil"/>
              <w:right w:val="nil"/>
            </w:tcBorders>
          </w:tcPr>
          <w:p w14:paraId="1C0815B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7D357520"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(0.123)</w:t>
            </w:r>
          </w:p>
        </w:tc>
        <w:tc>
          <w:tcPr>
            <w:tcW w:w="1010" w:type="dxa"/>
            <w:tcBorders>
              <w:top w:val="nil"/>
              <w:left w:val="nil"/>
              <w:bottom w:val="nil"/>
              <w:right w:val="nil"/>
            </w:tcBorders>
          </w:tcPr>
          <w:p w14:paraId="06DB4B8F"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(0.063)</w:t>
            </w:r>
          </w:p>
        </w:tc>
        <w:tc>
          <w:tcPr>
            <w:tcW w:w="1010" w:type="dxa"/>
            <w:tcBorders>
              <w:top w:val="nil"/>
              <w:left w:val="nil"/>
              <w:bottom w:val="nil"/>
              <w:right w:val="nil"/>
            </w:tcBorders>
          </w:tcPr>
          <w:p w14:paraId="25EE550A"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(0.004)</w:t>
            </w:r>
          </w:p>
        </w:tc>
        <w:tc>
          <w:tcPr>
            <w:tcW w:w="1010" w:type="dxa"/>
            <w:tcBorders>
              <w:top w:val="nil"/>
              <w:left w:val="nil"/>
              <w:bottom w:val="nil"/>
              <w:right w:val="nil"/>
            </w:tcBorders>
          </w:tcPr>
          <w:p w14:paraId="43411AED"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33B2DC13"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6FB1A6E8"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95" w:type="dxa"/>
            <w:tcBorders>
              <w:top w:val="nil"/>
              <w:left w:val="nil"/>
              <w:bottom w:val="nil"/>
              <w:right w:val="nil"/>
            </w:tcBorders>
          </w:tcPr>
          <w:p w14:paraId="0D5D029A"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44398C36"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6EC4CB48"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5" w:type="dxa"/>
            <w:tcBorders>
              <w:top w:val="nil"/>
              <w:left w:val="nil"/>
              <w:bottom w:val="nil"/>
              <w:right w:val="nil"/>
            </w:tcBorders>
          </w:tcPr>
          <w:p w14:paraId="0EB776EE"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r w:rsidR="009D6410" w:rsidRPr="007164C4" w14:paraId="19109C21" w14:textId="77777777" w:rsidTr="008E0221">
        <w:trPr>
          <w:trHeight w:val="274"/>
        </w:trPr>
        <w:tc>
          <w:tcPr>
            <w:tcW w:w="2268" w:type="dxa"/>
            <w:tcBorders>
              <w:top w:val="nil"/>
              <w:left w:val="nil"/>
              <w:bottom w:val="nil"/>
              <w:right w:val="nil"/>
            </w:tcBorders>
          </w:tcPr>
          <w:p w14:paraId="345570E0"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r w:rsidRPr="007164C4">
              <w:rPr>
                <w:rFonts w:cstheme="minorHAnsi"/>
                <w:sz w:val="20"/>
                <w:szCs w:val="20"/>
                <w:lang w:val="en-US"/>
              </w:rPr>
              <w:t xml:space="preserve">(7) </w:t>
            </w:r>
            <w:proofErr w:type="spellStart"/>
            <w:r w:rsidRPr="007164C4">
              <w:rPr>
                <w:rFonts w:cstheme="minorHAnsi"/>
                <w:sz w:val="20"/>
                <w:szCs w:val="20"/>
                <w:lang w:val="en-US"/>
              </w:rPr>
              <w:t>vstoxx_fd</w:t>
            </w:r>
            <w:proofErr w:type="spellEnd"/>
          </w:p>
        </w:tc>
        <w:tc>
          <w:tcPr>
            <w:tcW w:w="1276" w:type="dxa"/>
            <w:tcBorders>
              <w:top w:val="nil"/>
              <w:left w:val="nil"/>
              <w:bottom w:val="nil"/>
              <w:right w:val="nil"/>
            </w:tcBorders>
          </w:tcPr>
          <w:p w14:paraId="4CD82268"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0.030</w:t>
            </w:r>
          </w:p>
        </w:tc>
        <w:tc>
          <w:tcPr>
            <w:tcW w:w="1095" w:type="dxa"/>
            <w:tcBorders>
              <w:top w:val="nil"/>
              <w:left w:val="nil"/>
              <w:bottom w:val="nil"/>
              <w:right w:val="nil"/>
            </w:tcBorders>
          </w:tcPr>
          <w:p w14:paraId="1AACD23D"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0.119</w:t>
            </w:r>
          </w:p>
        </w:tc>
        <w:tc>
          <w:tcPr>
            <w:tcW w:w="1010" w:type="dxa"/>
            <w:tcBorders>
              <w:top w:val="nil"/>
              <w:left w:val="nil"/>
              <w:bottom w:val="nil"/>
              <w:right w:val="nil"/>
            </w:tcBorders>
          </w:tcPr>
          <w:p w14:paraId="730A3B8F"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-0.028</w:t>
            </w:r>
          </w:p>
        </w:tc>
        <w:tc>
          <w:tcPr>
            <w:tcW w:w="1010" w:type="dxa"/>
            <w:tcBorders>
              <w:top w:val="nil"/>
              <w:left w:val="nil"/>
              <w:bottom w:val="nil"/>
              <w:right w:val="nil"/>
            </w:tcBorders>
          </w:tcPr>
          <w:p w14:paraId="6A9BCF23"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-0.043</w:t>
            </w:r>
          </w:p>
        </w:tc>
        <w:tc>
          <w:tcPr>
            <w:tcW w:w="1010" w:type="dxa"/>
            <w:tcBorders>
              <w:top w:val="nil"/>
              <w:left w:val="nil"/>
              <w:bottom w:val="nil"/>
              <w:right w:val="nil"/>
            </w:tcBorders>
          </w:tcPr>
          <w:p w14:paraId="76666B0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0.070</w:t>
            </w:r>
          </w:p>
        </w:tc>
        <w:tc>
          <w:tcPr>
            <w:tcW w:w="1010" w:type="dxa"/>
            <w:tcBorders>
              <w:top w:val="nil"/>
              <w:left w:val="nil"/>
              <w:bottom w:val="nil"/>
              <w:right w:val="nil"/>
            </w:tcBorders>
          </w:tcPr>
          <w:p w14:paraId="5224A1F1"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-0.589</w:t>
            </w:r>
          </w:p>
        </w:tc>
        <w:tc>
          <w:tcPr>
            <w:tcW w:w="1010" w:type="dxa"/>
            <w:tcBorders>
              <w:top w:val="nil"/>
              <w:left w:val="nil"/>
              <w:bottom w:val="nil"/>
              <w:right w:val="nil"/>
            </w:tcBorders>
          </w:tcPr>
          <w:p w14:paraId="62656F98"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1.000</w:t>
            </w:r>
          </w:p>
        </w:tc>
        <w:tc>
          <w:tcPr>
            <w:tcW w:w="1010" w:type="dxa"/>
            <w:tcBorders>
              <w:top w:val="nil"/>
              <w:left w:val="nil"/>
              <w:bottom w:val="nil"/>
              <w:right w:val="nil"/>
            </w:tcBorders>
          </w:tcPr>
          <w:p w14:paraId="6876FA46"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95" w:type="dxa"/>
            <w:tcBorders>
              <w:top w:val="nil"/>
              <w:left w:val="nil"/>
              <w:bottom w:val="nil"/>
              <w:right w:val="nil"/>
            </w:tcBorders>
          </w:tcPr>
          <w:p w14:paraId="376C4A63"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506E9493"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3D46B8B9"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5" w:type="dxa"/>
            <w:tcBorders>
              <w:top w:val="nil"/>
              <w:left w:val="nil"/>
              <w:bottom w:val="nil"/>
              <w:right w:val="nil"/>
            </w:tcBorders>
          </w:tcPr>
          <w:p w14:paraId="5D296B92"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r w:rsidR="009D6410" w:rsidRPr="007164C4" w14:paraId="6D3C8D73" w14:textId="77777777" w:rsidTr="008E0221">
        <w:trPr>
          <w:trHeight w:val="274"/>
        </w:trPr>
        <w:tc>
          <w:tcPr>
            <w:tcW w:w="2268" w:type="dxa"/>
            <w:tcBorders>
              <w:top w:val="nil"/>
              <w:left w:val="nil"/>
              <w:bottom w:val="nil"/>
              <w:right w:val="nil"/>
            </w:tcBorders>
          </w:tcPr>
          <w:p w14:paraId="2D425A88"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p>
        </w:tc>
        <w:tc>
          <w:tcPr>
            <w:tcW w:w="1276" w:type="dxa"/>
            <w:tcBorders>
              <w:top w:val="nil"/>
              <w:left w:val="nil"/>
              <w:bottom w:val="nil"/>
              <w:right w:val="nil"/>
            </w:tcBorders>
          </w:tcPr>
          <w:p w14:paraId="6597E440"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(0.012)</w:t>
            </w:r>
          </w:p>
        </w:tc>
        <w:tc>
          <w:tcPr>
            <w:tcW w:w="1095" w:type="dxa"/>
            <w:tcBorders>
              <w:top w:val="nil"/>
              <w:left w:val="nil"/>
              <w:bottom w:val="nil"/>
              <w:right w:val="nil"/>
            </w:tcBorders>
          </w:tcPr>
          <w:p w14:paraId="0F1C6B1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5044B37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(0.019)</w:t>
            </w:r>
          </w:p>
        </w:tc>
        <w:tc>
          <w:tcPr>
            <w:tcW w:w="1010" w:type="dxa"/>
            <w:tcBorders>
              <w:top w:val="nil"/>
              <w:left w:val="nil"/>
              <w:bottom w:val="nil"/>
              <w:right w:val="nil"/>
            </w:tcBorders>
          </w:tcPr>
          <w:p w14:paraId="76A57D7F"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45CC63DA"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4D1F7FA1"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4C7030BC"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070A6FB2"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95" w:type="dxa"/>
            <w:tcBorders>
              <w:top w:val="nil"/>
              <w:left w:val="nil"/>
              <w:bottom w:val="nil"/>
              <w:right w:val="nil"/>
            </w:tcBorders>
          </w:tcPr>
          <w:p w14:paraId="366BB982"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5DB892C1"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0CE2F0D9"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5" w:type="dxa"/>
            <w:tcBorders>
              <w:top w:val="nil"/>
              <w:left w:val="nil"/>
              <w:bottom w:val="nil"/>
              <w:right w:val="nil"/>
            </w:tcBorders>
          </w:tcPr>
          <w:p w14:paraId="793E7C89"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r w:rsidR="009D6410" w:rsidRPr="007164C4" w14:paraId="0ECAF637" w14:textId="77777777" w:rsidTr="008E0221">
        <w:trPr>
          <w:trHeight w:val="274"/>
        </w:trPr>
        <w:tc>
          <w:tcPr>
            <w:tcW w:w="2268" w:type="dxa"/>
            <w:tcBorders>
              <w:top w:val="nil"/>
              <w:left w:val="nil"/>
              <w:bottom w:val="nil"/>
              <w:right w:val="nil"/>
            </w:tcBorders>
          </w:tcPr>
          <w:p w14:paraId="470B7461"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r w:rsidRPr="007164C4">
              <w:rPr>
                <w:rFonts w:cstheme="minorHAnsi"/>
                <w:sz w:val="20"/>
                <w:szCs w:val="20"/>
                <w:lang w:val="en-US"/>
              </w:rPr>
              <w:t xml:space="preserve">(8) </w:t>
            </w:r>
            <w:proofErr w:type="spellStart"/>
            <w:r w:rsidRPr="007164C4">
              <w:rPr>
                <w:rFonts w:cstheme="minorHAnsi"/>
                <w:sz w:val="20"/>
                <w:szCs w:val="20"/>
                <w:lang w:val="en-US"/>
              </w:rPr>
              <w:t>itraxx_n_fd</w:t>
            </w:r>
            <w:proofErr w:type="spellEnd"/>
          </w:p>
        </w:tc>
        <w:tc>
          <w:tcPr>
            <w:tcW w:w="1276" w:type="dxa"/>
            <w:tcBorders>
              <w:top w:val="nil"/>
              <w:left w:val="nil"/>
              <w:bottom w:val="nil"/>
              <w:right w:val="nil"/>
            </w:tcBorders>
          </w:tcPr>
          <w:p w14:paraId="1D7C93F8"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0.126</w:t>
            </w:r>
          </w:p>
        </w:tc>
        <w:tc>
          <w:tcPr>
            <w:tcW w:w="1095" w:type="dxa"/>
            <w:tcBorders>
              <w:top w:val="nil"/>
              <w:left w:val="nil"/>
              <w:bottom w:val="nil"/>
              <w:right w:val="nil"/>
            </w:tcBorders>
          </w:tcPr>
          <w:p w14:paraId="4F4545B1"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0.158</w:t>
            </w:r>
          </w:p>
        </w:tc>
        <w:tc>
          <w:tcPr>
            <w:tcW w:w="1010" w:type="dxa"/>
            <w:tcBorders>
              <w:top w:val="nil"/>
              <w:left w:val="nil"/>
              <w:bottom w:val="nil"/>
              <w:right w:val="nil"/>
            </w:tcBorders>
          </w:tcPr>
          <w:p w14:paraId="2F8F84C6"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-0.152</w:t>
            </w:r>
          </w:p>
        </w:tc>
        <w:tc>
          <w:tcPr>
            <w:tcW w:w="1010" w:type="dxa"/>
            <w:tcBorders>
              <w:top w:val="nil"/>
              <w:left w:val="nil"/>
              <w:bottom w:val="nil"/>
              <w:right w:val="nil"/>
            </w:tcBorders>
          </w:tcPr>
          <w:p w14:paraId="2FE561DE"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-0.084</w:t>
            </w:r>
          </w:p>
        </w:tc>
        <w:tc>
          <w:tcPr>
            <w:tcW w:w="1010" w:type="dxa"/>
            <w:tcBorders>
              <w:top w:val="nil"/>
              <w:left w:val="nil"/>
              <w:bottom w:val="nil"/>
              <w:right w:val="nil"/>
            </w:tcBorders>
          </w:tcPr>
          <w:p w14:paraId="0DE8557F"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0.030</w:t>
            </w:r>
          </w:p>
        </w:tc>
        <w:tc>
          <w:tcPr>
            <w:tcW w:w="1010" w:type="dxa"/>
            <w:tcBorders>
              <w:top w:val="nil"/>
              <w:left w:val="nil"/>
              <w:bottom w:val="nil"/>
              <w:right w:val="nil"/>
            </w:tcBorders>
          </w:tcPr>
          <w:p w14:paraId="2524A66E"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-0.532</w:t>
            </w:r>
          </w:p>
        </w:tc>
        <w:tc>
          <w:tcPr>
            <w:tcW w:w="1010" w:type="dxa"/>
            <w:tcBorders>
              <w:top w:val="nil"/>
              <w:left w:val="nil"/>
              <w:bottom w:val="nil"/>
              <w:right w:val="nil"/>
            </w:tcBorders>
          </w:tcPr>
          <w:p w14:paraId="0A1193C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0.617</w:t>
            </w:r>
          </w:p>
        </w:tc>
        <w:tc>
          <w:tcPr>
            <w:tcW w:w="1010" w:type="dxa"/>
            <w:tcBorders>
              <w:top w:val="nil"/>
              <w:left w:val="nil"/>
              <w:bottom w:val="nil"/>
              <w:right w:val="nil"/>
            </w:tcBorders>
          </w:tcPr>
          <w:p w14:paraId="5F5E9CD2"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1.000</w:t>
            </w:r>
          </w:p>
        </w:tc>
        <w:tc>
          <w:tcPr>
            <w:tcW w:w="1095" w:type="dxa"/>
            <w:tcBorders>
              <w:top w:val="nil"/>
              <w:left w:val="nil"/>
              <w:bottom w:val="nil"/>
              <w:right w:val="nil"/>
            </w:tcBorders>
          </w:tcPr>
          <w:p w14:paraId="4BB2FD3B"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2CA98B37"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7F4E7B18"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5" w:type="dxa"/>
            <w:tcBorders>
              <w:top w:val="nil"/>
              <w:left w:val="nil"/>
              <w:bottom w:val="nil"/>
              <w:right w:val="nil"/>
            </w:tcBorders>
          </w:tcPr>
          <w:p w14:paraId="00D537D1"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r w:rsidR="009D6410" w:rsidRPr="007164C4" w14:paraId="2CAC90E1" w14:textId="77777777" w:rsidTr="008E0221">
        <w:trPr>
          <w:trHeight w:val="136"/>
        </w:trPr>
        <w:tc>
          <w:tcPr>
            <w:tcW w:w="2268" w:type="dxa"/>
            <w:tcBorders>
              <w:top w:val="nil"/>
              <w:left w:val="nil"/>
              <w:bottom w:val="nil"/>
              <w:right w:val="nil"/>
            </w:tcBorders>
          </w:tcPr>
          <w:p w14:paraId="1B5452AF"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p>
        </w:tc>
        <w:tc>
          <w:tcPr>
            <w:tcW w:w="1276" w:type="dxa"/>
            <w:tcBorders>
              <w:top w:val="nil"/>
              <w:left w:val="nil"/>
              <w:bottom w:val="nil"/>
              <w:right w:val="nil"/>
            </w:tcBorders>
          </w:tcPr>
          <w:p w14:paraId="0CF4B31F"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95" w:type="dxa"/>
            <w:tcBorders>
              <w:top w:val="nil"/>
              <w:left w:val="nil"/>
              <w:bottom w:val="nil"/>
              <w:right w:val="nil"/>
            </w:tcBorders>
          </w:tcPr>
          <w:p w14:paraId="22885630"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635F27D2"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5487843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6DE7D066"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(0.012)</w:t>
            </w:r>
          </w:p>
        </w:tc>
        <w:tc>
          <w:tcPr>
            <w:tcW w:w="1010" w:type="dxa"/>
            <w:tcBorders>
              <w:top w:val="nil"/>
              <w:left w:val="nil"/>
              <w:bottom w:val="nil"/>
              <w:right w:val="nil"/>
            </w:tcBorders>
          </w:tcPr>
          <w:p w14:paraId="7132CF83"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454FDB89"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23A5F5DB"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95" w:type="dxa"/>
            <w:tcBorders>
              <w:top w:val="nil"/>
              <w:left w:val="nil"/>
              <w:bottom w:val="nil"/>
              <w:right w:val="nil"/>
            </w:tcBorders>
          </w:tcPr>
          <w:p w14:paraId="30D5994B"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0D6697B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33D6BCD7"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5" w:type="dxa"/>
            <w:tcBorders>
              <w:top w:val="nil"/>
              <w:left w:val="nil"/>
              <w:bottom w:val="nil"/>
              <w:right w:val="nil"/>
            </w:tcBorders>
          </w:tcPr>
          <w:p w14:paraId="501765E3"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r w:rsidR="009D6410" w:rsidRPr="007164C4" w14:paraId="4C091EC4" w14:textId="77777777" w:rsidTr="008E0221">
        <w:trPr>
          <w:trHeight w:val="274"/>
        </w:trPr>
        <w:tc>
          <w:tcPr>
            <w:tcW w:w="2268" w:type="dxa"/>
            <w:tcBorders>
              <w:top w:val="nil"/>
              <w:left w:val="nil"/>
              <w:bottom w:val="nil"/>
              <w:right w:val="nil"/>
            </w:tcBorders>
          </w:tcPr>
          <w:p w14:paraId="733ED24A"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r w:rsidRPr="007164C4">
              <w:rPr>
                <w:rFonts w:cstheme="minorHAnsi"/>
                <w:sz w:val="20"/>
                <w:szCs w:val="20"/>
                <w:lang w:val="en-US"/>
              </w:rPr>
              <w:t xml:space="preserve">(9) </w:t>
            </w:r>
            <w:proofErr w:type="spellStart"/>
            <w:r w:rsidRPr="007164C4">
              <w:rPr>
                <w:rFonts w:cstheme="minorHAnsi"/>
                <w:sz w:val="20"/>
                <w:szCs w:val="20"/>
                <w:lang w:val="en-US"/>
              </w:rPr>
              <w:t>tsm_fd</w:t>
            </w:r>
            <w:proofErr w:type="spellEnd"/>
          </w:p>
        </w:tc>
        <w:tc>
          <w:tcPr>
            <w:tcW w:w="1276" w:type="dxa"/>
            <w:tcBorders>
              <w:top w:val="nil"/>
              <w:left w:val="nil"/>
              <w:bottom w:val="nil"/>
              <w:right w:val="nil"/>
            </w:tcBorders>
          </w:tcPr>
          <w:p w14:paraId="4C1656D2"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-0.044</w:t>
            </w:r>
          </w:p>
        </w:tc>
        <w:tc>
          <w:tcPr>
            <w:tcW w:w="1095" w:type="dxa"/>
            <w:tcBorders>
              <w:top w:val="nil"/>
              <w:left w:val="nil"/>
              <w:bottom w:val="nil"/>
              <w:right w:val="nil"/>
            </w:tcBorders>
          </w:tcPr>
          <w:p w14:paraId="100D8C89"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-0.088</w:t>
            </w:r>
          </w:p>
        </w:tc>
        <w:tc>
          <w:tcPr>
            <w:tcW w:w="1010" w:type="dxa"/>
            <w:tcBorders>
              <w:top w:val="nil"/>
              <w:left w:val="nil"/>
              <w:bottom w:val="nil"/>
              <w:right w:val="nil"/>
            </w:tcBorders>
          </w:tcPr>
          <w:p w14:paraId="72D519DD"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-0.004</w:t>
            </w:r>
          </w:p>
        </w:tc>
        <w:tc>
          <w:tcPr>
            <w:tcW w:w="1010" w:type="dxa"/>
            <w:tcBorders>
              <w:top w:val="nil"/>
              <w:left w:val="nil"/>
              <w:bottom w:val="nil"/>
              <w:right w:val="nil"/>
            </w:tcBorders>
          </w:tcPr>
          <w:p w14:paraId="744E3907"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0.036</w:t>
            </w:r>
          </w:p>
        </w:tc>
        <w:tc>
          <w:tcPr>
            <w:tcW w:w="1010" w:type="dxa"/>
            <w:tcBorders>
              <w:top w:val="nil"/>
              <w:left w:val="nil"/>
              <w:bottom w:val="nil"/>
              <w:right w:val="nil"/>
            </w:tcBorders>
          </w:tcPr>
          <w:p w14:paraId="77EECA9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-0.095</w:t>
            </w:r>
          </w:p>
        </w:tc>
        <w:tc>
          <w:tcPr>
            <w:tcW w:w="1010" w:type="dxa"/>
            <w:tcBorders>
              <w:top w:val="nil"/>
              <w:left w:val="nil"/>
              <w:bottom w:val="nil"/>
              <w:right w:val="nil"/>
            </w:tcBorders>
          </w:tcPr>
          <w:p w14:paraId="1EDEBEE0"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0.676</w:t>
            </w:r>
          </w:p>
        </w:tc>
        <w:tc>
          <w:tcPr>
            <w:tcW w:w="1010" w:type="dxa"/>
            <w:tcBorders>
              <w:top w:val="nil"/>
              <w:left w:val="nil"/>
              <w:bottom w:val="nil"/>
              <w:right w:val="nil"/>
            </w:tcBorders>
          </w:tcPr>
          <w:p w14:paraId="624D5DE1"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-0.780</w:t>
            </w:r>
          </w:p>
        </w:tc>
        <w:tc>
          <w:tcPr>
            <w:tcW w:w="1010" w:type="dxa"/>
            <w:tcBorders>
              <w:top w:val="nil"/>
              <w:left w:val="nil"/>
              <w:bottom w:val="nil"/>
              <w:right w:val="nil"/>
            </w:tcBorders>
          </w:tcPr>
          <w:p w14:paraId="4D177E0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-0.714</w:t>
            </w:r>
          </w:p>
        </w:tc>
        <w:tc>
          <w:tcPr>
            <w:tcW w:w="1095" w:type="dxa"/>
            <w:tcBorders>
              <w:top w:val="nil"/>
              <w:left w:val="nil"/>
              <w:bottom w:val="nil"/>
              <w:right w:val="nil"/>
            </w:tcBorders>
          </w:tcPr>
          <w:p w14:paraId="194A544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1.000</w:t>
            </w:r>
          </w:p>
        </w:tc>
        <w:tc>
          <w:tcPr>
            <w:tcW w:w="1010" w:type="dxa"/>
            <w:tcBorders>
              <w:top w:val="nil"/>
              <w:left w:val="nil"/>
              <w:bottom w:val="nil"/>
              <w:right w:val="nil"/>
            </w:tcBorders>
          </w:tcPr>
          <w:p w14:paraId="538F955C"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4661D066"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5" w:type="dxa"/>
            <w:tcBorders>
              <w:top w:val="nil"/>
              <w:left w:val="nil"/>
              <w:bottom w:val="nil"/>
              <w:right w:val="nil"/>
            </w:tcBorders>
          </w:tcPr>
          <w:p w14:paraId="3184BB10"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r w:rsidR="009D6410" w:rsidRPr="007164C4" w14:paraId="58953EB0" w14:textId="77777777" w:rsidTr="008E0221">
        <w:trPr>
          <w:trHeight w:val="274"/>
        </w:trPr>
        <w:tc>
          <w:tcPr>
            <w:tcW w:w="2268" w:type="dxa"/>
            <w:tcBorders>
              <w:top w:val="nil"/>
              <w:left w:val="nil"/>
              <w:bottom w:val="nil"/>
              <w:right w:val="nil"/>
            </w:tcBorders>
          </w:tcPr>
          <w:p w14:paraId="14EE29C3"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p>
        </w:tc>
        <w:tc>
          <w:tcPr>
            <w:tcW w:w="1276" w:type="dxa"/>
            <w:tcBorders>
              <w:top w:val="nil"/>
              <w:left w:val="nil"/>
              <w:bottom w:val="nil"/>
              <w:right w:val="nil"/>
            </w:tcBorders>
          </w:tcPr>
          <w:p w14:paraId="0FC4C82D"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95" w:type="dxa"/>
            <w:tcBorders>
              <w:top w:val="nil"/>
              <w:left w:val="nil"/>
              <w:bottom w:val="nil"/>
              <w:right w:val="nil"/>
            </w:tcBorders>
          </w:tcPr>
          <w:p w14:paraId="0B4031E1"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38C63BD0"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(0.713)</w:t>
            </w:r>
          </w:p>
        </w:tc>
        <w:tc>
          <w:tcPr>
            <w:tcW w:w="1010" w:type="dxa"/>
            <w:tcBorders>
              <w:top w:val="nil"/>
              <w:left w:val="nil"/>
              <w:bottom w:val="nil"/>
              <w:right w:val="nil"/>
            </w:tcBorders>
          </w:tcPr>
          <w:p w14:paraId="27F16172"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(0.003)</w:t>
            </w:r>
          </w:p>
        </w:tc>
        <w:tc>
          <w:tcPr>
            <w:tcW w:w="1010" w:type="dxa"/>
            <w:tcBorders>
              <w:top w:val="nil"/>
              <w:left w:val="nil"/>
              <w:bottom w:val="nil"/>
              <w:right w:val="nil"/>
            </w:tcBorders>
          </w:tcPr>
          <w:p w14:paraId="723425CE"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559B5668"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434EB650"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3DB4EF6F"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95" w:type="dxa"/>
            <w:tcBorders>
              <w:top w:val="nil"/>
              <w:left w:val="nil"/>
              <w:bottom w:val="nil"/>
              <w:right w:val="nil"/>
            </w:tcBorders>
          </w:tcPr>
          <w:p w14:paraId="61523D07"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2AFC2F3A"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27AC9D50"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5" w:type="dxa"/>
            <w:tcBorders>
              <w:top w:val="nil"/>
              <w:left w:val="nil"/>
              <w:bottom w:val="nil"/>
              <w:right w:val="nil"/>
            </w:tcBorders>
          </w:tcPr>
          <w:p w14:paraId="241BC65A"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r w:rsidR="009D6410" w:rsidRPr="007164C4" w14:paraId="7CA4F4BD" w14:textId="77777777" w:rsidTr="008E0221">
        <w:trPr>
          <w:trHeight w:val="274"/>
        </w:trPr>
        <w:tc>
          <w:tcPr>
            <w:tcW w:w="2268" w:type="dxa"/>
            <w:tcBorders>
              <w:top w:val="nil"/>
              <w:left w:val="nil"/>
              <w:bottom w:val="nil"/>
              <w:right w:val="nil"/>
            </w:tcBorders>
          </w:tcPr>
          <w:p w14:paraId="7092D787"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r w:rsidRPr="007164C4">
              <w:rPr>
                <w:rFonts w:cstheme="minorHAnsi"/>
                <w:sz w:val="20"/>
                <w:szCs w:val="20"/>
                <w:lang w:val="en-US"/>
              </w:rPr>
              <w:t xml:space="preserve">(10) </w:t>
            </w:r>
            <w:proofErr w:type="spellStart"/>
            <w:r w:rsidRPr="007164C4">
              <w:rPr>
                <w:rFonts w:cstheme="minorHAnsi"/>
                <w:sz w:val="20"/>
                <w:szCs w:val="20"/>
                <w:lang w:val="en-US"/>
              </w:rPr>
              <w:t>cesi_fd</w:t>
            </w:r>
            <w:proofErr w:type="spellEnd"/>
          </w:p>
        </w:tc>
        <w:tc>
          <w:tcPr>
            <w:tcW w:w="1276" w:type="dxa"/>
            <w:tcBorders>
              <w:top w:val="nil"/>
              <w:left w:val="nil"/>
              <w:bottom w:val="nil"/>
              <w:right w:val="nil"/>
            </w:tcBorders>
          </w:tcPr>
          <w:p w14:paraId="4C633DF8"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0.098</w:t>
            </w:r>
          </w:p>
        </w:tc>
        <w:tc>
          <w:tcPr>
            <w:tcW w:w="1095" w:type="dxa"/>
            <w:tcBorders>
              <w:top w:val="nil"/>
              <w:left w:val="nil"/>
              <w:bottom w:val="nil"/>
              <w:right w:val="nil"/>
            </w:tcBorders>
          </w:tcPr>
          <w:p w14:paraId="164D2A8A"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0.006</w:t>
            </w:r>
          </w:p>
        </w:tc>
        <w:tc>
          <w:tcPr>
            <w:tcW w:w="1010" w:type="dxa"/>
            <w:tcBorders>
              <w:top w:val="nil"/>
              <w:left w:val="nil"/>
              <w:bottom w:val="nil"/>
              <w:right w:val="nil"/>
            </w:tcBorders>
          </w:tcPr>
          <w:p w14:paraId="2965A2A3"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-0.001</w:t>
            </w:r>
          </w:p>
        </w:tc>
        <w:tc>
          <w:tcPr>
            <w:tcW w:w="1010" w:type="dxa"/>
            <w:tcBorders>
              <w:top w:val="nil"/>
              <w:left w:val="nil"/>
              <w:bottom w:val="nil"/>
              <w:right w:val="nil"/>
            </w:tcBorders>
          </w:tcPr>
          <w:p w14:paraId="3B1D0B07"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-0.061</w:t>
            </w:r>
          </w:p>
        </w:tc>
        <w:tc>
          <w:tcPr>
            <w:tcW w:w="1010" w:type="dxa"/>
            <w:tcBorders>
              <w:top w:val="nil"/>
              <w:left w:val="nil"/>
              <w:bottom w:val="nil"/>
              <w:right w:val="nil"/>
            </w:tcBorders>
          </w:tcPr>
          <w:p w14:paraId="643CCDC7"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-0.020</w:t>
            </w:r>
          </w:p>
        </w:tc>
        <w:tc>
          <w:tcPr>
            <w:tcW w:w="1010" w:type="dxa"/>
            <w:tcBorders>
              <w:top w:val="nil"/>
              <w:left w:val="nil"/>
              <w:bottom w:val="nil"/>
              <w:right w:val="nil"/>
            </w:tcBorders>
          </w:tcPr>
          <w:p w14:paraId="0BAF3B04"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-0.023</w:t>
            </w:r>
          </w:p>
        </w:tc>
        <w:tc>
          <w:tcPr>
            <w:tcW w:w="1010" w:type="dxa"/>
            <w:tcBorders>
              <w:top w:val="nil"/>
              <w:left w:val="nil"/>
              <w:bottom w:val="nil"/>
              <w:right w:val="nil"/>
            </w:tcBorders>
          </w:tcPr>
          <w:p w14:paraId="5C77B542"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0.063</w:t>
            </w:r>
          </w:p>
        </w:tc>
        <w:tc>
          <w:tcPr>
            <w:tcW w:w="1010" w:type="dxa"/>
            <w:tcBorders>
              <w:top w:val="nil"/>
              <w:left w:val="nil"/>
              <w:bottom w:val="nil"/>
              <w:right w:val="nil"/>
            </w:tcBorders>
          </w:tcPr>
          <w:p w14:paraId="777196A4"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0.023</w:t>
            </w:r>
          </w:p>
        </w:tc>
        <w:tc>
          <w:tcPr>
            <w:tcW w:w="1095" w:type="dxa"/>
            <w:tcBorders>
              <w:top w:val="nil"/>
              <w:left w:val="nil"/>
              <w:bottom w:val="nil"/>
              <w:right w:val="nil"/>
            </w:tcBorders>
          </w:tcPr>
          <w:p w14:paraId="5BAD0078"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-0.024</w:t>
            </w:r>
          </w:p>
        </w:tc>
        <w:tc>
          <w:tcPr>
            <w:tcW w:w="1010" w:type="dxa"/>
            <w:tcBorders>
              <w:top w:val="nil"/>
              <w:left w:val="nil"/>
              <w:bottom w:val="nil"/>
              <w:right w:val="nil"/>
            </w:tcBorders>
          </w:tcPr>
          <w:p w14:paraId="16F7F53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1.000</w:t>
            </w:r>
          </w:p>
        </w:tc>
        <w:tc>
          <w:tcPr>
            <w:tcW w:w="1010" w:type="dxa"/>
            <w:tcBorders>
              <w:top w:val="nil"/>
              <w:left w:val="nil"/>
              <w:bottom w:val="nil"/>
              <w:right w:val="nil"/>
            </w:tcBorders>
          </w:tcPr>
          <w:p w14:paraId="41869E2A"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5" w:type="dxa"/>
            <w:tcBorders>
              <w:top w:val="nil"/>
              <w:left w:val="nil"/>
              <w:bottom w:val="nil"/>
              <w:right w:val="nil"/>
            </w:tcBorders>
          </w:tcPr>
          <w:p w14:paraId="646E75AA"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r w:rsidR="009D6410" w:rsidRPr="007164C4" w14:paraId="367D0E4E" w14:textId="77777777" w:rsidTr="008E0221">
        <w:trPr>
          <w:trHeight w:val="266"/>
        </w:trPr>
        <w:tc>
          <w:tcPr>
            <w:tcW w:w="2268" w:type="dxa"/>
            <w:tcBorders>
              <w:top w:val="nil"/>
              <w:left w:val="nil"/>
              <w:bottom w:val="nil"/>
              <w:right w:val="nil"/>
            </w:tcBorders>
          </w:tcPr>
          <w:p w14:paraId="5F4DEBC6"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p>
        </w:tc>
        <w:tc>
          <w:tcPr>
            <w:tcW w:w="1276" w:type="dxa"/>
            <w:tcBorders>
              <w:top w:val="nil"/>
              <w:left w:val="nil"/>
              <w:bottom w:val="nil"/>
              <w:right w:val="nil"/>
            </w:tcBorders>
          </w:tcPr>
          <w:p w14:paraId="4B5AE12C"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95" w:type="dxa"/>
            <w:tcBorders>
              <w:top w:val="nil"/>
              <w:left w:val="nil"/>
              <w:bottom w:val="nil"/>
              <w:right w:val="nil"/>
            </w:tcBorders>
          </w:tcPr>
          <w:p w14:paraId="787D3171"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(0.616)</w:t>
            </w:r>
          </w:p>
        </w:tc>
        <w:tc>
          <w:tcPr>
            <w:tcW w:w="1010" w:type="dxa"/>
            <w:tcBorders>
              <w:top w:val="nil"/>
              <w:left w:val="nil"/>
              <w:bottom w:val="nil"/>
              <w:right w:val="nil"/>
            </w:tcBorders>
          </w:tcPr>
          <w:p w14:paraId="75DEC1CB"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(0.964)</w:t>
            </w:r>
          </w:p>
        </w:tc>
        <w:tc>
          <w:tcPr>
            <w:tcW w:w="1010" w:type="dxa"/>
            <w:tcBorders>
              <w:top w:val="nil"/>
              <w:left w:val="nil"/>
              <w:bottom w:val="nil"/>
              <w:right w:val="nil"/>
            </w:tcBorders>
          </w:tcPr>
          <w:p w14:paraId="7DBD91C9"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6C8ED4C3"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(0.091)</w:t>
            </w:r>
          </w:p>
        </w:tc>
        <w:tc>
          <w:tcPr>
            <w:tcW w:w="1010" w:type="dxa"/>
            <w:tcBorders>
              <w:top w:val="nil"/>
              <w:left w:val="nil"/>
              <w:bottom w:val="nil"/>
              <w:right w:val="nil"/>
            </w:tcBorders>
          </w:tcPr>
          <w:p w14:paraId="3E8529B6"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(0.060)</w:t>
            </w:r>
          </w:p>
        </w:tc>
        <w:tc>
          <w:tcPr>
            <w:tcW w:w="1010" w:type="dxa"/>
            <w:tcBorders>
              <w:top w:val="nil"/>
              <w:left w:val="nil"/>
              <w:bottom w:val="nil"/>
              <w:right w:val="nil"/>
            </w:tcBorders>
          </w:tcPr>
          <w:p w14:paraId="159E021D"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69C3C197"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(0.058)</w:t>
            </w:r>
          </w:p>
        </w:tc>
        <w:tc>
          <w:tcPr>
            <w:tcW w:w="1095" w:type="dxa"/>
            <w:tcBorders>
              <w:top w:val="nil"/>
              <w:left w:val="nil"/>
              <w:bottom w:val="nil"/>
              <w:right w:val="nil"/>
            </w:tcBorders>
          </w:tcPr>
          <w:p w14:paraId="15E69A6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(0.048)</w:t>
            </w:r>
          </w:p>
        </w:tc>
        <w:tc>
          <w:tcPr>
            <w:tcW w:w="1010" w:type="dxa"/>
            <w:tcBorders>
              <w:top w:val="nil"/>
              <w:left w:val="nil"/>
              <w:bottom w:val="nil"/>
              <w:right w:val="nil"/>
            </w:tcBorders>
          </w:tcPr>
          <w:p w14:paraId="4ABDD4AE"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0" w:type="dxa"/>
            <w:tcBorders>
              <w:top w:val="nil"/>
              <w:left w:val="nil"/>
              <w:bottom w:val="nil"/>
              <w:right w:val="nil"/>
            </w:tcBorders>
          </w:tcPr>
          <w:p w14:paraId="6F94F5B1"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5" w:type="dxa"/>
            <w:tcBorders>
              <w:top w:val="nil"/>
              <w:left w:val="nil"/>
              <w:bottom w:val="nil"/>
              <w:right w:val="nil"/>
            </w:tcBorders>
          </w:tcPr>
          <w:p w14:paraId="40A28960"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r w:rsidR="009D6410" w:rsidRPr="007164C4" w14:paraId="3376929E" w14:textId="77777777" w:rsidTr="008E0221">
        <w:trPr>
          <w:trHeight w:val="274"/>
        </w:trPr>
        <w:tc>
          <w:tcPr>
            <w:tcW w:w="2268" w:type="dxa"/>
            <w:tcBorders>
              <w:top w:val="nil"/>
              <w:left w:val="nil"/>
              <w:bottom w:val="nil"/>
              <w:right w:val="nil"/>
            </w:tcBorders>
          </w:tcPr>
          <w:p w14:paraId="769A856C"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r w:rsidRPr="007164C4">
              <w:rPr>
                <w:rFonts w:cstheme="minorHAnsi"/>
                <w:sz w:val="20"/>
                <w:szCs w:val="20"/>
                <w:lang w:val="en-US"/>
              </w:rPr>
              <w:t xml:space="preserve">(11) </w:t>
            </w:r>
            <w:proofErr w:type="spellStart"/>
            <w:r w:rsidRPr="007164C4">
              <w:rPr>
                <w:rFonts w:cstheme="minorHAnsi"/>
                <w:sz w:val="20"/>
                <w:szCs w:val="20"/>
                <w:lang w:val="en-US"/>
              </w:rPr>
              <w:t>cds_fd</w:t>
            </w:r>
            <w:proofErr w:type="spellEnd"/>
            <w:r w:rsidRPr="007164C4">
              <w:rPr>
                <w:rFonts w:cstheme="minorHAnsi"/>
                <w:sz w:val="20"/>
                <w:szCs w:val="20"/>
                <w:lang w:val="en-US"/>
              </w:rPr>
              <w:t>_</w:t>
            </w:r>
          </w:p>
        </w:tc>
        <w:tc>
          <w:tcPr>
            <w:tcW w:w="1276" w:type="dxa"/>
            <w:tcBorders>
              <w:top w:val="nil"/>
              <w:left w:val="nil"/>
              <w:bottom w:val="nil"/>
              <w:right w:val="nil"/>
            </w:tcBorders>
          </w:tcPr>
          <w:p w14:paraId="20FD7E31"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0.190</w:t>
            </w:r>
          </w:p>
        </w:tc>
        <w:tc>
          <w:tcPr>
            <w:tcW w:w="1095" w:type="dxa"/>
            <w:tcBorders>
              <w:top w:val="nil"/>
              <w:left w:val="nil"/>
              <w:bottom w:val="nil"/>
              <w:right w:val="nil"/>
            </w:tcBorders>
          </w:tcPr>
          <w:p w14:paraId="37DEDE51"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-0.001</w:t>
            </w:r>
          </w:p>
        </w:tc>
        <w:tc>
          <w:tcPr>
            <w:tcW w:w="1010" w:type="dxa"/>
            <w:tcBorders>
              <w:top w:val="nil"/>
              <w:left w:val="nil"/>
              <w:bottom w:val="nil"/>
              <w:right w:val="nil"/>
            </w:tcBorders>
          </w:tcPr>
          <w:p w14:paraId="7C038BF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-0.014</w:t>
            </w:r>
          </w:p>
        </w:tc>
        <w:tc>
          <w:tcPr>
            <w:tcW w:w="1010" w:type="dxa"/>
            <w:tcBorders>
              <w:top w:val="nil"/>
              <w:left w:val="nil"/>
              <w:bottom w:val="nil"/>
              <w:right w:val="nil"/>
            </w:tcBorders>
          </w:tcPr>
          <w:p w14:paraId="2F1D4199"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0.015</w:t>
            </w:r>
          </w:p>
        </w:tc>
        <w:tc>
          <w:tcPr>
            <w:tcW w:w="1010" w:type="dxa"/>
            <w:tcBorders>
              <w:top w:val="nil"/>
              <w:left w:val="nil"/>
              <w:bottom w:val="nil"/>
              <w:right w:val="nil"/>
            </w:tcBorders>
          </w:tcPr>
          <w:p w14:paraId="106A4D59"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0.150</w:t>
            </w:r>
          </w:p>
        </w:tc>
        <w:tc>
          <w:tcPr>
            <w:tcW w:w="1010" w:type="dxa"/>
            <w:tcBorders>
              <w:top w:val="nil"/>
              <w:left w:val="nil"/>
              <w:bottom w:val="nil"/>
              <w:right w:val="nil"/>
            </w:tcBorders>
          </w:tcPr>
          <w:p w14:paraId="5925FCBD"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-0.193</w:t>
            </w:r>
          </w:p>
        </w:tc>
        <w:tc>
          <w:tcPr>
            <w:tcW w:w="1010" w:type="dxa"/>
            <w:tcBorders>
              <w:top w:val="nil"/>
              <w:left w:val="nil"/>
              <w:bottom w:val="nil"/>
              <w:right w:val="nil"/>
            </w:tcBorders>
          </w:tcPr>
          <w:p w14:paraId="215DBB59"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0.174</w:t>
            </w:r>
          </w:p>
        </w:tc>
        <w:tc>
          <w:tcPr>
            <w:tcW w:w="1010" w:type="dxa"/>
            <w:tcBorders>
              <w:top w:val="nil"/>
              <w:left w:val="nil"/>
              <w:bottom w:val="nil"/>
              <w:right w:val="nil"/>
            </w:tcBorders>
          </w:tcPr>
          <w:p w14:paraId="23E91342"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0.198</w:t>
            </w:r>
          </w:p>
        </w:tc>
        <w:tc>
          <w:tcPr>
            <w:tcW w:w="1095" w:type="dxa"/>
            <w:tcBorders>
              <w:top w:val="nil"/>
              <w:left w:val="nil"/>
              <w:bottom w:val="nil"/>
              <w:right w:val="nil"/>
            </w:tcBorders>
          </w:tcPr>
          <w:p w14:paraId="3F94A138"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-0.182</w:t>
            </w:r>
          </w:p>
        </w:tc>
        <w:tc>
          <w:tcPr>
            <w:tcW w:w="1010" w:type="dxa"/>
            <w:tcBorders>
              <w:top w:val="nil"/>
              <w:left w:val="nil"/>
              <w:bottom w:val="nil"/>
              <w:right w:val="nil"/>
            </w:tcBorders>
          </w:tcPr>
          <w:p w14:paraId="43F9BDCE"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0.050</w:t>
            </w:r>
          </w:p>
        </w:tc>
        <w:tc>
          <w:tcPr>
            <w:tcW w:w="1010" w:type="dxa"/>
            <w:tcBorders>
              <w:top w:val="nil"/>
              <w:left w:val="nil"/>
              <w:bottom w:val="nil"/>
              <w:right w:val="nil"/>
            </w:tcBorders>
          </w:tcPr>
          <w:p w14:paraId="5EF36738"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1.000</w:t>
            </w:r>
          </w:p>
        </w:tc>
        <w:tc>
          <w:tcPr>
            <w:tcW w:w="1015" w:type="dxa"/>
            <w:tcBorders>
              <w:top w:val="nil"/>
              <w:left w:val="nil"/>
              <w:bottom w:val="nil"/>
              <w:right w:val="nil"/>
            </w:tcBorders>
          </w:tcPr>
          <w:p w14:paraId="3ACBB1F3"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r w:rsidR="009D6410" w:rsidRPr="007164C4" w14:paraId="168C194B" w14:textId="77777777" w:rsidTr="008E0221">
        <w:trPr>
          <w:trHeight w:val="274"/>
        </w:trPr>
        <w:tc>
          <w:tcPr>
            <w:tcW w:w="2268" w:type="dxa"/>
            <w:tcBorders>
              <w:top w:val="nil"/>
              <w:left w:val="nil"/>
              <w:bottom w:val="nil"/>
              <w:right w:val="nil"/>
            </w:tcBorders>
          </w:tcPr>
          <w:p w14:paraId="66E37AFB"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p>
        </w:tc>
        <w:tc>
          <w:tcPr>
            <w:tcW w:w="1276" w:type="dxa"/>
            <w:tcBorders>
              <w:top w:val="nil"/>
              <w:left w:val="nil"/>
              <w:bottom w:val="nil"/>
              <w:right w:val="nil"/>
            </w:tcBorders>
          </w:tcPr>
          <w:p w14:paraId="3FF1E93E"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95" w:type="dxa"/>
            <w:tcBorders>
              <w:top w:val="nil"/>
              <w:left w:val="nil"/>
              <w:bottom w:val="nil"/>
              <w:right w:val="nil"/>
            </w:tcBorders>
          </w:tcPr>
          <w:p w14:paraId="3E8DC53E"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(0.911)</w:t>
            </w:r>
          </w:p>
        </w:tc>
        <w:tc>
          <w:tcPr>
            <w:tcW w:w="1010" w:type="dxa"/>
            <w:tcBorders>
              <w:top w:val="nil"/>
              <w:left w:val="nil"/>
              <w:bottom w:val="nil"/>
              <w:right w:val="nil"/>
            </w:tcBorders>
          </w:tcPr>
          <w:p w14:paraId="5FD4AD91"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(0.259)</w:t>
            </w:r>
          </w:p>
        </w:tc>
        <w:tc>
          <w:tcPr>
            <w:tcW w:w="1010" w:type="dxa"/>
            <w:tcBorders>
              <w:top w:val="nil"/>
              <w:left w:val="nil"/>
              <w:bottom w:val="nil"/>
              <w:right w:val="nil"/>
            </w:tcBorders>
          </w:tcPr>
          <w:p w14:paraId="7D138FE7"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(0.219)</w:t>
            </w:r>
          </w:p>
        </w:tc>
        <w:tc>
          <w:tcPr>
            <w:tcW w:w="1010" w:type="dxa"/>
            <w:tcBorders>
              <w:top w:val="nil"/>
              <w:left w:val="nil"/>
              <w:bottom w:val="nil"/>
              <w:right w:val="nil"/>
            </w:tcBorders>
          </w:tcPr>
          <w:p w14:paraId="72849743"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63ABD967"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52C02C31"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316C4398"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95" w:type="dxa"/>
            <w:tcBorders>
              <w:top w:val="nil"/>
              <w:left w:val="nil"/>
              <w:bottom w:val="nil"/>
              <w:right w:val="nil"/>
            </w:tcBorders>
          </w:tcPr>
          <w:p w14:paraId="2169F85C"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7969A89A"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65760B36"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c>
          <w:tcPr>
            <w:tcW w:w="1015" w:type="dxa"/>
            <w:tcBorders>
              <w:top w:val="nil"/>
              <w:left w:val="nil"/>
              <w:bottom w:val="nil"/>
              <w:right w:val="nil"/>
            </w:tcBorders>
          </w:tcPr>
          <w:p w14:paraId="7C990CC7"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r w:rsidR="009D6410" w:rsidRPr="007164C4" w14:paraId="4036A6E2" w14:textId="77777777" w:rsidTr="008E0221">
        <w:trPr>
          <w:trHeight w:val="274"/>
        </w:trPr>
        <w:tc>
          <w:tcPr>
            <w:tcW w:w="2268" w:type="dxa"/>
            <w:tcBorders>
              <w:top w:val="nil"/>
              <w:left w:val="nil"/>
              <w:bottom w:val="nil"/>
              <w:right w:val="nil"/>
            </w:tcBorders>
          </w:tcPr>
          <w:p w14:paraId="17B31469"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r w:rsidRPr="007164C4">
              <w:rPr>
                <w:rFonts w:cstheme="minorHAnsi"/>
                <w:sz w:val="20"/>
                <w:szCs w:val="20"/>
                <w:lang w:val="en-US"/>
              </w:rPr>
              <w:t xml:space="preserve">(12) </w:t>
            </w:r>
            <w:proofErr w:type="spellStart"/>
            <w:r w:rsidRPr="007164C4">
              <w:rPr>
                <w:rFonts w:cstheme="minorHAnsi"/>
                <w:sz w:val="20"/>
                <w:szCs w:val="20"/>
                <w:lang w:val="en-US"/>
              </w:rPr>
              <w:t>lag_cds_fd</w:t>
            </w:r>
            <w:proofErr w:type="spellEnd"/>
            <w:r w:rsidRPr="007164C4">
              <w:rPr>
                <w:rFonts w:cstheme="minorHAnsi"/>
                <w:sz w:val="20"/>
                <w:szCs w:val="20"/>
                <w:lang w:val="en-US"/>
              </w:rPr>
              <w:t>_</w:t>
            </w:r>
          </w:p>
        </w:tc>
        <w:tc>
          <w:tcPr>
            <w:tcW w:w="1276" w:type="dxa"/>
            <w:tcBorders>
              <w:top w:val="nil"/>
              <w:left w:val="nil"/>
              <w:bottom w:val="nil"/>
              <w:right w:val="nil"/>
            </w:tcBorders>
          </w:tcPr>
          <w:p w14:paraId="4C22C288"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0.055</w:t>
            </w:r>
          </w:p>
        </w:tc>
        <w:tc>
          <w:tcPr>
            <w:tcW w:w="1095" w:type="dxa"/>
            <w:tcBorders>
              <w:top w:val="nil"/>
              <w:left w:val="nil"/>
              <w:bottom w:val="nil"/>
              <w:right w:val="nil"/>
            </w:tcBorders>
          </w:tcPr>
          <w:p w14:paraId="6C8DB2B2"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-0.035</w:t>
            </w:r>
          </w:p>
        </w:tc>
        <w:tc>
          <w:tcPr>
            <w:tcW w:w="1010" w:type="dxa"/>
            <w:tcBorders>
              <w:top w:val="nil"/>
              <w:left w:val="nil"/>
              <w:bottom w:val="nil"/>
              <w:right w:val="nil"/>
            </w:tcBorders>
          </w:tcPr>
          <w:p w14:paraId="130D47F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-0.001</w:t>
            </w:r>
          </w:p>
        </w:tc>
        <w:tc>
          <w:tcPr>
            <w:tcW w:w="1010" w:type="dxa"/>
            <w:tcBorders>
              <w:top w:val="nil"/>
              <w:left w:val="nil"/>
              <w:bottom w:val="nil"/>
              <w:right w:val="nil"/>
            </w:tcBorders>
          </w:tcPr>
          <w:p w14:paraId="7F8E4E0D"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-0.014</w:t>
            </w:r>
          </w:p>
        </w:tc>
        <w:tc>
          <w:tcPr>
            <w:tcW w:w="1010" w:type="dxa"/>
            <w:tcBorders>
              <w:top w:val="nil"/>
              <w:left w:val="nil"/>
              <w:bottom w:val="nil"/>
              <w:right w:val="nil"/>
            </w:tcBorders>
          </w:tcPr>
          <w:p w14:paraId="115556F1"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0.190</w:t>
            </w:r>
          </w:p>
        </w:tc>
        <w:tc>
          <w:tcPr>
            <w:tcW w:w="1010" w:type="dxa"/>
            <w:tcBorders>
              <w:top w:val="nil"/>
              <w:left w:val="nil"/>
              <w:bottom w:val="nil"/>
              <w:right w:val="nil"/>
            </w:tcBorders>
          </w:tcPr>
          <w:p w14:paraId="11F505BD"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-0.013</w:t>
            </w:r>
          </w:p>
        </w:tc>
        <w:tc>
          <w:tcPr>
            <w:tcW w:w="1010" w:type="dxa"/>
            <w:tcBorders>
              <w:top w:val="nil"/>
              <w:left w:val="nil"/>
              <w:bottom w:val="nil"/>
              <w:right w:val="nil"/>
            </w:tcBorders>
          </w:tcPr>
          <w:p w14:paraId="7FE9E13F"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-0.007</w:t>
            </w:r>
          </w:p>
        </w:tc>
        <w:tc>
          <w:tcPr>
            <w:tcW w:w="1010" w:type="dxa"/>
            <w:tcBorders>
              <w:top w:val="nil"/>
              <w:left w:val="nil"/>
              <w:bottom w:val="nil"/>
              <w:right w:val="nil"/>
            </w:tcBorders>
          </w:tcPr>
          <w:p w14:paraId="4A7339ED"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0.006</w:t>
            </w:r>
          </w:p>
        </w:tc>
        <w:tc>
          <w:tcPr>
            <w:tcW w:w="1095" w:type="dxa"/>
            <w:tcBorders>
              <w:top w:val="nil"/>
              <w:left w:val="nil"/>
              <w:bottom w:val="nil"/>
              <w:right w:val="nil"/>
            </w:tcBorders>
          </w:tcPr>
          <w:p w14:paraId="418225AB"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-0.043</w:t>
            </w:r>
          </w:p>
        </w:tc>
        <w:tc>
          <w:tcPr>
            <w:tcW w:w="1010" w:type="dxa"/>
            <w:tcBorders>
              <w:top w:val="nil"/>
              <w:left w:val="nil"/>
              <w:bottom w:val="nil"/>
              <w:right w:val="nil"/>
            </w:tcBorders>
          </w:tcPr>
          <w:p w14:paraId="38EBF287"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-0.005</w:t>
            </w:r>
          </w:p>
        </w:tc>
        <w:tc>
          <w:tcPr>
            <w:tcW w:w="1010" w:type="dxa"/>
            <w:tcBorders>
              <w:top w:val="nil"/>
              <w:left w:val="nil"/>
              <w:bottom w:val="nil"/>
              <w:right w:val="nil"/>
            </w:tcBorders>
          </w:tcPr>
          <w:p w14:paraId="4EC403FA"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-0.037</w:t>
            </w:r>
          </w:p>
        </w:tc>
        <w:tc>
          <w:tcPr>
            <w:tcW w:w="1015" w:type="dxa"/>
            <w:tcBorders>
              <w:top w:val="nil"/>
              <w:left w:val="nil"/>
              <w:bottom w:val="nil"/>
              <w:right w:val="nil"/>
            </w:tcBorders>
          </w:tcPr>
          <w:p w14:paraId="50D96CFB"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1.000</w:t>
            </w:r>
          </w:p>
        </w:tc>
      </w:tr>
      <w:tr w:rsidR="009D6410" w:rsidRPr="007164C4" w14:paraId="08FF966B" w14:textId="77777777" w:rsidTr="008E0221">
        <w:trPr>
          <w:trHeight w:val="274"/>
        </w:trPr>
        <w:tc>
          <w:tcPr>
            <w:tcW w:w="2268" w:type="dxa"/>
            <w:tcBorders>
              <w:top w:val="nil"/>
              <w:left w:val="nil"/>
              <w:bottom w:val="nil"/>
              <w:right w:val="nil"/>
            </w:tcBorders>
          </w:tcPr>
          <w:p w14:paraId="0BAD13CE" w14:textId="77777777" w:rsidR="009D6410" w:rsidRPr="007164C4" w:rsidRDefault="009D6410" w:rsidP="008E0221">
            <w:pPr>
              <w:widowControl w:val="0"/>
              <w:autoSpaceDE w:val="0"/>
              <w:autoSpaceDN w:val="0"/>
              <w:adjustRightInd w:val="0"/>
              <w:spacing w:line="240" w:lineRule="auto"/>
              <w:rPr>
                <w:rFonts w:cstheme="minorHAnsi"/>
                <w:sz w:val="20"/>
                <w:szCs w:val="20"/>
                <w:lang w:val="en-US"/>
              </w:rPr>
            </w:pPr>
          </w:p>
        </w:tc>
        <w:tc>
          <w:tcPr>
            <w:tcW w:w="1276" w:type="dxa"/>
            <w:tcBorders>
              <w:top w:val="nil"/>
              <w:left w:val="nil"/>
              <w:bottom w:val="nil"/>
              <w:right w:val="nil"/>
            </w:tcBorders>
          </w:tcPr>
          <w:p w14:paraId="09DD884D"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95" w:type="dxa"/>
            <w:tcBorders>
              <w:top w:val="nil"/>
              <w:left w:val="nil"/>
              <w:bottom w:val="nil"/>
              <w:right w:val="nil"/>
            </w:tcBorders>
          </w:tcPr>
          <w:p w14:paraId="12C2A9DF"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(0.003)</w:t>
            </w:r>
          </w:p>
        </w:tc>
        <w:tc>
          <w:tcPr>
            <w:tcW w:w="1010" w:type="dxa"/>
            <w:tcBorders>
              <w:top w:val="nil"/>
              <w:left w:val="nil"/>
              <w:bottom w:val="nil"/>
              <w:right w:val="nil"/>
            </w:tcBorders>
          </w:tcPr>
          <w:p w14:paraId="50FB96D1"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(0.912)</w:t>
            </w:r>
          </w:p>
        </w:tc>
        <w:tc>
          <w:tcPr>
            <w:tcW w:w="1010" w:type="dxa"/>
            <w:tcBorders>
              <w:top w:val="nil"/>
              <w:left w:val="nil"/>
              <w:bottom w:val="nil"/>
              <w:right w:val="nil"/>
            </w:tcBorders>
          </w:tcPr>
          <w:p w14:paraId="5ED5C2B7"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(0.260)</w:t>
            </w:r>
          </w:p>
        </w:tc>
        <w:tc>
          <w:tcPr>
            <w:tcW w:w="1010" w:type="dxa"/>
            <w:tcBorders>
              <w:top w:val="nil"/>
              <w:left w:val="nil"/>
              <w:bottom w:val="nil"/>
              <w:right w:val="nil"/>
            </w:tcBorders>
          </w:tcPr>
          <w:p w14:paraId="499BCACF"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78C0495A"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(0.266)</w:t>
            </w:r>
          </w:p>
        </w:tc>
        <w:tc>
          <w:tcPr>
            <w:tcW w:w="1010" w:type="dxa"/>
            <w:tcBorders>
              <w:top w:val="nil"/>
              <w:left w:val="nil"/>
              <w:bottom w:val="nil"/>
              <w:right w:val="nil"/>
            </w:tcBorders>
          </w:tcPr>
          <w:p w14:paraId="03CAFFF4"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(0.559)</w:t>
            </w:r>
          </w:p>
        </w:tc>
        <w:tc>
          <w:tcPr>
            <w:tcW w:w="1010" w:type="dxa"/>
            <w:tcBorders>
              <w:top w:val="nil"/>
              <w:left w:val="nil"/>
              <w:bottom w:val="nil"/>
              <w:right w:val="nil"/>
            </w:tcBorders>
          </w:tcPr>
          <w:p w14:paraId="1DC9E9AB"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(0.623)</w:t>
            </w:r>
          </w:p>
        </w:tc>
        <w:tc>
          <w:tcPr>
            <w:tcW w:w="1095" w:type="dxa"/>
            <w:tcBorders>
              <w:top w:val="nil"/>
              <w:left w:val="nil"/>
              <w:bottom w:val="nil"/>
              <w:right w:val="nil"/>
            </w:tcBorders>
          </w:tcPr>
          <w:p w14:paraId="6615F72C"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(0.000)</w:t>
            </w:r>
          </w:p>
        </w:tc>
        <w:tc>
          <w:tcPr>
            <w:tcW w:w="1010" w:type="dxa"/>
            <w:tcBorders>
              <w:top w:val="nil"/>
              <w:left w:val="nil"/>
              <w:bottom w:val="nil"/>
              <w:right w:val="nil"/>
            </w:tcBorders>
          </w:tcPr>
          <w:p w14:paraId="73B839B5"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(0.678)</w:t>
            </w:r>
          </w:p>
        </w:tc>
        <w:tc>
          <w:tcPr>
            <w:tcW w:w="1010" w:type="dxa"/>
            <w:tcBorders>
              <w:top w:val="nil"/>
              <w:left w:val="nil"/>
              <w:bottom w:val="nil"/>
              <w:right w:val="nil"/>
            </w:tcBorders>
          </w:tcPr>
          <w:p w14:paraId="7D8AD614"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r w:rsidRPr="007164C4">
              <w:rPr>
                <w:rFonts w:cstheme="minorHAnsi"/>
                <w:sz w:val="20"/>
                <w:szCs w:val="20"/>
                <w:lang w:val="en-US"/>
              </w:rPr>
              <w:t>(0.002)</w:t>
            </w:r>
          </w:p>
        </w:tc>
        <w:tc>
          <w:tcPr>
            <w:tcW w:w="1015" w:type="dxa"/>
            <w:tcBorders>
              <w:top w:val="nil"/>
              <w:left w:val="nil"/>
              <w:bottom w:val="nil"/>
              <w:right w:val="nil"/>
            </w:tcBorders>
          </w:tcPr>
          <w:p w14:paraId="5243AAE3" w14:textId="77777777" w:rsidR="009D6410" w:rsidRPr="007164C4" w:rsidRDefault="009D6410" w:rsidP="008E0221">
            <w:pPr>
              <w:widowControl w:val="0"/>
              <w:autoSpaceDE w:val="0"/>
              <w:autoSpaceDN w:val="0"/>
              <w:adjustRightInd w:val="0"/>
              <w:spacing w:line="240" w:lineRule="auto"/>
              <w:jc w:val="left"/>
              <w:rPr>
                <w:rFonts w:cstheme="minorHAnsi"/>
                <w:sz w:val="20"/>
                <w:szCs w:val="20"/>
                <w:lang w:val="en-US"/>
              </w:rPr>
            </w:pPr>
          </w:p>
        </w:tc>
      </w:tr>
    </w:tbl>
    <w:p w14:paraId="503A3314" w14:textId="77777777" w:rsidR="009D6410" w:rsidRDefault="009D6410" w:rsidP="009D6410">
      <w:pPr>
        <w:widowControl w:val="0"/>
        <w:autoSpaceDE w:val="0"/>
        <w:autoSpaceDN w:val="0"/>
        <w:adjustRightInd w:val="0"/>
        <w:spacing w:line="240" w:lineRule="auto"/>
        <w:ind w:firstLine="0"/>
        <w:rPr>
          <w:rFonts w:cstheme="minorHAnsi"/>
          <w:sz w:val="20"/>
          <w:szCs w:val="20"/>
          <w:lang w:val="en-US"/>
        </w:rPr>
        <w:sectPr w:rsidR="009D6410" w:rsidSect="000C091F">
          <w:pgSz w:w="15840" w:h="12240" w:orient="landscape"/>
          <w:pgMar w:top="1418" w:right="1418" w:bottom="1418" w:left="1418" w:header="720" w:footer="720" w:gutter="0"/>
          <w:cols w:space="708"/>
          <w:formProt w:val="0"/>
          <w:titlePg/>
          <w:docGrid w:linePitch="326"/>
        </w:sectPr>
      </w:pPr>
    </w:p>
    <w:p w14:paraId="1B1D1C03" w14:textId="77777777" w:rsidR="00513A55" w:rsidRPr="00B146D2" w:rsidRDefault="00513A55" w:rsidP="00513A55">
      <w:pPr>
        <w:pStyle w:val="Heading2"/>
      </w:pPr>
      <w:bookmarkStart w:id="102" w:name="_Toc122697363"/>
      <w:r w:rsidRPr="00B146D2">
        <w:lastRenderedPageBreak/>
        <w:t>Panel regression EMU - Sovereign bond yields</w:t>
      </w:r>
      <w:bookmarkEnd w:id="102"/>
    </w:p>
    <w:p w14:paraId="46C85244" w14:textId="77777777" w:rsidR="00513A55" w:rsidRPr="00B146D2" w:rsidRDefault="00513A55" w:rsidP="00513A55">
      <w:pPr>
        <w:rPr>
          <w:lang w:val="en-US"/>
        </w:rPr>
      </w:pPr>
    </w:p>
    <w:p w14:paraId="0E08D6DE" w14:textId="5193AEBA" w:rsidR="00513A55" w:rsidRPr="00B146D2" w:rsidRDefault="00513A55" w:rsidP="00513A55">
      <w:pPr>
        <w:spacing w:after="240"/>
        <w:ind w:firstLine="720"/>
        <w:rPr>
          <w:rFonts w:cstheme="minorHAnsi"/>
          <w:color w:val="000000"/>
          <w:lang w:val="en-US"/>
        </w:rPr>
      </w:pPr>
      <w:bookmarkStart w:id="103" w:name="_heading=h.26in1rg" w:colFirst="0" w:colLast="0"/>
      <w:bookmarkEnd w:id="103"/>
      <w:r w:rsidRPr="009D6410">
        <w:rPr>
          <w:rFonts w:cstheme="minorHAnsi"/>
          <w:shd w:val="clear" w:color="auto" w:fill="FFFFFF" w:themeFill="background1"/>
          <w:lang w:val="en-US"/>
        </w:rPr>
        <w:t xml:space="preserve">In Table </w:t>
      </w:r>
      <w:r w:rsidR="00D65D51">
        <w:rPr>
          <w:rFonts w:cstheme="minorHAnsi"/>
          <w:shd w:val="clear" w:color="auto" w:fill="FFFFFF" w:themeFill="background1"/>
          <w:lang w:val="en-US"/>
        </w:rPr>
        <w:t>3</w:t>
      </w:r>
      <w:r w:rsidRPr="009D6410">
        <w:rPr>
          <w:rFonts w:cstheme="minorHAnsi"/>
          <w:shd w:val="clear" w:color="auto" w:fill="FFFFFF" w:themeFill="background1"/>
          <w:lang w:val="en-US"/>
        </w:rPr>
        <w:t xml:space="preserve">, the panel regression predicting yield level changes is shown to examine the effect of the UMP announcement on the whole EMU’s sovereign bond yields. This model includes all control and moderator variables and shows the results </w:t>
      </w:r>
      <w:r w:rsidR="005861E1">
        <w:rPr>
          <w:rFonts w:cstheme="minorHAnsi"/>
          <w:shd w:val="clear" w:color="auto" w:fill="FFFFFF" w:themeFill="background1"/>
          <w:lang w:val="en-US"/>
        </w:rPr>
        <w:t xml:space="preserve">of </w:t>
      </w:r>
      <w:r w:rsidRPr="009D6410">
        <w:rPr>
          <w:rFonts w:cstheme="minorHAnsi"/>
          <w:shd w:val="clear" w:color="auto" w:fill="FFFFFF" w:themeFill="background1"/>
          <w:lang w:val="en-US"/>
        </w:rPr>
        <w:t>Equation 2 analyzing the aggregate effect</w:t>
      </w:r>
      <w:r w:rsidRPr="009D6410">
        <w:rPr>
          <w:rFonts w:cstheme="minorHAnsi"/>
          <w:lang w:val="en-US"/>
        </w:rPr>
        <w:t xml:space="preserve"> </w:t>
      </w:r>
      <w:r w:rsidRPr="00B146D2">
        <w:rPr>
          <w:rFonts w:cstheme="minorHAnsi"/>
          <w:color w:val="000000"/>
          <w:lang w:val="en-US"/>
        </w:rPr>
        <w:t xml:space="preserve">for the EMU. </w:t>
      </w:r>
    </w:p>
    <w:p w14:paraId="0427C62A" w14:textId="57D881A9" w:rsidR="00513A55" w:rsidRPr="00B146D2" w:rsidRDefault="00513A55" w:rsidP="00513A55">
      <w:pPr>
        <w:spacing w:after="240"/>
        <w:ind w:firstLine="720"/>
        <w:rPr>
          <w:rFonts w:cstheme="minorHAnsi"/>
          <w:color w:val="000000"/>
          <w:lang w:val="en-US"/>
        </w:rPr>
      </w:pPr>
      <w:r w:rsidRPr="00B146D2">
        <w:rPr>
          <w:rFonts w:cstheme="minorHAnsi"/>
          <w:color w:val="000000"/>
          <w:lang w:val="en-US"/>
        </w:rPr>
        <w:t>This study found that the dummy variable covering all ECB PEPP events (</w:t>
      </w:r>
      <w:proofErr w:type="spellStart"/>
      <w:r w:rsidRPr="00B146D2">
        <w:rPr>
          <w:rFonts w:cstheme="minorHAnsi"/>
          <w:color w:val="000000"/>
          <w:lang w:val="en-US"/>
        </w:rPr>
        <w:t>dummy_special</w:t>
      </w:r>
      <w:proofErr w:type="spellEnd"/>
      <w:r w:rsidRPr="00B146D2">
        <w:rPr>
          <w:rFonts w:cstheme="minorHAnsi"/>
          <w:color w:val="000000"/>
          <w:lang w:val="en-US"/>
        </w:rPr>
        <w:t xml:space="preserve">) significantly increases the yield level for a sample of 10 European countries in the panel regression. This finding is counterintuitive and contradicts our hypothesis (3) that ECB UMP announcements would have an immediate negative effect on sovereign yield levels. </w:t>
      </w:r>
      <w:bookmarkStart w:id="104" w:name="_Hlk122596774"/>
      <w:r w:rsidRPr="00B146D2">
        <w:rPr>
          <w:rFonts w:cstheme="minorHAnsi"/>
          <w:color w:val="000000"/>
          <w:lang w:val="en-US"/>
        </w:rPr>
        <w:t>Instead, this study found empirical evidence for a</w:t>
      </w:r>
      <w:r>
        <w:rPr>
          <w:rFonts w:cstheme="minorHAnsi"/>
          <w:color w:val="000000"/>
          <w:lang w:val="en-US"/>
        </w:rPr>
        <w:t xml:space="preserve">n increase in </w:t>
      </w:r>
      <w:r w:rsidRPr="00B146D2">
        <w:rPr>
          <w:rFonts w:cstheme="minorHAnsi"/>
          <w:color w:val="000000"/>
          <w:lang w:val="en-US"/>
        </w:rPr>
        <w:t>yields</w:t>
      </w:r>
      <w:r>
        <w:rPr>
          <w:rFonts w:cstheme="minorHAnsi"/>
          <w:color w:val="000000"/>
          <w:lang w:val="en-US"/>
        </w:rPr>
        <w:t xml:space="preserve"> as a reaction</w:t>
      </w:r>
      <w:r w:rsidRPr="00B146D2">
        <w:rPr>
          <w:rFonts w:cstheme="minorHAnsi"/>
          <w:color w:val="000000"/>
          <w:lang w:val="en-US"/>
        </w:rPr>
        <w:t xml:space="preserve"> to</w:t>
      </w:r>
      <w:r>
        <w:rPr>
          <w:rFonts w:cstheme="minorHAnsi"/>
          <w:color w:val="000000"/>
          <w:lang w:val="en-US"/>
        </w:rPr>
        <w:t>wards</w:t>
      </w:r>
      <w:r w:rsidRPr="00B146D2">
        <w:rPr>
          <w:rFonts w:cstheme="minorHAnsi"/>
          <w:color w:val="000000"/>
          <w:lang w:val="en-US"/>
        </w:rPr>
        <w:t xml:space="preserve"> these announcements.</w:t>
      </w:r>
      <w:bookmarkEnd w:id="104"/>
      <w:r>
        <w:rPr>
          <w:rFonts w:cstheme="minorHAnsi"/>
          <w:color w:val="000000"/>
          <w:lang w:val="en-US"/>
        </w:rPr>
        <w:t xml:space="preserve"> </w:t>
      </w:r>
      <w:r w:rsidRPr="00B146D2">
        <w:rPr>
          <w:rFonts w:cstheme="minorHAnsi"/>
          <w:color w:val="000000"/>
          <w:lang w:val="en-US"/>
        </w:rPr>
        <w:t xml:space="preserve"> A possible explanation for this </w:t>
      </w:r>
      <w:r w:rsidRPr="002F3009">
        <w:rPr>
          <w:rFonts w:cstheme="minorHAnsi"/>
          <w:color w:val="000000"/>
          <w:lang w:val="en-US"/>
        </w:rPr>
        <w:t>Observed trend could stem from a delayed effect</w:t>
      </w:r>
      <w:r>
        <w:rPr>
          <w:rFonts w:cstheme="minorHAnsi"/>
          <w:color w:val="000000"/>
          <w:lang w:val="en-US"/>
        </w:rPr>
        <w:t xml:space="preserve"> on UMP announcements as</w:t>
      </w:r>
      <w:r w:rsidRPr="00B146D2">
        <w:rPr>
          <w:rFonts w:cstheme="minorHAnsi"/>
          <w:color w:val="000000"/>
          <w:lang w:val="en-US"/>
        </w:rPr>
        <w:t xml:space="preserve"> mentioned in </w:t>
      </w:r>
      <w:proofErr w:type="spellStart"/>
      <w:r w:rsidRPr="00B146D2">
        <w:rPr>
          <w:rFonts w:cstheme="minorHAnsi"/>
          <w:color w:val="000000"/>
          <w:lang w:val="en-US"/>
        </w:rPr>
        <w:t>Fendel</w:t>
      </w:r>
      <w:proofErr w:type="spellEnd"/>
      <w:r w:rsidRPr="00B146D2">
        <w:rPr>
          <w:rFonts w:cstheme="minorHAnsi"/>
          <w:color w:val="000000"/>
          <w:lang w:val="en-US"/>
        </w:rPr>
        <w:t xml:space="preserve"> and Neugebauer (20</w:t>
      </w:r>
      <w:r w:rsidR="003E1600">
        <w:rPr>
          <w:rFonts w:cstheme="minorHAnsi"/>
          <w:color w:val="000000"/>
          <w:lang w:val="en-US"/>
        </w:rPr>
        <w:t>21</w:t>
      </w:r>
      <w:r w:rsidRPr="00B146D2">
        <w:rPr>
          <w:rFonts w:cstheme="minorHAnsi"/>
          <w:color w:val="000000"/>
          <w:lang w:val="en-US"/>
        </w:rPr>
        <w:t>)</w:t>
      </w:r>
      <w:r>
        <w:rPr>
          <w:rFonts w:cstheme="minorHAnsi"/>
          <w:color w:val="000000"/>
          <w:lang w:val="en-US"/>
        </w:rPr>
        <w:t xml:space="preserve">. </w:t>
      </w:r>
      <w:r w:rsidR="003A7CC5">
        <w:rPr>
          <w:rFonts w:cstheme="minorHAnsi"/>
          <w:color w:val="000000"/>
          <w:lang w:val="en-US"/>
        </w:rPr>
        <w:t>T</w:t>
      </w:r>
      <w:r w:rsidR="003A7CC5" w:rsidRPr="00B146D2">
        <w:rPr>
          <w:rFonts w:cstheme="minorHAnsi"/>
          <w:color w:val="000000"/>
          <w:lang w:val="en-US"/>
        </w:rPr>
        <w:t>herefore,</w:t>
      </w:r>
      <w:r w:rsidRPr="00B146D2">
        <w:rPr>
          <w:rFonts w:cstheme="minorHAnsi"/>
          <w:color w:val="000000"/>
          <w:lang w:val="en-US"/>
        </w:rPr>
        <w:t xml:space="preserve"> lagged variables</w:t>
      </w:r>
      <w:r>
        <w:rPr>
          <w:rFonts w:cstheme="minorHAnsi"/>
          <w:color w:val="000000"/>
          <w:lang w:val="en-US"/>
        </w:rPr>
        <w:t xml:space="preserve"> are included to test this conjecture</w:t>
      </w:r>
      <w:r>
        <w:rPr>
          <w:rStyle w:val="CommentReference"/>
          <w:rFonts w:eastAsiaTheme="minorHAnsi" w:cstheme="minorBidi"/>
        </w:rPr>
        <w:t xml:space="preserve">. </w:t>
      </w:r>
      <w:r w:rsidRPr="00B146D2">
        <w:rPr>
          <w:rFonts w:cstheme="minorHAnsi"/>
          <w:color w:val="000000"/>
          <w:lang w:val="en-US"/>
        </w:rPr>
        <w:t xml:space="preserve"> Empirical evidence</w:t>
      </w:r>
      <w:r>
        <w:rPr>
          <w:rFonts w:cstheme="minorHAnsi"/>
          <w:color w:val="000000"/>
          <w:lang w:val="en-US"/>
        </w:rPr>
        <w:t xml:space="preserve"> found in this study </w:t>
      </w:r>
      <w:r w:rsidRPr="00B146D2">
        <w:rPr>
          <w:rFonts w:cstheme="minorHAnsi"/>
          <w:color w:val="000000"/>
          <w:lang w:val="en-US"/>
        </w:rPr>
        <w:t>suggest</w:t>
      </w:r>
      <w:r>
        <w:rPr>
          <w:rFonts w:cstheme="minorHAnsi"/>
          <w:color w:val="000000"/>
          <w:lang w:val="en-US"/>
        </w:rPr>
        <w:t>ed</w:t>
      </w:r>
      <w:r w:rsidRPr="00B146D2">
        <w:rPr>
          <w:rFonts w:cstheme="minorHAnsi"/>
          <w:color w:val="000000"/>
          <w:lang w:val="en-US"/>
        </w:rPr>
        <w:t xml:space="preserve"> that the positive </w:t>
      </w:r>
      <w:r>
        <w:rPr>
          <w:rFonts w:cstheme="minorHAnsi"/>
          <w:color w:val="000000"/>
          <w:lang w:val="en-US"/>
        </w:rPr>
        <w:t>correlation</w:t>
      </w:r>
      <w:r w:rsidRPr="00B146D2">
        <w:rPr>
          <w:rFonts w:cstheme="minorHAnsi"/>
          <w:color w:val="000000"/>
          <w:lang w:val="en-US"/>
        </w:rPr>
        <w:t xml:space="preserve"> of the lagged dummy variable (</w:t>
      </w:r>
      <w:proofErr w:type="spellStart"/>
      <w:r w:rsidRPr="00B146D2">
        <w:rPr>
          <w:rFonts w:cstheme="minorHAnsi"/>
          <w:color w:val="000000"/>
          <w:lang w:val="en-US"/>
        </w:rPr>
        <w:t>dummy_special_d</w:t>
      </w:r>
      <w:proofErr w:type="spellEnd"/>
      <w:r w:rsidRPr="00B146D2">
        <w:rPr>
          <w:rFonts w:cstheme="minorHAnsi"/>
          <w:color w:val="000000"/>
          <w:lang w:val="en-US"/>
        </w:rPr>
        <w:t>) appears after one day and</w:t>
      </w:r>
      <w:r>
        <w:rPr>
          <w:rFonts w:cstheme="minorHAnsi"/>
          <w:color w:val="000000"/>
          <w:lang w:val="en-US"/>
        </w:rPr>
        <w:t xml:space="preserve"> that this effect</w:t>
      </w:r>
      <w:r w:rsidRPr="00B146D2">
        <w:rPr>
          <w:rFonts w:cstheme="minorHAnsi"/>
          <w:color w:val="000000"/>
          <w:lang w:val="en-US"/>
        </w:rPr>
        <w:t xml:space="preserve"> is significant. However, when analyzing the two-day lagged variable (dummy_special_d2), the sign of this </w:t>
      </w:r>
      <w:r>
        <w:rPr>
          <w:rFonts w:cstheme="minorHAnsi"/>
          <w:color w:val="000000"/>
          <w:lang w:val="en-US"/>
        </w:rPr>
        <w:t>correlation</w:t>
      </w:r>
      <w:r w:rsidRPr="00B146D2">
        <w:rPr>
          <w:rFonts w:cstheme="minorHAnsi"/>
          <w:color w:val="000000"/>
          <w:lang w:val="en-US"/>
        </w:rPr>
        <w:t xml:space="preserve"> </w:t>
      </w:r>
      <w:r>
        <w:rPr>
          <w:rFonts w:cstheme="minorHAnsi"/>
          <w:color w:val="000000"/>
          <w:lang w:val="en-US"/>
        </w:rPr>
        <w:t>remains</w:t>
      </w:r>
      <w:r w:rsidRPr="00B146D2">
        <w:rPr>
          <w:rFonts w:cstheme="minorHAnsi"/>
          <w:color w:val="000000"/>
          <w:lang w:val="en-US"/>
        </w:rPr>
        <w:t xml:space="preserve"> positive but not statistically significant</w:t>
      </w:r>
    </w:p>
    <w:p w14:paraId="04E9DFA0" w14:textId="77777777" w:rsidR="00513A55" w:rsidRPr="00B146D2" w:rsidRDefault="00513A55" w:rsidP="00513A55">
      <w:pPr>
        <w:spacing w:after="240"/>
        <w:ind w:firstLine="720"/>
        <w:rPr>
          <w:rFonts w:cstheme="minorHAnsi"/>
          <w:color w:val="000000"/>
          <w:lang w:val="en-US"/>
        </w:rPr>
      </w:pPr>
      <w:r w:rsidRPr="00B146D2">
        <w:rPr>
          <w:rFonts w:cstheme="minorHAnsi"/>
          <w:color w:val="000000"/>
          <w:lang w:val="en-US"/>
        </w:rPr>
        <w:t xml:space="preserve">What seems to be the most plausible explanation for these results is that the government sovereign bond markets have already incorporated the UMP policy information in their yields and corresponding bond prices before the announcement is made. This way of reasoning suggests that the market </w:t>
      </w:r>
      <w:proofErr w:type="gramStart"/>
      <w:r>
        <w:rPr>
          <w:rFonts w:cstheme="minorHAnsi"/>
          <w:color w:val="000000"/>
          <w:lang w:val="en-US"/>
        </w:rPr>
        <w:t>i</w:t>
      </w:r>
      <w:r w:rsidRPr="0019683C">
        <w:rPr>
          <w:rFonts w:cstheme="minorHAnsi"/>
          <w:color w:val="000000"/>
          <w:lang w:val="en-US"/>
        </w:rPr>
        <w:t>s able to</w:t>
      </w:r>
      <w:proofErr w:type="gramEnd"/>
      <w:r w:rsidRPr="0019683C">
        <w:rPr>
          <w:rFonts w:cstheme="minorHAnsi"/>
          <w:color w:val="000000"/>
          <w:lang w:val="en-US"/>
        </w:rPr>
        <w:t xml:space="preserve"> anticipate </w:t>
      </w:r>
      <w:proofErr w:type="gramStart"/>
      <w:r w:rsidRPr="0019683C">
        <w:rPr>
          <w:rFonts w:cstheme="minorHAnsi"/>
          <w:color w:val="000000"/>
          <w:lang w:val="en-US"/>
        </w:rPr>
        <w:t>correctly on</w:t>
      </w:r>
      <w:proofErr w:type="gramEnd"/>
      <w:r w:rsidRPr="0019683C">
        <w:rPr>
          <w:rFonts w:cstheme="minorHAnsi"/>
          <w:color w:val="000000"/>
          <w:lang w:val="en-US"/>
        </w:rPr>
        <w:t xml:space="preserve"> the outcome of ECB announcements within a margin error small enough to prevent statistically significant market fluctuations</w:t>
      </w:r>
      <w:r>
        <w:rPr>
          <w:rFonts w:cstheme="minorHAnsi"/>
          <w:color w:val="000000"/>
          <w:lang w:val="en-US"/>
        </w:rPr>
        <w:t xml:space="preserve">. </w:t>
      </w:r>
      <w:bookmarkStart w:id="105" w:name="_Hlk122339807"/>
      <w:sdt>
        <w:sdtPr>
          <w:rPr>
            <w:rFonts w:cstheme="minorHAnsi"/>
            <w:color w:val="000000"/>
            <w:lang w:val="en-US"/>
          </w:rPr>
          <w:tag w:val="goog_rdk_19"/>
          <w:id w:val="-612446924"/>
          <w:showingPlcHdr/>
        </w:sdtPr>
        <w:sdtContent>
          <w:r>
            <w:rPr>
              <w:rFonts w:cstheme="minorHAnsi"/>
              <w:color w:val="000000"/>
              <w:lang w:val="en-US"/>
            </w:rPr>
            <w:t xml:space="preserve">     </w:t>
          </w:r>
        </w:sdtContent>
      </w:sdt>
      <w:r w:rsidRPr="00B146D2">
        <w:rPr>
          <w:rFonts w:cstheme="minorHAnsi"/>
          <w:color w:val="000000"/>
          <w:lang w:val="en-US"/>
        </w:rPr>
        <w:t xml:space="preserve">Two other less plausible explanations for this </w:t>
      </w:r>
      <w:r>
        <w:rPr>
          <w:rFonts w:cstheme="minorHAnsi"/>
          <w:color w:val="000000"/>
          <w:lang w:val="en-US"/>
        </w:rPr>
        <w:t>contradictory</w:t>
      </w:r>
      <w:r w:rsidRPr="00B146D2">
        <w:rPr>
          <w:rFonts w:cstheme="minorHAnsi"/>
          <w:color w:val="000000"/>
          <w:lang w:val="en-US"/>
        </w:rPr>
        <w:t xml:space="preserve"> effect could be that government sovereign bond markets do not respond at all to UMP announcements. </w:t>
      </w:r>
      <w:r>
        <w:rPr>
          <w:rFonts w:cstheme="minorHAnsi"/>
          <w:color w:val="000000"/>
          <w:lang w:val="en-US"/>
        </w:rPr>
        <w:t>This</w:t>
      </w:r>
      <w:r w:rsidRPr="00B146D2">
        <w:rPr>
          <w:rFonts w:cstheme="minorHAnsi"/>
          <w:color w:val="000000"/>
          <w:lang w:val="en-US"/>
        </w:rPr>
        <w:t xml:space="preserve"> seems to lack a convincing rational to </w:t>
      </w:r>
      <w:proofErr w:type="gramStart"/>
      <w:r>
        <w:rPr>
          <w:rFonts w:cstheme="minorHAnsi"/>
          <w:color w:val="000000"/>
          <w:lang w:val="en-US"/>
        </w:rPr>
        <w:t>support</w:t>
      </w:r>
      <w:r w:rsidRPr="00B146D2">
        <w:rPr>
          <w:rFonts w:cstheme="minorHAnsi"/>
          <w:color w:val="000000"/>
          <w:lang w:val="en-US"/>
        </w:rPr>
        <w:t xml:space="preserve"> for</w:t>
      </w:r>
      <w:proofErr w:type="gramEnd"/>
      <w:r w:rsidRPr="00B146D2">
        <w:rPr>
          <w:rFonts w:cstheme="minorHAnsi"/>
          <w:color w:val="000000"/>
          <w:lang w:val="en-US"/>
        </w:rPr>
        <w:t xml:space="preserve"> this argument, due to the opposing claims by current literature. Another</w:t>
      </w:r>
      <w:r>
        <w:rPr>
          <w:rFonts w:cstheme="minorHAnsi"/>
          <w:color w:val="000000"/>
          <w:lang w:val="en-US"/>
        </w:rPr>
        <w:t xml:space="preserve"> possible</w:t>
      </w:r>
      <w:r w:rsidRPr="00B146D2">
        <w:rPr>
          <w:rFonts w:cstheme="minorHAnsi"/>
          <w:color w:val="000000"/>
          <w:lang w:val="en-US"/>
        </w:rPr>
        <w:t xml:space="preserve"> explanation is that investors perceive UMP measures as risky or inflationary</w:t>
      </w:r>
      <w:r>
        <w:rPr>
          <w:rFonts w:cstheme="minorHAnsi"/>
          <w:color w:val="000000"/>
          <w:lang w:val="en-US"/>
        </w:rPr>
        <w:t xml:space="preserve"> in the long-term</w:t>
      </w:r>
      <w:r w:rsidRPr="00B146D2">
        <w:rPr>
          <w:rFonts w:cstheme="minorHAnsi"/>
          <w:color w:val="000000"/>
          <w:lang w:val="en-US"/>
        </w:rPr>
        <w:t xml:space="preserve">, leading them to demand a higher return when lending their money to the government, which causes sovereign bond yields to rise. </w:t>
      </w:r>
    </w:p>
    <w:bookmarkEnd w:id="105"/>
    <w:p w14:paraId="1B34B09A" w14:textId="36731F96" w:rsidR="00513A55" w:rsidRPr="00B146D2" w:rsidRDefault="00513A55" w:rsidP="00513A55">
      <w:pPr>
        <w:spacing w:after="240"/>
        <w:ind w:firstLine="720"/>
        <w:rPr>
          <w:rFonts w:cstheme="minorHAnsi"/>
          <w:color w:val="000000"/>
          <w:lang w:val="en-US"/>
        </w:rPr>
      </w:pPr>
      <w:r w:rsidRPr="00B146D2">
        <w:rPr>
          <w:rFonts w:cstheme="minorHAnsi"/>
          <w:color w:val="000000"/>
          <w:lang w:val="en-US"/>
        </w:rPr>
        <w:lastRenderedPageBreak/>
        <w:t xml:space="preserve">Discussing the results of the control </w:t>
      </w:r>
      <w:r w:rsidR="00FE7FF4" w:rsidRPr="00B146D2">
        <w:rPr>
          <w:rFonts w:cstheme="minorHAnsi"/>
          <w:color w:val="000000"/>
          <w:lang w:val="en-US"/>
        </w:rPr>
        <w:t>variables,</w:t>
      </w:r>
      <w:r w:rsidRPr="00B146D2">
        <w:rPr>
          <w:rFonts w:cstheme="minorHAnsi"/>
          <w:color w:val="000000"/>
          <w:lang w:val="en-US"/>
        </w:rPr>
        <w:t xml:space="preserve"> this study concludes the following. The yield changes of the previous day </w:t>
      </w:r>
      <w:r>
        <w:rPr>
          <w:rFonts w:cstheme="minorHAnsi"/>
          <w:color w:val="000000"/>
          <w:lang w:val="en-US"/>
        </w:rPr>
        <w:t>influence</w:t>
      </w:r>
      <w:r w:rsidRPr="00B146D2">
        <w:rPr>
          <w:rFonts w:cstheme="minorHAnsi"/>
          <w:color w:val="000000"/>
          <w:lang w:val="en-US"/>
        </w:rPr>
        <w:t xml:space="preserve"> those of the actual day for all bonds, while the</w:t>
      </w:r>
      <w:r>
        <w:rPr>
          <w:rFonts w:cstheme="minorHAnsi"/>
          <w:color w:val="000000"/>
          <w:lang w:val="en-US"/>
        </w:rPr>
        <w:t xml:space="preserve"> correlation</w:t>
      </w:r>
      <w:r w:rsidRPr="00B146D2">
        <w:rPr>
          <w:rFonts w:cstheme="minorHAnsi"/>
          <w:color w:val="000000"/>
          <w:lang w:val="en-US"/>
        </w:rPr>
        <w:t xml:space="preserve"> coefficient is positive and significant. The coefficient of the country-specific stock market (</w:t>
      </w:r>
      <w:proofErr w:type="spellStart"/>
      <w:r w:rsidRPr="00B146D2">
        <w:rPr>
          <w:rFonts w:cstheme="minorHAnsi"/>
          <w:color w:val="000000"/>
          <w:lang w:val="en-US"/>
        </w:rPr>
        <w:t>stock_fd</w:t>
      </w:r>
      <w:proofErr w:type="spellEnd"/>
      <w:r w:rsidRPr="00B146D2">
        <w:rPr>
          <w:rFonts w:cstheme="minorHAnsi"/>
          <w:color w:val="000000"/>
          <w:lang w:val="en-US"/>
        </w:rPr>
        <w:t xml:space="preserve">_) </w:t>
      </w:r>
      <w:r>
        <w:rPr>
          <w:rFonts w:cstheme="minorHAnsi"/>
          <w:color w:val="000000"/>
          <w:lang w:val="en-US"/>
        </w:rPr>
        <w:t>shows</w:t>
      </w:r>
      <w:r w:rsidRPr="00B146D2">
        <w:rPr>
          <w:rFonts w:cstheme="minorHAnsi"/>
          <w:color w:val="000000"/>
          <w:lang w:val="en-US"/>
        </w:rPr>
        <w:t xml:space="preserve"> a significant positive effect on the yield level, however the absolute size of this effect is small </w:t>
      </w:r>
      <w:r w:rsidRPr="00B146D2">
        <w:t xml:space="preserve">and indistinguishable from zero leaving no room for interpretation of this result. </w:t>
      </w:r>
      <w:r w:rsidRPr="00B146D2">
        <w:rPr>
          <w:rFonts w:cstheme="minorHAnsi"/>
          <w:color w:val="000000"/>
          <w:lang w:val="en-US"/>
        </w:rPr>
        <w:t xml:space="preserve">The </w:t>
      </w:r>
      <w:proofErr w:type="spellStart"/>
      <w:r w:rsidRPr="00B146D2">
        <w:rPr>
          <w:rFonts w:cstheme="minorHAnsi"/>
          <w:color w:val="000000"/>
          <w:lang w:val="en-US"/>
        </w:rPr>
        <w:t>Vsstoxx</w:t>
      </w:r>
      <w:proofErr w:type="spellEnd"/>
      <w:r w:rsidRPr="00B146D2">
        <w:rPr>
          <w:rFonts w:cstheme="minorHAnsi"/>
          <w:color w:val="000000"/>
          <w:lang w:val="en-US"/>
        </w:rPr>
        <w:t xml:space="preserve"> index controversially reacts negatively on announcements. </w:t>
      </w:r>
      <w:r w:rsidR="002B2A67" w:rsidRPr="002B2A67">
        <w:rPr>
          <w:rFonts w:cstheme="minorHAnsi"/>
          <w:color w:val="000000"/>
          <w:lang w:val="en-US"/>
        </w:rPr>
        <w:t>The VSTOXX index, which is based on real-time option prices, is a useful measure of market expectations for near-term to long-term volatility. It can be used to gauge investor sentiment and assess the level of risk in the market.</w:t>
      </w:r>
      <w:r w:rsidRPr="00B146D2">
        <w:rPr>
          <w:rFonts w:cstheme="minorHAnsi"/>
          <w:color w:val="000000"/>
          <w:lang w:val="en-US"/>
        </w:rPr>
        <w:t xml:space="preserve"> This indicates that an announcement from the ECB on the short-term might change the stock market positively, however the long-term perspective </w:t>
      </w:r>
      <w:r>
        <w:rPr>
          <w:rFonts w:cstheme="minorHAnsi"/>
          <w:color w:val="000000"/>
          <w:lang w:val="en-US"/>
        </w:rPr>
        <w:t xml:space="preserve">derived from </w:t>
      </w:r>
      <w:r w:rsidRPr="00B146D2">
        <w:rPr>
          <w:rFonts w:cstheme="minorHAnsi"/>
          <w:color w:val="000000"/>
          <w:lang w:val="en-US"/>
        </w:rPr>
        <w:t xml:space="preserve">the </w:t>
      </w:r>
      <w:proofErr w:type="spellStart"/>
      <w:r w:rsidRPr="00B146D2">
        <w:rPr>
          <w:rFonts w:cstheme="minorHAnsi"/>
          <w:color w:val="000000"/>
          <w:lang w:val="en-US"/>
        </w:rPr>
        <w:t>Vstoxx</w:t>
      </w:r>
      <w:proofErr w:type="spellEnd"/>
      <w:r w:rsidRPr="00B146D2">
        <w:rPr>
          <w:rFonts w:cstheme="minorHAnsi"/>
          <w:color w:val="000000"/>
          <w:lang w:val="en-US"/>
        </w:rPr>
        <w:t xml:space="preserve"> index mainly </w:t>
      </w:r>
      <w:r>
        <w:rPr>
          <w:rFonts w:cstheme="minorHAnsi"/>
          <w:color w:val="000000"/>
          <w:lang w:val="en-US"/>
        </w:rPr>
        <w:t>consists</w:t>
      </w:r>
      <w:r w:rsidRPr="00B146D2">
        <w:rPr>
          <w:rFonts w:cstheme="minorHAnsi"/>
          <w:color w:val="000000"/>
          <w:lang w:val="en-US"/>
        </w:rPr>
        <w:t xml:space="preserve"> of longer-term options</w:t>
      </w:r>
      <w:r>
        <w:rPr>
          <w:rFonts w:cstheme="minorHAnsi"/>
          <w:color w:val="000000"/>
          <w:lang w:val="en-US"/>
        </w:rPr>
        <w:t>, which was found to r</w:t>
      </w:r>
      <w:r w:rsidRPr="00B146D2">
        <w:rPr>
          <w:rFonts w:cstheme="minorHAnsi"/>
          <w:color w:val="000000"/>
          <w:lang w:val="en-US"/>
        </w:rPr>
        <w:t>eact negatively.</w:t>
      </w:r>
      <w:r>
        <w:rPr>
          <w:rFonts w:cstheme="minorHAnsi"/>
          <w:color w:val="000000"/>
          <w:lang w:val="en-US"/>
        </w:rPr>
        <w:t xml:space="preserve"> </w:t>
      </w:r>
      <w:r w:rsidRPr="00B146D2">
        <w:rPr>
          <w:rFonts w:cstheme="minorHAnsi"/>
          <w:color w:val="000000"/>
          <w:lang w:val="en-US"/>
        </w:rPr>
        <w:t xml:space="preserve">Suggesting that in times of high market volatility, investors may be more willing to accept lower yields on sovereign bonds in exchange for the perceived safety and stability that these assets offer compared </w:t>
      </w:r>
      <w:r>
        <w:rPr>
          <w:rFonts w:cstheme="minorHAnsi"/>
          <w:color w:val="000000"/>
          <w:lang w:val="en-US"/>
        </w:rPr>
        <w:t>to</w:t>
      </w:r>
      <w:r w:rsidRPr="00B146D2">
        <w:rPr>
          <w:rFonts w:cstheme="minorHAnsi"/>
          <w:color w:val="000000"/>
          <w:lang w:val="en-US"/>
        </w:rPr>
        <w:t xml:space="preserve"> other assets in the market (Aguilar, 2020).</w:t>
      </w:r>
    </w:p>
    <w:p w14:paraId="4F67D59E" w14:textId="77777777" w:rsidR="00513A55" w:rsidRDefault="00513A55" w:rsidP="00513A55">
      <w:pPr>
        <w:spacing w:after="240"/>
        <w:ind w:firstLine="720"/>
        <w:rPr>
          <w:rFonts w:cstheme="minorHAnsi"/>
          <w:color w:val="000000"/>
          <w:lang w:val="en-US"/>
        </w:rPr>
      </w:pPr>
      <w:r w:rsidRPr="00B146D2">
        <w:rPr>
          <w:rFonts w:cstheme="minorHAnsi"/>
          <w:color w:val="000000"/>
          <w:lang w:val="en-US"/>
        </w:rPr>
        <w:t xml:space="preserve"> The European </w:t>
      </w:r>
      <w:proofErr w:type="spellStart"/>
      <w:r w:rsidRPr="00B146D2">
        <w:rPr>
          <w:rFonts w:cstheme="minorHAnsi"/>
          <w:color w:val="000000"/>
          <w:lang w:val="en-US"/>
        </w:rPr>
        <w:t>Itraxx</w:t>
      </w:r>
      <w:proofErr w:type="spellEnd"/>
      <w:r w:rsidRPr="00B146D2">
        <w:rPr>
          <w:rFonts w:cstheme="minorHAnsi"/>
          <w:color w:val="000000"/>
          <w:lang w:val="en-US"/>
        </w:rPr>
        <w:t xml:space="preserve"> index has a positive effect on yield changes</w:t>
      </w:r>
      <w:r>
        <w:rPr>
          <w:rFonts w:cstheme="minorHAnsi"/>
          <w:color w:val="000000"/>
          <w:lang w:val="en-US"/>
        </w:rPr>
        <w:t>, as expected by the literature</w:t>
      </w:r>
      <w:r w:rsidRPr="00B146D2">
        <w:rPr>
          <w:rFonts w:cstheme="minorHAnsi"/>
          <w:color w:val="000000"/>
          <w:lang w:val="en-US"/>
        </w:rPr>
        <w:t>. As hypothesized</w:t>
      </w:r>
      <w:r>
        <w:rPr>
          <w:rFonts w:cstheme="minorHAnsi"/>
          <w:color w:val="000000"/>
          <w:lang w:val="en-US"/>
        </w:rPr>
        <w:t>,</w:t>
      </w:r>
      <w:r w:rsidRPr="00B146D2">
        <w:rPr>
          <w:rFonts w:cstheme="minorHAnsi"/>
          <w:color w:val="000000"/>
          <w:lang w:val="en-US"/>
        </w:rPr>
        <w:t xml:space="preserve"> a higher </w:t>
      </w:r>
      <w:proofErr w:type="spellStart"/>
      <w:r w:rsidRPr="00B146D2">
        <w:rPr>
          <w:rFonts w:cstheme="minorHAnsi"/>
          <w:color w:val="000000"/>
          <w:lang w:val="en-US"/>
        </w:rPr>
        <w:t>iTraxx</w:t>
      </w:r>
      <w:proofErr w:type="spellEnd"/>
      <w:r w:rsidRPr="00B146D2">
        <w:rPr>
          <w:rFonts w:cstheme="minorHAnsi"/>
          <w:color w:val="000000"/>
          <w:lang w:val="en-US"/>
        </w:rPr>
        <w:t xml:space="preserve"> indicates a higher overall default risk in the economy, </w:t>
      </w:r>
      <w:r>
        <w:rPr>
          <w:rFonts w:cstheme="minorHAnsi"/>
          <w:color w:val="000000"/>
          <w:lang w:val="en-US"/>
        </w:rPr>
        <w:t>which is supported by the</w:t>
      </w:r>
      <w:r w:rsidRPr="00B146D2">
        <w:rPr>
          <w:rFonts w:cstheme="minorHAnsi"/>
          <w:color w:val="000000"/>
          <w:lang w:val="en-US"/>
        </w:rPr>
        <w:t xml:space="preserve"> positive relationship between the </w:t>
      </w:r>
      <w:proofErr w:type="spellStart"/>
      <w:r w:rsidRPr="00B146D2">
        <w:rPr>
          <w:rFonts w:cstheme="minorHAnsi"/>
          <w:color w:val="000000"/>
          <w:lang w:val="en-US"/>
        </w:rPr>
        <w:t>iTraxx</w:t>
      </w:r>
      <w:proofErr w:type="spellEnd"/>
      <w:r w:rsidRPr="00B146D2">
        <w:rPr>
          <w:rFonts w:cstheme="minorHAnsi"/>
          <w:color w:val="000000"/>
          <w:lang w:val="en-US"/>
        </w:rPr>
        <w:t xml:space="preserve"> index and the bank and yield level. Since this yield level </w:t>
      </w:r>
      <w:r>
        <w:rPr>
          <w:rFonts w:cstheme="minorHAnsi"/>
          <w:color w:val="000000"/>
          <w:lang w:val="en-US"/>
        </w:rPr>
        <w:t>p</w:t>
      </w:r>
      <w:r w:rsidRPr="0019683C">
        <w:rPr>
          <w:rFonts w:cstheme="minorHAnsi"/>
          <w:color w:val="000000"/>
          <w:lang w:val="en-US"/>
        </w:rPr>
        <w:t>artially includes anticipated future default risks, it is expected to follow</w:t>
      </w:r>
      <w:r>
        <w:rPr>
          <w:rFonts w:cstheme="minorHAnsi"/>
          <w:color w:val="000000"/>
          <w:lang w:val="en-US"/>
        </w:rPr>
        <w:t xml:space="preserve"> </w:t>
      </w:r>
      <w:r w:rsidRPr="00B146D2">
        <w:rPr>
          <w:rFonts w:cstheme="minorHAnsi"/>
          <w:color w:val="000000"/>
          <w:lang w:val="en-US"/>
        </w:rPr>
        <w:t xml:space="preserve">the movement of the country-specific stock market index since there is no </w:t>
      </w:r>
      <w:r>
        <w:rPr>
          <w:rFonts w:cstheme="minorHAnsi"/>
          <w:color w:val="000000"/>
          <w:lang w:val="en-US"/>
        </w:rPr>
        <w:t>assurances i</w:t>
      </w:r>
      <w:r w:rsidRPr="00B146D2">
        <w:rPr>
          <w:rFonts w:cstheme="minorHAnsi"/>
          <w:color w:val="000000"/>
          <w:lang w:val="en-US"/>
        </w:rPr>
        <w:t>n the market and investors therefore demand a higher yield on their investments (bonds).</w:t>
      </w:r>
      <w:r>
        <w:rPr>
          <w:rFonts w:cstheme="minorHAnsi"/>
          <w:color w:val="000000"/>
          <w:lang w:val="en-US"/>
        </w:rPr>
        <w:t xml:space="preserve"> </w:t>
      </w:r>
      <w:r w:rsidRPr="00B146D2">
        <w:rPr>
          <w:rFonts w:cstheme="minorHAnsi"/>
          <w:color w:val="000000"/>
          <w:lang w:val="en-US"/>
        </w:rPr>
        <w:t xml:space="preserve">Both the total stock market index and </w:t>
      </w:r>
      <w:proofErr w:type="gramStart"/>
      <w:r w:rsidRPr="00B146D2">
        <w:rPr>
          <w:rFonts w:cstheme="minorHAnsi"/>
          <w:color w:val="000000"/>
          <w:lang w:val="en-US"/>
        </w:rPr>
        <w:t>City</w:t>
      </w:r>
      <w:proofErr w:type="gramEnd"/>
      <w:r w:rsidRPr="00B146D2">
        <w:rPr>
          <w:rFonts w:cstheme="minorHAnsi"/>
          <w:color w:val="000000"/>
          <w:lang w:val="en-US"/>
        </w:rPr>
        <w:t xml:space="preserve"> Group Surprise Index have a small, albeit non-negative, significant effect on changes in yield levels. However, due to the magnitude of these effects, it is not meaningful to interpret in the analysis. Furthermore, both CDS and the lagged CDS have a positive and significant influence on the sovereign yield changes.</w:t>
      </w:r>
      <w:r w:rsidRPr="0024689A">
        <w:rPr>
          <w:rFonts w:cstheme="minorHAnsi"/>
          <w:color w:val="000000"/>
          <w:lang w:val="en-US"/>
        </w:rPr>
        <w:t xml:space="preserve"> </w:t>
      </w:r>
    </w:p>
    <w:p w14:paraId="5D7AE7C9" w14:textId="61CCB3C0" w:rsidR="00513A55" w:rsidRDefault="00513A55" w:rsidP="00513A55">
      <w:pPr>
        <w:spacing w:after="240"/>
        <w:ind w:firstLine="720"/>
        <w:rPr>
          <w:rFonts w:cstheme="minorHAnsi"/>
          <w:color w:val="000000"/>
          <w:lang w:val="en-US"/>
        </w:rPr>
      </w:pPr>
      <w:r w:rsidRPr="00AE6D3C">
        <w:rPr>
          <w:rFonts w:cstheme="minorHAnsi"/>
          <w:color w:val="000000"/>
          <w:lang w:val="en-US"/>
        </w:rPr>
        <w:t xml:space="preserve">Overall, </w:t>
      </w:r>
      <w:r>
        <w:rPr>
          <w:rFonts w:cstheme="minorHAnsi"/>
          <w:color w:val="000000"/>
          <w:lang w:val="en-US"/>
        </w:rPr>
        <w:t xml:space="preserve">these results show that there exists </w:t>
      </w:r>
      <w:r w:rsidRPr="00AE6D3C">
        <w:rPr>
          <w:rFonts w:cstheme="minorHAnsi"/>
          <w:color w:val="000000"/>
          <w:lang w:val="en-US"/>
        </w:rPr>
        <w:t xml:space="preserve">strong evidence that sovereign bond yields immediately increase in response to announcements of </w:t>
      </w:r>
      <w:r>
        <w:rPr>
          <w:rFonts w:cstheme="minorHAnsi"/>
          <w:color w:val="000000"/>
          <w:lang w:val="en-US"/>
        </w:rPr>
        <w:t>UMP announcements of the ECB</w:t>
      </w:r>
      <w:r w:rsidRPr="00AE6D3C">
        <w:rPr>
          <w:rFonts w:cstheme="minorHAnsi"/>
          <w:color w:val="000000"/>
          <w:lang w:val="en-US"/>
        </w:rPr>
        <w:t xml:space="preserve">. Furthermore, </w:t>
      </w:r>
      <w:r>
        <w:rPr>
          <w:rFonts w:cstheme="minorHAnsi"/>
          <w:color w:val="000000"/>
          <w:lang w:val="en-US"/>
        </w:rPr>
        <w:t>this study</w:t>
      </w:r>
      <w:r w:rsidRPr="00AE6D3C">
        <w:rPr>
          <w:rFonts w:cstheme="minorHAnsi"/>
          <w:color w:val="000000"/>
          <w:lang w:val="en-US"/>
        </w:rPr>
        <w:t xml:space="preserve"> observed that this effect persists for at </w:t>
      </w:r>
      <w:r>
        <w:rPr>
          <w:rFonts w:cstheme="minorHAnsi"/>
          <w:color w:val="000000"/>
          <w:lang w:val="en-US"/>
        </w:rPr>
        <w:t xml:space="preserve">two </w:t>
      </w:r>
      <w:r w:rsidRPr="00AE6D3C">
        <w:rPr>
          <w:rFonts w:cstheme="minorHAnsi"/>
          <w:color w:val="000000"/>
          <w:lang w:val="en-US"/>
        </w:rPr>
        <w:t>day</w:t>
      </w:r>
      <w:r>
        <w:rPr>
          <w:rFonts w:cstheme="minorHAnsi"/>
          <w:color w:val="000000"/>
          <w:lang w:val="en-US"/>
        </w:rPr>
        <w:t>s</w:t>
      </w:r>
      <w:r w:rsidRPr="00AE6D3C">
        <w:rPr>
          <w:rFonts w:cstheme="minorHAnsi"/>
          <w:color w:val="000000"/>
          <w:lang w:val="en-US"/>
        </w:rPr>
        <w:t xml:space="preserve">, </w:t>
      </w:r>
      <w:r>
        <w:rPr>
          <w:rFonts w:cstheme="minorHAnsi"/>
          <w:color w:val="000000"/>
          <w:lang w:val="en-US"/>
        </w:rPr>
        <w:t>confirming</w:t>
      </w:r>
      <w:r w:rsidRPr="00AE6D3C">
        <w:rPr>
          <w:rFonts w:cstheme="minorHAnsi"/>
          <w:color w:val="000000"/>
          <w:lang w:val="en-US"/>
        </w:rPr>
        <w:t xml:space="preserve"> a delayed </w:t>
      </w:r>
      <w:r w:rsidRPr="00AE6D3C">
        <w:rPr>
          <w:rFonts w:cstheme="minorHAnsi"/>
          <w:color w:val="000000"/>
          <w:lang w:val="en-US"/>
        </w:rPr>
        <w:lastRenderedPageBreak/>
        <w:t xml:space="preserve">response. </w:t>
      </w:r>
      <w:r>
        <w:rPr>
          <w:rFonts w:cstheme="minorHAnsi"/>
          <w:color w:val="000000"/>
          <w:lang w:val="en-US"/>
        </w:rPr>
        <w:t>In conclusion, t</w:t>
      </w:r>
      <w:r w:rsidRPr="00AE6D3C">
        <w:rPr>
          <w:rFonts w:cstheme="minorHAnsi"/>
          <w:color w:val="000000"/>
          <w:lang w:val="en-US"/>
        </w:rPr>
        <w:t>hese findings provide empirical support for the idea that UMP announcements can affect sovereign bond yields in the short-term.</w:t>
      </w:r>
    </w:p>
    <w:p w14:paraId="35859B7B" w14:textId="6E147ACB" w:rsidR="00137437" w:rsidRPr="00BC2E42" w:rsidRDefault="00137437" w:rsidP="00137437">
      <w:pPr>
        <w:pStyle w:val="Caption"/>
        <w:jc w:val="left"/>
        <w:rPr>
          <w:lang w:val="en-GB"/>
        </w:rPr>
      </w:pPr>
      <w:bookmarkStart w:id="106" w:name="_Ref439734064"/>
      <w:r w:rsidRPr="00BC2E42">
        <w:rPr>
          <w:lang w:val="en-GB"/>
        </w:rPr>
        <w:t xml:space="preserve">Table </w:t>
      </w:r>
      <w:bookmarkEnd w:id="106"/>
      <w:r w:rsidR="00D65D51">
        <w:rPr>
          <w:lang w:val="en-GB"/>
        </w:rPr>
        <w:t>3</w:t>
      </w:r>
      <w:r w:rsidRPr="00BC2E42">
        <w:rPr>
          <w:lang w:val="en-GB"/>
        </w:rPr>
        <w:t xml:space="preserve">. </w:t>
      </w:r>
      <w:r w:rsidRPr="00792271">
        <w:rPr>
          <w:lang w:val="en-GB"/>
        </w:rPr>
        <w:t>Panel regression – European Monetary Union (Sovereign Long-Term Yield Level</w:t>
      </w:r>
      <w:r>
        <w:rPr>
          <w:lang w:val="en-GB"/>
        </w:rPr>
        <w:t>)</w:t>
      </w:r>
    </w:p>
    <w:tbl>
      <w:tblPr>
        <w:tblW w:w="9987" w:type="dxa"/>
        <w:tblLayout w:type="fixed"/>
        <w:tblLook w:val="0000" w:firstRow="0" w:lastRow="0" w:firstColumn="0" w:lastColumn="0" w:noHBand="0" w:noVBand="0"/>
      </w:tblPr>
      <w:tblGrid>
        <w:gridCol w:w="2098"/>
        <w:gridCol w:w="439"/>
        <w:gridCol w:w="440"/>
        <w:gridCol w:w="992"/>
        <w:gridCol w:w="264"/>
        <w:gridCol w:w="887"/>
        <w:gridCol w:w="130"/>
        <w:gridCol w:w="1121"/>
        <w:gridCol w:w="349"/>
        <w:gridCol w:w="935"/>
        <w:gridCol w:w="935"/>
        <w:gridCol w:w="51"/>
        <w:gridCol w:w="514"/>
        <w:gridCol w:w="814"/>
        <w:gridCol w:w="18"/>
      </w:tblGrid>
      <w:tr w:rsidR="00137437" w:rsidRPr="0028029C" w14:paraId="3A6F30AA" w14:textId="77777777" w:rsidTr="008E0221">
        <w:trPr>
          <w:gridAfter w:val="1"/>
          <w:wAfter w:w="18" w:type="dxa"/>
          <w:trHeight w:val="182"/>
        </w:trPr>
        <w:tc>
          <w:tcPr>
            <w:tcW w:w="2098" w:type="dxa"/>
            <w:tcBorders>
              <w:top w:val="single" w:sz="4" w:space="0" w:color="000000"/>
              <w:left w:val="nil"/>
              <w:bottom w:val="single" w:sz="8" w:space="0" w:color="000000"/>
              <w:right w:val="nil"/>
            </w:tcBorders>
          </w:tcPr>
          <w:p w14:paraId="61AA8AA2" w14:textId="77777777" w:rsidR="00137437" w:rsidRPr="00E4748F" w:rsidRDefault="00137437" w:rsidP="008E0221">
            <w:pPr>
              <w:widowControl w:val="0"/>
              <w:spacing w:line="240" w:lineRule="auto"/>
              <w:rPr>
                <w:rFonts w:cs="TimesLTStd-Roman"/>
                <w:b/>
                <w:bCs/>
                <w:iCs/>
                <w:color w:val="000000"/>
                <w:sz w:val="20"/>
                <w:szCs w:val="16"/>
              </w:rPr>
            </w:pPr>
            <w:proofErr w:type="spellStart"/>
            <w:r w:rsidRPr="00E4748F">
              <w:rPr>
                <w:rFonts w:cs="TimesLTStd-Roman"/>
                <w:b/>
                <w:bCs/>
                <w:iCs/>
                <w:color w:val="000000"/>
                <w:sz w:val="20"/>
                <w:szCs w:val="16"/>
              </w:rPr>
              <w:t>yield_fd</w:t>
            </w:r>
            <w:proofErr w:type="spellEnd"/>
            <w:r w:rsidRPr="00E4748F">
              <w:rPr>
                <w:rFonts w:cs="TimesLTStd-Roman"/>
                <w:b/>
                <w:bCs/>
                <w:iCs/>
                <w:color w:val="000000"/>
                <w:sz w:val="20"/>
                <w:szCs w:val="16"/>
              </w:rPr>
              <w:t>_</w:t>
            </w:r>
          </w:p>
        </w:tc>
        <w:tc>
          <w:tcPr>
            <w:tcW w:w="879" w:type="dxa"/>
            <w:gridSpan w:val="2"/>
            <w:tcBorders>
              <w:top w:val="single" w:sz="4" w:space="0" w:color="000000"/>
              <w:left w:val="nil"/>
              <w:bottom w:val="single" w:sz="8" w:space="0" w:color="000000"/>
              <w:right w:val="nil"/>
            </w:tcBorders>
          </w:tcPr>
          <w:p w14:paraId="66955798" w14:textId="77777777" w:rsidR="00137437" w:rsidRPr="00E4748F" w:rsidRDefault="00137437" w:rsidP="008E0221">
            <w:pPr>
              <w:widowControl w:val="0"/>
              <w:spacing w:line="240" w:lineRule="auto"/>
              <w:jc w:val="center"/>
              <w:rPr>
                <w:rFonts w:cs="TimesLTStd-Roman"/>
                <w:b/>
                <w:bCs/>
                <w:iCs/>
                <w:color w:val="000000"/>
                <w:sz w:val="20"/>
                <w:szCs w:val="16"/>
              </w:rPr>
            </w:pPr>
            <w:r w:rsidRPr="00E4748F">
              <w:rPr>
                <w:rFonts w:cs="TimesLTStd-Roman"/>
                <w:b/>
                <w:bCs/>
                <w:iCs/>
                <w:color w:val="000000"/>
                <w:sz w:val="20"/>
                <w:szCs w:val="16"/>
              </w:rPr>
              <w:t>Coef.</w:t>
            </w:r>
          </w:p>
        </w:tc>
        <w:tc>
          <w:tcPr>
            <w:tcW w:w="992" w:type="dxa"/>
            <w:tcBorders>
              <w:top w:val="single" w:sz="4" w:space="0" w:color="000000"/>
              <w:left w:val="nil"/>
              <w:bottom w:val="single" w:sz="8" w:space="0" w:color="000000"/>
              <w:right w:val="nil"/>
            </w:tcBorders>
          </w:tcPr>
          <w:p w14:paraId="0A4E4DE5" w14:textId="77777777" w:rsidR="00137437" w:rsidRPr="00E4748F" w:rsidRDefault="00137437" w:rsidP="008E0221">
            <w:pPr>
              <w:widowControl w:val="0"/>
              <w:spacing w:line="240" w:lineRule="auto"/>
              <w:jc w:val="center"/>
              <w:rPr>
                <w:rFonts w:cs="TimesLTStd-Roman"/>
                <w:b/>
                <w:bCs/>
                <w:iCs/>
                <w:color w:val="000000"/>
                <w:sz w:val="20"/>
                <w:szCs w:val="16"/>
              </w:rPr>
            </w:pPr>
            <w:proofErr w:type="spellStart"/>
            <w:proofErr w:type="gramStart"/>
            <w:r w:rsidRPr="00E4748F">
              <w:rPr>
                <w:rFonts w:cs="TimesLTStd-Roman"/>
                <w:b/>
                <w:bCs/>
                <w:iCs/>
                <w:color w:val="000000"/>
                <w:sz w:val="20"/>
                <w:szCs w:val="16"/>
              </w:rPr>
              <w:t>St.Err</w:t>
            </w:r>
            <w:proofErr w:type="spellEnd"/>
            <w:proofErr w:type="gramEnd"/>
            <w:r w:rsidRPr="00E4748F">
              <w:rPr>
                <w:rFonts w:cs="TimesLTStd-Roman"/>
                <w:b/>
                <w:bCs/>
                <w:iCs/>
                <w:color w:val="000000"/>
                <w:sz w:val="20"/>
                <w:szCs w:val="16"/>
              </w:rPr>
              <w:t>.</w:t>
            </w:r>
          </w:p>
        </w:tc>
        <w:tc>
          <w:tcPr>
            <w:tcW w:w="1281" w:type="dxa"/>
            <w:gridSpan w:val="3"/>
            <w:tcBorders>
              <w:top w:val="single" w:sz="4" w:space="0" w:color="000000"/>
              <w:left w:val="nil"/>
              <w:bottom w:val="single" w:sz="8" w:space="0" w:color="000000"/>
              <w:right w:val="nil"/>
            </w:tcBorders>
          </w:tcPr>
          <w:p w14:paraId="790EFE57" w14:textId="77777777" w:rsidR="00137437" w:rsidRPr="00E4748F" w:rsidRDefault="00137437" w:rsidP="008E0221">
            <w:pPr>
              <w:widowControl w:val="0"/>
              <w:spacing w:line="240" w:lineRule="auto"/>
              <w:jc w:val="center"/>
              <w:rPr>
                <w:rFonts w:cs="TimesLTStd-Roman"/>
                <w:b/>
                <w:bCs/>
                <w:iCs/>
                <w:color w:val="000000"/>
                <w:sz w:val="20"/>
                <w:szCs w:val="16"/>
              </w:rPr>
            </w:pPr>
            <w:r w:rsidRPr="00E4748F">
              <w:rPr>
                <w:rFonts w:cs="TimesLTStd-Roman"/>
                <w:b/>
                <w:bCs/>
                <w:iCs/>
                <w:color w:val="000000"/>
                <w:sz w:val="20"/>
                <w:szCs w:val="16"/>
              </w:rPr>
              <w:t>t-value</w:t>
            </w:r>
          </w:p>
        </w:tc>
        <w:tc>
          <w:tcPr>
            <w:tcW w:w="1121" w:type="dxa"/>
            <w:tcBorders>
              <w:top w:val="single" w:sz="4" w:space="0" w:color="000000"/>
              <w:left w:val="nil"/>
              <w:bottom w:val="single" w:sz="8" w:space="0" w:color="000000"/>
              <w:right w:val="nil"/>
            </w:tcBorders>
          </w:tcPr>
          <w:p w14:paraId="4F4039A1" w14:textId="77777777" w:rsidR="00137437" w:rsidRPr="00E4748F" w:rsidRDefault="00137437" w:rsidP="008E0221">
            <w:pPr>
              <w:widowControl w:val="0"/>
              <w:spacing w:line="240" w:lineRule="auto"/>
              <w:jc w:val="center"/>
              <w:rPr>
                <w:rFonts w:cs="TimesLTStd-Roman"/>
                <w:b/>
                <w:bCs/>
                <w:iCs/>
                <w:color w:val="000000"/>
                <w:sz w:val="20"/>
                <w:szCs w:val="16"/>
              </w:rPr>
            </w:pPr>
            <w:r w:rsidRPr="00E4748F">
              <w:rPr>
                <w:rFonts w:cs="TimesLTStd-Roman"/>
                <w:b/>
                <w:bCs/>
                <w:iCs/>
                <w:color w:val="000000"/>
                <w:sz w:val="20"/>
                <w:szCs w:val="16"/>
              </w:rPr>
              <w:t>p-value</w:t>
            </w:r>
          </w:p>
        </w:tc>
        <w:tc>
          <w:tcPr>
            <w:tcW w:w="2784" w:type="dxa"/>
            <w:gridSpan w:val="5"/>
            <w:tcBorders>
              <w:top w:val="single" w:sz="4" w:space="0" w:color="000000"/>
              <w:left w:val="nil"/>
              <w:bottom w:val="single" w:sz="8" w:space="0" w:color="000000"/>
              <w:right w:val="nil"/>
            </w:tcBorders>
          </w:tcPr>
          <w:p w14:paraId="6DEFB039" w14:textId="77777777" w:rsidR="00137437" w:rsidRPr="00E4748F" w:rsidRDefault="00137437" w:rsidP="008E0221">
            <w:pPr>
              <w:widowControl w:val="0"/>
              <w:spacing w:line="240" w:lineRule="auto"/>
              <w:rPr>
                <w:rFonts w:cs="TimesLTStd-Roman"/>
                <w:b/>
                <w:bCs/>
                <w:iCs/>
                <w:color w:val="000000"/>
                <w:sz w:val="20"/>
                <w:szCs w:val="16"/>
              </w:rPr>
            </w:pPr>
            <w:r w:rsidRPr="00E4748F">
              <w:rPr>
                <w:rFonts w:cs="TimesLTStd-Roman"/>
                <w:b/>
                <w:bCs/>
                <w:iCs/>
                <w:color w:val="000000"/>
                <w:sz w:val="20"/>
                <w:szCs w:val="16"/>
              </w:rPr>
              <w:t>[95% Conf       Interval]</w:t>
            </w:r>
          </w:p>
        </w:tc>
        <w:tc>
          <w:tcPr>
            <w:tcW w:w="814" w:type="dxa"/>
            <w:tcBorders>
              <w:top w:val="single" w:sz="4" w:space="0" w:color="000000"/>
              <w:left w:val="nil"/>
              <w:bottom w:val="single" w:sz="8" w:space="0" w:color="000000"/>
              <w:right w:val="nil"/>
            </w:tcBorders>
          </w:tcPr>
          <w:p w14:paraId="1F4879A3" w14:textId="77777777" w:rsidR="00137437" w:rsidRPr="00E4748F" w:rsidRDefault="00137437" w:rsidP="008E0221">
            <w:pPr>
              <w:widowControl w:val="0"/>
              <w:spacing w:line="240" w:lineRule="auto"/>
              <w:ind w:firstLine="0"/>
              <w:rPr>
                <w:rFonts w:cs="TimesLTStd-Roman"/>
                <w:b/>
                <w:bCs/>
                <w:iCs/>
                <w:color w:val="000000"/>
                <w:sz w:val="20"/>
                <w:szCs w:val="16"/>
              </w:rPr>
            </w:pPr>
            <w:r w:rsidRPr="00E4748F">
              <w:rPr>
                <w:rFonts w:cs="TimesLTStd-Roman"/>
                <w:b/>
                <w:bCs/>
                <w:iCs/>
                <w:color w:val="000000"/>
                <w:sz w:val="20"/>
                <w:szCs w:val="16"/>
              </w:rPr>
              <w:t>Sig</w:t>
            </w:r>
          </w:p>
        </w:tc>
      </w:tr>
      <w:tr w:rsidR="00137437" w:rsidRPr="0028029C" w14:paraId="3B482FA8" w14:textId="77777777" w:rsidTr="008E0221">
        <w:trPr>
          <w:gridAfter w:val="1"/>
          <w:wAfter w:w="18" w:type="dxa"/>
          <w:trHeight w:val="364"/>
        </w:trPr>
        <w:tc>
          <w:tcPr>
            <w:tcW w:w="2098" w:type="dxa"/>
            <w:tcBorders>
              <w:top w:val="nil"/>
              <w:left w:val="nil"/>
              <w:bottom w:val="nil"/>
              <w:right w:val="nil"/>
            </w:tcBorders>
          </w:tcPr>
          <w:p w14:paraId="56AACA6A" w14:textId="77777777" w:rsidR="00137437" w:rsidRPr="0028029C" w:rsidRDefault="00137437" w:rsidP="008E0221">
            <w:pPr>
              <w:widowControl w:val="0"/>
              <w:spacing w:line="240" w:lineRule="auto"/>
              <w:rPr>
                <w:rFonts w:cs="TimesLTStd-Roman"/>
                <w:iCs/>
                <w:color w:val="000000"/>
                <w:sz w:val="20"/>
                <w:szCs w:val="16"/>
              </w:rPr>
            </w:pPr>
            <w:proofErr w:type="spellStart"/>
            <w:r w:rsidRPr="0028029C">
              <w:rPr>
                <w:rFonts w:cs="TimesLTStd-Roman"/>
                <w:iCs/>
                <w:color w:val="000000"/>
                <w:sz w:val="20"/>
                <w:szCs w:val="16"/>
              </w:rPr>
              <w:t>dummy_special</w:t>
            </w:r>
            <w:proofErr w:type="spellEnd"/>
          </w:p>
        </w:tc>
        <w:tc>
          <w:tcPr>
            <w:tcW w:w="879" w:type="dxa"/>
            <w:gridSpan w:val="2"/>
            <w:tcBorders>
              <w:top w:val="nil"/>
              <w:left w:val="nil"/>
              <w:bottom w:val="nil"/>
              <w:right w:val="nil"/>
            </w:tcBorders>
          </w:tcPr>
          <w:p w14:paraId="71242A7C"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.014</w:t>
            </w:r>
          </w:p>
        </w:tc>
        <w:tc>
          <w:tcPr>
            <w:tcW w:w="992" w:type="dxa"/>
            <w:tcBorders>
              <w:top w:val="nil"/>
              <w:left w:val="nil"/>
              <w:bottom w:val="nil"/>
              <w:right w:val="nil"/>
            </w:tcBorders>
          </w:tcPr>
          <w:p w14:paraId="137EB90E"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.006</w:t>
            </w:r>
          </w:p>
        </w:tc>
        <w:tc>
          <w:tcPr>
            <w:tcW w:w="1151" w:type="dxa"/>
            <w:gridSpan w:val="2"/>
            <w:tcBorders>
              <w:top w:val="nil"/>
              <w:left w:val="nil"/>
              <w:bottom w:val="nil"/>
              <w:right w:val="nil"/>
            </w:tcBorders>
          </w:tcPr>
          <w:p w14:paraId="7F8E1809"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2.27</w:t>
            </w:r>
          </w:p>
        </w:tc>
        <w:tc>
          <w:tcPr>
            <w:tcW w:w="1251" w:type="dxa"/>
            <w:gridSpan w:val="2"/>
            <w:tcBorders>
              <w:top w:val="nil"/>
              <w:left w:val="nil"/>
              <w:bottom w:val="nil"/>
              <w:right w:val="nil"/>
            </w:tcBorders>
          </w:tcPr>
          <w:p w14:paraId="093D1C31"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.023</w:t>
            </w:r>
          </w:p>
        </w:tc>
        <w:tc>
          <w:tcPr>
            <w:tcW w:w="1284" w:type="dxa"/>
            <w:gridSpan w:val="2"/>
            <w:tcBorders>
              <w:top w:val="nil"/>
              <w:left w:val="nil"/>
              <w:bottom w:val="nil"/>
              <w:right w:val="nil"/>
            </w:tcBorders>
          </w:tcPr>
          <w:p w14:paraId="086F2E4A"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.002</w:t>
            </w:r>
          </w:p>
        </w:tc>
        <w:tc>
          <w:tcPr>
            <w:tcW w:w="986" w:type="dxa"/>
            <w:gridSpan w:val="2"/>
            <w:tcBorders>
              <w:top w:val="nil"/>
              <w:left w:val="nil"/>
              <w:bottom w:val="nil"/>
              <w:right w:val="nil"/>
            </w:tcBorders>
          </w:tcPr>
          <w:p w14:paraId="2C4F7FFC"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.027</w:t>
            </w:r>
          </w:p>
        </w:tc>
        <w:tc>
          <w:tcPr>
            <w:tcW w:w="1328" w:type="dxa"/>
            <w:gridSpan w:val="2"/>
            <w:tcBorders>
              <w:top w:val="nil"/>
              <w:left w:val="nil"/>
              <w:bottom w:val="nil"/>
              <w:right w:val="nil"/>
            </w:tcBorders>
          </w:tcPr>
          <w:p w14:paraId="00EDBBBF"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w:t>
            </w:r>
          </w:p>
        </w:tc>
      </w:tr>
      <w:tr w:rsidR="00137437" w:rsidRPr="0028029C" w14:paraId="18EB115D" w14:textId="77777777" w:rsidTr="008E0221">
        <w:trPr>
          <w:gridAfter w:val="1"/>
          <w:wAfter w:w="18" w:type="dxa"/>
          <w:trHeight w:val="364"/>
        </w:trPr>
        <w:tc>
          <w:tcPr>
            <w:tcW w:w="2098" w:type="dxa"/>
            <w:tcBorders>
              <w:top w:val="nil"/>
              <w:left w:val="nil"/>
              <w:bottom w:val="nil"/>
              <w:right w:val="nil"/>
            </w:tcBorders>
          </w:tcPr>
          <w:p w14:paraId="5B590C62" w14:textId="77777777" w:rsidR="00137437" w:rsidRPr="0028029C" w:rsidRDefault="00137437" w:rsidP="008E0221">
            <w:pPr>
              <w:widowControl w:val="0"/>
              <w:spacing w:line="240" w:lineRule="auto"/>
              <w:rPr>
                <w:rFonts w:cs="TimesLTStd-Roman"/>
                <w:iCs/>
                <w:color w:val="000000"/>
                <w:sz w:val="20"/>
                <w:szCs w:val="16"/>
              </w:rPr>
            </w:pPr>
            <w:proofErr w:type="spellStart"/>
            <w:r w:rsidRPr="0028029C">
              <w:rPr>
                <w:rFonts w:cs="TimesLTStd-Roman"/>
                <w:iCs/>
                <w:color w:val="000000"/>
                <w:sz w:val="20"/>
                <w:szCs w:val="16"/>
              </w:rPr>
              <w:t>dummy_special_d</w:t>
            </w:r>
            <w:proofErr w:type="spellEnd"/>
          </w:p>
        </w:tc>
        <w:tc>
          <w:tcPr>
            <w:tcW w:w="879" w:type="dxa"/>
            <w:gridSpan w:val="2"/>
            <w:tcBorders>
              <w:top w:val="nil"/>
              <w:left w:val="nil"/>
              <w:bottom w:val="nil"/>
              <w:right w:val="nil"/>
            </w:tcBorders>
          </w:tcPr>
          <w:p w14:paraId="023CF46E"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.026</w:t>
            </w:r>
          </w:p>
        </w:tc>
        <w:tc>
          <w:tcPr>
            <w:tcW w:w="992" w:type="dxa"/>
            <w:tcBorders>
              <w:top w:val="nil"/>
              <w:left w:val="nil"/>
              <w:bottom w:val="nil"/>
              <w:right w:val="nil"/>
            </w:tcBorders>
          </w:tcPr>
          <w:p w14:paraId="7779D7DB"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.006</w:t>
            </w:r>
          </w:p>
        </w:tc>
        <w:tc>
          <w:tcPr>
            <w:tcW w:w="1151" w:type="dxa"/>
            <w:gridSpan w:val="2"/>
            <w:tcBorders>
              <w:top w:val="nil"/>
              <w:left w:val="nil"/>
              <w:bottom w:val="nil"/>
              <w:right w:val="nil"/>
            </w:tcBorders>
          </w:tcPr>
          <w:p w14:paraId="185AD9BC"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4.06</w:t>
            </w:r>
          </w:p>
        </w:tc>
        <w:tc>
          <w:tcPr>
            <w:tcW w:w="1251" w:type="dxa"/>
            <w:gridSpan w:val="2"/>
            <w:tcBorders>
              <w:top w:val="nil"/>
              <w:left w:val="nil"/>
              <w:bottom w:val="nil"/>
              <w:right w:val="nil"/>
            </w:tcBorders>
          </w:tcPr>
          <w:p w14:paraId="705FBE5C"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1284" w:type="dxa"/>
            <w:gridSpan w:val="2"/>
            <w:tcBorders>
              <w:top w:val="nil"/>
              <w:left w:val="nil"/>
              <w:bottom w:val="nil"/>
              <w:right w:val="nil"/>
            </w:tcBorders>
          </w:tcPr>
          <w:p w14:paraId="2416D10D"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.013</w:t>
            </w:r>
          </w:p>
        </w:tc>
        <w:tc>
          <w:tcPr>
            <w:tcW w:w="986" w:type="dxa"/>
            <w:gridSpan w:val="2"/>
            <w:tcBorders>
              <w:top w:val="nil"/>
              <w:left w:val="nil"/>
              <w:bottom w:val="nil"/>
              <w:right w:val="nil"/>
            </w:tcBorders>
          </w:tcPr>
          <w:p w14:paraId="1A5E9C7E"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.039</w:t>
            </w:r>
          </w:p>
        </w:tc>
        <w:tc>
          <w:tcPr>
            <w:tcW w:w="1328" w:type="dxa"/>
            <w:gridSpan w:val="2"/>
            <w:tcBorders>
              <w:top w:val="nil"/>
              <w:left w:val="nil"/>
              <w:bottom w:val="nil"/>
              <w:right w:val="nil"/>
            </w:tcBorders>
          </w:tcPr>
          <w:p w14:paraId="3AA64D2A"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w:t>
            </w:r>
          </w:p>
        </w:tc>
      </w:tr>
      <w:tr w:rsidR="00137437" w:rsidRPr="0028029C" w14:paraId="11ADD5CF" w14:textId="77777777" w:rsidTr="008E0221">
        <w:trPr>
          <w:gridAfter w:val="1"/>
          <w:wAfter w:w="18" w:type="dxa"/>
          <w:trHeight w:val="364"/>
        </w:trPr>
        <w:tc>
          <w:tcPr>
            <w:tcW w:w="2098" w:type="dxa"/>
            <w:tcBorders>
              <w:top w:val="nil"/>
              <w:left w:val="nil"/>
              <w:bottom w:val="nil"/>
              <w:right w:val="nil"/>
            </w:tcBorders>
          </w:tcPr>
          <w:p w14:paraId="0D05CCBE" w14:textId="77777777" w:rsidR="00137437" w:rsidRPr="0028029C" w:rsidRDefault="00137437" w:rsidP="008E0221">
            <w:pPr>
              <w:widowControl w:val="0"/>
              <w:spacing w:line="240" w:lineRule="auto"/>
              <w:rPr>
                <w:rFonts w:cs="TimesLTStd-Roman"/>
                <w:iCs/>
                <w:color w:val="000000"/>
                <w:sz w:val="20"/>
                <w:szCs w:val="16"/>
              </w:rPr>
            </w:pPr>
            <w:r w:rsidRPr="0028029C">
              <w:rPr>
                <w:rFonts w:cs="TimesLTStd-Roman"/>
                <w:iCs/>
                <w:color w:val="000000"/>
                <w:sz w:val="20"/>
                <w:szCs w:val="16"/>
              </w:rPr>
              <w:t>dummy_special_d2</w:t>
            </w:r>
          </w:p>
        </w:tc>
        <w:tc>
          <w:tcPr>
            <w:tcW w:w="879" w:type="dxa"/>
            <w:gridSpan w:val="2"/>
            <w:tcBorders>
              <w:top w:val="nil"/>
              <w:left w:val="nil"/>
              <w:bottom w:val="nil"/>
              <w:right w:val="nil"/>
            </w:tcBorders>
          </w:tcPr>
          <w:p w14:paraId="328C5217"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.003</w:t>
            </w:r>
          </w:p>
        </w:tc>
        <w:tc>
          <w:tcPr>
            <w:tcW w:w="992" w:type="dxa"/>
            <w:tcBorders>
              <w:top w:val="nil"/>
              <w:left w:val="nil"/>
              <w:bottom w:val="nil"/>
              <w:right w:val="nil"/>
            </w:tcBorders>
          </w:tcPr>
          <w:p w14:paraId="4C36179E"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.006</w:t>
            </w:r>
          </w:p>
        </w:tc>
        <w:tc>
          <w:tcPr>
            <w:tcW w:w="1151" w:type="dxa"/>
            <w:gridSpan w:val="2"/>
            <w:tcBorders>
              <w:top w:val="nil"/>
              <w:left w:val="nil"/>
              <w:bottom w:val="nil"/>
              <w:right w:val="nil"/>
            </w:tcBorders>
          </w:tcPr>
          <w:p w14:paraId="5234EB61"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0.43</w:t>
            </w:r>
          </w:p>
        </w:tc>
        <w:tc>
          <w:tcPr>
            <w:tcW w:w="1251" w:type="dxa"/>
            <w:gridSpan w:val="2"/>
            <w:tcBorders>
              <w:top w:val="nil"/>
              <w:left w:val="nil"/>
              <w:bottom w:val="nil"/>
              <w:right w:val="nil"/>
            </w:tcBorders>
          </w:tcPr>
          <w:p w14:paraId="5336C00E"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.664</w:t>
            </w:r>
          </w:p>
        </w:tc>
        <w:tc>
          <w:tcPr>
            <w:tcW w:w="1284" w:type="dxa"/>
            <w:gridSpan w:val="2"/>
            <w:tcBorders>
              <w:top w:val="nil"/>
              <w:left w:val="nil"/>
              <w:bottom w:val="nil"/>
              <w:right w:val="nil"/>
            </w:tcBorders>
          </w:tcPr>
          <w:p w14:paraId="7672AE6D"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-.01</w:t>
            </w:r>
          </w:p>
        </w:tc>
        <w:tc>
          <w:tcPr>
            <w:tcW w:w="986" w:type="dxa"/>
            <w:gridSpan w:val="2"/>
            <w:tcBorders>
              <w:top w:val="nil"/>
              <w:left w:val="nil"/>
              <w:bottom w:val="nil"/>
              <w:right w:val="nil"/>
            </w:tcBorders>
          </w:tcPr>
          <w:p w14:paraId="289A8788"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.015</w:t>
            </w:r>
          </w:p>
        </w:tc>
        <w:tc>
          <w:tcPr>
            <w:tcW w:w="1328" w:type="dxa"/>
            <w:gridSpan w:val="2"/>
            <w:tcBorders>
              <w:top w:val="nil"/>
              <w:left w:val="nil"/>
              <w:bottom w:val="nil"/>
              <w:right w:val="nil"/>
            </w:tcBorders>
          </w:tcPr>
          <w:p w14:paraId="4B4E30AA" w14:textId="77777777" w:rsidR="00137437" w:rsidRPr="0028029C" w:rsidRDefault="00137437" w:rsidP="008E0221">
            <w:pPr>
              <w:widowControl w:val="0"/>
              <w:spacing w:line="240" w:lineRule="auto"/>
              <w:jc w:val="center"/>
              <w:rPr>
                <w:rFonts w:cs="TimesLTStd-Roman"/>
                <w:iCs/>
                <w:color w:val="000000"/>
                <w:sz w:val="20"/>
                <w:szCs w:val="16"/>
              </w:rPr>
            </w:pPr>
          </w:p>
        </w:tc>
      </w:tr>
      <w:tr w:rsidR="00137437" w:rsidRPr="0028029C" w14:paraId="3E545484" w14:textId="77777777" w:rsidTr="008E0221">
        <w:trPr>
          <w:gridAfter w:val="1"/>
          <w:wAfter w:w="18" w:type="dxa"/>
          <w:trHeight w:val="364"/>
        </w:trPr>
        <w:tc>
          <w:tcPr>
            <w:tcW w:w="2098" w:type="dxa"/>
            <w:tcBorders>
              <w:top w:val="nil"/>
              <w:left w:val="nil"/>
              <w:bottom w:val="nil"/>
              <w:right w:val="nil"/>
            </w:tcBorders>
          </w:tcPr>
          <w:p w14:paraId="54F016D4" w14:textId="77777777" w:rsidR="00137437" w:rsidRPr="0028029C" w:rsidRDefault="00137437" w:rsidP="008E0221">
            <w:pPr>
              <w:widowControl w:val="0"/>
              <w:spacing w:line="240" w:lineRule="auto"/>
              <w:rPr>
                <w:rFonts w:cs="TimesLTStd-Roman"/>
                <w:iCs/>
                <w:color w:val="000000"/>
                <w:sz w:val="20"/>
                <w:szCs w:val="16"/>
              </w:rPr>
            </w:pPr>
            <w:proofErr w:type="spellStart"/>
            <w:r w:rsidRPr="0028029C">
              <w:rPr>
                <w:rFonts w:cs="TimesLTStd-Roman"/>
                <w:iCs/>
                <w:color w:val="000000"/>
                <w:sz w:val="20"/>
                <w:szCs w:val="16"/>
              </w:rPr>
              <w:t>lag_yield_fd</w:t>
            </w:r>
            <w:proofErr w:type="spellEnd"/>
            <w:r w:rsidRPr="0028029C">
              <w:rPr>
                <w:rFonts w:cs="TimesLTStd-Roman"/>
                <w:iCs/>
                <w:color w:val="000000"/>
                <w:sz w:val="20"/>
                <w:szCs w:val="16"/>
              </w:rPr>
              <w:t>_</w:t>
            </w:r>
          </w:p>
        </w:tc>
        <w:tc>
          <w:tcPr>
            <w:tcW w:w="879" w:type="dxa"/>
            <w:gridSpan w:val="2"/>
            <w:tcBorders>
              <w:top w:val="nil"/>
              <w:left w:val="nil"/>
              <w:bottom w:val="nil"/>
              <w:right w:val="nil"/>
            </w:tcBorders>
          </w:tcPr>
          <w:p w14:paraId="19A89870"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.064</w:t>
            </w:r>
          </w:p>
        </w:tc>
        <w:tc>
          <w:tcPr>
            <w:tcW w:w="992" w:type="dxa"/>
            <w:tcBorders>
              <w:top w:val="nil"/>
              <w:left w:val="nil"/>
              <w:bottom w:val="nil"/>
              <w:right w:val="nil"/>
            </w:tcBorders>
          </w:tcPr>
          <w:p w14:paraId="73ECB6DC"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.012</w:t>
            </w:r>
          </w:p>
        </w:tc>
        <w:tc>
          <w:tcPr>
            <w:tcW w:w="1151" w:type="dxa"/>
            <w:gridSpan w:val="2"/>
            <w:tcBorders>
              <w:top w:val="nil"/>
              <w:left w:val="nil"/>
              <w:bottom w:val="nil"/>
              <w:right w:val="nil"/>
            </w:tcBorders>
          </w:tcPr>
          <w:p w14:paraId="5B2FFC46"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5.36</w:t>
            </w:r>
          </w:p>
        </w:tc>
        <w:tc>
          <w:tcPr>
            <w:tcW w:w="1251" w:type="dxa"/>
            <w:gridSpan w:val="2"/>
            <w:tcBorders>
              <w:top w:val="nil"/>
              <w:left w:val="nil"/>
              <w:bottom w:val="nil"/>
              <w:right w:val="nil"/>
            </w:tcBorders>
          </w:tcPr>
          <w:p w14:paraId="5AEDE810"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1284" w:type="dxa"/>
            <w:gridSpan w:val="2"/>
            <w:tcBorders>
              <w:top w:val="nil"/>
              <w:left w:val="nil"/>
              <w:bottom w:val="nil"/>
              <w:right w:val="nil"/>
            </w:tcBorders>
          </w:tcPr>
          <w:p w14:paraId="73EC9775"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.041</w:t>
            </w:r>
          </w:p>
        </w:tc>
        <w:tc>
          <w:tcPr>
            <w:tcW w:w="986" w:type="dxa"/>
            <w:gridSpan w:val="2"/>
            <w:tcBorders>
              <w:top w:val="nil"/>
              <w:left w:val="nil"/>
              <w:bottom w:val="nil"/>
              <w:right w:val="nil"/>
            </w:tcBorders>
          </w:tcPr>
          <w:p w14:paraId="567B680D"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.088</w:t>
            </w:r>
          </w:p>
        </w:tc>
        <w:tc>
          <w:tcPr>
            <w:tcW w:w="1328" w:type="dxa"/>
            <w:gridSpan w:val="2"/>
            <w:tcBorders>
              <w:top w:val="nil"/>
              <w:left w:val="nil"/>
              <w:bottom w:val="nil"/>
              <w:right w:val="nil"/>
            </w:tcBorders>
          </w:tcPr>
          <w:p w14:paraId="5753A100"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w:t>
            </w:r>
          </w:p>
        </w:tc>
      </w:tr>
      <w:tr w:rsidR="00137437" w:rsidRPr="0028029C" w14:paraId="14BBA0EC" w14:textId="77777777" w:rsidTr="008E0221">
        <w:trPr>
          <w:gridAfter w:val="1"/>
          <w:wAfter w:w="18" w:type="dxa"/>
          <w:trHeight w:val="364"/>
        </w:trPr>
        <w:tc>
          <w:tcPr>
            <w:tcW w:w="2098" w:type="dxa"/>
            <w:tcBorders>
              <w:top w:val="nil"/>
              <w:left w:val="nil"/>
              <w:bottom w:val="nil"/>
              <w:right w:val="nil"/>
            </w:tcBorders>
          </w:tcPr>
          <w:p w14:paraId="443B2BC9" w14:textId="77777777" w:rsidR="00137437" w:rsidRPr="0028029C" w:rsidRDefault="00137437" w:rsidP="008E0221">
            <w:pPr>
              <w:widowControl w:val="0"/>
              <w:spacing w:line="240" w:lineRule="auto"/>
              <w:rPr>
                <w:rFonts w:cs="TimesLTStd-Roman"/>
                <w:iCs/>
                <w:color w:val="000000"/>
                <w:sz w:val="20"/>
                <w:szCs w:val="16"/>
              </w:rPr>
            </w:pPr>
            <w:proofErr w:type="spellStart"/>
            <w:r w:rsidRPr="0028029C">
              <w:rPr>
                <w:rFonts w:cs="TimesLTStd-Roman"/>
                <w:iCs/>
                <w:color w:val="000000"/>
                <w:sz w:val="20"/>
                <w:szCs w:val="16"/>
              </w:rPr>
              <w:t>stock_fd</w:t>
            </w:r>
            <w:proofErr w:type="spellEnd"/>
            <w:r w:rsidRPr="0028029C">
              <w:rPr>
                <w:rFonts w:cs="TimesLTStd-Roman"/>
                <w:iCs/>
                <w:color w:val="000000"/>
                <w:sz w:val="20"/>
                <w:szCs w:val="16"/>
              </w:rPr>
              <w:t>_</w:t>
            </w:r>
          </w:p>
        </w:tc>
        <w:tc>
          <w:tcPr>
            <w:tcW w:w="879" w:type="dxa"/>
            <w:gridSpan w:val="2"/>
            <w:tcBorders>
              <w:top w:val="nil"/>
              <w:left w:val="nil"/>
              <w:bottom w:val="nil"/>
              <w:right w:val="nil"/>
            </w:tcBorders>
          </w:tcPr>
          <w:p w14:paraId="2D0BA413" w14:textId="77777777" w:rsidR="00137437" w:rsidRPr="0028029C" w:rsidRDefault="00137437" w:rsidP="008E0221">
            <w:pPr>
              <w:widowControl w:val="0"/>
              <w:tabs>
                <w:tab w:val="left" w:pos="519"/>
                <w:tab w:val="right" w:pos="666"/>
              </w:tabs>
              <w:spacing w:line="240" w:lineRule="auto"/>
              <w:ind w:firstLine="0"/>
              <w:jc w:val="center"/>
              <w:rPr>
                <w:rFonts w:cs="TimesLTStd-Roman"/>
                <w:iCs/>
                <w:color w:val="000000"/>
                <w:sz w:val="20"/>
                <w:szCs w:val="16"/>
              </w:rPr>
            </w:pPr>
            <w:r w:rsidRPr="0028029C">
              <w:rPr>
                <w:rFonts w:cs="TimesLTStd-Roman"/>
                <w:iCs/>
                <w:color w:val="000000"/>
                <w:sz w:val="20"/>
                <w:szCs w:val="16"/>
              </w:rPr>
              <w:t>.000</w:t>
            </w:r>
          </w:p>
        </w:tc>
        <w:tc>
          <w:tcPr>
            <w:tcW w:w="992" w:type="dxa"/>
            <w:tcBorders>
              <w:top w:val="nil"/>
              <w:left w:val="nil"/>
              <w:bottom w:val="nil"/>
              <w:right w:val="nil"/>
            </w:tcBorders>
          </w:tcPr>
          <w:p w14:paraId="32A22F84"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1151" w:type="dxa"/>
            <w:gridSpan w:val="2"/>
            <w:tcBorders>
              <w:top w:val="nil"/>
              <w:left w:val="nil"/>
              <w:bottom w:val="nil"/>
              <w:right w:val="nil"/>
            </w:tcBorders>
          </w:tcPr>
          <w:p w14:paraId="1305A0CA"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-4.43</w:t>
            </w:r>
          </w:p>
        </w:tc>
        <w:tc>
          <w:tcPr>
            <w:tcW w:w="1251" w:type="dxa"/>
            <w:gridSpan w:val="2"/>
            <w:tcBorders>
              <w:top w:val="nil"/>
              <w:left w:val="nil"/>
              <w:bottom w:val="nil"/>
              <w:right w:val="nil"/>
            </w:tcBorders>
          </w:tcPr>
          <w:p w14:paraId="59F623F2"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1284" w:type="dxa"/>
            <w:gridSpan w:val="2"/>
            <w:tcBorders>
              <w:top w:val="nil"/>
              <w:left w:val="nil"/>
              <w:bottom w:val="nil"/>
              <w:right w:val="nil"/>
            </w:tcBorders>
          </w:tcPr>
          <w:p w14:paraId="52CDEE74"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986" w:type="dxa"/>
            <w:gridSpan w:val="2"/>
            <w:tcBorders>
              <w:top w:val="nil"/>
              <w:left w:val="nil"/>
              <w:bottom w:val="nil"/>
              <w:right w:val="nil"/>
            </w:tcBorders>
          </w:tcPr>
          <w:p w14:paraId="4141B56D"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1328" w:type="dxa"/>
            <w:gridSpan w:val="2"/>
            <w:tcBorders>
              <w:top w:val="nil"/>
              <w:left w:val="nil"/>
              <w:bottom w:val="nil"/>
              <w:right w:val="nil"/>
            </w:tcBorders>
          </w:tcPr>
          <w:p w14:paraId="10D9F5E9"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w:t>
            </w:r>
          </w:p>
        </w:tc>
      </w:tr>
      <w:tr w:rsidR="00137437" w:rsidRPr="0028029C" w14:paraId="207A5A61" w14:textId="77777777" w:rsidTr="008E0221">
        <w:trPr>
          <w:gridAfter w:val="1"/>
          <w:wAfter w:w="18" w:type="dxa"/>
          <w:trHeight w:val="364"/>
        </w:trPr>
        <w:tc>
          <w:tcPr>
            <w:tcW w:w="2098" w:type="dxa"/>
            <w:tcBorders>
              <w:top w:val="nil"/>
              <w:left w:val="nil"/>
              <w:bottom w:val="nil"/>
              <w:right w:val="nil"/>
            </w:tcBorders>
          </w:tcPr>
          <w:p w14:paraId="7D1936D4" w14:textId="77777777" w:rsidR="00137437" w:rsidRPr="0028029C" w:rsidRDefault="00137437" w:rsidP="008E0221">
            <w:pPr>
              <w:widowControl w:val="0"/>
              <w:spacing w:line="240" w:lineRule="auto"/>
              <w:rPr>
                <w:rFonts w:cs="TimesLTStd-Roman"/>
                <w:iCs/>
                <w:color w:val="000000"/>
                <w:sz w:val="20"/>
                <w:szCs w:val="16"/>
              </w:rPr>
            </w:pPr>
            <w:proofErr w:type="spellStart"/>
            <w:r w:rsidRPr="0028029C">
              <w:rPr>
                <w:rFonts w:cs="TimesLTStd-Roman"/>
                <w:iCs/>
                <w:color w:val="000000"/>
                <w:sz w:val="20"/>
                <w:szCs w:val="16"/>
              </w:rPr>
              <w:t>vstoxx_fd</w:t>
            </w:r>
            <w:proofErr w:type="spellEnd"/>
          </w:p>
        </w:tc>
        <w:tc>
          <w:tcPr>
            <w:tcW w:w="879" w:type="dxa"/>
            <w:gridSpan w:val="2"/>
            <w:tcBorders>
              <w:top w:val="nil"/>
              <w:left w:val="nil"/>
              <w:bottom w:val="nil"/>
              <w:right w:val="nil"/>
            </w:tcBorders>
          </w:tcPr>
          <w:p w14:paraId="4B594C97"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-.003</w:t>
            </w:r>
          </w:p>
        </w:tc>
        <w:tc>
          <w:tcPr>
            <w:tcW w:w="992" w:type="dxa"/>
            <w:tcBorders>
              <w:top w:val="nil"/>
              <w:left w:val="nil"/>
              <w:bottom w:val="nil"/>
              <w:right w:val="nil"/>
            </w:tcBorders>
          </w:tcPr>
          <w:p w14:paraId="3BDC1426"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1151" w:type="dxa"/>
            <w:gridSpan w:val="2"/>
            <w:tcBorders>
              <w:top w:val="nil"/>
              <w:left w:val="nil"/>
              <w:bottom w:val="nil"/>
              <w:right w:val="nil"/>
            </w:tcBorders>
          </w:tcPr>
          <w:p w14:paraId="04FDC0BD"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-5.49</w:t>
            </w:r>
          </w:p>
        </w:tc>
        <w:tc>
          <w:tcPr>
            <w:tcW w:w="1251" w:type="dxa"/>
            <w:gridSpan w:val="2"/>
            <w:tcBorders>
              <w:top w:val="nil"/>
              <w:left w:val="nil"/>
              <w:bottom w:val="nil"/>
              <w:right w:val="nil"/>
            </w:tcBorders>
          </w:tcPr>
          <w:p w14:paraId="15D7B85A"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1284" w:type="dxa"/>
            <w:gridSpan w:val="2"/>
            <w:tcBorders>
              <w:top w:val="nil"/>
              <w:left w:val="nil"/>
              <w:bottom w:val="nil"/>
              <w:right w:val="nil"/>
            </w:tcBorders>
          </w:tcPr>
          <w:p w14:paraId="0FC81630"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-.004</w:t>
            </w:r>
          </w:p>
        </w:tc>
        <w:tc>
          <w:tcPr>
            <w:tcW w:w="986" w:type="dxa"/>
            <w:gridSpan w:val="2"/>
            <w:tcBorders>
              <w:top w:val="nil"/>
              <w:left w:val="nil"/>
              <w:bottom w:val="nil"/>
              <w:right w:val="nil"/>
            </w:tcBorders>
          </w:tcPr>
          <w:p w14:paraId="0A07D97A"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-.002</w:t>
            </w:r>
          </w:p>
        </w:tc>
        <w:tc>
          <w:tcPr>
            <w:tcW w:w="1328" w:type="dxa"/>
            <w:gridSpan w:val="2"/>
            <w:tcBorders>
              <w:top w:val="nil"/>
              <w:left w:val="nil"/>
              <w:bottom w:val="nil"/>
              <w:right w:val="nil"/>
            </w:tcBorders>
          </w:tcPr>
          <w:p w14:paraId="6A2ECCF9"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w:t>
            </w:r>
          </w:p>
        </w:tc>
      </w:tr>
      <w:tr w:rsidR="00137437" w:rsidRPr="0028029C" w14:paraId="5E8EAE90" w14:textId="77777777" w:rsidTr="008E0221">
        <w:trPr>
          <w:gridAfter w:val="1"/>
          <w:wAfter w:w="18" w:type="dxa"/>
          <w:trHeight w:val="364"/>
        </w:trPr>
        <w:tc>
          <w:tcPr>
            <w:tcW w:w="2098" w:type="dxa"/>
            <w:tcBorders>
              <w:top w:val="nil"/>
              <w:left w:val="nil"/>
              <w:bottom w:val="nil"/>
              <w:right w:val="nil"/>
            </w:tcBorders>
          </w:tcPr>
          <w:p w14:paraId="10EA00A0" w14:textId="77777777" w:rsidR="00137437" w:rsidRPr="0028029C" w:rsidRDefault="00137437" w:rsidP="008E0221">
            <w:pPr>
              <w:widowControl w:val="0"/>
              <w:spacing w:line="240" w:lineRule="auto"/>
              <w:rPr>
                <w:rFonts w:cs="TimesLTStd-Roman"/>
                <w:iCs/>
                <w:color w:val="000000"/>
                <w:sz w:val="20"/>
                <w:szCs w:val="16"/>
              </w:rPr>
            </w:pPr>
            <w:proofErr w:type="spellStart"/>
            <w:r w:rsidRPr="0028029C">
              <w:rPr>
                <w:rFonts w:cs="TimesLTStd-Roman"/>
                <w:iCs/>
                <w:color w:val="000000"/>
                <w:sz w:val="20"/>
                <w:szCs w:val="16"/>
              </w:rPr>
              <w:t>itraxx_n_fd</w:t>
            </w:r>
            <w:proofErr w:type="spellEnd"/>
          </w:p>
        </w:tc>
        <w:tc>
          <w:tcPr>
            <w:tcW w:w="879" w:type="dxa"/>
            <w:gridSpan w:val="2"/>
            <w:tcBorders>
              <w:top w:val="nil"/>
              <w:left w:val="nil"/>
              <w:bottom w:val="nil"/>
              <w:right w:val="nil"/>
            </w:tcBorders>
          </w:tcPr>
          <w:p w14:paraId="7C26B53D"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.003</w:t>
            </w:r>
          </w:p>
        </w:tc>
        <w:tc>
          <w:tcPr>
            <w:tcW w:w="992" w:type="dxa"/>
            <w:tcBorders>
              <w:top w:val="nil"/>
              <w:left w:val="nil"/>
              <w:bottom w:val="nil"/>
              <w:right w:val="nil"/>
            </w:tcBorders>
          </w:tcPr>
          <w:p w14:paraId="7403F16C"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1151" w:type="dxa"/>
            <w:gridSpan w:val="2"/>
            <w:tcBorders>
              <w:top w:val="nil"/>
              <w:left w:val="nil"/>
              <w:bottom w:val="nil"/>
              <w:right w:val="nil"/>
            </w:tcBorders>
          </w:tcPr>
          <w:p w14:paraId="5651BDA2"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9.58</w:t>
            </w:r>
          </w:p>
        </w:tc>
        <w:tc>
          <w:tcPr>
            <w:tcW w:w="1251" w:type="dxa"/>
            <w:gridSpan w:val="2"/>
            <w:tcBorders>
              <w:top w:val="nil"/>
              <w:left w:val="nil"/>
              <w:bottom w:val="nil"/>
              <w:right w:val="nil"/>
            </w:tcBorders>
          </w:tcPr>
          <w:p w14:paraId="18E4E45E"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1284" w:type="dxa"/>
            <w:gridSpan w:val="2"/>
            <w:tcBorders>
              <w:top w:val="nil"/>
              <w:left w:val="nil"/>
              <w:bottom w:val="nil"/>
              <w:right w:val="nil"/>
            </w:tcBorders>
          </w:tcPr>
          <w:p w14:paraId="2019AEEF"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.002</w:t>
            </w:r>
          </w:p>
        </w:tc>
        <w:tc>
          <w:tcPr>
            <w:tcW w:w="986" w:type="dxa"/>
            <w:gridSpan w:val="2"/>
            <w:tcBorders>
              <w:top w:val="nil"/>
              <w:left w:val="nil"/>
              <w:bottom w:val="nil"/>
              <w:right w:val="nil"/>
            </w:tcBorders>
          </w:tcPr>
          <w:p w14:paraId="1458D6ED"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.004</w:t>
            </w:r>
          </w:p>
        </w:tc>
        <w:tc>
          <w:tcPr>
            <w:tcW w:w="1328" w:type="dxa"/>
            <w:gridSpan w:val="2"/>
            <w:tcBorders>
              <w:top w:val="nil"/>
              <w:left w:val="nil"/>
              <w:bottom w:val="nil"/>
              <w:right w:val="nil"/>
            </w:tcBorders>
          </w:tcPr>
          <w:p w14:paraId="2F39FC3E"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w:t>
            </w:r>
          </w:p>
        </w:tc>
      </w:tr>
      <w:tr w:rsidR="00137437" w:rsidRPr="0028029C" w14:paraId="44A57EAD" w14:textId="77777777" w:rsidTr="008E0221">
        <w:trPr>
          <w:gridAfter w:val="1"/>
          <w:wAfter w:w="18" w:type="dxa"/>
          <w:trHeight w:val="364"/>
        </w:trPr>
        <w:tc>
          <w:tcPr>
            <w:tcW w:w="2098" w:type="dxa"/>
            <w:tcBorders>
              <w:top w:val="nil"/>
              <w:left w:val="nil"/>
              <w:bottom w:val="nil"/>
              <w:right w:val="nil"/>
            </w:tcBorders>
          </w:tcPr>
          <w:p w14:paraId="22CBB490" w14:textId="77777777" w:rsidR="00137437" w:rsidRPr="0028029C" w:rsidRDefault="00137437" w:rsidP="008E0221">
            <w:pPr>
              <w:widowControl w:val="0"/>
              <w:spacing w:line="240" w:lineRule="auto"/>
              <w:rPr>
                <w:rFonts w:cs="TimesLTStd-Roman"/>
                <w:iCs/>
                <w:color w:val="000000"/>
                <w:sz w:val="20"/>
                <w:szCs w:val="16"/>
              </w:rPr>
            </w:pPr>
            <w:proofErr w:type="spellStart"/>
            <w:r w:rsidRPr="0028029C">
              <w:rPr>
                <w:rFonts w:cs="TimesLTStd-Roman"/>
                <w:iCs/>
                <w:color w:val="000000"/>
                <w:sz w:val="20"/>
                <w:szCs w:val="16"/>
              </w:rPr>
              <w:t>tsm_fd</w:t>
            </w:r>
            <w:proofErr w:type="spellEnd"/>
          </w:p>
        </w:tc>
        <w:tc>
          <w:tcPr>
            <w:tcW w:w="879" w:type="dxa"/>
            <w:gridSpan w:val="2"/>
            <w:tcBorders>
              <w:top w:val="nil"/>
              <w:left w:val="nil"/>
              <w:bottom w:val="nil"/>
              <w:right w:val="nil"/>
            </w:tcBorders>
          </w:tcPr>
          <w:p w14:paraId="7BDAC184"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992" w:type="dxa"/>
            <w:tcBorders>
              <w:top w:val="nil"/>
              <w:left w:val="nil"/>
              <w:bottom w:val="nil"/>
              <w:right w:val="nil"/>
            </w:tcBorders>
          </w:tcPr>
          <w:p w14:paraId="123ED08E"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1151" w:type="dxa"/>
            <w:gridSpan w:val="2"/>
            <w:tcBorders>
              <w:top w:val="nil"/>
              <w:left w:val="nil"/>
              <w:bottom w:val="nil"/>
              <w:right w:val="nil"/>
            </w:tcBorders>
          </w:tcPr>
          <w:p w14:paraId="0ED384C5"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5.29</w:t>
            </w:r>
          </w:p>
        </w:tc>
        <w:tc>
          <w:tcPr>
            <w:tcW w:w="1251" w:type="dxa"/>
            <w:gridSpan w:val="2"/>
            <w:tcBorders>
              <w:top w:val="nil"/>
              <w:left w:val="nil"/>
              <w:bottom w:val="nil"/>
              <w:right w:val="nil"/>
            </w:tcBorders>
          </w:tcPr>
          <w:p w14:paraId="63994159"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1284" w:type="dxa"/>
            <w:gridSpan w:val="2"/>
            <w:tcBorders>
              <w:top w:val="nil"/>
              <w:left w:val="nil"/>
              <w:bottom w:val="nil"/>
              <w:right w:val="nil"/>
            </w:tcBorders>
          </w:tcPr>
          <w:p w14:paraId="096CCDA0"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986" w:type="dxa"/>
            <w:gridSpan w:val="2"/>
            <w:tcBorders>
              <w:top w:val="nil"/>
              <w:left w:val="nil"/>
              <w:bottom w:val="nil"/>
              <w:right w:val="nil"/>
            </w:tcBorders>
          </w:tcPr>
          <w:p w14:paraId="2E1921E2"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1328" w:type="dxa"/>
            <w:gridSpan w:val="2"/>
            <w:tcBorders>
              <w:top w:val="nil"/>
              <w:left w:val="nil"/>
              <w:bottom w:val="nil"/>
              <w:right w:val="nil"/>
            </w:tcBorders>
          </w:tcPr>
          <w:p w14:paraId="15359BC5"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w:t>
            </w:r>
          </w:p>
        </w:tc>
      </w:tr>
      <w:tr w:rsidR="00137437" w:rsidRPr="0028029C" w14:paraId="4D1E729F" w14:textId="77777777" w:rsidTr="008E0221">
        <w:trPr>
          <w:gridAfter w:val="1"/>
          <w:wAfter w:w="18" w:type="dxa"/>
          <w:trHeight w:val="364"/>
        </w:trPr>
        <w:tc>
          <w:tcPr>
            <w:tcW w:w="2098" w:type="dxa"/>
            <w:tcBorders>
              <w:top w:val="nil"/>
              <w:left w:val="nil"/>
              <w:bottom w:val="nil"/>
              <w:right w:val="nil"/>
            </w:tcBorders>
          </w:tcPr>
          <w:p w14:paraId="1BF98FD6" w14:textId="77777777" w:rsidR="00137437" w:rsidRPr="0028029C" w:rsidRDefault="00137437" w:rsidP="008E0221">
            <w:pPr>
              <w:widowControl w:val="0"/>
              <w:spacing w:line="240" w:lineRule="auto"/>
              <w:rPr>
                <w:rFonts w:cs="TimesLTStd-Roman"/>
                <w:iCs/>
                <w:color w:val="000000"/>
                <w:sz w:val="20"/>
                <w:szCs w:val="16"/>
              </w:rPr>
            </w:pPr>
            <w:proofErr w:type="spellStart"/>
            <w:r w:rsidRPr="0028029C">
              <w:rPr>
                <w:rFonts w:cs="TimesLTStd-Roman"/>
                <w:iCs/>
                <w:color w:val="000000"/>
                <w:sz w:val="20"/>
                <w:szCs w:val="16"/>
              </w:rPr>
              <w:t>cesi_fd</w:t>
            </w:r>
            <w:proofErr w:type="spellEnd"/>
          </w:p>
        </w:tc>
        <w:tc>
          <w:tcPr>
            <w:tcW w:w="879" w:type="dxa"/>
            <w:gridSpan w:val="2"/>
            <w:tcBorders>
              <w:top w:val="nil"/>
              <w:left w:val="nil"/>
              <w:bottom w:val="nil"/>
              <w:right w:val="nil"/>
            </w:tcBorders>
          </w:tcPr>
          <w:p w14:paraId="500FC82D"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992" w:type="dxa"/>
            <w:tcBorders>
              <w:top w:val="nil"/>
              <w:left w:val="nil"/>
              <w:bottom w:val="nil"/>
              <w:right w:val="nil"/>
            </w:tcBorders>
          </w:tcPr>
          <w:p w14:paraId="087F5279"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1151" w:type="dxa"/>
            <w:gridSpan w:val="2"/>
            <w:tcBorders>
              <w:top w:val="nil"/>
              <w:left w:val="nil"/>
              <w:bottom w:val="nil"/>
              <w:right w:val="nil"/>
            </w:tcBorders>
          </w:tcPr>
          <w:p w14:paraId="178BA38E"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8.31</w:t>
            </w:r>
          </w:p>
        </w:tc>
        <w:tc>
          <w:tcPr>
            <w:tcW w:w="1251" w:type="dxa"/>
            <w:gridSpan w:val="2"/>
            <w:tcBorders>
              <w:top w:val="nil"/>
              <w:left w:val="nil"/>
              <w:bottom w:val="nil"/>
              <w:right w:val="nil"/>
            </w:tcBorders>
          </w:tcPr>
          <w:p w14:paraId="630E4FE2"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1284" w:type="dxa"/>
            <w:gridSpan w:val="2"/>
            <w:tcBorders>
              <w:top w:val="nil"/>
              <w:left w:val="nil"/>
              <w:bottom w:val="nil"/>
              <w:right w:val="nil"/>
            </w:tcBorders>
          </w:tcPr>
          <w:p w14:paraId="371B6E03"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986" w:type="dxa"/>
            <w:gridSpan w:val="2"/>
            <w:tcBorders>
              <w:top w:val="nil"/>
              <w:left w:val="nil"/>
              <w:bottom w:val="nil"/>
              <w:right w:val="nil"/>
            </w:tcBorders>
          </w:tcPr>
          <w:p w14:paraId="32584BEC"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.001</w:t>
            </w:r>
          </w:p>
        </w:tc>
        <w:tc>
          <w:tcPr>
            <w:tcW w:w="1328" w:type="dxa"/>
            <w:gridSpan w:val="2"/>
            <w:tcBorders>
              <w:top w:val="nil"/>
              <w:left w:val="nil"/>
              <w:bottom w:val="nil"/>
              <w:right w:val="nil"/>
            </w:tcBorders>
          </w:tcPr>
          <w:p w14:paraId="0065669E"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w:t>
            </w:r>
          </w:p>
        </w:tc>
      </w:tr>
      <w:tr w:rsidR="00137437" w:rsidRPr="0028029C" w14:paraId="7F3208C2" w14:textId="77777777" w:rsidTr="008E0221">
        <w:trPr>
          <w:gridAfter w:val="1"/>
          <w:wAfter w:w="18" w:type="dxa"/>
          <w:trHeight w:val="364"/>
        </w:trPr>
        <w:tc>
          <w:tcPr>
            <w:tcW w:w="2098" w:type="dxa"/>
            <w:tcBorders>
              <w:top w:val="nil"/>
              <w:left w:val="nil"/>
              <w:bottom w:val="nil"/>
              <w:right w:val="nil"/>
            </w:tcBorders>
          </w:tcPr>
          <w:p w14:paraId="24201296" w14:textId="77777777" w:rsidR="00137437" w:rsidRPr="0028029C" w:rsidRDefault="00137437" w:rsidP="008E0221">
            <w:pPr>
              <w:widowControl w:val="0"/>
              <w:spacing w:line="240" w:lineRule="auto"/>
              <w:rPr>
                <w:rFonts w:cs="TimesLTStd-Roman"/>
                <w:iCs/>
                <w:color w:val="000000"/>
                <w:sz w:val="20"/>
                <w:szCs w:val="16"/>
              </w:rPr>
            </w:pPr>
            <w:proofErr w:type="spellStart"/>
            <w:r w:rsidRPr="0028029C">
              <w:rPr>
                <w:rFonts w:cs="TimesLTStd-Roman"/>
                <w:iCs/>
                <w:color w:val="000000"/>
                <w:sz w:val="20"/>
                <w:szCs w:val="16"/>
              </w:rPr>
              <w:t>cds_fd</w:t>
            </w:r>
            <w:proofErr w:type="spellEnd"/>
            <w:r w:rsidRPr="0028029C">
              <w:rPr>
                <w:rFonts w:cs="TimesLTStd-Roman"/>
                <w:iCs/>
                <w:color w:val="000000"/>
                <w:sz w:val="20"/>
                <w:szCs w:val="16"/>
              </w:rPr>
              <w:t>_</w:t>
            </w:r>
          </w:p>
        </w:tc>
        <w:tc>
          <w:tcPr>
            <w:tcW w:w="879" w:type="dxa"/>
            <w:gridSpan w:val="2"/>
            <w:tcBorders>
              <w:top w:val="nil"/>
              <w:left w:val="nil"/>
              <w:bottom w:val="nil"/>
              <w:right w:val="nil"/>
            </w:tcBorders>
          </w:tcPr>
          <w:p w14:paraId="7D75B7AA"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.005</w:t>
            </w:r>
          </w:p>
        </w:tc>
        <w:tc>
          <w:tcPr>
            <w:tcW w:w="992" w:type="dxa"/>
            <w:tcBorders>
              <w:top w:val="nil"/>
              <w:left w:val="nil"/>
              <w:bottom w:val="nil"/>
              <w:right w:val="nil"/>
            </w:tcBorders>
          </w:tcPr>
          <w:p w14:paraId="2813F749"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1151" w:type="dxa"/>
            <w:gridSpan w:val="2"/>
            <w:tcBorders>
              <w:top w:val="nil"/>
              <w:left w:val="nil"/>
              <w:bottom w:val="nil"/>
              <w:right w:val="nil"/>
            </w:tcBorders>
          </w:tcPr>
          <w:p w14:paraId="21026F2F"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13.55</w:t>
            </w:r>
          </w:p>
        </w:tc>
        <w:tc>
          <w:tcPr>
            <w:tcW w:w="1251" w:type="dxa"/>
            <w:gridSpan w:val="2"/>
            <w:tcBorders>
              <w:top w:val="nil"/>
              <w:left w:val="nil"/>
              <w:bottom w:val="nil"/>
              <w:right w:val="nil"/>
            </w:tcBorders>
          </w:tcPr>
          <w:p w14:paraId="7570125F"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1284" w:type="dxa"/>
            <w:gridSpan w:val="2"/>
            <w:tcBorders>
              <w:top w:val="nil"/>
              <w:left w:val="nil"/>
              <w:bottom w:val="nil"/>
              <w:right w:val="nil"/>
            </w:tcBorders>
          </w:tcPr>
          <w:p w14:paraId="677DBE78"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.005</w:t>
            </w:r>
          </w:p>
        </w:tc>
        <w:tc>
          <w:tcPr>
            <w:tcW w:w="986" w:type="dxa"/>
            <w:gridSpan w:val="2"/>
            <w:tcBorders>
              <w:top w:val="nil"/>
              <w:left w:val="nil"/>
              <w:bottom w:val="nil"/>
              <w:right w:val="nil"/>
            </w:tcBorders>
          </w:tcPr>
          <w:p w14:paraId="5E00FA74"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.006</w:t>
            </w:r>
          </w:p>
        </w:tc>
        <w:tc>
          <w:tcPr>
            <w:tcW w:w="1328" w:type="dxa"/>
            <w:gridSpan w:val="2"/>
            <w:tcBorders>
              <w:top w:val="nil"/>
              <w:left w:val="nil"/>
              <w:bottom w:val="nil"/>
              <w:right w:val="nil"/>
            </w:tcBorders>
          </w:tcPr>
          <w:p w14:paraId="66950D74"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w:t>
            </w:r>
          </w:p>
        </w:tc>
      </w:tr>
      <w:tr w:rsidR="00137437" w:rsidRPr="0028029C" w14:paraId="41388FC5" w14:textId="77777777" w:rsidTr="008E0221">
        <w:trPr>
          <w:gridAfter w:val="1"/>
          <w:wAfter w:w="18" w:type="dxa"/>
          <w:trHeight w:val="364"/>
        </w:trPr>
        <w:tc>
          <w:tcPr>
            <w:tcW w:w="2098" w:type="dxa"/>
            <w:tcBorders>
              <w:top w:val="nil"/>
              <w:left w:val="nil"/>
              <w:bottom w:val="nil"/>
              <w:right w:val="nil"/>
            </w:tcBorders>
          </w:tcPr>
          <w:p w14:paraId="3D86F0B7" w14:textId="77777777" w:rsidR="00137437" w:rsidRPr="0028029C" w:rsidRDefault="00137437" w:rsidP="008E0221">
            <w:pPr>
              <w:widowControl w:val="0"/>
              <w:spacing w:line="240" w:lineRule="auto"/>
              <w:rPr>
                <w:rFonts w:cs="TimesLTStd-Roman"/>
                <w:iCs/>
                <w:color w:val="000000"/>
                <w:sz w:val="20"/>
                <w:szCs w:val="16"/>
              </w:rPr>
            </w:pPr>
            <w:proofErr w:type="spellStart"/>
            <w:r w:rsidRPr="0028029C">
              <w:rPr>
                <w:rFonts w:cs="TimesLTStd-Roman"/>
                <w:iCs/>
                <w:color w:val="000000"/>
                <w:sz w:val="20"/>
                <w:szCs w:val="16"/>
              </w:rPr>
              <w:t>lag_cds_fd</w:t>
            </w:r>
            <w:proofErr w:type="spellEnd"/>
            <w:r w:rsidRPr="0028029C">
              <w:rPr>
                <w:rFonts w:cs="TimesLTStd-Roman"/>
                <w:iCs/>
                <w:color w:val="000000"/>
                <w:sz w:val="20"/>
                <w:szCs w:val="16"/>
              </w:rPr>
              <w:t>_</w:t>
            </w:r>
          </w:p>
        </w:tc>
        <w:tc>
          <w:tcPr>
            <w:tcW w:w="879" w:type="dxa"/>
            <w:gridSpan w:val="2"/>
            <w:tcBorders>
              <w:top w:val="nil"/>
              <w:left w:val="nil"/>
              <w:bottom w:val="nil"/>
              <w:right w:val="nil"/>
            </w:tcBorders>
          </w:tcPr>
          <w:p w14:paraId="7CCD683B"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.002</w:t>
            </w:r>
          </w:p>
        </w:tc>
        <w:tc>
          <w:tcPr>
            <w:tcW w:w="992" w:type="dxa"/>
            <w:tcBorders>
              <w:top w:val="nil"/>
              <w:left w:val="nil"/>
              <w:bottom w:val="nil"/>
              <w:right w:val="nil"/>
            </w:tcBorders>
          </w:tcPr>
          <w:p w14:paraId="6F2491C6"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1151" w:type="dxa"/>
            <w:gridSpan w:val="2"/>
            <w:tcBorders>
              <w:top w:val="nil"/>
              <w:left w:val="nil"/>
              <w:bottom w:val="nil"/>
              <w:right w:val="nil"/>
            </w:tcBorders>
          </w:tcPr>
          <w:p w14:paraId="68F939F6"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4.45</w:t>
            </w:r>
          </w:p>
        </w:tc>
        <w:tc>
          <w:tcPr>
            <w:tcW w:w="1251" w:type="dxa"/>
            <w:gridSpan w:val="2"/>
            <w:tcBorders>
              <w:top w:val="nil"/>
              <w:left w:val="nil"/>
              <w:bottom w:val="nil"/>
              <w:right w:val="nil"/>
            </w:tcBorders>
          </w:tcPr>
          <w:p w14:paraId="3C3174E6"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1284" w:type="dxa"/>
            <w:gridSpan w:val="2"/>
            <w:tcBorders>
              <w:top w:val="nil"/>
              <w:left w:val="nil"/>
              <w:bottom w:val="nil"/>
              <w:right w:val="nil"/>
            </w:tcBorders>
          </w:tcPr>
          <w:p w14:paraId="505E6FEC"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.001</w:t>
            </w:r>
          </w:p>
        </w:tc>
        <w:tc>
          <w:tcPr>
            <w:tcW w:w="986" w:type="dxa"/>
            <w:gridSpan w:val="2"/>
            <w:tcBorders>
              <w:top w:val="nil"/>
              <w:left w:val="nil"/>
              <w:bottom w:val="nil"/>
              <w:right w:val="nil"/>
            </w:tcBorders>
          </w:tcPr>
          <w:p w14:paraId="51F89ECE"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.002</w:t>
            </w:r>
          </w:p>
        </w:tc>
        <w:tc>
          <w:tcPr>
            <w:tcW w:w="1328" w:type="dxa"/>
            <w:gridSpan w:val="2"/>
            <w:tcBorders>
              <w:top w:val="nil"/>
              <w:left w:val="nil"/>
              <w:bottom w:val="nil"/>
              <w:right w:val="nil"/>
            </w:tcBorders>
          </w:tcPr>
          <w:p w14:paraId="49F11828"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w:t>
            </w:r>
          </w:p>
        </w:tc>
      </w:tr>
      <w:tr w:rsidR="00137437" w:rsidRPr="0028029C" w14:paraId="1FEBD743" w14:textId="77777777" w:rsidTr="008E0221">
        <w:trPr>
          <w:gridAfter w:val="1"/>
          <w:wAfter w:w="18" w:type="dxa"/>
          <w:trHeight w:val="353"/>
        </w:trPr>
        <w:tc>
          <w:tcPr>
            <w:tcW w:w="2098" w:type="dxa"/>
            <w:tcBorders>
              <w:top w:val="nil"/>
              <w:left w:val="nil"/>
              <w:bottom w:val="nil"/>
              <w:right w:val="nil"/>
            </w:tcBorders>
          </w:tcPr>
          <w:p w14:paraId="31F05F38" w14:textId="77777777" w:rsidR="00137437" w:rsidRPr="0028029C" w:rsidRDefault="00137437" w:rsidP="008E0221">
            <w:pPr>
              <w:widowControl w:val="0"/>
              <w:spacing w:line="240" w:lineRule="auto"/>
              <w:rPr>
                <w:rFonts w:cs="TimesLTStd-Roman"/>
                <w:iCs/>
                <w:color w:val="000000"/>
                <w:sz w:val="20"/>
                <w:szCs w:val="16"/>
              </w:rPr>
            </w:pPr>
            <w:r w:rsidRPr="0028029C">
              <w:rPr>
                <w:rFonts w:cs="TimesLTStd-Roman"/>
                <w:iCs/>
                <w:color w:val="000000"/>
                <w:sz w:val="20"/>
                <w:szCs w:val="16"/>
              </w:rPr>
              <w:t>Constant</w:t>
            </w:r>
          </w:p>
        </w:tc>
        <w:tc>
          <w:tcPr>
            <w:tcW w:w="879" w:type="dxa"/>
            <w:gridSpan w:val="2"/>
            <w:tcBorders>
              <w:top w:val="nil"/>
              <w:left w:val="nil"/>
              <w:bottom w:val="nil"/>
              <w:right w:val="nil"/>
            </w:tcBorders>
          </w:tcPr>
          <w:p w14:paraId="6D81BB56"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.003</w:t>
            </w:r>
          </w:p>
        </w:tc>
        <w:tc>
          <w:tcPr>
            <w:tcW w:w="992" w:type="dxa"/>
            <w:tcBorders>
              <w:top w:val="nil"/>
              <w:left w:val="nil"/>
              <w:bottom w:val="nil"/>
              <w:right w:val="nil"/>
            </w:tcBorders>
          </w:tcPr>
          <w:p w14:paraId="24FCC3D6"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.001</w:t>
            </w:r>
          </w:p>
        </w:tc>
        <w:tc>
          <w:tcPr>
            <w:tcW w:w="1151" w:type="dxa"/>
            <w:gridSpan w:val="2"/>
            <w:tcBorders>
              <w:top w:val="nil"/>
              <w:left w:val="nil"/>
              <w:bottom w:val="nil"/>
              <w:right w:val="nil"/>
            </w:tcBorders>
          </w:tcPr>
          <w:p w14:paraId="0FF1AA4F"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4.88</w:t>
            </w:r>
          </w:p>
        </w:tc>
        <w:tc>
          <w:tcPr>
            <w:tcW w:w="1251" w:type="dxa"/>
            <w:gridSpan w:val="2"/>
            <w:tcBorders>
              <w:top w:val="nil"/>
              <w:left w:val="nil"/>
              <w:bottom w:val="nil"/>
              <w:right w:val="nil"/>
            </w:tcBorders>
          </w:tcPr>
          <w:p w14:paraId="451F49B4"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.000</w:t>
            </w:r>
          </w:p>
        </w:tc>
        <w:tc>
          <w:tcPr>
            <w:tcW w:w="1284" w:type="dxa"/>
            <w:gridSpan w:val="2"/>
            <w:tcBorders>
              <w:top w:val="nil"/>
              <w:left w:val="nil"/>
              <w:bottom w:val="nil"/>
              <w:right w:val="nil"/>
            </w:tcBorders>
          </w:tcPr>
          <w:p w14:paraId="5C5B5049"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.002</w:t>
            </w:r>
          </w:p>
        </w:tc>
        <w:tc>
          <w:tcPr>
            <w:tcW w:w="986" w:type="dxa"/>
            <w:gridSpan w:val="2"/>
            <w:tcBorders>
              <w:top w:val="nil"/>
              <w:left w:val="nil"/>
              <w:bottom w:val="nil"/>
              <w:right w:val="nil"/>
            </w:tcBorders>
          </w:tcPr>
          <w:p w14:paraId="3623EED1"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.005</w:t>
            </w:r>
          </w:p>
        </w:tc>
        <w:tc>
          <w:tcPr>
            <w:tcW w:w="1328" w:type="dxa"/>
            <w:gridSpan w:val="2"/>
            <w:tcBorders>
              <w:top w:val="nil"/>
              <w:left w:val="nil"/>
              <w:bottom w:val="nil"/>
              <w:right w:val="nil"/>
            </w:tcBorders>
          </w:tcPr>
          <w:p w14:paraId="1B8D89CA" w14:textId="77777777" w:rsidR="00137437" w:rsidRPr="0028029C" w:rsidRDefault="00137437" w:rsidP="008E0221">
            <w:pPr>
              <w:widowControl w:val="0"/>
              <w:spacing w:line="240" w:lineRule="auto"/>
              <w:jc w:val="center"/>
              <w:rPr>
                <w:rFonts w:cs="TimesLTStd-Roman"/>
                <w:iCs/>
                <w:color w:val="000000"/>
                <w:sz w:val="20"/>
                <w:szCs w:val="16"/>
              </w:rPr>
            </w:pPr>
            <w:r w:rsidRPr="0028029C">
              <w:rPr>
                <w:rFonts w:cs="TimesLTStd-Roman"/>
                <w:iCs/>
                <w:color w:val="000000"/>
                <w:sz w:val="20"/>
                <w:szCs w:val="16"/>
              </w:rPr>
              <w:t>***</w:t>
            </w:r>
          </w:p>
        </w:tc>
      </w:tr>
      <w:tr w:rsidR="00137437" w:rsidRPr="00EE5255" w14:paraId="6B7A438A" w14:textId="77777777" w:rsidTr="008E0221">
        <w:trPr>
          <w:trHeight w:val="182"/>
        </w:trPr>
        <w:tc>
          <w:tcPr>
            <w:tcW w:w="9987" w:type="dxa"/>
            <w:gridSpan w:val="15"/>
            <w:tcBorders>
              <w:top w:val="nil"/>
              <w:left w:val="nil"/>
              <w:bottom w:val="single" w:sz="4" w:space="0" w:color="000000"/>
              <w:right w:val="nil"/>
            </w:tcBorders>
          </w:tcPr>
          <w:p w14:paraId="35ADE6C1" w14:textId="77777777" w:rsidR="00137437" w:rsidRPr="0028029C" w:rsidRDefault="00137437" w:rsidP="008E0221">
            <w:pPr>
              <w:widowControl w:val="0"/>
              <w:spacing w:line="240" w:lineRule="auto"/>
              <w:rPr>
                <w:rFonts w:cs="TimesLTStd-Roman"/>
                <w:iCs/>
                <w:color w:val="000000"/>
                <w:sz w:val="20"/>
                <w:szCs w:val="16"/>
              </w:rPr>
            </w:pPr>
          </w:p>
        </w:tc>
      </w:tr>
      <w:tr w:rsidR="00137437" w:rsidRPr="0028029C" w14:paraId="4AEBF196" w14:textId="77777777" w:rsidTr="008E0221">
        <w:trPr>
          <w:gridAfter w:val="4"/>
          <w:wAfter w:w="1397" w:type="dxa"/>
          <w:trHeight w:val="182"/>
        </w:trPr>
        <w:tc>
          <w:tcPr>
            <w:tcW w:w="2537" w:type="dxa"/>
            <w:gridSpan w:val="2"/>
            <w:tcBorders>
              <w:top w:val="nil"/>
              <w:left w:val="nil"/>
              <w:bottom w:val="nil"/>
              <w:right w:val="nil"/>
            </w:tcBorders>
          </w:tcPr>
          <w:p w14:paraId="4C7E05A2" w14:textId="77777777" w:rsidR="00137437" w:rsidRPr="0028029C" w:rsidRDefault="00137437" w:rsidP="008E0221">
            <w:pPr>
              <w:widowControl w:val="0"/>
              <w:spacing w:line="240" w:lineRule="auto"/>
              <w:rPr>
                <w:rFonts w:cs="TimesLTStd-Roman"/>
                <w:iCs/>
                <w:color w:val="000000"/>
                <w:sz w:val="20"/>
                <w:szCs w:val="16"/>
              </w:rPr>
            </w:pPr>
            <w:r w:rsidRPr="0028029C">
              <w:rPr>
                <w:rFonts w:cs="TimesLTStd-Roman"/>
                <w:iCs/>
                <w:color w:val="000000"/>
                <w:sz w:val="20"/>
                <w:szCs w:val="16"/>
              </w:rPr>
              <w:t>Mean dependent var</w:t>
            </w:r>
          </w:p>
        </w:tc>
        <w:tc>
          <w:tcPr>
            <w:tcW w:w="1696" w:type="dxa"/>
            <w:gridSpan w:val="3"/>
            <w:tcBorders>
              <w:top w:val="nil"/>
              <w:left w:val="nil"/>
              <w:bottom w:val="nil"/>
              <w:right w:val="nil"/>
            </w:tcBorders>
          </w:tcPr>
          <w:p w14:paraId="19AB0579" w14:textId="77777777" w:rsidR="00137437" w:rsidRPr="0028029C" w:rsidRDefault="00137437" w:rsidP="008E0221">
            <w:pPr>
              <w:widowControl w:val="0"/>
              <w:spacing w:line="240" w:lineRule="auto"/>
              <w:jc w:val="right"/>
              <w:rPr>
                <w:rFonts w:cs="TimesLTStd-Roman"/>
                <w:iCs/>
                <w:color w:val="000000"/>
                <w:sz w:val="20"/>
                <w:szCs w:val="16"/>
              </w:rPr>
            </w:pPr>
            <w:r w:rsidRPr="0028029C">
              <w:rPr>
                <w:rFonts w:cs="TimesLTStd-Roman"/>
                <w:iCs/>
                <w:color w:val="000000"/>
                <w:sz w:val="20"/>
                <w:szCs w:val="16"/>
              </w:rPr>
              <w:t>0.004</w:t>
            </w:r>
          </w:p>
        </w:tc>
        <w:tc>
          <w:tcPr>
            <w:tcW w:w="2487" w:type="dxa"/>
            <w:gridSpan w:val="4"/>
            <w:tcBorders>
              <w:top w:val="nil"/>
              <w:left w:val="nil"/>
              <w:bottom w:val="nil"/>
              <w:right w:val="nil"/>
            </w:tcBorders>
          </w:tcPr>
          <w:p w14:paraId="50FDC2D4" w14:textId="77777777" w:rsidR="00137437" w:rsidRPr="0028029C" w:rsidRDefault="00137437" w:rsidP="008E0221">
            <w:pPr>
              <w:widowControl w:val="0"/>
              <w:spacing w:line="240" w:lineRule="auto"/>
              <w:rPr>
                <w:rFonts w:cs="TimesLTStd-Roman"/>
                <w:iCs/>
                <w:color w:val="000000"/>
                <w:sz w:val="20"/>
                <w:szCs w:val="16"/>
              </w:rPr>
            </w:pPr>
            <w:r w:rsidRPr="0028029C">
              <w:rPr>
                <w:rFonts w:cs="TimesLTStd-Roman"/>
                <w:iCs/>
                <w:color w:val="000000"/>
                <w:sz w:val="20"/>
                <w:szCs w:val="16"/>
              </w:rPr>
              <w:t xml:space="preserve">SD dependent var </w:t>
            </w:r>
          </w:p>
        </w:tc>
        <w:tc>
          <w:tcPr>
            <w:tcW w:w="1870" w:type="dxa"/>
            <w:gridSpan w:val="2"/>
            <w:tcBorders>
              <w:top w:val="nil"/>
              <w:left w:val="nil"/>
              <w:bottom w:val="nil"/>
              <w:right w:val="nil"/>
            </w:tcBorders>
          </w:tcPr>
          <w:p w14:paraId="322830FC" w14:textId="77777777" w:rsidR="00137437" w:rsidRPr="0028029C" w:rsidRDefault="00137437" w:rsidP="008E0221">
            <w:pPr>
              <w:widowControl w:val="0"/>
              <w:spacing w:line="240" w:lineRule="auto"/>
              <w:jc w:val="right"/>
              <w:rPr>
                <w:rFonts w:cs="TimesLTStd-Roman"/>
                <w:iCs/>
                <w:color w:val="000000"/>
                <w:sz w:val="20"/>
                <w:szCs w:val="16"/>
              </w:rPr>
            </w:pPr>
            <w:r w:rsidRPr="0028029C">
              <w:rPr>
                <w:rFonts w:cs="TimesLTStd-Roman"/>
                <w:iCs/>
                <w:color w:val="000000"/>
                <w:sz w:val="20"/>
                <w:szCs w:val="16"/>
              </w:rPr>
              <w:t>0.057</w:t>
            </w:r>
          </w:p>
        </w:tc>
      </w:tr>
      <w:tr w:rsidR="00137437" w:rsidRPr="0028029C" w14:paraId="63D0175E" w14:textId="77777777" w:rsidTr="008E0221">
        <w:trPr>
          <w:gridAfter w:val="4"/>
          <w:wAfter w:w="1397" w:type="dxa"/>
          <w:trHeight w:val="182"/>
        </w:trPr>
        <w:tc>
          <w:tcPr>
            <w:tcW w:w="2537" w:type="dxa"/>
            <w:gridSpan w:val="2"/>
            <w:tcBorders>
              <w:top w:val="nil"/>
              <w:left w:val="nil"/>
              <w:bottom w:val="nil"/>
              <w:right w:val="nil"/>
            </w:tcBorders>
          </w:tcPr>
          <w:p w14:paraId="589FF09E" w14:textId="77777777" w:rsidR="00137437" w:rsidRPr="0028029C" w:rsidRDefault="00137437" w:rsidP="008E0221">
            <w:pPr>
              <w:widowControl w:val="0"/>
              <w:spacing w:line="240" w:lineRule="auto"/>
              <w:rPr>
                <w:rFonts w:cs="TimesLTStd-Roman"/>
                <w:iCs/>
                <w:color w:val="000000"/>
                <w:sz w:val="20"/>
                <w:szCs w:val="16"/>
              </w:rPr>
            </w:pPr>
            <w:r w:rsidRPr="0028029C">
              <w:rPr>
                <w:rFonts w:cs="TimesLTStd-Roman"/>
                <w:iCs/>
                <w:color w:val="000000"/>
                <w:sz w:val="20"/>
                <w:szCs w:val="16"/>
              </w:rPr>
              <w:t xml:space="preserve">R-squared </w:t>
            </w:r>
          </w:p>
        </w:tc>
        <w:tc>
          <w:tcPr>
            <w:tcW w:w="1696" w:type="dxa"/>
            <w:gridSpan w:val="3"/>
            <w:tcBorders>
              <w:top w:val="nil"/>
              <w:left w:val="nil"/>
              <w:bottom w:val="nil"/>
              <w:right w:val="nil"/>
            </w:tcBorders>
          </w:tcPr>
          <w:p w14:paraId="0ADEB12C" w14:textId="77777777" w:rsidR="00137437" w:rsidRPr="0028029C" w:rsidRDefault="00137437" w:rsidP="008E0221">
            <w:pPr>
              <w:widowControl w:val="0"/>
              <w:spacing w:line="240" w:lineRule="auto"/>
              <w:jc w:val="right"/>
              <w:rPr>
                <w:rFonts w:cs="TimesLTStd-Roman"/>
                <w:iCs/>
                <w:color w:val="000000"/>
                <w:sz w:val="20"/>
                <w:szCs w:val="16"/>
              </w:rPr>
            </w:pPr>
            <w:r w:rsidRPr="0028029C">
              <w:rPr>
                <w:rFonts w:cs="TimesLTStd-Roman"/>
                <w:iCs/>
                <w:color w:val="000000"/>
                <w:sz w:val="20"/>
                <w:szCs w:val="16"/>
              </w:rPr>
              <w:t>0.077</w:t>
            </w:r>
          </w:p>
        </w:tc>
        <w:tc>
          <w:tcPr>
            <w:tcW w:w="2487" w:type="dxa"/>
            <w:gridSpan w:val="4"/>
            <w:tcBorders>
              <w:top w:val="nil"/>
              <w:left w:val="nil"/>
              <w:bottom w:val="nil"/>
              <w:right w:val="nil"/>
            </w:tcBorders>
          </w:tcPr>
          <w:p w14:paraId="1C3F9B4F" w14:textId="77777777" w:rsidR="00137437" w:rsidRPr="0028029C" w:rsidRDefault="00137437" w:rsidP="008E0221">
            <w:pPr>
              <w:widowControl w:val="0"/>
              <w:spacing w:line="240" w:lineRule="auto"/>
              <w:rPr>
                <w:rFonts w:cs="TimesLTStd-Roman"/>
                <w:iCs/>
                <w:color w:val="000000"/>
                <w:sz w:val="20"/>
                <w:szCs w:val="16"/>
              </w:rPr>
            </w:pPr>
            <w:r w:rsidRPr="0028029C">
              <w:rPr>
                <w:rFonts w:cs="TimesLTStd-Roman"/>
                <w:iCs/>
                <w:color w:val="000000"/>
                <w:sz w:val="20"/>
                <w:szCs w:val="16"/>
              </w:rPr>
              <w:t xml:space="preserve">Number of </w:t>
            </w:r>
            <w:proofErr w:type="spellStart"/>
            <w:r w:rsidRPr="0028029C">
              <w:rPr>
                <w:rFonts w:cs="TimesLTStd-Roman"/>
                <w:iCs/>
                <w:color w:val="000000"/>
                <w:sz w:val="20"/>
                <w:szCs w:val="16"/>
              </w:rPr>
              <w:t>obs</w:t>
            </w:r>
            <w:proofErr w:type="spellEnd"/>
            <w:r w:rsidRPr="0028029C">
              <w:rPr>
                <w:rFonts w:cs="TimesLTStd-Roman"/>
                <w:iCs/>
                <w:color w:val="000000"/>
                <w:sz w:val="20"/>
                <w:szCs w:val="16"/>
              </w:rPr>
              <w:t xml:space="preserve">  </w:t>
            </w:r>
          </w:p>
        </w:tc>
        <w:tc>
          <w:tcPr>
            <w:tcW w:w="1870" w:type="dxa"/>
            <w:gridSpan w:val="2"/>
            <w:tcBorders>
              <w:top w:val="nil"/>
              <w:left w:val="nil"/>
              <w:bottom w:val="nil"/>
              <w:right w:val="nil"/>
            </w:tcBorders>
          </w:tcPr>
          <w:p w14:paraId="4F35F3A0" w14:textId="77777777" w:rsidR="00137437" w:rsidRPr="0028029C" w:rsidRDefault="00137437" w:rsidP="008E0221">
            <w:pPr>
              <w:widowControl w:val="0"/>
              <w:spacing w:line="240" w:lineRule="auto"/>
              <w:jc w:val="right"/>
              <w:rPr>
                <w:rFonts w:cs="TimesLTStd-Roman"/>
                <w:iCs/>
                <w:color w:val="000000"/>
                <w:sz w:val="20"/>
                <w:szCs w:val="16"/>
              </w:rPr>
            </w:pPr>
            <w:r w:rsidRPr="0028029C">
              <w:rPr>
                <w:rFonts w:cs="TimesLTStd-Roman"/>
                <w:iCs/>
                <w:color w:val="000000"/>
                <w:sz w:val="20"/>
                <w:szCs w:val="16"/>
              </w:rPr>
              <w:t>6960</w:t>
            </w:r>
          </w:p>
        </w:tc>
      </w:tr>
      <w:tr w:rsidR="00137437" w:rsidRPr="0028029C" w14:paraId="1087C42B" w14:textId="77777777" w:rsidTr="008E0221">
        <w:trPr>
          <w:gridAfter w:val="4"/>
          <w:wAfter w:w="1397" w:type="dxa"/>
          <w:trHeight w:val="182"/>
        </w:trPr>
        <w:tc>
          <w:tcPr>
            <w:tcW w:w="2537" w:type="dxa"/>
            <w:gridSpan w:val="2"/>
            <w:tcBorders>
              <w:top w:val="nil"/>
              <w:left w:val="nil"/>
              <w:bottom w:val="nil"/>
              <w:right w:val="nil"/>
            </w:tcBorders>
          </w:tcPr>
          <w:p w14:paraId="411D4D9C" w14:textId="77777777" w:rsidR="00137437" w:rsidRPr="0028029C" w:rsidRDefault="00137437" w:rsidP="008E0221">
            <w:pPr>
              <w:widowControl w:val="0"/>
              <w:spacing w:line="240" w:lineRule="auto"/>
              <w:rPr>
                <w:rFonts w:cs="TimesLTStd-Roman"/>
                <w:iCs/>
                <w:color w:val="000000"/>
                <w:sz w:val="20"/>
                <w:szCs w:val="16"/>
              </w:rPr>
            </w:pPr>
            <w:r w:rsidRPr="0028029C">
              <w:rPr>
                <w:rFonts w:cs="TimesLTStd-Roman"/>
                <w:iCs/>
                <w:color w:val="000000"/>
                <w:sz w:val="20"/>
                <w:szCs w:val="16"/>
              </w:rPr>
              <w:t xml:space="preserve">F-test  </w:t>
            </w:r>
          </w:p>
        </w:tc>
        <w:tc>
          <w:tcPr>
            <w:tcW w:w="1696" w:type="dxa"/>
            <w:gridSpan w:val="3"/>
            <w:tcBorders>
              <w:top w:val="nil"/>
              <w:left w:val="nil"/>
              <w:bottom w:val="nil"/>
              <w:right w:val="nil"/>
            </w:tcBorders>
          </w:tcPr>
          <w:p w14:paraId="1C37390F" w14:textId="77777777" w:rsidR="00137437" w:rsidRPr="0028029C" w:rsidRDefault="00137437" w:rsidP="008E0221">
            <w:pPr>
              <w:widowControl w:val="0"/>
              <w:spacing w:line="240" w:lineRule="auto"/>
              <w:jc w:val="right"/>
              <w:rPr>
                <w:rFonts w:cs="TimesLTStd-Roman"/>
                <w:iCs/>
                <w:color w:val="000000"/>
                <w:sz w:val="20"/>
                <w:szCs w:val="16"/>
              </w:rPr>
            </w:pPr>
            <w:r w:rsidRPr="0028029C">
              <w:rPr>
                <w:rFonts w:cs="TimesLTStd-Roman"/>
                <w:iCs/>
                <w:color w:val="000000"/>
                <w:sz w:val="20"/>
                <w:szCs w:val="16"/>
              </w:rPr>
              <w:t>47.998</w:t>
            </w:r>
          </w:p>
        </w:tc>
        <w:tc>
          <w:tcPr>
            <w:tcW w:w="2487" w:type="dxa"/>
            <w:gridSpan w:val="4"/>
            <w:tcBorders>
              <w:top w:val="nil"/>
              <w:left w:val="nil"/>
              <w:bottom w:val="nil"/>
              <w:right w:val="nil"/>
            </w:tcBorders>
          </w:tcPr>
          <w:p w14:paraId="0D94B0B2" w14:textId="77777777" w:rsidR="00137437" w:rsidRPr="0028029C" w:rsidRDefault="00137437" w:rsidP="008E0221">
            <w:pPr>
              <w:widowControl w:val="0"/>
              <w:spacing w:line="240" w:lineRule="auto"/>
              <w:rPr>
                <w:rFonts w:cs="TimesLTStd-Roman"/>
                <w:iCs/>
                <w:color w:val="000000"/>
                <w:sz w:val="20"/>
                <w:szCs w:val="16"/>
              </w:rPr>
            </w:pPr>
            <w:r w:rsidRPr="0028029C">
              <w:rPr>
                <w:rFonts w:cs="TimesLTStd-Roman"/>
                <w:iCs/>
                <w:color w:val="000000"/>
                <w:sz w:val="20"/>
                <w:szCs w:val="16"/>
              </w:rPr>
              <w:t xml:space="preserve">Prob &gt; F </w:t>
            </w:r>
          </w:p>
        </w:tc>
        <w:tc>
          <w:tcPr>
            <w:tcW w:w="1870" w:type="dxa"/>
            <w:gridSpan w:val="2"/>
            <w:tcBorders>
              <w:top w:val="nil"/>
              <w:left w:val="nil"/>
              <w:bottom w:val="nil"/>
              <w:right w:val="nil"/>
            </w:tcBorders>
          </w:tcPr>
          <w:p w14:paraId="1C4B51A4" w14:textId="77777777" w:rsidR="00137437" w:rsidRPr="0028029C" w:rsidRDefault="00137437" w:rsidP="008E0221">
            <w:pPr>
              <w:widowControl w:val="0"/>
              <w:spacing w:line="240" w:lineRule="auto"/>
              <w:jc w:val="right"/>
              <w:rPr>
                <w:rFonts w:cs="TimesLTStd-Roman"/>
                <w:iCs/>
                <w:color w:val="000000"/>
                <w:sz w:val="20"/>
                <w:szCs w:val="16"/>
              </w:rPr>
            </w:pPr>
            <w:r w:rsidRPr="0028029C">
              <w:rPr>
                <w:rFonts w:cs="TimesLTStd-Roman"/>
                <w:iCs/>
                <w:color w:val="000000"/>
                <w:sz w:val="20"/>
                <w:szCs w:val="16"/>
              </w:rPr>
              <w:t>0.000</w:t>
            </w:r>
          </w:p>
        </w:tc>
      </w:tr>
      <w:tr w:rsidR="00137437" w:rsidRPr="0028029C" w14:paraId="109E1EDB" w14:textId="77777777" w:rsidTr="008E0221">
        <w:trPr>
          <w:gridAfter w:val="4"/>
          <w:wAfter w:w="1397" w:type="dxa"/>
          <w:trHeight w:val="182"/>
        </w:trPr>
        <w:tc>
          <w:tcPr>
            <w:tcW w:w="2537" w:type="dxa"/>
            <w:gridSpan w:val="2"/>
            <w:tcBorders>
              <w:top w:val="nil"/>
              <w:left w:val="nil"/>
              <w:bottom w:val="nil"/>
              <w:right w:val="nil"/>
            </w:tcBorders>
          </w:tcPr>
          <w:p w14:paraId="437D52F4" w14:textId="77777777" w:rsidR="00137437" w:rsidRPr="0028029C" w:rsidRDefault="00137437" w:rsidP="008E0221">
            <w:pPr>
              <w:widowControl w:val="0"/>
              <w:spacing w:line="240" w:lineRule="auto"/>
              <w:rPr>
                <w:rFonts w:cs="TimesLTStd-Roman"/>
                <w:iCs/>
                <w:color w:val="000000"/>
                <w:sz w:val="20"/>
                <w:szCs w:val="16"/>
              </w:rPr>
            </w:pPr>
            <w:r w:rsidRPr="0028029C">
              <w:rPr>
                <w:rFonts w:cs="TimesLTStd-Roman"/>
                <w:iCs/>
                <w:color w:val="000000"/>
                <w:sz w:val="20"/>
                <w:szCs w:val="16"/>
              </w:rPr>
              <w:t>Akaike crit. (AIC)</w:t>
            </w:r>
          </w:p>
        </w:tc>
        <w:tc>
          <w:tcPr>
            <w:tcW w:w="1696" w:type="dxa"/>
            <w:gridSpan w:val="3"/>
            <w:tcBorders>
              <w:top w:val="nil"/>
              <w:left w:val="nil"/>
              <w:bottom w:val="nil"/>
              <w:right w:val="nil"/>
            </w:tcBorders>
          </w:tcPr>
          <w:p w14:paraId="39E4305C" w14:textId="77777777" w:rsidR="00137437" w:rsidRPr="0028029C" w:rsidRDefault="00137437" w:rsidP="008E0221">
            <w:pPr>
              <w:widowControl w:val="0"/>
              <w:spacing w:line="240" w:lineRule="auto"/>
              <w:jc w:val="right"/>
              <w:rPr>
                <w:rFonts w:cs="TimesLTStd-Roman"/>
                <w:iCs/>
                <w:color w:val="000000"/>
                <w:sz w:val="20"/>
                <w:szCs w:val="16"/>
              </w:rPr>
            </w:pPr>
            <w:r w:rsidRPr="0028029C">
              <w:rPr>
                <w:rFonts w:cs="TimesLTStd-Roman"/>
                <w:iCs/>
                <w:color w:val="000000"/>
                <w:sz w:val="20"/>
                <w:szCs w:val="16"/>
              </w:rPr>
              <w:t>-20553.152</w:t>
            </w:r>
          </w:p>
        </w:tc>
        <w:tc>
          <w:tcPr>
            <w:tcW w:w="2487" w:type="dxa"/>
            <w:gridSpan w:val="4"/>
            <w:tcBorders>
              <w:top w:val="nil"/>
              <w:left w:val="nil"/>
              <w:bottom w:val="nil"/>
              <w:right w:val="nil"/>
            </w:tcBorders>
          </w:tcPr>
          <w:p w14:paraId="02200B79" w14:textId="77777777" w:rsidR="00137437" w:rsidRPr="0028029C" w:rsidRDefault="00137437" w:rsidP="008E0221">
            <w:pPr>
              <w:widowControl w:val="0"/>
              <w:spacing w:line="240" w:lineRule="auto"/>
              <w:rPr>
                <w:rFonts w:cs="TimesLTStd-Roman"/>
                <w:iCs/>
                <w:color w:val="000000"/>
                <w:sz w:val="20"/>
                <w:szCs w:val="16"/>
              </w:rPr>
            </w:pPr>
            <w:r w:rsidRPr="0028029C">
              <w:rPr>
                <w:rFonts w:cs="TimesLTStd-Roman"/>
                <w:iCs/>
                <w:color w:val="000000"/>
                <w:sz w:val="20"/>
                <w:szCs w:val="16"/>
              </w:rPr>
              <w:t>Bayesian crit. (BIC)</w:t>
            </w:r>
          </w:p>
        </w:tc>
        <w:tc>
          <w:tcPr>
            <w:tcW w:w="1870" w:type="dxa"/>
            <w:gridSpan w:val="2"/>
            <w:tcBorders>
              <w:top w:val="nil"/>
              <w:left w:val="nil"/>
              <w:bottom w:val="nil"/>
              <w:right w:val="nil"/>
            </w:tcBorders>
          </w:tcPr>
          <w:p w14:paraId="2264D077" w14:textId="77777777" w:rsidR="00137437" w:rsidRPr="0028029C" w:rsidRDefault="00137437" w:rsidP="008E0221">
            <w:pPr>
              <w:widowControl w:val="0"/>
              <w:spacing w:line="240" w:lineRule="auto"/>
              <w:jc w:val="right"/>
              <w:rPr>
                <w:rFonts w:cs="TimesLTStd-Roman"/>
                <w:iCs/>
                <w:color w:val="000000"/>
                <w:sz w:val="20"/>
                <w:szCs w:val="16"/>
              </w:rPr>
            </w:pPr>
            <w:r w:rsidRPr="0028029C">
              <w:rPr>
                <w:rFonts w:cs="TimesLTStd-Roman"/>
                <w:iCs/>
                <w:color w:val="000000"/>
                <w:sz w:val="20"/>
                <w:szCs w:val="16"/>
              </w:rPr>
              <w:t>-20464.129</w:t>
            </w:r>
          </w:p>
        </w:tc>
      </w:tr>
      <w:tr w:rsidR="00137437" w:rsidRPr="00EE5255" w14:paraId="4A8077F9" w14:textId="77777777" w:rsidTr="008E0221">
        <w:trPr>
          <w:trHeight w:val="52"/>
        </w:trPr>
        <w:tc>
          <w:tcPr>
            <w:tcW w:w="9987" w:type="dxa"/>
            <w:gridSpan w:val="15"/>
            <w:tcBorders>
              <w:top w:val="single" w:sz="6" w:space="0" w:color="000000"/>
              <w:left w:val="nil"/>
              <w:bottom w:val="nil"/>
              <w:right w:val="nil"/>
            </w:tcBorders>
          </w:tcPr>
          <w:p w14:paraId="1D1275D4" w14:textId="77777777" w:rsidR="00137437" w:rsidRPr="00137437" w:rsidRDefault="00137437" w:rsidP="008E0221">
            <w:pPr>
              <w:pStyle w:val="Heading4"/>
              <w:numPr>
                <w:ilvl w:val="0"/>
                <w:numId w:val="0"/>
              </w:numPr>
              <w:ind w:left="864" w:hanging="864"/>
              <w:rPr>
                <w:rFonts w:eastAsia="Calisto MT" w:cstheme="minorHAnsi"/>
                <w:bCs w:val="0"/>
                <w:iCs w:val="0"/>
                <w:color w:val="000000"/>
                <w:sz w:val="20"/>
                <w:szCs w:val="20"/>
                <w:lang w:val="en-US"/>
              </w:rPr>
            </w:pPr>
            <w:r w:rsidRPr="00137437">
              <w:rPr>
                <w:rFonts w:eastAsia="Calisto MT" w:cstheme="minorHAnsi"/>
                <w:bCs w:val="0"/>
                <w:iCs w:val="0"/>
                <w:color w:val="000000"/>
                <w:sz w:val="20"/>
                <w:szCs w:val="20"/>
                <w:lang w:val="en-US"/>
              </w:rPr>
              <w:t>*** p&lt;.01, ** p&lt;.05,</w:t>
            </w:r>
          </w:p>
          <w:p w14:paraId="52A2CC32" w14:textId="77777777" w:rsidR="00137437" w:rsidRPr="003C2AF2" w:rsidRDefault="00137437" w:rsidP="008E0221">
            <w:pPr>
              <w:ind w:firstLine="0"/>
              <w:rPr>
                <w:lang w:val="en-US"/>
              </w:rPr>
            </w:pPr>
          </w:p>
        </w:tc>
      </w:tr>
    </w:tbl>
    <w:p w14:paraId="4F1AFE9B" w14:textId="77777777" w:rsidR="00513A55" w:rsidRDefault="00513A55" w:rsidP="00582EC7">
      <w:pPr>
        <w:pStyle w:val="Heading2"/>
      </w:pPr>
      <w:bookmarkStart w:id="107" w:name="_Toc122697364"/>
      <w:r w:rsidRPr="00EE5255">
        <w:t xml:space="preserve">Panel regression – </w:t>
      </w:r>
      <w:r>
        <w:t>Core countries</w:t>
      </w:r>
      <w:r w:rsidRPr="00EE5255">
        <w:t xml:space="preserve"> vs. </w:t>
      </w:r>
      <w:r>
        <w:t>Periphery countries</w:t>
      </w:r>
      <w:bookmarkEnd w:id="107"/>
      <w:r>
        <w:t xml:space="preserve"> </w:t>
      </w:r>
    </w:p>
    <w:p w14:paraId="59A6726C" w14:textId="77777777" w:rsidR="00513A55" w:rsidRPr="00F47720" w:rsidRDefault="00513A55" w:rsidP="00513A55">
      <w:pPr>
        <w:rPr>
          <w:lang w:val="en-US"/>
        </w:rPr>
      </w:pPr>
    </w:p>
    <w:p w14:paraId="61808B93" w14:textId="77777777" w:rsidR="00513A55" w:rsidRPr="0024689A" w:rsidRDefault="00513A55" w:rsidP="00513A55">
      <w:pPr>
        <w:spacing w:after="240"/>
        <w:ind w:firstLine="720"/>
        <w:rPr>
          <w:rFonts w:cstheme="minorHAnsi"/>
          <w:color w:val="000000"/>
          <w:lang w:val="en-US"/>
        </w:rPr>
      </w:pPr>
      <w:r w:rsidRPr="0024689A">
        <w:rPr>
          <w:rFonts w:cstheme="minorHAnsi"/>
          <w:color w:val="000000"/>
          <w:lang w:val="en-US"/>
        </w:rPr>
        <w:t xml:space="preserve">When evaluating unconventional monetary policy measures, the data set </w:t>
      </w:r>
      <w:r>
        <w:rPr>
          <w:rFonts w:cstheme="minorHAnsi"/>
          <w:color w:val="000000"/>
          <w:lang w:val="en-US"/>
        </w:rPr>
        <w:t>can be separated</w:t>
      </w:r>
      <w:r w:rsidRPr="0024689A">
        <w:rPr>
          <w:rFonts w:cstheme="minorHAnsi"/>
          <w:color w:val="000000"/>
          <w:lang w:val="en-US"/>
        </w:rPr>
        <w:t xml:space="preserve"> to distinguish two country groups based on the economic indicator indicating the solvency of a country namely: absolute average yield. This categorization can provide insights into whether UMP announcements have a different impact in different parts of the EMU and whether there are any significant differences between "periphery" and "core" countries.</w:t>
      </w:r>
      <w:r>
        <w:rPr>
          <w:rFonts w:cstheme="minorHAnsi"/>
          <w:color w:val="000000"/>
          <w:lang w:val="en-US"/>
        </w:rPr>
        <w:t xml:space="preserve"> Grouping countries could be beneficial in implementing and designing monetary policy, while this can allow for policy differentiation based on diverse economic conditions anticipating potential heterogeneous reactions within the EU on UMP. </w:t>
      </w:r>
    </w:p>
    <w:p w14:paraId="1B77674A" w14:textId="265BDEEB" w:rsidR="00513A55" w:rsidRDefault="00513A55" w:rsidP="00513A55">
      <w:pPr>
        <w:spacing w:after="240"/>
        <w:ind w:firstLine="720"/>
        <w:rPr>
          <w:rFonts w:cstheme="minorHAnsi"/>
          <w:color w:val="000000"/>
          <w:lang w:val="en-US"/>
        </w:rPr>
      </w:pPr>
      <w:r>
        <w:rPr>
          <w:rFonts w:cstheme="minorHAnsi"/>
          <w:color w:val="000000"/>
          <w:lang w:val="en-US"/>
        </w:rPr>
        <w:lastRenderedPageBreak/>
        <w:t xml:space="preserve">After plotting all countries on their average yields two distinct groups arise. </w:t>
      </w:r>
      <w:r w:rsidRPr="0024689A">
        <w:rPr>
          <w:rFonts w:cstheme="minorHAnsi"/>
          <w:color w:val="000000"/>
          <w:lang w:val="en-US"/>
        </w:rPr>
        <w:t xml:space="preserve">The first group consists of </w:t>
      </w:r>
      <w:r w:rsidR="00091CA1">
        <w:rPr>
          <w:rFonts w:cstheme="minorHAnsi"/>
          <w:color w:val="000000"/>
          <w:lang w:val="en-US"/>
        </w:rPr>
        <w:t xml:space="preserve">Germany, the Netherlands, Ireland, Austria, Finland, </w:t>
      </w:r>
      <w:proofErr w:type="gramStart"/>
      <w:r w:rsidR="00091CA1">
        <w:rPr>
          <w:rFonts w:cstheme="minorHAnsi"/>
          <w:color w:val="000000"/>
          <w:lang w:val="en-US"/>
        </w:rPr>
        <w:t>France</w:t>
      </w:r>
      <w:proofErr w:type="gramEnd"/>
      <w:r w:rsidR="00091CA1">
        <w:rPr>
          <w:rFonts w:cstheme="minorHAnsi"/>
          <w:color w:val="000000"/>
          <w:lang w:val="en-US"/>
        </w:rPr>
        <w:t xml:space="preserve"> and Belgium</w:t>
      </w:r>
      <w:r w:rsidR="00656D4F">
        <w:rPr>
          <w:rFonts w:cstheme="minorHAnsi"/>
          <w:color w:val="000000"/>
          <w:lang w:val="en-US"/>
        </w:rPr>
        <w:t xml:space="preserve"> </w:t>
      </w:r>
      <w:r w:rsidRPr="0024689A">
        <w:rPr>
          <w:rFonts w:cstheme="minorHAnsi"/>
          <w:color w:val="000000"/>
          <w:lang w:val="en-US"/>
        </w:rPr>
        <w:t xml:space="preserve">with an average </w:t>
      </w:r>
      <w:r w:rsidR="00656D4F">
        <w:rPr>
          <w:rFonts w:cstheme="minorHAnsi"/>
          <w:color w:val="000000"/>
          <w:lang w:val="en-US"/>
        </w:rPr>
        <w:t xml:space="preserve">absolute yield </w:t>
      </w:r>
      <w:r w:rsidRPr="0024689A">
        <w:rPr>
          <w:rFonts w:cstheme="minorHAnsi"/>
          <w:color w:val="000000"/>
          <w:lang w:val="en-US"/>
        </w:rPr>
        <w:t>smaller than 0.4 %</w:t>
      </w:r>
      <w:r>
        <w:rPr>
          <w:rFonts w:cstheme="minorHAnsi"/>
          <w:color w:val="000000"/>
          <w:lang w:val="en-US"/>
        </w:rPr>
        <w:t xml:space="preserve">. </w:t>
      </w:r>
      <w:r w:rsidR="005861E1">
        <w:rPr>
          <w:rFonts w:cstheme="minorHAnsi"/>
          <w:color w:val="000000"/>
          <w:lang w:val="en-US"/>
        </w:rPr>
        <w:t>The</w:t>
      </w:r>
      <w:r w:rsidRPr="0024689A">
        <w:rPr>
          <w:rFonts w:cstheme="minorHAnsi"/>
          <w:color w:val="000000"/>
          <w:lang w:val="en-US"/>
        </w:rPr>
        <w:t xml:space="preserve"> second group consisting of Portugal, </w:t>
      </w:r>
      <w:r w:rsidR="005861E1">
        <w:rPr>
          <w:rFonts w:cstheme="minorHAnsi"/>
          <w:color w:val="000000"/>
          <w:lang w:val="en-US"/>
        </w:rPr>
        <w:t>Spain</w:t>
      </w:r>
      <w:r w:rsidRPr="0024689A">
        <w:rPr>
          <w:rFonts w:cstheme="minorHAnsi"/>
          <w:color w:val="000000"/>
          <w:lang w:val="en-US"/>
        </w:rPr>
        <w:t xml:space="preserve"> and </w:t>
      </w:r>
      <w:r w:rsidR="005861E1">
        <w:rPr>
          <w:rFonts w:cstheme="minorHAnsi"/>
          <w:color w:val="000000"/>
          <w:lang w:val="en-US"/>
        </w:rPr>
        <w:t>Italy</w:t>
      </w:r>
      <w:r w:rsidRPr="0024689A">
        <w:rPr>
          <w:rFonts w:cstheme="minorHAnsi"/>
          <w:color w:val="000000"/>
          <w:lang w:val="en-US"/>
        </w:rPr>
        <w:t xml:space="preserve"> </w:t>
      </w:r>
      <w:r w:rsidR="005861E1">
        <w:rPr>
          <w:rFonts w:cstheme="minorHAnsi"/>
          <w:color w:val="000000"/>
          <w:lang w:val="en-US"/>
        </w:rPr>
        <w:t>having an</w:t>
      </w:r>
      <w:r w:rsidRPr="0024689A">
        <w:rPr>
          <w:rFonts w:cstheme="minorHAnsi"/>
          <w:color w:val="000000"/>
          <w:lang w:val="en-US"/>
        </w:rPr>
        <w:t xml:space="preserve"> average </w:t>
      </w:r>
      <w:r w:rsidR="005861E1">
        <w:rPr>
          <w:rFonts w:cstheme="minorHAnsi"/>
          <w:color w:val="000000"/>
          <w:lang w:val="en-US"/>
        </w:rPr>
        <w:t xml:space="preserve">absolute yield </w:t>
      </w:r>
      <w:r w:rsidRPr="0024689A">
        <w:rPr>
          <w:rFonts w:cstheme="minorHAnsi"/>
          <w:color w:val="000000"/>
          <w:lang w:val="en-US"/>
        </w:rPr>
        <w:t>higher than 0.4%</w:t>
      </w:r>
      <w:r>
        <w:rPr>
          <w:rFonts w:cstheme="minorHAnsi"/>
          <w:color w:val="000000"/>
          <w:lang w:val="en-US"/>
        </w:rPr>
        <w:t>.</w:t>
      </w:r>
      <w:r w:rsidRPr="0024689A">
        <w:rPr>
          <w:rFonts w:cstheme="minorHAnsi"/>
          <w:color w:val="000000"/>
          <w:lang w:val="en-US"/>
        </w:rPr>
        <w:t xml:space="preserve"> In Table </w:t>
      </w:r>
      <w:r w:rsidR="00D65D51">
        <w:rPr>
          <w:rFonts w:cstheme="minorHAnsi"/>
          <w:color w:val="000000"/>
          <w:lang w:val="en-US"/>
        </w:rPr>
        <w:t>4</w:t>
      </w:r>
      <w:r w:rsidRPr="0024689A">
        <w:rPr>
          <w:rFonts w:cstheme="minorHAnsi"/>
          <w:color w:val="000000"/>
          <w:lang w:val="en-US"/>
        </w:rPr>
        <w:t xml:space="preserve"> the </w:t>
      </w:r>
      <w:r w:rsidR="005861E1">
        <w:rPr>
          <w:rFonts w:cstheme="minorHAnsi"/>
          <w:color w:val="000000"/>
          <w:lang w:val="en-US"/>
        </w:rPr>
        <w:t>first</w:t>
      </w:r>
      <w:r w:rsidRPr="0024689A">
        <w:rPr>
          <w:rFonts w:cstheme="minorHAnsi"/>
          <w:color w:val="000000"/>
          <w:lang w:val="en-US"/>
        </w:rPr>
        <w:t xml:space="preserve"> group is labelled: </w:t>
      </w:r>
      <w:r>
        <w:rPr>
          <w:rFonts w:cstheme="minorHAnsi"/>
          <w:color w:val="000000"/>
          <w:lang w:val="en-US"/>
        </w:rPr>
        <w:t>“core countries”</w:t>
      </w:r>
      <w:r w:rsidRPr="0024689A">
        <w:rPr>
          <w:rFonts w:cstheme="minorHAnsi"/>
          <w:color w:val="000000"/>
          <w:lang w:val="en-US"/>
        </w:rPr>
        <w:t xml:space="preserve"> and the latter group is referred to as: </w:t>
      </w:r>
      <w:r>
        <w:rPr>
          <w:rFonts w:cstheme="minorHAnsi"/>
          <w:color w:val="000000"/>
          <w:lang w:val="en-US"/>
        </w:rPr>
        <w:t>“periphery countries”</w:t>
      </w:r>
      <w:r w:rsidRPr="0024689A">
        <w:rPr>
          <w:rFonts w:cstheme="minorHAnsi"/>
          <w:color w:val="000000"/>
          <w:lang w:val="en-US"/>
        </w:rPr>
        <w:t xml:space="preserve"> below. In the third column ‘category’ is specified which countries belong towards the </w:t>
      </w:r>
      <w:r>
        <w:rPr>
          <w:rFonts w:cstheme="minorHAnsi"/>
          <w:color w:val="000000"/>
          <w:lang w:val="en-US"/>
        </w:rPr>
        <w:t>core countries</w:t>
      </w:r>
      <w:r w:rsidRPr="0024689A">
        <w:rPr>
          <w:rFonts w:cstheme="minorHAnsi"/>
          <w:color w:val="000000"/>
          <w:lang w:val="en-US"/>
        </w:rPr>
        <w:t xml:space="preserve"> and </w:t>
      </w:r>
      <w:r>
        <w:rPr>
          <w:rFonts w:cstheme="minorHAnsi"/>
          <w:color w:val="000000"/>
          <w:lang w:val="en-US"/>
        </w:rPr>
        <w:t>periphery countries</w:t>
      </w:r>
      <w:r w:rsidRPr="0024689A">
        <w:rPr>
          <w:rFonts w:cstheme="minorHAnsi"/>
          <w:color w:val="000000"/>
          <w:lang w:val="en-US"/>
        </w:rPr>
        <w:t>.</w:t>
      </w:r>
    </w:p>
    <w:p w14:paraId="23F52A18" w14:textId="7A950C56" w:rsidR="00137437" w:rsidRPr="00BC2E42" w:rsidRDefault="00137437" w:rsidP="00137437">
      <w:pPr>
        <w:pStyle w:val="Caption"/>
        <w:jc w:val="left"/>
        <w:rPr>
          <w:lang w:val="en-GB"/>
        </w:rPr>
      </w:pPr>
      <w:r w:rsidRPr="00BC2E42">
        <w:rPr>
          <w:lang w:val="en-GB"/>
        </w:rPr>
        <w:t xml:space="preserve">Table </w:t>
      </w:r>
      <w:r w:rsidR="00D65D51">
        <w:rPr>
          <w:lang w:val="en-GB"/>
        </w:rPr>
        <w:t>4</w:t>
      </w:r>
      <w:r w:rsidRPr="00BC2E42">
        <w:rPr>
          <w:lang w:val="en-GB"/>
        </w:rPr>
        <w:t xml:space="preserve">. </w:t>
      </w:r>
      <w:r w:rsidRPr="002B1454">
        <w:rPr>
          <w:lang w:val="en-GB"/>
        </w:rPr>
        <w:t>Countries categorization based on absolute average yield</w:t>
      </w:r>
    </w:p>
    <w:tbl>
      <w:tblPr>
        <w:tblW w:w="5673"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00" w:firstRow="0" w:lastRow="0" w:firstColumn="0" w:lastColumn="0" w:noHBand="0" w:noVBand="1"/>
      </w:tblPr>
      <w:tblGrid>
        <w:gridCol w:w="1316"/>
        <w:gridCol w:w="2209"/>
        <w:gridCol w:w="2148"/>
      </w:tblGrid>
      <w:tr w:rsidR="00137437" w:rsidRPr="00EE5255" w14:paraId="6B8C91C3" w14:textId="77777777" w:rsidTr="008E0221">
        <w:trPr>
          <w:cantSplit/>
          <w:trHeight w:val="274"/>
        </w:trPr>
        <w:tc>
          <w:tcPr>
            <w:tcW w:w="1316" w:type="dxa"/>
          </w:tcPr>
          <w:p w14:paraId="0F5CA534" w14:textId="77777777" w:rsidR="00137437" w:rsidRPr="00E4748F" w:rsidRDefault="00137437" w:rsidP="008E0221">
            <w:pPr>
              <w:widowControl w:val="0"/>
              <w:spacing w:line="240" w:lineRule="auto"/>
              <w:ind w:firstLine="0"/>
              <w:jc w:val="left"/>
              <w:rPr>
                <w:rFonts w:cs="TimesLTStd-Roman"/>
                <w:b/>
                <w:bCs/>
                <w:iCs/>
                <w:color w:val="000000"/>
                <w:sz w:val="20"/>
                <w:szCs w:val="16"/>
              </w:rPr>
            </w:pPr>
            <w:r w:rsidRPr="00E4748F">
              <w:rPr>
                <w:rFonts w:cs="TimesLTStd-Roman"/>
                <w:b/>
                <w:bCs/>
                <w:iCs/>
                <w:color w:val="000000"/>
                <w:sz w:val="20"/>
                <w:szCs w:val="16"/>
              </w:rPr>
              <w:t>Country</w:t>
            </w:r>
          </w:p>
        </w:tc>
        <w:tc>
          <w:tcPr>
            <w:tcW w:w="2209" w:type="dxa"/>
          </w:tcPr>
          <w:p w14:paraId="703A6BF4" w14:textId="77777777" w:rsidR="00137437" w:rsidRPr="00E4748F" w:rsidRDefault="00137437" w:rsidP="008E0221">
            <w:pPr>
              <w:widowControl w:val="0"/>
              <w:spacing w:line="240" w:lineRule="auto"/>
              <w:ind w:firstLine="0"/>
              <w:jc w:val="left"/>
              <w:rPr>
                <w:rFonts w:cs="TimesLTStd-Roman"/>
                <w:b/>
                <w:bCs/>
                <w:iCs/>
                <w:color w:val="000000"/>
                <w:sz w:val="20"/>
                <w:szCs w:val="16"/>
              </w:rPr>
            </w:pPr>
            <w:r w:rsidRPr="00E4748F">
              <w:rPr>
                <w:rFonts w:cs="TimesLTStd-Roman"/>
                <w:b/>
                <w:bCs/>
                <w:iCs/>
                <w:color w:val="000000"/>
                <w:sz w:val="20"/>
                <w:szCs w:val="16"/>
              </w:rPr>
              <w:t>Absolute average yield</w:t>
            </w:r>
          </w:p>
        </w:tc>
        <w:tc>
          <w:tcPr>
            <w:tcW w:w="2148" w:type="dxa"/>
          </w:tcPr>
          <w:p w14:paraId="0C4C70B5" w14:textId="77777777" w:rsidR="00137437" w:rsidRPr="00E4748F" w:rsidRDefault="00137437" w:rsidP="008E0221">
            <w:pPr>
              <w:widowControl w:val="0"/>
              <w:spacing w:line="240" w:lineRule="auto"/>
              <w:ind w:firstLine="0"/>
              <w:jc w:val="left"/>
              <w:rPr>
                <w:rFonts w:cs="TimesLTStd-Roman"/>
                <w:b/>
                <w:bCs/>
                <w:iCs/>
                <w:color w:val="000000"/>
                <w:sz w:val="20"/>
                <w:szCs w:val="16"/>
              </w:rPr>
            </w:pPr>
            <w:r w:rsidRPr="00E4748F">
              <w:rPr>
                <w:rFonts w:cs="TimesLTStd-Roman"/>
                <w:b/>
                <w:bCs/>
                <w:iCs/>
                <w:color w:val="000000"/>
                <w:sz w:val="20"/>
                <w:szCs w:val="16"/>
              </w:rPr>
              <w:t>Category</w:t>
            </w:r>
          </w:p>
        </w:tc>
      </w:tr>
      <w:tr w:rsidR="00137437" w:rsidRPr="00EE5255" w14:paraId="7B573153" w14:textId="77777777" w:rsidTr="008E0221">
        <w:trPr>
          <w:trHeight w:val="246"/>
        </w:trPr>
        <w:tc>
          <w:tcPr>
            <w:tcW w:w="1316" w:type="dxa"/>
          </w:tcPr>
          <w:p w14:paraId="0AC0E705" w14:textId="77777777" w:rsidR="00137437" w:rsidRPr="00E4748F" w:rsidRDefault="00137437" w:rsidP="008E0221">
            <w:pPr>
              <w:widowControl w:val="0"/>
              <w:spacing w:line="240" w:lineRule="auto"/>
              <w:ind w:firstLine="0"/>
              <w:jc w:val="left"/>
              <w:rPr>
                <w:rFonts w:cs="TimesLTStd-Roman"/>
                <w:iCs/>
                <w:color w:val="000000"/>
                <w:sz w:val="20"/>
                <w:szCs w:val="16"/>
              </w:rPr>
            </w:pPr>
            <w:r w:rsidRPr="00E4748F">
              <w:rPr>
                <w:rFonts w:cs="TimesLTStd-Roman"/>
                <w:iCs/>
                <w:color w:val="000000"/>
                <w:sz w:val="20"/>
                <w:szCs w:val="16"/>
              </w:rPr>
              <w:t>Germany</w:t>
            </w:r>
          </w:p>
        </w:tc>
        <w:tc>
          <w:tcPr>
            <w:tcW w:w="2209" w:type="dxa"/>
          </w:tcPr>
          <w:p w14:paraId="256B63FD" w14:textId="77777777" w:rsidR="00137437" w:rsidRPr="00E4748F" w:rsidRDefault="00137437" w:rsidP="008E0221">
            <w:pPr>
              <w:widowControl w:val="0"/>
              <w:spacing w:line="240" w:lineRule="auto"/>
              <w:ind w:firstLine="0"/>
              <w:jc w:val="left"/>
              <w:rPr>
                <w:rFonts w:cs="TimesLTStd-Roman"/>
                <w:iCs/>
                <w:color w:val="000000"/>
                <w:sz w:val="20"/>
                <w:szCs w:val="16"/>
              </w:rPr>
            </w:pPr>
            <w:r w:rsidRPr="00E4748F">
              <w:rPr>
                <w:rFonts w:cs="TimesLTStd-Roman"/>
                <w:iCs/>
                <w:color w:val="000000"/>
                <w:sz w:val="20"/>
                <w:szCs w:val="16"/>
              </w:rPr>
              <w:t>0,0251 %</w:t>
            </w:r>
          </w:p>
        </w:tc>
        <w:tc>
          <w:tcPr>
            <w:tcW w:w="2148" w:type="dxa"/>
            <w:vMerge w:val="restart"/>
          </w:tcPr>
          <w:p w14:paraId="23E7AB17" w14:textId="77777777" w:rsidR="00137437" w:rsidRPr="00E4748F" w:rsidRDefault="00137437" w:rsidP="008E0221">
            <w:pPr>
              <w:widowControl w:val="0"/>
              <w:spacing w:line="240" w:lineRule="auto"/>
              <w:jc w:val="left"/>
              <w:rPr>
                <w:rFonts w:cs="TimesLTStd-Roman"/>
                <w:iCs/>
                <w:color w:val="000000"/>
                <w:sz w:val="20"/>
                <w:szCs w:val="16"/>
              </w:rPr>
            </w:pPr>
          </w:p>
          <w:p w14:paraId="099B6474" w14:textId="77777777" w:rsidR="00137437" w:rsidRPr="00E4748F" w:rsidRDefault="00137437" w:rsidP="008E0221">
            <w:pPr>
              <w:widowControl w:val="0"/>
              <w:spacing w:line="240" w:lineRule="auto"/>
              <w:jc w:val="left"/>
              <w:rPr>
                <w:rFonts w:cs="TimesLTStd-Roman"/>
                <w:iCs/>
                <w:color w:val="000000"/>
                <w:sz w:val="20"/>
                <w:szCs w:val="16"/>
              </w:rPr>
            </w:pPr>
          </w:p>
          <w:p w14:paraId="29697A7A" w14:textId="77777777" w:rsidR="00137437" w:rsidRPr="00E4748F" w:rsidRDefault="00137437" w:rsidP="008E0221">
            <w:pPr>
              <w:widowControl w:val="0"/>
              <w:spacing w:line="240" w:lineRule="auto"/>
              <w:jc w:val="left"/>
              <w:rPr>
                <w:rFonts w:cs="TimesLTStd-Roman"/>
                <w:iCs/>
                <w:color w:val="000000"/>
                <w:sz w:val="20"/>
                <w:szCs w:val="16"/>
              </w:rPr>
            </w:pPr>
          </w:p>
          <w:p w14:paraId="4E8C66F9" w14:textId="77777777" w:rsidR="00137437" w:rsidRPr="00E4748F" w:rsidRDefault="00137437" w:rsidP="008E0221">
            <w:pPr>
              <w:widowControl w:val="0"/>
              <w:spacing w:line="240" w:lineRule="auto"/>
              <w:ind w:firstLine="0"/>
              <w:jc w:val="left"/>
              <w:rPr>
                <w:rFonts w:cs="TimesLTStd-Roman"/>
                <w:iCs/>
                <w:color w:val="000000"/>
                <w:sz w:val="20"/>
                <w:szCs w:val="16"/>
              </w:rPr>
            </w:pPr>
            <w:r w:rsidRPr="00E4748F">
              <w:rPr>
                <w:rFonts w:cs="TimesLTStd-Roman"/>
                <w:iCs/>
                <w:color w:val="000000"/>
                <w:sz w:val="20"/>
                <w:szCs w:val="16"/>
              </w:rPr>
              <w:t>Core countries</w:t>
            </w:r>
          </w:p>
        </w:tc>
      </w:tr>
      <w:tr w:rsidR="00137437" w:rsidRPr="00EE5255" w14:paraId="3F880552" w14:textId="77777777" w:rsidTr="008E0221">
        <w:trPr>
          <w:trHeight w:val="246"/>
        </w:trPr>
        <w:tc>
          <w:tcPr>
            <w:tcW w:w="1316" w:type="dxa"/>
          </w:tcPr>
          <w:p w14:paraId="5B0C394F" w14:textId="77777777" w:rsidR="00137437" w:rsidRPr="00E4748F" w:rsidRDefault="00137437" w:rsidP="008E0221">
            <w:pPr>
              <w:widowControl w:val="0"/>
              <w:spacing w:line="240" w:lineRule="auto"/>
              <w:ind w:firstLine="0"/>
              <w:jc w:val="left"/>
              <w:rPr>
                <w:rFonts w:cs="TimesLTStd-Roman"/>
                <w:iCs/>
                <w:color w:val="000000"/>
                <w:sz w:val="20"/>
                <w:szCs w:val="16"/>
              </w:rPr>
            </w:pPr>
            <w:r w:rsidRPr="00E4748F">
              <w:rPr>
                <w:rFonts w:cs="TimesLTStd-Roman"/>
                <w:iCs/>
                <w:color w:val="000000"/>
                <w:sz w:val="20"/>
                <w:szCs w:val="16"/>
              </w:rPr>
              <w:t>Netherlands</w:t>
            </w:r>
          </w:p>
        </w:tc>
        <w:tc>
          <w:tcPr>
            <w:tcW w:w="2209" w:type="dxa"/>
          </w:tcPr>
          <w:p w14:paraId="7EFF64C9" w14:textId="77777777" w:rsidR="00137437" w:rsidRPr="00E4748F" w:rsidRDefault="00137437" w:rsidP="008E0221">
            <w:pPr>
              <w:widowControl w:val="0"/>
              <w:spacing w:line="240" w:lineRule="auto"/>
              <w:ind w:firstLine="0"/>
              <w:jc w:val="left"/>
              <w:rPr>
                <w:rFonts w:cs="TimesLTStd-Roman"/>
                <w:iCs/>
                <w:color w:val="000000"/>
                <w:sz w:val="20"/>
                <w:szCs w:val="16"/>
              </w:rPr>
            </w:pPr>
            <w:r w:rsidRPr="00E4748F">
              <w:rPr>
                <w:rFonts w:cs="TimesLTStd-Roman"/>
                <w:iCs/>
                <w:color w:val="000000"/>
                <w:sz w:val="20"/>
                <w:szCs w:val="16"/>
              </w:rPr>
              <w:t>0,1196 %</w:t>
            </w:r>
          </w:p>
        </w:tc>
        <w:tc>
          <w:tcPr>
            <w:tcW w:w="2148" w:type="dxa"/>
            <w:vMerge/>
          </w:tcPr>
          <w:p w14:paraId="26CA721A" w14:textId="77777777" w:rsidR="00137437" w:rsidRPr="00E4748F" w:rsidRDefault="00137437" w:rsidP="008E0221">
            <w:pPr>
              <w:widowControl w:val="0"/>
              <w:pBdr>
                <w:top w:val="nil"/>
                <w:left w:val="nil"/>
                <w:bottom w:val="nil"/>
                <w:right w:val="nil"/>
                <w:between w:val="nil"/>
              </w:pBdr>
              <w:spacing w:line="276" w:lineRule="auto"/>
              <w:ind w:firstLine="0"/>
              <w:jc w:val="left"/>
              <w:rPr>
                <w:rFonts w:cs="TimesLTStd-Roman"/>
                <w:iCs/>
                <w:color w:val="000000"/>
                <w:sz w:val="20"/>
                <w:szCs w:val="16"/>
              </w:rPr>
            </w:pPr>
          </w:p>
        </w:tc>
      </w:tr>
      <w:tr w:rsidR="00137437" w:rsidRPr="00EE5255" w14:paraId="7F26912D" w14:textId="77777777" w:rsidTr="008E0221">
        <w:trPr>
          <w:trHeight w:val="246"/>
        </w:trPr>
        <w:tc>
          <w:tcPr>
            <w:tcW w:w="1316" w:type="dxa"/>
          </w:tcPr>
          <w:p w14:paraId="6040E544" w14:textId="77777777" w:rsidR="00137437" w:rsidRPr="00E4748F" w:rsidRDefault="00137437" w:rsidP="008E0221">
            <w:pPr>
              <w:widowControl w:val="0"/>
              <w:spacing w:line="240" w:lineRule="auto"/>
              <w:ind w:firstLine="0"/>
              <w:jc w:val="left"/>
              <w:rPr>
                <w:rFonts w:cs="TimesLTStd-Roman"/>
                <w:iCs/>
                <w:color w:val="000000"/>
                <w:sz w:val="20"/>
                <w:szCs w:val="16"/>
              </w:rPr>
            </w:pPr>
            <w:r w:rsidRPr="00E4748F">
              <w:rPr>
                <w:rFonts w:cs="TimesLTStd-Roman"/>
                <w:iCs/>
                <w:color w:val="000000"/>
                <w:sz w:val="20"/>
                <w:szCs w:val="16"/>
              </w:rPr>
              <w:t>Ireland</w:t>
            </w:r>
          </w:p>
        </w:tc>
        <w:tc>
          <w:tcPr>
            <w:tcW w:w="2209" w:type="dxa"/>
          </w:tcPr>
          <w:p w14:paraId="34A850AC" w14:textId="77777777" w:rsidR="00137437" w:rsidRPr="00E4748F" w:rsidRDefault="00137437" w:rsidP="008E0221">
            <w:pPr>
              <w:widowControl w:val="0"/>
              <w:spacing w:line="240" w:lineRule="auto"/>
              <w:ind w:firstLine="0"/>
              <w:jc w:val="left"/>
              <w:rPr>
                <w:rFonts w:cs="TimesLTStd-Roman"/>
                <w:iCs/>
                <w:color w:val="000000"/>
                <w:sz w:val="20"/>
                <w:szCs w:val="16"/>
              </w:rPr>
            </w:pPr>
            <w:r w:rsidRPr="00E4748F">
              <w:rPr>
                <w:rFonts w:cs="TimesLTStd-Roman"/>
                <w:iCs/>
                <w:color w:val="000000"/>
                <w:sz w:val="20"/>
                <w:szCs w:val="16"/>
              </w:rPr>
              <w:t>0,1815 %</w:t>
            </w:r>
          </w:p>
        </w:tc>
        <w:tc>
          <w:tcPr>
            <w:tcW w:w="2148" w:type="dxa"/>
            <w:vMerge/>
          </w:tcPr>
          <w:p w14:paraId="382BB0B3" w14:textId="77777777" w:rsidR="00137437" w:rsidRPr="00E4748F" w:rsidRDefault="00137437" w:rsidP="008E0221">
            <w:pPr>
              <w:widowControl w:val="0"/>
              <w:pBdr>
                <w:top w:val="nil"/>
                <w:left w:val="nil"/>
                <w:bottom w:val="nil"/>
                <w:right w:val="nil"/>
                <w:between w:val="nil"/>
              </w:pBdr>
              <w:spacing w:line="276" w:lineRule="auto"/>
              <w:ind w:firstLine="0"/>
              <w:jc w:val="left"/>
              <w:rPr>
                <w:rFonts w:cs="TimesLTStd-Roman"/>
                <w:iCs/>
                <w:color w:val="000000"/>
                <w:sz w:val="20"/>
                <w:szCs w:val="16"/>
              </w:rPr>
            </w:pPr>
          </w:p>
        </w:tc>
      </w:tr>
      <w:tr w:rsidR="00137437" w:rsidRPr="00EE5255" w14:paraId="25414829" w14:textId="77777777" w:rsidTr="008E0221">
        <w:trPr>
          <w:trHeight w:val="246"/>
        </w:trPr>
        <w:tc>
          <w:tcPr>
            <w:tcW w:w="1316" w:type="dxa"/>
          </w:tcPr>
          <w:p w14:paraId="059C5680" w14:textId="77777777" w:rsidR="00137437" w:rsidRPr="00E4748F" w:rsidRDefault="00137437" w:rsidP="008E0221">
            <w:pPr>
              <w:widowControl w:val="0"/>
              <w:spacing w:line="240" w:lineRule="auto"/>
              <w:ind w:firstLine="0"/>
              <w:jc w:val="left"/>
              <w:rPr>
                <w:rFonts w:cs="TimesLTStd-Roman"/>
                <w:iCs/>
                <w:color w:val="000000"/>
                <w:sz w:val="20"/>
                <w:szCs w:val="16"/>
              </w:rPr>
            </w:pPr>
            <w:r w:rsidRPr="00E4748F">
              <w:rPr>
                <w:rFonts w:cs="TimesLTStd-Roman"/>
                <w:iCs/>
                <w:color w:val="000000"/>
                <w:sz w:val="20"/>
                <w:szCs w:val="16"/>
              </w:rPr>
              <w:t>Austria</w:t>
            </w:r>
          </w:p>
        </w:tc>
        <w:tc>
          <w:tcPr>
            <w:tcW w:w="2209" w:type="dxa"/>
          </w:tcPr>
          <w:p w14:paraId="59AF1662" w14:textId="77777777" w:rsidR="00137437" w:rsidRPr="00E4748F" w:rsidRDefault="00137437" w:rsidP="008E0221">
            <w:pPr>
              <w:widowControl w:val="0"/>
              <w:spacing w:line="240" w:lineRule="auto"/>
              <w:ind w:firstLine="0"/>
              <w:jc w:val="left"/>
              <w:rPr>
                <w:rFonts w:cs="TimesLTStd-Roman"/>
                <w:iCs/>
                <w:color w:val="000000"/>
                <w:sz w:val="20"/>
                <w:szCs w:val="16"/>
              </w:rPr>
            </w:pPr>
            <w:r w:rsidRPr="00E4748F">
              <w:rPr>
                <w:rFonts w:cs="TimesLTStd-Roman"/>
                <w:iCs/>
                <w:color w:val="000000"/>
                <w:sz w:val="20"/>
                <w:szCs w:val="16"/>
              </w:rPr>
              <w:t>0,2437 %</w:t>
            </w:r>
          </w:p>
        </w:tc>
        <w:tc>
          <w:tcPr>
            <w:tcW w:w="2148" w:type="dxa"/>
            <w:vMerge/>
          </w:tcPr>
          <w:p w14:paraId="2CFA9C0C" w14:textId="77777777" w:rsidR="00137437" w:rsidRPr="00E4748F" w:rsidRDefault="00137437" w:rsidP="008E0221">
            <w:pPr>
              <w:widowControl w:val="0"/>
              <w:pBdr>
                <w:top w:val="nil"/>
                <w:left w:val="nil"/>
                <w:bottom w:val="nil"/>
                <w:right w:val="nil"/>
                <w:between w:val="nil"/>
              </w:pBdr>
              <w:spacing w:line="276" w:lineRule="auto"/>
              <w:ind w:firstLine="0"/>
              <w:jc w:val="left"/>
              <w:rPr>
                <w:rFonts w:cs="TimesLTStd-Roman"/>
                <w:iCs/>
                <w:color w:val="000000"/>
                <w:sz w:val="20"/>
                <w:szCs w:val="16"/>
              </w:rPr>
            </w:pPr>
          </w:p>
        </w:tc>
      </w:tr>
      <w:tr w:rsidR="00137437" w:rsidRPr="00EE5255" w14:paraId="026A33E5" w14:textId="77777777" w:rsidTr="008E0221">
        <w:trPr>
          <w:trHeight w:val="246"/>
        </w:trPr>
        <w:tc>
          <w:tcPr>
            <w:tcW w:w="1316" w:type="dxa"/>
          </w:tcPr>
          <w:p w14:paraId="547A1187" w14:textId="77777777" w:rsidR="00137437" w:rsidRPr="00E4748F" w:rsidRDefault="00137437" w:rsidP="008E0221">
            <w:pPr>
              <w:widowControl w:val="0"/>
              <w:spacing w:line="240" w:lineRule="auto"/>
              <w:ind w:firstLine="0"/>
              <w:jc w:val="left"/>
              <w:rPr>
                <w:rFonts w:cs="TimesLTStd-Roman"/>
                <w:iCs/>
                <w:color w:val="000000"/>
                <w:sz w:val="20"/>
                <w:szCs w:val="16"/>
              </w:rPr>
            </w:pPr>
            <w:r w:rsidRPr="00E4748F">
              <w:rPr>
                <w:rFonts w:cs="TimesLTStd-Roman"/>
                <w:iCs/>
                <w:color w:val="000000"/>
                <w:sz w:val="20"/>
                <w:szCs w:val="16"/>
              </w:rPr>
              <w:t>Finland</w:t>
            </w:r>
          </w:p>
        </w:tc>
        <w:tc>
          <w:tcPr>
            <w:tcW w:w="2209" w:type="dxa"/>
          </w:tcPr>
          <w:p w14:paraId="69FF5091" w14:textId="77777777" w:rsidR="00137437" w:rsidRPr="00E4748F" w:rsidRDefault="00137437" w:rsidP="008E0221">
            <w:pPr>
              <w:widowControl w:val="0"/>
              <w:spacing w:line="240" w:lineRule="auto"/>
              <w:ind w:firstLine="0"/>
              <w:jc w:val="left"/>
              <w:rPr>
                <w:rFonts w:cs="TimesLTStd-Roman"/>
                <w:iCs/>
                <w:color w:val="000000"/>
                <w:sz w:val="20"/>
                <w:szCs w:val="16"/>
              </w:rPr>
            </w:pPr>
            <w:r w:rsidRPr="00E4748F">
              <w:rPr>
                <w:rFonts w:cs="TimesLTStd-Roman"/>
                <w:iCs/>
                <w:color w:val="000000"/>
                <w:sz w:val="20"/>
                <w:szCs w:val="16"/>
              </w:rPr>
              <w:t>0,3044 %</w:t>
            </w:r>
          </w:p>
        </w:tc>
        <w:tc>
          <w:tcPr>
            <w:tcW w:w="2148" w:type="dxa"/>
            <w:vMerge/>
          </w:tcPr>
          <w:p w14:paraId="02C2B36E" w14:textId="77777777" w:rsidR="00137437" w:rsidRPr="00E4748F" w:rsidRDefault="00137437" w:rsidP="008E0221">
            <w:pPr>
              <w:widowControl w:val="0"/>
              <w:pBdr>
                <w:top w:val="nil"/>
                <w:left w:val="nil"/>
                <w:bottom w:val="nil"/>
                <w:right w:val="nil"/>
                <w:between w:val="nil"/>
              </w:pBdr>
              <w:spacing w:line="276" w:lineRule="auto"/>
              <w:ind w:firstLine="0"/>
              <w:jc w:val="left"/>
              <w:rPr>
                <w:rFonts w:cs="TimesLTStd-Roman"/>
                <w:iCs/>
                <w:color w:val="000000"/>
                <w:sz w:val="20"/>
                <w:szCs w:val="16"/>
              </w:rPr>
            </w:pPr>
          </w:p>
        </w:tc>
      </w:tr>
      <w:tr w:rsidR="00137437" w:rsidRPr="00EE5255" w14:paraId="3121416E" w14:textId="77777777" w:rsidTr="008E0221">
        <w:trPr>
          <w:trHeight w:val="246"/>
        </w:trPr>
        <w:tc>
          <w:tcPr>
            <w:tcW w:w="1316" w:type="dxa"/>
          </w:tcPr>
          <w:p w14:paraId="3F557CC2" w14:textId="77777777" w:rsidR="00137437" w:rsidRPr="00E4748F" w:rsidRDefault="00137437" w:rsidP="008E0221">
            <w:pPr>
              <w:widowControl w:val="0"/>
              <w:spacing w:line="240" w:lineRule="auto"/>
              <w:ind w:firstLine="0"/>
              <w:jc w:val="left"/>
              <w:rPr>
                <w:rFonts w:cs="TimesLTStd-Roman"/>
                <w:iCs/>
                <w:color w:val="000000"/>
                <w:sz w:val="20"/>
                <w:szCs w:val="16"/>
              </w:rPr>
            </w:pPr>
            <w:r w:rsidRPr="00E4748F">
              <w:rPr>
                <w:rFonts w:cs="TimesLTStd-Roman"/>
                <w:iCs/>
                <w:color w:val="000000"/>
                <w:sz w:val="20"/>
                <w:szCs w:val="16"/>
              </w:rPr>
              <w:t>France</w:t>
            </w:r>
          </w:p>
        </w:tc>
        <w:tc>
          <w:tcPr>
            <w:tcW w:w="2209" w:type="dxa"/>
          </w:tcPr>
          <w:p w14:paraId="4DA00187" w14:textId="77777777" w:rsidR="00137437" w:rsidRPr="00E4748F" w:rsidRDefault="00137437" w:rsidP="008E0221">
            <w:pPr>
              <w:widowControl w:val="0"/>
              <w:spacing w:line="240" w:lineRule="auto"/>
              <w:ind w:firstLine="0"/>
              <w:jc w:val="left"/>
              <w:rPr>
                <w:rFonts w:cs="TimesLTStd-Roman"/>
                <w:iCs/>
                <w:color w:val="000000"/>
                <w:sz w:val="20"/>
                <w:szCs w:val="16"/>
              </w:rPr>
            </w:pPr>
            <w:r w:rsidRPr="00E4748F">
              <w:rPr>
                <w:rFonts w:cs="TimesLTStd-Roman"/>
                <w:iCs/>
                <w:color w:val="000000"/>
                <w:sz w:val="20"/>
                <w:szCs w:val="16"/>
              </w:rPr>
              <w:t>0,3501 %</w:t>
            </w:r>
          </w:p>
        </w:tc>
        <w:tc>
          <w:tcPr>
            <w:tcW w:w="2148" w:type="dxa"/>
            <w:vMerge/>
          </w:tcPr>
          <w:p w14:paraId="0E676F30" w14:textId="77777777" w:rsidR="00137437" w:rsidRPr="00E4748F" w:rsidRDefault="00137437" w:rsidP="008E0221">
            <w:pPr>
              <w:widowControl w:val="0"/>
              <w:pBdr>
                <w:top w:val="nil"/>
                <w:left w:val="nil"/>
                <w:bottom w:val="nil"/>
                <w:right w:val="nil"/>
                <w:between w:val="nil"/>
              </w:pBdr>
              <w:spacing w:line="276" w:lineRule="auto"/>
              <w:ind w:firstLine="0"/>
              <w:jc w:val="left"/>
              <w:rPr>
                <w:rFonts w:cs="TimesLTStd-Roman"/>
                <w:iCs/>
                <w:color w:val="000000"/>
                <w:sz w:val="20"/>
                <w:szCs w:val="16"/>
              </w:rPr>
            </w:pPr>
          </w:p>
        </w:tc>
      </w:tr>
      <w:tr w:rsidR="00137437" w:rsidRPr="00EE5255" w14:paraId="45FCF2AD" w14:textId="77777777" w:rsidTr="008E0221">
        <w:trPr>
          <w:trHeight w:val="258"/>
        </w:trPr>
        <w:tc>
          <w:tcPr>
            <w:tcW w:w="1316" w:type="dxa"/>
          </w:tcPr>
          <w:p w14:paraId="63D7ED41" w14:textId="77777777" w:rsidR="00137437" w:rsidRPr="00E4748F" w:rsidRDefault="00137437" w:rsidP="008E0221">
            <w:pPr>
              <w:widowControl w:val="0"/>
              <w:spacing w:line="240" w:lineRule="auto"/>
              <w:ind w:firstLine="0"/>
              <w:jc w:val="left"/>
              <w:rPr>
                <w:rFonts w:cs="TimesLTStd-Roman"/>
                <w:iCs/>
                <w:color w:val="000000"/>
                <w:sz w:val="20"/>
                <w:szCs w:val="16"/>
              </w:rPr>
            </w:pPr>
            <w:r w:rsidRPr="00E4748F">
              <w:rPr>
                <w:rFonts w:cs="TimesLTStd-Roman"/>
                <w:iCs/>
                <w:color w:val="000000"/>
                <w:sz w:val="20"/>
                <w:szCs w:val="16"/>
              </w:rPr>
              <w:t>Belgium</w:t>
            </w:r>
          </w:p>
        </w:tc>
        <w:tc>
          <w:tcPr>
            <w:tcW w:w="2209" w:type="dxa"/>
          </w:tcPr>
          <w:p w14:paraId="6DB5BDB6" w14:textId="77777777" w:rsidR="00137437" w:rsidRPr="00E4748F" w:rsidRDefault="00137437" w:rsidP="008E0221">
            <w:pPr>
              <w:widowControl w:val="0"/>
              <w:spacing w:line="240" w:lineRule="auto"/>
              <w:ind w:firstLine="0"/>
              <w:jc w:val="left"/>
              <w:rPr>
                <w:rFonts w:cs="TimesLTStd-Roman"/>
                <w:iCs/>
                <w:color w:val="000000"/>
                <w:sz w:val="20"/>
                <w:szCs w:val="16"/>
              </w:rPr>
            </w:pPr>
            <w:r w:rsidRPr="00E4748F">
              <w:rPr>
                <w:rFonts w:cs="TimesLTStd-Roman"/>
                <w:iCs/>
                <w:color w:val="000000"/>
                <w:sz w:val="20"/>
                <w:szCs w:val="16"/>
              </w:rPr>
              <w:t>0,4015 %</w:t>
            </w:r>
          </w:p>
        </w:tc>
        <w:tc>
          <w:tcPr>
            <w:tcW w:w="2148" w:type="dxa"/>
            <w:vMerge/>
          </w:tcPr>
          <w:p w14:paraId="703BECEB" w14:textId="77777777" w:rsidR="00137437" w:rsidRPr="00E4748F" w:rsidRDefault="00137437" w:rsidP="008E0221">
            <w:pPr>
              <w:widowControl w:val="0"/>
              <w:pBdr>
                <w:top w:val="nil"/>
                <w:left w:val="nil"/>
                <w:bottom w:val="nil"/>
                <w:right w:val="nil"/>
                <w:between w:val="nil"/>
              </w:pBdr>
              <w:spacing w:line="276" w:lineRule="auto"/>
              <w:ind w:firstLine="0"/>
              <w:jc w:val="left"/>
              <w:rPr>
                <w:rFonts w:cs="TimesLTStd-Roman"/>
                <w:iCs/>
                <w:color w:val="000000"/>
                <w:sz w:val="20"/>
                <w:szCs w:val="16"/>
              </w:rPr>
            </w:pPr>
          </w:p>
        </w:tc>
      </w:tr>
      <w:tr w:rsidR="00137437" w:rsidRPr="00EE5255" w14:paraId="6E2BFC74" w14:textId="77777777" w:rsidTr="008E0221">
        <w:trPr>
          <w:trHeight w:val="246"/>
        </w:trPr>
        <w:tc>
          <w:tcPr>
            <w:tcW w:w="1316" w:type="dxa"/>
          </w:tcPr>
          <w:p w14:paraId="13F6A1B4" w14:textId="77777777" w:rsidR="00137437" w:rsidRPr="00E4748F" w:rsidRDefault="00137437" w:rsidP="008E0221">
            <w:pPr>
              <w:widowControl w:val="0"/>
              <w:spacing w:line="240" w:lineRule="auto"/>
              <w:ind w:firstLine="0"/>
              <w:jc w:val="left"/>
              <w:rPr>
                <w:rFonts w:cs="TimesLTStd-Roman"/>
                <w:iCs/>
                <w:color w:val="000000"/>
                <w:sz w:val="20"/>
                <w:szCs w:val="16"/>
              </w:rPr>
            </w:pPr>
            <w:r w:rsidRPr="00E4748F">
              <w:rPr>
                <w:rFonts w:cs="TimesLTStd-Roman"/>
                <w:iCs/>
                <w:color w:val="000000"/>
                <w:sz w:val="20"/>
                <w:szCs w:val="16"/>
              </w:rPr>
              <w:t>Portugal</w:t>
            </w:r>
          </w:p>
        </w:tc>
        <w:tc>
          <w:tcPr>
            <w:tcW w:w="2209" w:type="dxa"/>
          </w:tcPr>
          <w:p w14:paraId="77A63B79" w14:textId="77777777" w:rsidR="00137437" w:rsidRPr="00E4748F" w:rsidRDefault="00137437" w:rsidP="008E0221">
            <w:pPr>
              <w:widowControl w:val="0"/>
              <w:spacing w:line="240" w:lineRule="auto"/>
              <w:ind w:firstLine="0"/>
              <w:jc w:val="left"/>
              <w:rPr>
                <w:rFonts w:cs="TimesLTStd-Roman"/>
                <w:iCs/>
                <w:color w:val="000000"/>
                <w:sz w:val="20"/>
                <w:szCs w:val="16"/>
              </w:rPr>
            </w:pPr>
            <w:r w:rsidRPr="00E4748F">
              <w:rPr>
                <w:rFonts w:cs="TimesLTStd-Roman"/>
                <w:iCs/>
                <w:color w:val="000000"/>
                <w:sz w:val="20"/>
                <w:szCs w:val="16"/>
              </w:rPr>
              <w:t>0,8110 %</w:t>
            </w:r>
          </w:p>
        </w:tc>
        <w:tc>
          <w:tcPr>
            <w:tcW w:w="2148" w:type="dxa"/>
            <w:vMerge w:val="restart"/>
          </w:tcPr>
          <w:p w14:paraId="3F447CEE" w14:textId="77777777" w:rsidR="00137437" w:rsidRPr="00E4748F" w:rsidRDefault="00137437" w:rsidP="008E0221">
            <w:pPr>
              <w:widowControl w:val="0"/>
              <w:spacing w:line="240" w:lineRule="auto"/>
              <w:jc w:val="left"/>
              <w:rPr>
                <w:rFonts w:cs="TimesLTStd-Roman"/>
                <w:iCs/>
                <w:color w:val="000000"/>
                <w:sz w:val="20"/>
                <w:szCs w:val="16"/>
              </w:rPr>
            </w:pPr>
          </w:p>
          <w:p w14:paraId="4179868F" w14:textId="77777777" w:rsidR="00137437" w:rsidRPr="00E4748F" w:rsidRDefault="00137437" w:rsidP="008E0221">
            <w:pPr>
              <w:widowControl w:val="0"/>
              <w:spacing w:line="240" w:lineRule="auto"/>
              <w:ind w:firstLine="0"/>
              <w:jc w:val="left"/>
              <w:rPr>
                <w:rFonts w:cs="TimesLTStd-Roman"/>
                <w:iCs/>
                <w:color w:val="000000"/>
                <w:sz w:val="20"/>
                <w:szCs w:val="16"/>
              </w:rPr>
            </w:pPr>
            <w:r w:rsidRPr="00E4748F">
              <w:rPr>
                <w:rFonts w:cs="TimesLTStd-Roman"/>
                <w:iCs/>
                <w:color w:val="000000"/>
                <w:sz w:val="20"/>
                <w:szCs w:val="16"/>
              </w:rPr>
              <w:t>Periphery countries</w:t>
            </w:r>
          </w:p>
        </w:tc>
      </w:tr>
      <w:tr w:rsidR="00137437" w:rsidRPr="00E4748F" w14:paraId="0C8D887F" w14:textId="77777777" w:rsidTr="008E0221">
        <w:trPr>
          <w:trHeight w:val="246"/>
        </w:trPr>
        <w:tc>
          <w:tcPr>
            <w:tcW w:w="1316" w:type="dxa"/>
          </w:tcPr>
          <w:p w14:paraId="2880EC8C" w14:textId="77777777" w:rsidR="00137437" w:rsidRPr="00E4748F" w:rsidRDefault="00137437" w:rsidP="008E0221">
            <w:pPr>
              <w:widowControl w:val="0"/>
              <w:spacing w:line="240" w:lineRule="auto"/>
              <w:ind w:firstLine="0"/>
              <w:jc w:val="left"/>
              <w:rPr>
                <w:rFonts w:cs="TimesLTStd-Roman"/>
                <w:iCs/>
                <w:color w:val="000000"/>
                <w:sz w:val="20"/>
                <w:szCs w:val="16"/>
              </w:rPr>
            </w:pPr>
            <w:r w:rsidRPr="00E4748F">
              <w:rPr>
                <w:rFonts w:cs="TimesLTStd-Roman"/>
                <w:iCs/>
                <w:color w:val="000000"/>
                <w:sz w:val="20"/>
                <w:szCs w:val="16"/>
              </w:rPr>
              <w:t>Spain</w:t>
            </w:r>
          </w:p>
        </w:tc>
        <w:tc>
          <w:tcPr>
            <w:tcW w:w="2209" w:type="dxa"/>
          </w:tcPr>
          <w:p w14:paraId="74FF7AD1" w14:textId="77777777" w:rsidR="00137437" w:rsidRPr="00E4748F" w:rsidRDefault="00137437" w:rsidP="008E0221">
            <w:pPr>
              <w:widowControl w:val="0"/>
              <w:spacing w:line="240" w:lineRule="auto"/>
              <w:ind w:firstLine="0"/>
              <w:jc w:val="left"/>
              <w:rPr>
                <w:rFonts w:cs="TimesLTStd-Roman"/>
                <w:iCs/>
                <w:color w:val="000000"/>
                <w:sz w:val="20"/>
                <w:szCs w:val="16"/>
              </w:rPr>
            </w:pPr>
            <w:r w:rsidRPr="00E4748F">
              <w:rPr>
                <w:rFonts w:cs="TimesLTStd-Roman"/>
                <w:iCs/>
                <w:color w:val="000000"/>
                <w:sz w:val="20"/>
                <w:szCs w:val="16"/>
              </w:rPr>
              <w:t>0,8779 %</w:t>
            </w:r>
          </w:p>
        </w:tc>
        <w:tc>
          <w:tcPr>
            <w:tcW w:w="2148" w:type="dxa"/>
            <w:vMerge/>
          </w:tcPr>
          <w:p w14:paraId="08179A77" w14:textId="77777777" w:rsidR="00137437" w:rsidRPr="00E4748F" w:rsidRDefault="00137437" w:rsidP="008E0221">
            <w:pPr>
              <w:widowControl w:val="0"/>
              <w:pBdr>
                <w:top w:val="nil"/>
                <w:left w:val="nil"/>
                <w:bottom w:val="nil"/>
                <w:right w:val="nil"/>
                <w:between w:val="nil"/>
              </w:pBdr>
              <w:spacing w:line="276" w:lineRule="auto"/>
              <w:ind w:firstLine="0"/>
              <w:jc w:val="left"/>
              <w:rPr>
                <w:rFonts w:cs="TimesLTStd-Roman"/>
                <w:iCs/>
                <w:color w:val="000000"/>
                <w:sz w:val="20"/>
                <w:szCs w:val="16"/>
              </w:rPr>
            </w:pPr>
          </w:p>
        </w:tc>
      </w:tr>
      <w:tr w:rsidR="00137437" w:rsidRPr="00E4748F" w14:paraId="38EF1B5D" w14:textId="77777777" w:rsidTr="008E0221">
        <w:trPr>
          <w:trHeight w:val="258"/>
        </w:trPr>
        <w:tc>
          <w:tcPr>
            <w:tcW w:w="1316" w:type="dxa"/>
          </w:tcPr>
          <w:p w14:paraId="2CBA2BA2" w14:textId="77777777" w:rsidR="00137437" w:rsidRPr="00E4748F" w:rsidRDefault="00137437" w:rsidP="008E0221">
            <w:pPr>
              <w:widowControl w:val="0"/>
              <w:spacing w:line="240" w:lineRule="auto"/>
              <w:ind w:firstLine="0"/>
              <w:jc w:val="left"/>
              <w:rPr>
                <w:rFonts w:cs="TimesLTStd-Roman"/>
                <w:iCs/>
                <w:color w:val="000000"/>
                <w:sz w:val="20"/>
                <w:szCs w:val="16"/>
              </w:rPr>
            </w:pPr>
            <w:r w:rsidRPr="00E4748F">
              <w:rPr>
                <w:rFonts w:cs="TimesLTStd-Roman"/>
                <w:iCs/>
                <w:color w:val="000000"/>
                <w:sz w:val="20"/>
                <w:szCs w:val="16"/>
              </w:rPr>
              <w:t>Italy</w:t>
            </w:r>
          </w:p>
        </w:tc>
        <w:tc>
          <w:tcPr>
            <w:tcW w:w="2209" w:type="dxa"/>
          </w:tcPr>
          <w:p w14:paraId="7D28A1DE" w14:textId="77777777" w:rsidR="00137437" w:rsidRPr="00E4748F" w:rsidRDefault="00137437" w:rsidP="008E0221">
            <w:pPr>
              <w:widowControl w:val="0"/>
              <w:spacing w:line="240" w:lineRule="auto"/>
              <w:ind w:firstLine="0"/>
              <w:jc w:val="left"/>
              <w:rPr>
                <w:rFonts w:cs="TimesLTStd-Roman"/>
                <w:iCs/>
                <w:color w:val="000000"/>
                <w:sz w:val="20"/>
                <w:szCs w:val="16"/>
              </w:rPr>
            </w:pPr>
            <w:r w:rsidRPr="00E4748F">
              <w:rPr>
                <w:rFonts w:cs="TimesLTStd-Roman"/>
                <w:iCs/>
                <w:color w:val="000000"/>
                <w:sz w:val="20"/>
                <w:szCs w:val="16"/>
              </w:rPr>
              <w:t>1,5245 %</w:t>
            </w:r>
          </w:p>
        </w:tc>
        <w:tc>
          <w:tcPr>
            <w:tcW w:w="2148" w:type="dxa"/>
            <w:vMerge/>
          </w:tcPr>
          <w:p w14:paraId="1AD6AE72" w14:textId="77777777" w:rsidR="00137437" w:rsidRPr="00E4748F" w:rsidRDefault="00137437" w:rsidP="008E0221">
            <w:pPr>
              <w:widowControl w:val="0"/>
              <w:pBdr>
                <w:top w:val="nil"/>
                <w:left w:val="nil"/>
                <w:bottom w:val="nil"/>
                <w:right w:val="nil"/>
                <w:between w:val="nil"/>
              </w:pBdr>
              <w:spacing w:line="276" w:lineRule="auto"/>
              <w:ind w:firstLine="0"/>
              <w:jc w:val="left"/>
              <w:rPr>
                <w:rFonts w:cs="TimesLTStd-Roman"/>
                <w:iCs/>
                <w:color w:val="000000"/>
                <w:sz w:val="20"/>
                <w:szCs w:val="16"/>
              </w:rPr>
            </w:pPr>
          </w:p>
        </w:tc>
      </w:tr>
    </w:tbl>
    <w:p w14:paraId="00039198" w14:textId="77777777" w:rsidR="00137437" w:rsidRPr="0024689A" w:rsidRDefault="00137437" w:rsidP="00513A55">
      <w:pPr>
        <w:spacing w:after="240"/>
        <w:ind w:firstLine="720"/>
        <w:rPr>
          <w:rFonts w:cstheme="minorHAnsi"/>
          <w:color w:val="000000"/>
          <w:lang w:val="en-US"/>
        </w:rPr>
      </w:pPr>
    </w:p>
    <w:p w14:paraId="4EC2300A" w14:textId="28DD7A90" w:rsidR="00513A55" w:rsidRPr="0024689A" w:rsidRDefault="00513A55" w:rsidP="00513A55">
      <w:pPr>
        <w:spacing w:after="240"/>
        <w:ind w:firstLine="720"/>
        <w:rPr>
          <w:rFonts w:cstheme="minorHAnsi"/>
          <w:color w:val="000000"/>
          <w:lang w:val="en-US"/>
        </w:rPr>
      </w:pPr>
      <w:r w:rsidRPr="0024689A">
        <w:rPr>
          <w:rFonts w:cstheme="minorHAnsi"/>
          <w:color w:val="000000"/>
          <w:lang w:val="en-US"/>
        </w:rPr>
        <w:t xml:space="preserve">In table </w:t>
      </w:r>
      <w:r w:rsidR="00D65D51">
        <w:rPr>
          <w:rFonts w:cstheme="minorHAnsi"/>
          <w:color w:val="000000"/>
          <w:lang w:val="en-US"/>
        </w:rPr>
        <w:t>5</w:t>
      </w:r>
      <w:r w:rsidRPr="0024689A">
        <w:rPr>
          <w:rFonts w:cstheme="minorHAnsi"/>
          <w:color w:val="000000"/>
          <w:lang w:val="en-US"/>
        </w:rPr>
        <w:t xml:space="preserve">, two group specific panel regression are carried out to </w:t>
      </w:r>
      <w:r>
        <w:rPr>
          <w:rFonts w:cstheme="minorHAnsi"/>
          <w:color w:val="000000"/>
          <w:lang w:val="en-US"/>
        </w:rPr>
        <w:t>test</w:t>
      </w:r>
      <w:r w:rsidRPr="0024689A">
        <w:rPr>
          <w:rFonts w:cstheme="minorHAnsi"/>
          <w:color w:val="000000"/>
          <w:lang w:val="en-US"/>
        </w:rPr>
        <w:t xml:space="preserve"> the assumed relation that </w:t>
      </w:r>
      <w:r w:rsidRPr="001D220C">
        <w:rPr>
          <w:rFonts w:cstheme="minorHAnsi"/>
          <w:lang w:val="en-US"/>
        </w:rPr>
        <w:t xml:space="preserve">changes to </w:t>
      </w:r>
      <w:r w:rsidRPr="0024689A">
        <w:rPr>
          <w:rFonts w:cstheme="minorHAnsi"/>
          <w:color w:val="000000"/>
          <w:lang w:val="en-US"/>
        </w:rPr>
        <w:t>sovereign yield level</w:t>
      </w:r>
      <w:r w:rsidRPr="008B3F8A">
        <w:rPr>
          <w:rFonts w:cstheme="minorHAnsi"/>
          <w:strike/>
          <w:color w:val="000000"/>
          <w:lang w:val="en-US"/>
        </w:rPr>
        <w:t xml:space="preserve"> </w:t>
      </w:r>
      <w:r>
        <w:rPr>
          <w:rFonts w:cstheme="minorHAnsi"/>
          <w:color w:val="000000"/>
          <w:lang w:val="en-US"/>
        </w:rPr>
        <w:t>upon</w:t>
      </w:r>
      <w:r w:rsidRPr="0024689A">
        <w:rPr>
          <w:rFonts w:cstheme="minorHAnsi"/>
          <w:color w:val="000000"/>
          <w:lang w:val="en-US"/>
        </w:rPr>
        <w:t xml:space="preserve"> ECB UMP</w:t>
      </w:r>
      <w:r>
        <w:rPr>
          <w:rFonts w:cstheme="minorHAnsi"/>
          <w:color w:val="000000"/>
          <w:lang w:val="en-US"/>
        </w:rPr>
        <w:t xml:space="preserve"> announcements</w:t>
      </w:r>
      <w:r w:rsidRPr="0024689A">
        <w:rPr>
          <w:rFonts w:cstheme="minorHAnsi"/>
          <w:color w:val="000000"/>
          <w:lang w:val="en-US"/>
        </w:rPr>
        <w:t xml:space="preserve"> are more negative for the periphery group than for the more solvent</w:t>
      </w:r>
      <w:r>
        <w:rPr>
          <w:rFonts w:cstheme="minorHAnsi"/>
          <w:color w:val="000000"/>
          <w:lang w:val="en-US"/>
        </w:rPr>
        <w:t xml:space="preserve"> “</w:t>
      </w:r>
      <w:r w:rsidRPr="0024689A">
        <w:rPr>
          <w:rFonts w:cstheme="minorHAnsi"/>
          <w:color w:val="000000"/>
          <w:lang w:val="en-US"/>
        </w:rPr>
        <w:t>core</w:t>
      </w:r>
      <w:r>
        <w:rPr>
          <w:rFonts w:cstheme="minorHAnsi"/>
          <w:color w:val="000000"/>
          <w:lang w:val="en-US"/>
        </w:rPr>
        <w:t>”</w:t>
      </w:r>
      <w:r w:rsidRPr="0024689A">
        <w:rPr>
          <w:rFonts w:cstheme="minorHAnsi"/>
          <w:color w:val="000000"/>
          <w:lang w:val="en-US"/>
        </w:rPr>
        <w:t xml:space="preserve"> countries. Table </w:t>
      </w:r>
      <w:r w:rsidR="00137437">
        <w:rPr>
          <w:rFonts w:cstheme="minorHAnsi"/>
          <w:color w:val="000000"/>
          <w:lang w:val="en-US"/>
        </w:rPr>
        <w:t>4</w:t>
      </w:r>
      <w:r w:rsidRPr="0024689A">
        <w:rPr>
          <w:rFonts w:cstheme="minorHAnsi"/>
          <w:color w:val="000000"/>
          <w:lang w:val="en-US"/>
        </w:rPr>
        <w:t xml:space="preserve"> shows the results </w:t>
      </w:r>
      <w:r w:rsidR="005861E1">
        <w:rPr>
          <w:rFonts w:cstheme="minorHAnsi"/>
          <w:color w:val="000000"/>
          <w:lang w:val="en-US"/>
        </w:rPr>
        <w:t xml:space="preserve">of </w:t>
      </w:r>
      <w:r w:rsidRPr="0048137A">
        <w:rPr>
          <w:rFonts w:cstheme="minorHAnsi"/>
          <w:color w:val="000000"/>
          <w:lang w:val="en-US"/>
        </w:rPr>
        <w:t>Equation (</w:t>
      </w:r>
      <w:r w:rsidR="0048137A" w:rsidRPr="0048137A">
        <w:rPr>
          <w:rFonts w:cstheme="minorHAnsi"/>
          <w:color w:val="000000"/>
          <w:lang w:val="en-US"/>
        </w:rPr>
        <w:t>1</w:t>
      </w:r>
      <w:r w:rsidRPr="0048137A">
        <w:rPr>
          <w:rFonts w:cstheme="minorHAnsi"/>
          <w:color w:val="000000"/>
          <w:lang w:val="en-US"/>
        </w:rPr>
        <w:t>).</w:t>
      </w:r>
      <w:r w:rsidRPr="0024689A">
        <w:rPr>
          <w:rFonts w:cstheme="minorHAnsi"/>
          <w:color w:val="000000"/>
          <w:lang w:val="en-US"/>
        </w:rPr>
        <w:t xml:space="preserve"> </w:t>
      </w:r>
    </w:p>
    <w:p w14:paraId="0AB9C548" w14:textId="77777777" w:rsidR="00513A55" w:rsidRPr="0024689A" w:rsidRDefault="00513A55" w:rsidP="00513A55">
      <w:pPr>
        <w:spacing w:after="240"/>
        <w:ind w:firstLine="720"/>
        <w:rPr>
          <w:rFonts w:cstheme="minorHAnsi"/>
          <w:color w:val="000000"/>
          <w:lang w:val="en-US"/>
        </w:rPr>
      </w:pPr>
      <w:r w:rsidRPr="0024689A">
        <w:rPr>
          <w:rFonts w:cstheme="minorHAnsi"/>
          <w:color w:val="000000"/>
          <w:lang w:val="en-US"/>
        </w:rPr>
        <w:t xml:space="preserve">Analyzing model (1), </w:t>
      </w:r>
      <w:r>
        <w:rPr>
          <w:rFonts w:cstheme="minorHAnsi"/>
          <w:color w:val="000000"/>
          <w:lang w:val="en-US"/>
        </w:rPr>
        <w:t>EMU core countries, shows t</w:t>
      </w:r>
      <w:r w:rsidRPr="0024689A">
        <w:rPr>
          <w:rFonts w:cstheme="minorHAnsi"/>
          <w:color w:val="000000"/>
          <w:lang w:val="en-US"/>
        </w:rPr>
        <w:t xml:space="preserve">here is an immediate positive reaction with regards </w:t>
      </w:r>
      <w:r>
        <w:rPr>
          <w:rFonts w:cstheme="minorHAnsi"/>
          <w:color w:val="000000"/>
          <w:lang w:val="en-US"/>
        </w:rPr>
        <w:t xml:space="preserve">bond </w:t>
      </w:r>
      <w:r w:rsidRPr="0024689A">
        <w:rPr>
          <w:rFonts w:cstheme="minorHAnsi"/>
          <w:color w:val="000000"/>
          <w:lang w:val="en-US"/>
        </w:rPr>
        <w:t>yield reacting on the UMP announcement, however this reaction is not significant. The delayed announcement effect, however, is positive and significant. The two-day delayed effect appears to be negative, but this effect is not significant.</w:t>
      </w:r>
      <w:r>
        <w:rPr>
          <w:rFonts w:cstheme="minorHAnsi"/>
          <w:color w:val="000000"/>
          <w:lang w:val="en-US"/>
        </w:rPr>
        <w:t xml:space="preserve"> </w:t>
      </w:r>
      <w:r w:rsidRPr="0024689A">
        <w:rPr>
          <w:rFonts w:cstheme="minorHAnsi"/>
          <w:color w:val="000000"/>
          <w:lang w:val="en-US"/>
        </w:rPr>
        <w:t>Analyzing model (2),</w:t>
      </w:r>
      <w:r>
        <w:rPr>
          <w:rFonts w:cstheme="minorHAnsi"/>
          <w:color w:val="000000"/>
          <w:lang w:val="en-US"/>
        </w:rPr>
        <w:t xml:space="preserve"> EMU</w:t>
      </w:r>
      <w:r w:rsidRPr="0024689A">
        <w:rPr>
          <w:rFonts w:cstheme="minorHAnsi"/>
          <w:color w:val="000000"/>
          <w:lang w:val="en-US"/>
        </w:rPr>
        <w:t xml:space="preserve"> </w:t>
      </w:r>
      <w:r>
        <w:rPr>
          <w:rFonts w:cstheme="minorHAnsi"/>
          <w:color w:val="000000"/>
          <w:lang w:val="en-US"/>
        </w:rPr>
        <w:t>periphery countries, shows t</w:t>
      </w:r>
      <w:r w:rsidRPr="0024689A">
        <w:rPr>
          <w:rFonts w:cstheme="minorHAnsi"/>
          <w:color w:val="000000"/>
          <w:lang w:val="en-US"/>
        </w:rPr>
        <w:t xml:space="preserve">he announcement of UMP appears to have had a significant positive impact on sovereign bond yields on the day it was made, but this effect seems to have dissipated in the days following the announcement. Our results show that Hypothesis 3, stating that </w:t>
      </w:r>
      <w:r>
        <w:rPr>
          <w:rFonts w:cstheme="minorHAnsi"/>
          <w:color w:val="000000"/>
          <w:lang w:val="en-US"/>
        </w:rPr>
        <w:t>periphery countries</w:t>
      </w:r>
      <w:r w:rsidRPr="0024689A">
        <w:rPr>
          <w:rFonts w:cstheme="minorHAnsi"/>
          <w:color w:val="000000"/>
          <w:lang w:val="en-US"/>
        </w:rPr>
        <w:t xml:space="preserve"> have a stronger yield reduction on UMP announcement than </w:t>
      </w:r>
      <w:r>
        <w:rPr>
          <w:rFonts w:cstheme="minorHAnsi"/>
          <w:color w:val="000000"/>
          <w:lang w:val="en-US"/>
        </w:rPr>
        <w:t>core countries</w:t>
      </w:r>
      <w:r w:rsidRPr="0024689A">
        <w:rPr>
          <w:rFonts w:cstheme="minorHAnsi"/>
          <w:color w:val="000000"/>
          <w:lang w:val="en-US"/>
        </w:rPr>
        <w:t xml:space="preserve">, </w:t>
      </w:r>
      <w:r w:rsidRPr="0024689A">
        <w:rPr>
          <w:rFonts w:cstheme="minorHAnsi"/>
          <w:color w:val="000000"/>
          <w:lang w:val="en-US"/>
        </w:rPr>
        <w:lastRenderedPageBreak/>
        <w:t xml:space="preserve">is not met. </w:t>
      </w:r>
      <w:r>
        <w:rPr>
          <w:rFonts w:cstheme="minorHAnsi"/>
          <w:color w:val="000000"/>
          <w:lang w:val="en-US"/>
        </w:rPr>
        <w:t xml:space="preserve">In contrary, the periphery countries react immediately positive on sovereign yields towards the UMP announcement. </w:t>
      </w:r>
    </w:p>
    <w:p w14:paraId="13D1FFE0" w14:textId="6DC4C390" w:rsidR="00513A55" w:rsidRDefault="00513A55" w:rsidP="00513A55">
      <w:pPr>
        <w:spacing w:after="240"/>
        <w:ind w:firstLine="720"/>
        <w:rPr>
          <w:rFonts w:cstheme="minorHAnsi"/>
          <w:color w:val="000000"/>
          <w:lang w:val="en-US"/>
        </w:rPr>
      </w:pPr>
      <w:r w:rsidRPr="001D220C">
        <w:rPr>
          <w:rFonts w:cstheme="minorHAnsi"/>
          <w:color w:val="000000"/>
          <w:lang w:val="en-US"/>
        </w:rPr>
        <w:t xml:space="preserve">An </w:t>
      </w:r>
      <w:r w:rsidRPr="00FE7FF4">
        <w:rPr>
          <w:rFonts w:cstheme="minorHAnsi"/>
          <w:lang w:val="en-US"/>
        </w:rPr>
        <w:t xml:space="preserve">analogous </w:t>
      </w:r>
      <w:r w:rsidRPr="001D220C">
        <w:rPr>
          <w:rFonts w:cstheme="minorHAnsi"/>
          <w:color w:val="000000"/>
          <w:lang w:val="en-US"/>
        </w:rPr>
        <w:t>interpretation of these findings can be found based on the argumentation</w:t>
      </w:r>
      <w:r>
        <w:rPr>
          <w:rFonts w:cstheme="minorHAnsi"/>
          <w:color w:val="000000"/>
          <w:lang w:val="en-US"/>
        </w:rPr>
        <w:t xml:space="preserve"> </w:t>
      </w:r>
      <w:r w:rsidRPr="004D20E6">
        <w:rPr>
          <w:rFonts w:cstheme="minorHAnsi"/>
          <w:color w:val="000000"/>
          <w:lang w:val="en-US"/>
        </w:rPr>
        <w:t xml:space="preserve">used in the first EMU regression. </w:t>
      </w:r>
      <w:r w:rsidR="005861E1">
        <w:rPr>
          <w:rFonts w:cstheme="minorHAnsi"/>
          <w:color w:val="000000"/>
          <w:lang w:val="en-US"/>
        </w:rPr>
        <w:t>It can be that sovereign</w:t>
      </w:r>
      <w:r w:rsidRPr="004D20E6">
        <w:rPr>
          <w:rFonts w:cstheme="minorHAnsi"/>
          <w:color w:val="000000"/>
          <w:lang w:val="en-US"/>
        </w:rPr>
        <w:t xml:space="preserve"> bond markets do not respond at all to UMP announcements.</w:t>
      </w:r>
      <w:r>
        <w:rPr>
          <w:rFonts w:cstheme="minorHAnsi"/>
          <w:color w:val="000000"/>
          <w:lang w:val="en-US"/>
        </w:rPr>
        <w:t xml:space="preserve"> </w:t>
      </w:r>
      <w:r w:rsidRPr="004D20E6">
        <w:rPr>
          <w:rFonts w:cstheme="minorHAnsi"/>
          <w:color w:val="000000"/>
          <w:lang w:val="en-US"/>
        </w:rPr>
        <w:t xml:space="preserve">Or, what seems to be a </w:t>
      </w:r>
      <w:r w:rsidR="005861E1">
        <w:rPr>
          <w:rFonts w:cstheme="minorHAnsi"/>
          <w:color w:val="000000"/>
          <w:lang w:val="en-US"/>
        </w:rPr>
        <w:t xml:space="preserve">more realistic </w:t>
      </w:r>
      <w:r w:rsidRPr="004D20E6">
        <w:rPr>
          <w:rFonts w:cstheme="minorHAnsi"/>
          <w:color w:val="000000"/>
          <w:lang w:val="en-US"/>
        </w:rPr>
        <w:t xml:space="preserve">conjecture is that government sovereign bond markets have already incorporated the UMP policy </w:t>
      </w:r>
      <w:sdt>
        <w:sdtPr>
          <w:rPr>
            <w:rFonts w:cstheme="minorHAnsi"/>
            <w:color w:val="000000"/>
            <w:lang w:val="en-US"/>
          </w:rPr>
          <w:tag w:val="goog_rdk_20"/>
          <w:id w:val="1480343770"/>
        </w:sdtPr>
        <w:sdtContent/>
      </w:sdt>
      <w:r w:rsidRPr="004D20E6">
        <w:rPr>
          <w:rFonts w:cstheme="minorHAnsi"/>
          <w:color w:val="000000"/>
          <w:lang w:val="en-US"/>
        </w:rPr>
        <w:t>information in their yields and corresponding bond prices before the announcement is made.</w:t>
      </w:r>
      <w:r>
        <w:rPr>
          <w:rFonts w:cstheme="minorHAnsi"/>
          <w:color w:val="000000"/>
          <w:lang w:val="en-US"/>
        </w:rPr>
        <w:t xml:space="preserve"> </w:t>
      </w:r>
    </w:p>
    <w:p w14:paraId="288F3B5A" w14:textId="2CA3F590" w:rsidR="00137437" w:rsidRDefault="00137437" w:rsidP="00513A55">
      <w:pPr>
        <w:spacing w:after="240"/>
        <w:ind w:firstLine="720"/>
        <w:rPr>
          <w:rFonts w:cstheme="minorHAnsi"/>
          <w:color w:val="000000"/>
          <w:lang w:val="en-US"/>
        </w:rPr>
      </w:pPr>
    </w:p>
    <w:p w14:paraId="291059B9" w14:textId="77777777" w:rsidR="00137437" w:rsidRDefault="00137437">
      <w:pPr>
        <w:spacing w:line="240" w:lineRule="auto"/>
        <w:ind w:firstLine="0"/>
        <w:jc w:val="left"/>
        <w:rPr>
          <w:rFonts w:cstheme="minorHAnsi"/>
          <w:color w:val="000000"/>
          <w:lang w:val="en-US"/>
        </w:rPr>
      </w:pPr>
      <w:r>
        <w:rPr>
          <w:rFonts w:cstheme="minorHAnsi"/>
          <w:color w:val="000000"/>
          <w:lang w:val="en-US"/>
        </w:rPr>
        <w:br w:type="page"/>
      </w:r>
    </w:p>
    <w:p w14:paraId="0DA9EACF" w14:textId="30D9D59C" w:rsidR="00137437" w:rsidRPr="002B1454" w:rsidRDefault="00137437" w:rsidP="00137437">
      <w:pPr>
        <w:pStyle w:val="Caption"/>
        <w:jc w:val="left"/>
      </w:pPr>
      <w:r w:rsidRPr="00BC2E42">
        <w:rPr>
          <w:lang w:val="en-GB"/>
        </w:rPr>
        <w:lastRenderedPageBreak/>
        <w:t xml:space="preserve">Table </w:t>
      </w:r>
      <w:r w:rsidR="00D65D51">
        <w:rPr>
          <w:lang w:val="en-GB"/>
        </w:rPr>
        <w:t>5</w:t>
      </w:r>
      <w:r>
        <w:rPr>
          <w:lang w:val="en-GB"/>
        </w:rPr>
        <w:t>.</w:t>
      </w:r>
      <w:r w:rsidRPr="00072E3C">
        <w:t xml:space="preserve"> </w:t>
      </w:r>
      <w:r w:rsidRPr="00072E3C">
        <w:rPr>
          <w:lang w:val="en-GB"/>
        </w:rPr>
        <w:t>Panel regression –Core and Periphery countries (Sovereign Long-Term Yield Level changes)</w:t>
      </w:r>
    </w:p>
    <w:tbl>
      <w:tblPr>
        <w:tblW w:w="6379" w:type="dxa"/>
        <w:tblLayout w:type="fixed"/>
        <w:tblLook w:val="0000" w:firstRow="0" w:lastRow="0" w:firstColumn="0" w:lastColumn="0" w:noHBand="0" w:noVBand="0"/>
      </w:tblPr>
      <w:tblGrid>
        <w:gridCol w:w="3126"/>
        <w:gridCol w:w="1694"/>
        <w:gridCol w:w="1559"/>
      </w:tblGrid>
      <w:tr w:rsidR="00137437" w:rsidRPr="00072E3C" w14:paraId="2F56D126" w14:textId="77777777" w:rsidTr="008E0221">
        <w:trPr>
          <w:trHeight w:val="80"/>
        </w:trPr>
        <w:tc>
          <w:tcPr>
            <w:tcW w:w="3126" w:type="dxa"/>
            <w:tcBorders>
              <w:top w:val="single" w:sz="6" w:space="0" w:color="000000"/>
              <w:left w:val="nil"/>
              <w:bottom w:val="nil"/>
              <w:right w:val="nil"/>
            </w:tcBorders>
          </w:tcPr>
          <w:p w14:paraId="4AA1CF6E" w14:textId="77777777" w:rsidR="00137437" w:rsidRPr="00072E3C" w:rsidRDefault="00137437" w:rsidP="008E0221">
            <w:pPr>
              <w:widowControl w:val="0"/>
              <w:spacing w:line="240" w:lineRule="auto"/>
              <w:rPr>
                <w:rFonts w:cs="TimesLTStd-Roman"/>
                <w:b/>
                <w:bCs/>
                <w:iCs/>
                <w:color w:val="000000"/>
                <w:sz w:val="20"/>
                <w:szCs w:val="16"/>
              </w:rPr>
            </w:pPr>
            <w:bookmarkStart w:id="108" w:name="_heading=h.lnxbz9" w:colFirst="0" w:colLast="0"/>
            <w:bookmarkEnd w:id="108"/>
          </w:p>
        </w:tc>
        <w:tc>
          <w:tcPr>
            <w:tcW w:w="1694" w:type="dxa"/>
            <w:tcBorders>
              <w:top w:val="single" w:sz="6" w:space="0" w:color="000000"/>
              <w:left w:val="nil"/>
              <w:bottom w:val="nil"/>
              <w:right w:val="nil"/>
            </w:tcBorders>
          </w:tcPr>
          <w:p w14:paraId="3C9F8CB2" w14:textId="77777777" w:rsidR="00137437" w:rsidRPr="00072E3C" w:rsidRDefault="00137437" w:rsidP="008E0221">
            <w:pPr>
              <w:widowControl w:val="0"/>
              <w:spacing w:line="240" w:lineRule="auto"/>
              <w:jc w:val="center"/>
              <w:rPr>
                <w:rFonts w:cs="TimesLTStd-Roman"/>
                <w:b/>
                <w:bCs/>
                <w:iCs/>
                <w:color w:val="000000"/>
                <w:sz w:val="20"/>
                <w:szCs w:val="16"/>
              </w:rPr>
            </w:pPr>
            <w:r w:rsidRPr="00072E3C">
              <w:rPr>
                <w:rFonts w:cs="TimesLTStd-Roman"/>
                <w:b/>
                <w:bCs/>
                <w:iCs/>
                <w:color w:val="000000"/>
                <w:sz w:val="20"/>
                <w:szCs w:val="16"/>
              </w:rPr>
              <w:t>(1)</w:t>
            </w:r>
          </w:p>
        </w:tc>
        <w:tc>
          <w:tcPr>
            <w:tcW w:w="1559" w:type="dxa"/>
            <w:tcBorders>
              <w:top w:val="single" w:sz="6" w:space="0" w:color="000000"/>
              <w:left w:val="nil"/>
              <w:bottom w:val="nil"/>
              <w:right w:val="nil"/>
            </w:tcBorders>
          </w:tcPr>
          <w:p w14:paraId="4FE56B6B" w14:textId="77777777" w:rsidR="00137437" w:rsidRPr="00072E3C" w:rsidRDefault="00137437" w:rsidP="008E0221">
            <w:pPr>
              <w:widowControl w:val="0"/>
              <w:spacing w:line="240" w:lineRule="auto"/>
              <w:jc w:val="center"/>
              <w:rPr>
                <w:rFonts w:cs="TimesLTStd-Roman"/>
                <w:b/>
                <w:bCs/>
                <w:iCs/>
                <w:color w:val="000000"/>
                <w:sz w:val="20"/>
                <w:szCs w:val="16"/>
              </w:rPr>
            </w:pPr>
            <w:r w:rsidRPr="00072E3C">
              <w:rPr>
                <w:rFonts w:cs="TimesLTStd-Roman"/>
                <w:b/>
                <w:bCs/>
                <w:iCs/>
                <w:color w:val="000000"/>
                <w:sz w:val="20"/>
                <w:szCs w:val="16"/>
              </w:rPr>
              <w:t>(2)</w:t>
            </w:r>
          </w:p>
        </w:tc>
      </w:tr>
      <w:tr w:rsidR="00137437" w:rsidRPr="00072E3C" w14:paraId="7EF072D5" w14:textId="77777777" w:rsidTr="008E0221">
        <w:trPr>
          <w:trHeight w:val="280"/>
        </w:trPr>
        <w:tc>
          <w:tcPr>
            <w:tcW w:w="3126" w:type="dxa"/>
            <w:tcBorders>
              <w:top w:val="nil"/>
              <w:left w:val="nil"/>
              <w:bottom w:val="single" w:sz="6" w:space="0" w:color="000000"/>
              <w:right w:val="nil"/>
            </w:tcBorders>
          </w:tcPr>
          <w:p w14:paraId="30A25A26" w14:textId="77777777" w:rsidR="00137437" w:rsidRPr="00072E3C" w:rsidRDefault="00137437" w:rsidP="008E0221">
            <w:pPr>
              <w:widowControl w:val="0"/>
              <w:spacing w:line="240" w:lineRule="auto"/>
              <w:rPr>
                <w:rFonts w:cs="TimesLTStd-Roman"/>
                <w:b/>
                <w:bCs/>
                <w:iCs/>
                <w:color w:val="000000"/>
                <w:sz w:val="20"/>
                <w:szCs w:val="16"/>
              </w:rPr>
            </w:pPr>
            <w:r w:rsidRPr="00072E3C">
              <w:rPr>
                <w:rFonts w:cs="TimesLTStd-Roman"/>
                <w:b/>
                <w:bCs/>
                <w:iCs/>
                <w:color w:val="000000"/>
                <w:sz w:val="20"/>
                <w:szCs w:val="16"/>
              </w:rPr>
              <w:t>Variables</w:t>
            </w:r>
          </w:p>
        </w:tc>
        <w:tc>
          <w:tcPr>
            <w:tcW w:w="1694" w:type="dxa"/>
            <w:tcBorders>
              <w:top w:val="nil"/>
              <w:left w:val="nil"/>
              <w:bottom w:val="single" w:sz="6" w:space="0" w:color="000000"/>
              <w:right w:val="nil"/>
            </w:tcBorders>
          </w:tcPr>
          <w:p w14:paraId="5F69383F" w14:textId="77777777" w:rsidR="00137437" w:rsidRDefault="00137437" w:rsidP="008E0221">
            <w:pPr>
              <w:widowControl w:val="0"/>
              <w:spacing w:line="240" w:lineRule="auto"/>
              <w:jc w:val="center"/>
              <w:rPr>
                <w:rFonts w:cs="TimesLTStd-Roman"/>
                <w:b/>
                <w:bCs/>
                <w:iCs/>
                <w:color w:val="000000"/>
                <w:sz w:val="20"/>
                <w:szCs w:val="16"/>
              </w:rPr>
            </w:pPr>
            <w:r w:rsidRPr="00072E3C">
              <w:rPr>
                <w:rFonts w:cs="TimesLTStd-Roman"/>
                <w:b/>
                <w:bCs/>
                <w:iCs/>
                <w:color w:val="000000"/>
                <w:sz w:val="20"/>
                <w:szCs w:val="16"/>
              </w:rPr>
              <w:t>Core</w:t>
            </w:r>
          </w:p>
          <w:p w14:paraId="629FBDEC" w14:textId="77777777" w:rsidR="00137437" w:rsidRPr="00072E3C" w:rsidRDefault="00137437" w:rsidP="008E0221">
            <w:pPr>
              <w:widowControl w:val="0"/>
              <w:spacing w:line="240" w:lineRule="auto"/>
              <w:jc w:val="center"/>
              <w:rPr>
                <w:rFonts w:cs="TimesLTStd-Roman"/>
                <w:b/>
                <w:bCs/>
                <w:iCs/>
                <w:color w:val="000000"/>
                <w:sz w:val="20"/>
                <w:szCs w:val="16"/>
              </w:rPr>
            </w:pPr>
            <w:r w:rsidRPr="00072E3C">
              <w:rPr>
                <w:rFonts w:cs="TimesLTStd-Roman"/>
                <w:b/>
                <w:bCs/>
                <w:iCs/>
                <w:color w:val="000000"/>
                <w:sz w:val="20"/>
                <w:szCs w:val="16"/>
              </w:rPr>
              <w:t>countries</w:t>
            </w:r>
          </w:p>
        </w:tc>
        <w:tc>
          <w:tcPr>
            <w:tcW w:w="1559" w:type="dxa"/>
            <w:tcBorders>
              <w:top w:val="nil"/>
              <w:left w:val="nil"/>
              <w:bottom w:val="single" w:sz="6" w:space="0" w:color="000000"/>
              <w:right w:val="nil"/>
            </w:tcBorders>
          </w:tcPr>
          <w:p w14:paraId="2545FC4C" w14:textId="77777777" w:rsidR="00137437" w:rsidRDefault="00137437" w:rsidP="008E0221">
            <w:pPr>
              <w:widowControl w:val="0"/>
              <w:spacing w:line="240" w:lineRule="auto"/>
              <w:ind w:firstLine="0"/>
              <w:jc w:val="center"/>
              <w:rPr>
                <w:rFonts w:cs="TimesLTStd-Roman"/>
                <w:b/>
                <w:bCs/>
                <w:iCs/>
                <w:color w:val="000000"/>
                <w:sz w:val="20"/>
                <w:szCs w:val="16"/>
              </w:rPr>
            </w:pPr>
            <w:r w:rsidRPr="00072E3C">
              <w:rPr>
                <w:rFonts w:cs="TimesLTStd-Roman"/>
                <w:b/>
                <w:bCs/>
                <w:iCs/>
                <w:color w:val="000000"/>
                <w:sz w:val="20"/>
                <w:szCs w:val="16"/>
              </w:rPr>
              <w:t xml:space="preserve">Periphery </w:t>
            </w:r>
          </w:p>
          <w:p w14:paraId="08ECC93A" w14:textId="77777777" w:rsidR="00137437" w:rsidRPr="00072E3C" w:rsidRDefault="00137437" w:rsidP="008E0221">
            <w:pPr>
              <w:widowControl w:val="0"/>
              <w:spacing w:line="240" w:lineRule="auto"/>
              <w:ind w:firstLine="0"/>
              <w:jc w:val="center"/>
              <w:rPr>
                <w:rFonts w:cs="TimesLTStd-Roman"/>
                <w:b/>
                <w:bCs/>
                <w:iCs/>
                <w:color w:val="000000"/>
                <w:sz w:val="20"/>
                <w:szCs w:val="16"/>
              </w:rPr>
            </w:pPr>
            <w:r w:rsidRPr="00072E3C">
              <w:rPr>
                <w:rFonts w:cs="TimesLTStd-Roman"/>
                <w:b/>
                <w:bCs/>
                <w:iCs/>
                <w:color w:val="000000"/>
                <w:sz w:val="20"/>
                <w:szCs w:val="16"/>
              </w:rPr>
              <w:t>countries</w:t>
            </w:r>
          </w:p>
        </w:tc>
      </w:tr>
      <w:tr w:rsidR="00137437" w:rsidRPr="00072E3C" w14:paraId="2706F389" w14:textId="77777777" w:rsidTr="008E0221">
        <w:trPr>
          <w:trHeight w:val="280"/>
        </w:trPr>
        <w:tc>
          <w:tcPr>
            <w:tcW w:w="3126" w:type="dxa"/>
            <w:tcBorders>
              <w:top w:val="nil"/>
              <w:left w:val="nil"/>
              <w:bottom w:val="nil"/>
              <w:right w:val="nil"/>
            </w:tcBorders>
          </w:tcPr>
          <w:p w14:paraId="6972617E" w14:textId="77777777" w:rsidR="00137437" w:rsidRPr="00072E3C" w:rsidRDefault="00137437" w:rsidP="008E0221">
            <w:pPr>
              <w:widowControl w:val="0"/>
              <w:spacing w:line="240" w:lineRule="auto"/>
              <w:rPr>
                <w:rFonts w:cs="TimesLTStd-Roman"/>
                <w:iCs/>
                <w:color w:val="000000"/>
                <w:sz w:val="20"/>
                <w:szCs w:val="16"/>
              </w:rPr>
            </w:pPr>
          </w:p>
        </w:tc>
        <w:tc>
          <w:tcPr>
            <w:tcW w:w="1694" w:type="dxa"/>
            <w:tcBorders>
              <w:top w:val="nil"/>
              <w:left w:val="nil"/>
              <w:bottom w:val="nil"/>
              <w:right w:val="nil"/>
            </w:tcBorders>
          </w:tcPr>
          <w:p w14:paraId="64131263" w14:textId="77777777" w:rsidR="00137437" w:rsidRPr="00072E3C" w:rsidRDefault="00137437" w:rsidP="008E0221">
            <w:pPr>
              <w:widowControl w:val="0"/>
              <w:spacing w:line="240" w:lineRule="auto"/>
              <w:rPr>
                <w:rFonts w:cs="TimesLTStd-Roman"/>
                <w:iCs/>
                <w:color w:val="000000"/>
                <w:sz w:val="20"/>
                <w:szCs w:val="16"/>
              </w:rPr>
            </w:pPr>
          </w:p>
        </w:tc>
        <w:tc>
          <w:tcPr>
            <w:tcW w:w="1559" w:type="dxa"/>
            <w:tcBorders>
              <w:top w:val="nil"/>
              <w:left w:val="nil"/>
              <w:bottom w:val="nil"/>
              <w:right w:val="nil"/>
            </w:tcBorders>
          </w:tcPr>
          <w:p w14:paraId="4AB54438" w14:textId="77777777" w:rsidR="00137437" w:rsidRPr="00072E3C" w:rsidRDefault="00137437" w:rsidP="008E0221">
            <w:pPr>
              <w:widowControl w:val="0"/>
              <w:spacing w:line="240" w:lineRule="auto"/>
              <w:rPr>
                <w:rFonts w:cs="TimesLTStd-Roman"/>
                <w:iCs/>
                <w:color w:val="000000"/>
                <w:sz w:val="20"/>
                <w:szCs w:val="16"/>
              </w:rPr>
            </w:pPr>
          </w:p>
        </w:tc>
      </w:tr>
      <w:tr w:rsidR="00137437" w:rsidRPr="00072E3C" w14:paraId="052014DD" w14:textId="77777777" w:rsidTr="008E0221">
        <w:trPr>
          <w:trHeight w:val="261"/>
        </w:trPr>
        <w:tc>
          <w:tcPr>
            <w:tcW w:w="3126" w:type="dxa"/>
            <w:tcBorders>
              <w:top w:val="nil"/>
              <w:left w:val="nil"/>
              <w:bottom w:val="nil"/>
              <w:right w:val="nil"/>
            </w:tcBorders>
          </w:tcPr>
          <w:p w14:paraId="50B9846B" w14:textId="77777777" w:rsidR="00137437" w:rsidRPr="00072E3C" w:rsidRDefault="00137437" w:rsidP="008E0221">
            <w:pPr>
              <w:widowControl w:val="0"/>
              <w:spacing w:line="240" w:lineRule="auto"/>
              <w:rPr>
                <w:rFonts w:cs="TimesLTStd-Roman"/>
                <w:iCs/>
                <w:color w:val="000000"/>
                <w:sz w:val="20"/>
                <w:szCs w:val="16"/>
              </w:rPr>
            </w:pPr>
            <w:proofErr w:type="spellStart"/>
            <w:r w:rsidRPr="00072E3C">
              <w:rPr>
                <w:rFonts w:cs="TimesLTStd-Roman"/>
                <w:iCs/>
                <w:color w:val="000000"/>
                <w:sz w:val="20"/>
                <w:szCs w:val="16"/>
              </w:rPr>
              <w:t>dummy_special</w:t>
            </w:r>
            <w:proofErr w:type="spellEnd"/>
          </w:p>
        </w:tc>
        <w:tc>
          <w:tcPr>
            <w:tcW w:w="1694" w:type="dxa"/>
            <w:tcBorders>
              <w:top w:val="nil"/>
              <w:left w:val="nil"/>
              <w:bottom w:val="nil"/>
              <w:right w:val="nil"/>
            </w:tcBorders>
          </w:tcPr>
          <w:p w14:paraId="7819D8CE"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0.00971</w:t>
            </w:r>
          </w:p>
        </w:tc>
        <w:tc>
          <w:tcPr>
            <w:tcW w:w="1559" w:type="dxa"/>
            <w:tcBorders>
              <w:top w:val="nil"/>
              <w:left w:val="nil"/>
              <w:bottom w:val="nil"/>
              <w:right w:val="nil"/>
            </w:tcBorders>
          </w:tcPr>
          <w:p w14:paraId="129F522C"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0.0302**</w:t>
            </w:r>
          </w:p>
        </w:tc>
      </w:tr>
      <w:tr w:rsidR="00137437" w:rsidRPr="00072E3C" w14:paraId="6AB43565" w14:textId="77777777" w:rsidTr="008E0221">
        <w:trPr>
          <w:gridAfter w:val="2"/>
          <w:wAfter w:w="3253" w:type="dxa"/>
          <w:trHeight w:val="280"/>
        </w:trPr>
        <w:tc>
          <w:tcPr>
            <w:tcW w:w="3126" w:type="dxa"/>
            <w:tcBorders>
              <w:top w:val="nil"/>
              <w:left w:val="nil"/>
              <w:bottom w:val="nil"/>
              <w:right w:val="nil"/>
            </w:tcBorders>
          </w:tcPr>
          <w:p w14:paraId="3ACD2293" w14:textId="77777777" w:rsidR="00137437" w:rsidRPr="00072E3C" w:rsidRDefault="00137437" w:rsidP="008E0221">
            <w:pPr>
              <w:widowControl w:val="0"/>
              <w:spacing w:line="240" w:lineRule="auto"/>
              <w:rPr>
                <w:rFonts w:cs="TimesLTStd-Roman"/>
                <w:iCs/>
                <w:color w:val="000000"/>
                <w:sz w:val="20"/>
                <w:szCs w:val="16"/>
              </w:rPr>
            </w:pPr>
          </w:p>
        </w:tc>
      </w:tr>
      <w:tr w:rsidR="00137437" w:rsidRPr="00072E3C" w14:paraId="130CFFB0" w14:textId="77777777" w:rsidTr="008E0221">
        <w:trPr>
          <w:trHeight w:val="261"/>
        </w:trPr>
        <w:tc>
          <w:tcPr>
            <w:tcW w:w="3126" w:type="dxa"/>
            <w:tcBorders>
              <w:top w:val="nil"/>
              <w:left w:val="nil"/>
              <w:bottom w:val="nil"/>
              <w:right w:val="nil"/>
            </w:tcBorders>
          </w:tcPr>
          <w:p w14:paraId="1E715549" w14:textId="77777777" w:rsidR="00137437" w:rsidRPr="00072E3C" w:rsidRDefault="00137437" w:rsidP="008E0221">
            <w:pPr>
              <w:widowControl w:val="0"/>
              <w:spacing w:line="240" w:lineRule="auto"/>
              <w:rPr>
                <w:rFonts w:cs="TimesLTStd-Roman"/>
                <w:iCs/>
                <w:color w:val="000000"/>
                <w:sz w:val="20"/>
                <w:szCs w:val="16"/>
              </w:rPr>
            </w:pPr>
            <w:proofErr w:type="spellStart"/>
            <w:r w:rsidRPr="00072E3C">
              <w:rPr>
                <w:rFonts w:cs="TimesLTStd-Roman"/>
                <w:iCs/>
                <w:color w:val="000000"/>
                <w:sz w:val="20"/>
                <w:szCs w:val="16"/>
              </w:rPr>
              <w:t>dummy_special_d</w:t>
            </w:r>
            <w:proofErr w:type="spellEnd"/>
          </w:p>
        </w:tc>
        <w:tc>
          <w:tcPr>
            <w:tcW w:w="1694" w:type="dxa"/>
            <w:tcBorders>
              <w:top w:val="nil"/>
              <w:left w:val="nil"/>
              <w:bottom w:val="nil"/>
              <w:right w:val="nil"/>
            </w:tcBorders>
          </w:tcPr>
          <w:p w14:paraId="7CE19314"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0.0307***</w:t>
            </w:r>
          </w:p>
        </w:tc>
        <w:tc>
          <w:tcPr>
            <w:tcW w:w="1559" w:type="dxa"/>
            <w:tcBorders>
              <w:top w:val="nil"/>
              <w:left w:val="nil"/>
              <w:bottom w:val="nil"/>
              <w:right w:val="nil"/>
            </w:tcBorders>
          </w:tcPr>
          <w:p w14:paraId="74D463FE"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0.00307</w:t>
            </w:r>
          </w:p>
        </w:tc>
      </w:tr>
      <w:tr w:rsidR="00137437" w:rsidRPr="00072E3C" w14:paraId="130258E8" w14:textId="77777777" w:rsidTr="008E0221">
        <w:trPr>
          <w:gridAfter w:val="2"/>
          <w:wAfter w:w="3253" w:type="dxa"/>
          <w:trHeight w:val="280"/>
        </w:trPr>
        <w:tc>
          <w:tcPr>
            <w:tcW w:w="3126" w:type="dxa"/>
            <w:tcBorders>
              <w:top w:val="nil"/>
              <w:left w:val="nil"/>
              <w:bottom w:val="nil"/>
              <w:right w:val="nil"/>
            </w:tcBorders>
          </w:tcPr>
          <w:p w14:paraId="74B9B284" w14:textId="77777777" w:rsidR="00137437" w:rsidRPr="00072E3C" w:rsidRDefault="00137437" w:rsidP="008E0221">
            <w:pPr>
              <w:widowControl w:val="0"/>
              <w:spacing w:line="240" w:lineRule="auto"/>
              <w:rPr>
                <w:rFonts w:cs="TimesLTStd-Roman"/>
                <w:iCs/>
                <w:color w:val="000000"/>
                <w:sz w:val="20"/>
                <w:szCs w:val="16"/>
              </w:rPr>
            </w:pPr>
          </w:p>
        </w:tc>
      </w:tr>
      <w:tr w:rsidR="00137437" w:rsidRPr="00072E3C" w14:paraId="071EB669" w14:textId="77777777" w:rsidTr="008E0221">
        <w:trPr>
          <w:trHeight w:val="261"/>
        </w:trPr>
        <w:tc>
          <w:tcPr>
            <w:tcW w:w="3126" w:type="dxa"/>
            <w:tcBorders>
              <w:top w:val="nil"/>
              <w:left w:val="nil"/>
              <w:bottom w:val="nil"/>
              <w:right w:val="nil"/>
            </w:tcBorders>
          </w:tcPr>
          <w:p w14:paraId="5C1985EF"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dummy_special_d2</w:t>
            </w:r>
          </w:p>
        </w:tc>
        <w:tc>
          <w:tcPr>
            <w:tcW w:w="1694" w:type="dxa"/>
            <w:tcBorders>
              <w:top w:val="nil"/>
              <w:left w:val="nil"/>
              <w:bottom w:val="nil"/>
              <w:right w:val="nil"/>
            </w:tcBorders>
          </w:tcPr>
          <w:p w14:paraId="5A3410DE"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-0.000170</w:t>
            </w:r>
          </w:p>
        </w:tc>
        <w:tc>
          <w:tcPr>
            <w:tcW w:w="1559" w:type="dxa"/>
            <w:tcBorders>
              <w:top w:val="nil"/>
              <w:left w:val="nil"/>
              <w:bottom w:val="nil"/>
              <w:right w:val="nil"/>
            </w:tcBorders>
          </w:tcPr>
          <w:p w14:paraId="1A77F5D5"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0.0318**</w:t>
            </w:r>
          </w:p>
        </w:tc>
      </w:tr>
      <w:tr w:rsidR="00137437" w:rsidRPr="00072E3C" w14:paraId="3D143FEA" w14:textId="77777777" w:rsidTr="008E0221">
        <w:trPr>
          <w:gridAfter w:val="2"/>
          <w:wAfter w:w="3253" w:type="dxa"/>
          <w:trHeight w:val="280"/>
        </w:trPr>
        <w:tc>
          <w:tcPr>
            <w:tcW w:w="3126" w:type="dxa"/>
            <w:tcBorders>
              <w:top w:val="nil"/>
              <w:left w:val="nil"/>
              <w:bottom w:val="nil"/>
              <w:right w:val="nil"/>
            </w:tcBorders>
          </w:tcPr>
          <w:p w14:paraId="40489F4E" w14:textId="77777777" w:rsidR="00137437" w:rsidRPr="00072E3C" w:rsidRDefault="00137437" w:rsidP="008E0221">
            <w:pPr>
              <w:widowControl w:val="0"/>
              <w:spacing w:line="240" w:lineRule="auto"/>
              <w:rPr>
                <w:rFonts w:cs="TimesLTStd-Roman"/>
                <w:iCs/>
                <w:color w:val="000000"/>
                <w:sz w:val="20"/>
                <w:szCs w:val="16"/>
              </w:rPr>
            </w:pPr>
          </w:p>
        </w:tc>
      </w:tr>
      <w:tr w:rsidR="00137437" w:rsidRPr="00072E3C" w14:paraId="07DF8334" w14:textId="77777777" w:rsidTr="008E0221">
        <w:trPr>
          <w:trHeight w:val="280"/>
        </w:trPr>
        <w:tc>
          <w:tcPr>
            <w:tcW w:w="3126" w:type="dxa"/>
            <w:tcBorders>
              <w:top w:val="nil"/>
              <w:left w:val="nil"/>
              <w:bottom w:val="nil"/>
              <w:right w:val="nil"/>
            </w:tcBorders>
          </w:tcPr>
          <w:p w14:paraId="4CE4BFE9" w14:textId="77777777" w:rsidR="00137437" w:rsidRPr="00072E3C" w:rsidRDefault="00137437" w:rsidP="008E0221">
            <w:pPr>
              <w:widowControl w:val="0"/>
              <w:spacing w:line="240" w:lineRule="auto"/>
              <w:rPr>
                <w:rFonts w:cs="TimesLTStd-Roman"/>
                <w:iCs/>
                <w:color w:val="000000"/>
                <w:sz w:val="20"/>
                <w:szCs w:val="16"/>
              </w:rPr>
            </w:pPr>
            <w:proofErr w:type="spellStart"/>
            <w:r w:rsidRPr="00072E3C">
              <w:rPr>
                <w:rFonts w:cs="TimesLTStd-Roman"/>
                <w:iCs/>
                <w:color w:val="000000"/>
                <w:sz w:val="20"/>
                <w:szCs w:val="16"/>
              </w:rPr>
              <w:t>lag_yield_fd</w:t>
            </w:r>
            <w:proofErr w:type="spellEnd"/>
            <w:r w:rsidRPr="00072E3C">
              <w:rPr>
                <w:rFonts w:cs="TimesLTStd-Roman"/>
                <w:iCs/>
                <w:color w:val="000000"/>
                <w:sz w:val="20"/>
                <w:szCs w:val="16"/>
              </w:rPr>
              <w:t>_</w:t>
            </w:r>
          </w:p>
        </w:tc>
        <w:tc>
          <w:tcPr>
            <w:tcW w:w="1694" w:type="dxa"/>
            <w:tcBorders>
              <w:top w:val="nil"/>
              <w:left w:val="nil"/>
              <w:bottom w:val="nil"/>
              <w:right w:val="nil"/>
            </w:tcBorders>
          </w:tcPr>
          <w:p w14:paraId="7EA3278E"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0.0823***</w:t>
            </w:r>
          </w:p>
        </w:tc>
        <w:tc>
          <w:tcPr>
            <w:tcW w:w="1559" w:type="dxa"/>
            <w:tcBorders>
              <w:top w:val="nil"/>
              <w:left w:val="nil"/>
              <w:bottom w:val="nil"/>
              <w:right w:val="nil"/>
            </w:tcBorders>
          </w:tcPr>
          <w:p w14:paraId="54317197"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0.0455**</w:t>
            </w:r>
          </w:p>
        </w:tc>
      </w:tr>
      <w:tr w:rsidR="00137437" w:rsidRPr="00072E3C" w14:paraId="6AD1B031" w14:textId="77777777" w:rsidTr="008E0221">
        <w:trPr>
          <w:gridAfter w:val="2"/>
          <w:wAfter w:w="3253" w:type="dxa"/>
          <w:trHeight w:val="261"/>
        </w:trPr>
        <w:tc>
          <w:tcPr>
            <w:tcW w:w="3126" w:type="dxa"/>
            <w:tcBorders>
              <w:top w:val="nil"/>
              <w:left w:val="nil"/>
              <w:bottom w:val="nil"/>
              <w:right w:val="nil"/>
            </w:tcBorders>
          </w:tcPr>
          <w:p w14:paraId="24B91119" w14:textId="77777777" w:rsidR="00137437" w:rsidRPr="00072E3C" w:rsidRDefault="00137437" w:rsidP="008E0221">
            <w:pPr>
              <w:widowControl w:val="0"/>
              <w:spacing w:line="240" w:lineRule="auto"/>
              <w:rPr>
                <w:rFonts w:cs="TimesLTStd-Roman"/>
                <w:iCs/>
                <w:color w:val="000000"/>
                <w:sz w:val="20"/>
                <w:szCs w:val="16"/>
              </w:rPr>
            </w:pPr>
          </w:p>
        </w:tc>
      </w:tr>
      <w:tr w:rsidR="00137437" w:rsidRPr="00072E3C" w14:paraId="0D84DF84" w14:textId="77777777" w:rsidTr="008E0221">
        <w:trPr>
          <w:trHeight w:val="280"/>
        </w:trPr>
        <w:tc>
          <w:tcPr>
            <w:tcW w:w="3126" w:type="dxa"/>
            <w:tcBorders>
              <w:top w:val="nil"/>
              <w:left w:val="nil"/>
              <w:bottom w:val="nil"/>
              <w:right w:val="nil"/>
            </w:tcBorders>
          </w:tcPr>
          <w:p w14:paraId="096125EA" w14:textId="77777777" w:rsidR="00137437" w:rsidRPr="00072E3C" w:rsidRDefault="00137437" w:rsidP="008E0221">
            <w:pPr>
              <w:widowControl w:val="0"/>
              <w:spacing w:line="240" w:lineRule="auto"/>
              <w:rPr>
                <w:rFonts w:cs="TimesLTStd-Roman"/>
                <w:iCs/>
                <w:color w:val="000000"/>
                <w:sz w:val="20"/>
                <w:szCs w:val="16"/>
              </w:rPr>
            </w:pPr>
            <w:proofErr w:type="spellStart"/>
            <w:r w:rsidRPr="00072E3C">
              <w:rPr>
                <w:rFonts w:cs="TimesLTStd-Roman"/>
                <w:iCs/>
                <w:color w:val="000000"/>
                <w:sz w:val="20"/>
                <w:szCs w:val="16"/>
              </w:rPr>
              <w:t>stock_fd</w:t>
            </w:r>
            <w:proofErr w:type="spellEnd"/>
            <w:r w:rsidRPr="00072E3C">
              <w:rPr>
                <w:rFonts w:cs="TimesLTStd-Roman"/>
                <w:iCs/>
                <w:color w:val="000000"/>
                <w:sz w:val="20"/>
                <w:szCs w:val="16"/>
              </w:rPr>
              <w:t>_</w:t>
            </w:r>
          </w:p>
        </w:tc>
        <w:tc>
          <w:tcPr>
            <w:tcW w:w="1694" w:type="dxa"/>
            <w:tcBorders>
              <w:top w:val="nil"/>
              <w:left w:val="nil"/>
              <w:bottom w:val="nil"/>
              <w:right w:val="nil"/>
            </w:tcBorders>
          </w:tcPr>
          <w:p w14:paraId="6EF83AE0"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2.92e-05***</w:t>
            </w:r>
          </w:p>
        </w:tc>
        <w:tc>
          <w:tcPr>
            <w:tcW w:w="1559" w:type="dxa"/>
            <w:tcBorders>
              <w:top w:val="nil"/>
              <w:left w:val="nil"/>
              <w:bottom w:val="nil"/>
              <w:right w:val="nil"/>
            </w:tcBorders>
          </w:tcPr>
          <w:p w14:paraId="43F79E68"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-3.58e-05***</w:t>
            </w:r>
          </w:p>
        </w:tc>
      </w:tr>
      <w:tr w:rsidR="00137437" w:rsidRPr="00072E3C" w14:paraId="5DC64348" w14:textId="77777777" w:rsidTr="008E0221">
        <w:trPr>
          <w:gridAfter w:val="2"/>
          <w:wAfter w:w="3253" w:type="dxa"/>
          <w:trHeight w:val="261"/>
        </w:trPr>
        <w:tc>
          <w:tcPr>
            <w:tcW w:w="3126" w:type="dxa"/>
            <w:tcBorders>
              <w:top w:val="nil"/>
              <w:left w:val="nil"/>
              <w:bottom w:val="nil"/>
              <w:right w:val="nil"/>
            </w:tcBorders>
          </w:tcPr>
          <w:p w14:paraId="3D7F755D" w14:textId="77777777" w:rsidR="00137437" w:rsidRPr="00072E3C" w:rsidRDefault="00137437" w:rsidP="008E0221">
            <w:pPr>
              <w:widowControl w:val="0"/>
              <w:spacing w:line="240" w:lineRule="auto"/>
              <w:rPr>
                <w:rFonts w:cs="TimesLTStd-Roman"/>
                <w:iCs/>
                <w:color w:val="000000"/>
                <w:sz w:val="20"/>
                <w:szCs w:val="16"/>
              </w:rPr>
            </w:pPr>
          </w:p>
        </w:tc>
      </w:tr>
      <w:tr w:rsidR="00137437" w:rsidRPr="00072E3C" w14:paraId="11AB2950" w14:textId="77777777" w:rsidTr="008E0221">
        <w:trPr>
          <w:trHeight w:val="280"/>
        </w:trPr>
        <w:tc>
          <w:tcPr>
            <w:tcW w:w="3126" w:type="dxa"/>
            <w:tcBorders>
              <w:top w:val="nil"/>
              <w:left w:val="nil"/>
              <w:bottom w:val="nil"/>
              <w:right w:val="nil"/>
            </w:tcBorders>
          </w:tcPr>
          <w:p w14:paraId="1A0FFA79" w14:textId="77777777" w:rsidR="00137437" w:rsidRPr="00072E3C" w:rsidRDefault="00137437" w:rsidP="008E0221">
            <w:pPr>
              <w:widowControl w:val="0"/>
              <w:spacing w:line="240" w:lineRule="auto"/>
              <w:rPr>
                <w:rFonts w:cs="TimesLTStd-Roman"/>
                <w:iCs/>
                <w:color w:val="000000"/>
                <w:sz w:val="20"/>
                <w:szCs w:val="16"/>
              </w:rPr>
            </w:pPr>
            <w:proofErr w:type="spellStart"/>
            <w:r w:rsidRPr="00072E3C">
              <w:rPr>
                <w:rFonts w:cs="TimesLTStd-Roman"/>
                <w:iCs/>
                <w:color w:val="000000"/>
                <w:sz w:val="20"/>
                <w:szCs w:val="16"/>
              </w:rPr>
              <w:t>vstoxx_fd</w:t>
            </w:r>
            <w:proofErr w:type="spellEnd"/>
          </w:p>
        </w:tc>
        <w:tc>
          <w:tcPr>
            <w:tcW w:w="1694" w:type="dxa"/>
            <w:tcBorders>
              <w:top w:val="nil"/>
              <w:left w:val="nil"/>
              <w:bottom w:val="nil"/>
              <w:right w:val="nil"/>
            </w:tcBorders>
          </w:tcPr>
          <w:p w14:paraId="7208BB36"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-0.00132***</w:t>
            </w:r>
          </w:p>
        </w:tc>
        <w:tc>
          <w:tcPr>
            <w:tcW w:w="1559" w:type="dxa"/>
            <w:tcBorders>
              <w:top w:val="nil"/>
              <w:left w:val="nil"/>
              <w:bottom w:val="nil"/>
              <w:right w:val="nil"/>
            </w:tcBorders>
          </w:tcPr>
          <w:p w14:paraId="5402FCDA"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-0.00166*</w:t>
            </w:r>
          </w:p>
        </w:tc>
      </w:tr>
      <w:tr w:rsidR="00137437" w:rsidRPr="00072E3C" w14:paraId="748D9683" w14:textId="77777777" w:rsidTr="008E0221">
        <w:trPr>
          <w:gridAfter w:val="2"/>
          <w:wAfter w:w="3253" w:type="dxa"/>
          <w:trHeight w:val="280"/>
        </w:trPr>
        <w:tc>
          <w:tcPr>
            <w:tcW w:w="3126" w:type="dxa"/>
            <w:tcBorders>
              <w:top w:val="nil"/>
              <w:left w:val="nil"/>
              <w:bottom w:val="nil"/>
              <w:right w:val="nil"/>
            </w:tcBorders>
          </w:tcPr>
          <w:p w14:paraId="6E5CAE0A" w14:textId="77777777" w:rsidR="00137437" w:rsidRPr="00072E3C" w:rsidRDefault="00137437" w:rsidP="008E0221">
            <w:pPr>
              <w:widowControl w:val="0"/>
              <w:spacing w:line="240" w:lineRule="auto"/>
              <w:rPr>
                <w:rFonts w:cs="TimesLTStd-Roman"/>
                <w:iCs/>
                <w:color w:val="000000"/>
                <w:sz w:val="20"/>
                <w:szCs w:val="16"/>
              </w:rPr>
            </w:pPr>
          </w:p>
        </w:tc>
      </w:tr>
      <w:tr w:rsidR="00137437" w:rsidRPr="00072E3C" w14:paraId="20E4CE23" w14:textId="77777777" w:rsidTr="008E0221">
        <w:trPr>
          <w:trHeight w:val="261"/>
        </w:trPr>
        <w:tc>
          <w:tcPr>
            <w:tcW w:w="3126" w:type="dxa"/>
            <w:tcBorders>
              <w:top w:val="nil"/>
              <w:left w:val="nil"/>
              <w:bottom w:val="nil"/>
              <w:right w:val="nil"/>
            </w:tcBorders>
          </w:tcPr>
          <w:p w14:paraId="76D41A8B" w14:textId="77777777" w:rsidR="00137437" w:rsidRPr="00072E3C" w:rsidRDefault="00137437" w:rsidP="008E0221">
            <w:pPr>
              <w:widowControl w:val="0"/>
              <w:spacing w:line="240" w:lineRule="auto"/>
              <w:rPr>
                <w:rFonts w:cs="TimesLTStd-Roman"/>
                <w:iCs/>
                <w:color w:val="000000"/>
                <w:sz w:val="20"/>
                <w:szCs w:val="16"/>
              </w:rPr>
            </w:pPr>
            <w:proofErr w:type="spellStart"/>
            <w:r w:rsidRPr="00072E3C">
              <w:rPr>
                <w:rFonts w:cs="TimesLTStd-Roman"/>
                <w:iCs/>
                <w:color w:val="000000"/>
                <w:sz w:val="20"/>
                <w:szCs w:val="16"/>
              </w:rPr>
              <w:t>itraxx_n_fd</w:t>
            </w:r>
            <w:proofErr w:type="spellEnd"/>
          </w:p>
        </w:tc>
        <w:tc>
          <w:tcPr>
            <w:tcW w:w="1694" w:type="dxa"/>
            <w:tcBorders>
              <w:top w:val="nil"/>
              <w:left w:val="nil"/>
              <w:bottom w:val="nil"/>
              <w:right w:val="nil"/>
            </w:tcBorders>
          </w:tcPr>
          <w:p w14:paraId="420B498C"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0.00245***</w:t>
            </w:r>
          </w:p>
        </w:tc>
        <w:tc>
          <w:tcPr>
            <w:tcW w:w="1559" w:type="dxa"/>
            <w:tcBorders>
              <w:top w:val="nil"/>
              <w:left w:val="nil"/>
              <w:bottom w:val="nil"/>
              <w:right w:val="nil"/>
            </w:tcBorders>
          </w:tcPr>
          <w:p w14:paraId="46114DDC"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0.00649***</w:t>
            </w:r>
          </w:p>
        </w:tc>
      </w:tr>
      <w:tr w:rsidR="00137437" w:rsidRPr="00072E3C" w14:paraId="0C075410" w14:textId="77777777" w:rsidTr="008E0221">
        <w:trPr>
          <w:gridAfter w:val="2"/>
          <w:wAfter w:w="3253" w:type="dxa"/>
          <w:trHeight w:val="280"/>
        </w:trPr>
        <w:tc>
          <w:tcPr>
            <w:tcW w:w="3126" w:type="dxa"/>
            <w:tcBorders>
              <w:top w:val="nil"/>
              <w:left w:val="nil"/>
              <w:bottom w:val="nil"/>
              <w:right w:val="nil"/>
            </w:tcBorders>
          </w:tcPr>
          <w:p w14:paraId="04C4C6B2" w14:textId="77777777" w:rsidR="00137437" w:rsidRPr="00072E3C" w:rsidRDefault="00137437" w:rsidP="008E0221">
            <w:pPr>
              <w:widowControl w:val="0"/>
              <w:spacing w:line="240" w:lineRule="auto"/>
              <w:rPr>
                <w:rFonts w:cs="TimesLTStd-Roman"/>
                <w:iCs/>
                <w:color w:val="000000"/>
                <w:sz w:val="20"/>
                <w:szCs w:val="16"/>
              </w:rPr>
            </w:pPr>
          </w:p>
        </w:tc>
      </w:tr>
      <w:tr w:rsidR="00137437" w:rsidRPr="00072E3C" w14:paraId="24DE0C3E" w14:textId="77777777" w:rsidTr="008E0221">
        <w:trPr>
          <w:trHeight w:val="261"/>
        </w:trPr>
        <w:tc>
          <w:tcPr>
            <w:tcW w:w="3126" w:type="dxa"/>
            <w:tcBorders>
              <w:top w:val="nil"/>
              <w:left w:val="nil"/>
              <w:bottom w:val="nil"/>
              <w:right w:val="nil"/>
            </w:tcBorders>
          </w:tcPr>
          <w:p w14:paraId="1030A289" w14:textId="77777777" w:rsidR="00137437" w:rsidRPr="00072E3C" w:rsidRDefault="00137437" w:rsidP="008E0221">
            <w:pPr>
              <w:widowControl w:val="0"/>
              <w:spacing w:line="240" w:lineRule="auto"/>
              <w:rPr>
                <w:rFonts w:cs="TimesLTStd-Roman"/>
                <w:iCs/>
                <w:color w:val="000000"/>
                <w:sz w:val="20"/>
                <w:szCs w:val="16"/>
              </w:rPr>
            </w:pPr>
            <w:proofErr w:type="spellStart"/>
            <w:r w:rsidRPr="00072E3C">
              <w:rPr>
                <w:rFonts w:cs="TimesLTStd-Roman"/>
                <w:iCs/>
                <w:color w:val="000000"/>
                <w:sz w:val="20"/>
                <w:szCs w:val="16"/>
              </w:rPr>
              <w:t>tsm_fd</w:t>
            </w:r>
            <w:proofErr w:type="spellEnd"/>
          </w:p>
        </w:tc>
        <w:tc>
          <w:tcPr>
            <w:tcW w:w="1694" w:type="dxa"/>
            <w:tcBorders>
              <w:top w:val="nil"/>
              <w:left w:val="nil"/>
              <w:bottom w:val="nil"/>
              <w:right w:val="nil"/>
            </w:tcBorders>
          </w:tcPr>
          <w:p w14:paraId="34D82881"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0.000111</w:t>
            </w:r>
          </w:p>
        </w:tc>
        <w:tc>
          <w:tcPr>
            <w:tcW w:w="1559" w:type="dxa"/>
            <w:tcBorders>
              <w:top w:val="nil"/>
              <w:left w:val="nil"/>
              <w:bottom w:val="nil"/>
              <w:right w:val="nil"/>
            </w:tcBorders>
          </w:tcPr>
          <w:p w14:paraId="6396A252"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0.000435***</w:t>
            </w:r>
          </w:p>
        </w:tc>
      </w:tr>
      <w:tr w:rsidR="00137437" w:rsidRPr="00072E3C" w14:paraId="0C2235F7" w14:textId="77777777" w:rsidTr="008E0221">
        <w:trPr>
          <w:gridAfter w:val="2"/>
          <w:wAfter w:w="3253" w:type="dxa"/>
          <w:trHeight w:val="280"/>
        </w:trPr>
        <w:tc>
          <w:tcPr>
            <w:tcW w:w="3126" w:type="dxa"/>
            <w:tcBorders>
              <w:top w:val="nil"/>
              <w:left w:val="nil"/>
              <w:bottom w:val="nil"/>
              <w:right w:val="nil"/>
            </w:tcBorders>
          </w:tcPr>
          <w:p w14:paraId="758861F0" w14:textId="77777777" w:rsidR="00137437" w:rsidRPr="00072E3C" w:rsidRDefault="00137437" w:rsidP="008E0221">
            <w:pPr>
              <w:widowControl w:val="0"/>
              <w:spacing w:line="240" w:lineRule="auto"/>
              <w:rPr>
                <w:rFonts w:cs="TimesLTStd-Roman"/>
                <w:iCs/>
                <w:color w:val="000000"/>
                <w:sz w:val="20"/>
                <w:szCs w:val="16"/>
              </w:rPr>
            </w:pPr>
          </w:p>
        </w:tc>
      </w:tr>
      <w:tr w:rsidR="00137437" w:rsidRPr="00072E3C" w14:paraId="7506FB16" w14:textId="77777777" w:rsidTr="008E0221">
        <w:trPr>
          <w:trHeight w:val="261"/>
        </w:trPr>
        <w:tc>
          <w:tcPr>
            <w:tcW w:w="3126" w:type="dxa"/>
            <w:tcBorders>
              <w:top w:val="nil"/>
              <w:left w:val="nil"/>
              <w:bottom w:val="nil"/>
              <w:right w:val="nil"/>
            </w:tcBorders>
          </w:tcPr>
          <w:p w14:paraId="177D0F49" w14:textId="77777777" w:rsidR="00137437" w:rsidRPr="00072E3C" w:rsidRDefault="00137437" w:rsidP="008E0221">
            <w:pPr>
              <w:widowControl w:val="0"/>
              <w:spacing w:line="240" w:lineRule="auto"/>
              <w:rPr>
                <w:rFonts w:cs="TimesLTStd-Roman"/>
                <w:iCs/>
                <w:color w:val="000000"/>
                <w:sz w:val="20"/>
                <w:szCs w:val="16"/>
              </w:rPr>
            </w:pPr>
            <w:proofErr w:type="spellStart"/>
            <w:r w:rsidRPr="00072E3C">
              <w:rPr>
                <w:rFonts w:cs="TimesLTStd-Roman"/>
                <w:iCs/>
                <w:color w:val="000000"/>
                <w:sz w:val="20"/>
                <w:szCs w:val="16"/>
              </w:rPr>
              <w:t>cesi_fd</w:t>
            </w:r>
            <w:proofErr w:type="spellEnd"/>
          </w:p>
        </w:tc>
        <w:tc>
          <w:tcPr>
            <w:tcW w:w="1694" w:type="dxa"/>
            <w:tcBorders>
              <w:top w:val="nil"/>
              <w:left w:val="nil"/>
              <w:bottom w:val="nil"/>
              <w:right w:val="nil"/>
            </w:tcBorders>
          </w:tcPr>
          <w:p w14:paraId="33C03318"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0.000469***</w:t>
            </w:r>
          </w:p>
        </w:tc>
        <w:tc>
          <w:tcPr>
            <w:tcW w:w="1559" w:type="dxa"/>
            <w:tcBorders>
              <w:top w:val="nil"/>
              <w:left w:val="nil"/>
              <w:bottom w:val="nil"/>
              <w:right w:val="nil"/>
            </w:tcBorders>
          </w:tcPr>
          <w:p w14:paraId="6F74F5CF"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0.000383***</w:t>
            </w:r>
          </w:p>
        </w:tc>
      </w:tr>
      <w:tr w:rsidR="00137437" w:rsidRPr="00072E3C" w14:paraId="26632955" w14:textId="77777777" w:rsidTr="008E0221">
        <w:trPr>
          <w:gridAfter w:val="2"/>
          <w:wAfter w:w="3253" w:type="dxa"/>
          <w:trHeight w:val="280"/>
        </w:trPr>
        <w:tc>
          <w:tcPr>
            <w:tcW w:w="3126" w:type="dxa"/>
            <w:tcBorders>
              <w:top w:val="nil"/>
              <w:left w:val="nil"/>
              <w:bottom w:val="nil"/>
              <w:right w:val="nil"/>
            </w:tcBorders>
          </w:tcPr>
          <w:p w14:paraId="27DB629F" w14:textId="77777777" w:rsidR="00137437" w:rsidRPr="00072E3C" w:rsidRDefault="00137437" w:rsidP="008E0221">
            <w:pPr>
              <w:widowControl w:val="0"/>
              <w:spacing w:line="240" w:lineRule="auto"/>
              <w:rPr>
                <w:rFonts w:cs="TimesLTStd-Roman"/>
                <w:iCs/>
                <w:color w:val="000000"/>
                <w:sz w:val="20"/>
                <w:szCs w:val="16"/>
              </w:rPr>
            </w:pPr>
          </w:p>
        </w:tc>
      </w:tr>
      <w:tr w:rsidR="00137437" w:rsidRPr="00072E3C" w14:paraId="239CD85A" w14:textId="77777777" w:rsidTr="008E0221">
        <w:trPr>
          <w:trHeight w:val="280"/>
        </w:trPr>
        <w:tc>
          <w:tcPr>
            <w:tcW w:w="3126" w:type="dxa"/>
            <w:tcBorders>
              <w:top w:val="nil"/>
              <w:left w:val="nil"/>
              <w:bottom w:val="nil"/>
              <w:right w:val="nil"/>
            </w:tcBorders>
          </w:tcPr>
          <w:p w14:paraId="453564DD" w14:textId="77777777" w:rsidR="00137437" w:rsidRPr="00072E3C" w:rsidRDefault="00137437" w:rsidP="008E0221">
            <w:pPr>
              <w:widowControl w:val="0"/>
              <w:spacing w:line="240" w:lineRule="auto"/>
              <w:rPr>
                <w:rFonts w:cs="TimesLTStd-Roman"/>
                <w:iCs/>
                <w:color w:val="000000"/>
                <w:sz w:val="20"/>
                <w:szCs w:val="16"/>
              </w:rPr>
            </w:pPr>
            <w:proofErr w:type="spellStart"/>
            <w:r w:rsidRPr="00072E3C">
              <w:rPr>
                <w:rFonts w:cs="TimesLTStd-Roman"/>
                <w:iCs/>
                <w:color w:val="000000"/>
                <w:sz w:val="20"/>
                <w:szCs w:val="16"/>
              </w:rPr>
              <w:t>cds_fd</w:t>
            </w:r>
            <w:proofErr w:type="spellEnd"/>
            <w:r w:rsidRPr="00072E3C">
              <w:rPr>
                <w:rFonts w:cs="TimesLTStd-Roman"/>
                <w:iCs/>
                <w:color w:val="000000"/>
                <w:sz w:val="20"/>
                <w:szCs w:val="16"/>
              </w:rPr>
              <w:t>_</w:t>
            </w:r>
          </w:p>
        </w:tc>
        <w:tc>
          <w:tcPr>
            <w:tcW w:w="1694" w:type="dxa"/>
            <w:tcBorders>
              <w:top w:val="nil"/>
              <w:left w:val="nil"/>
              <w:bottom w:val="nil"/>
              <w:right w:val="nil"/>
            </w:tcBorders>
          </w:tcPr>
          <w:p w14:paraId="2C6B5AF6"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0.00131</w:t>
            </w:r>
          </w:p>
        </w:tc>
        <w:tc>
          <w:tcPr>
            <w:tcW w:w="1559" w:type="dxa"/>
            <w:tcBorders>
              <w:top w:val="nil"/>
              <w:left w:val="nil"/>
              <w:bottom w:val="nil"/>
              <w:right w:val="nil"/>
            </w:tcBorders>
          </w:tcPr>
          <w:p w14:paraId="2D8D5FB1"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0.00604***</w:t>
            </w:r>
          </w:p>
        </w:tc>
      </w:tr>
      <w:tr w:rsidR="00137437" w:rsidRPr="00072E3C" w14:paraId="43F4E7E2" w14:textId="77777777" w:rsidTr="008E0221">
        <w:trPr>
          <w:gridAfter w:val="2"/>
          <w:wAfter w:w="3253" w:type="dxa"/>
          <w:trHeight w:val="261"/>
        </w:trPr>
        <w:tc>
          <w:tcPr>
            <w:tcW w:w="3126" w:type="dxa"/>
            <w:tcBorders>
              <w:top w:val="nil"/>
              <w:left w:val="nil"/>
              <w:bottom w:val="nil"/>
              <w:right w:val="nil"/>
            </w:tcBorders>
          </w:tcPr>
          <w:p w14:paraId="5324C05F" w14:textId="77777777" w:rsidR="00137437" w:rsidRPr="00072E3C" w:rsidRDefault="00137437" w:rsidP="008E0221">
            <w:pPr>
              <w:widowControl w:val="0"/>
              <w:spacing w:line="240" w:lineRule="auto"/>
              <w:rPr>
                <w:rFonts w:cs="TimesLTStd-Roman"/>
                <w:iCs/>
                <w:color w:val="000000"/>
                <w:sz w:val="20"/>
                <w:szCs w:val="16"/>
              </w:rPr>
            </w:pPr>
          </w:p>
        </w:tc>
      </w:tr>
      <w:tr w:rsidR="00137437" w:rsidRPr="00072E3C" w14:paraId="14BA60AC" w14:textId="77777777" w:rsidTr="008E0221">
        <w:trPr>
          <w:trHeight w:val="280"/>
        </w:trPr>
        <w:tc>
          <w:tcPr>
            <w:tcW w:w="3126" w:type="dxa"/>
            <w:tcBorders>
              <w:top w:val="nil"/>
              <w:left w:val="nil"/>
              <w:bottom w:val="nil"/>
              <w:right w:val="nil"/>
            </w:tcBorders>
          </w:tcPr>
          <w:p w14:paraId="2570AE1B" w14:textId="77777777" w:rsidR="00137437" w:rsidRPr="00072E3C" w:rsidRDefault="00137437" w:rsidP="008E0221">
            <w:pPr>
              <w:widowControl w:val="0"/>
              <w:spacing w:line="240" w:lineRule="auto"/>
              <w:rPr>
                <w:rFonts w:cs="TimesLTStd-Roman"/>
                <w:iCs/>
                <w:color w:val="000000"/>
                <w:sz w:val="20"/>
                <w:szCs w:val="16"/>
              </w:rPr>
            </w:pPr>
            <w:proofErr w:type="spellStart"/>
            <w:r w:rsidRPr="00072E3C">
              <w:rPr>
                <w:rFonts w:cs="TimesLTStd-Roman"/>
                <w:iCs/>
                <w:color w:val="000000"/>
                <w:sz w:val="20"/>
                <w:szCs w:val="16"/>
              </w:rPr>
              <w:t>lag_cds_fd</w:t>
            </w:r>
            <w:proofErr w:type="spellEnd"/>
            <w:r w:rsidRPr="00072E3C">
              <w:rPr>
                <w:rFonts w:cs="TimesLTStd-Roman"/>
                <w:iCs/>
                <w:color w:val="000000"/>
                <w:sz w:val="20"/>
                <w:szCs w:val="16"/>
              </w:rPr>
              <w:t>_</w:t>
            </w:r>
          </w:p>
        </w:tc>
        <w:tc>
          <w:tcPr>
            <w:tcW w:w="1694" w:type="dxa"/>
            <w:tcBorders>
              <w:top w:val="nil"/>
              <w:left w:val="nil"/>
              <w:bottom w:val="nil"/>
              <w:right w:val="nil"/>
            </w:tcBorders>
          </w:tcPr>
          <w:p w14:paraId="6ED415F3"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0.00134</w:t>
            </w:r>
          </w:p>
        </w:tc>
        <w:tc>
          <w:tcPr>
            <w:tcW w:w="1559" w:type="dxa"/>
            <w:tcBorders>
              <w:top w:val="nil"/>
              <w:left w:val="nil"/>
              <w:bottom w:val="nil"/>
              <w:right w:val="nil"/>
            </w:tcBorders>
          </w:tcPr>
          <w:p w14:paraId="595B0ACE"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0.00175***</w:t>
            </w:r>
          </w:p>
        </w:tc>
      </w:tr>
      <w:tr w:rsidR="00137437" w:rsidRPr="00072E3C" w14:paraId="2F2B8EF6" w14:textId="77777777" w:rsidTr="008E0221">
        <w:trPr>
          <w:gridAfter w:val="2"/>
          <w:wAfter w:w="3253" w:type="dxa"/>
          <w:trHeight w:val="261"/>
        </w:trPr>
        <w:tc>
          <w:tcPr>
            <w:tcW w:w="3126" w:type="dxa"/>
            <w:tcBorders>
              <w:top w:val="nil"/>
              <w:left w:val="nil"/>
              <w:bottom w:val="nil"/>
              <w:right w:val="nil"/>
            </w:tcBorders>
          </w:tcPr>
          <w:p w14:paraId="4D1B662C" w14:textId="77777777" w:rsidR="00137437" w:rsidRPr="00072E3C" w:rsidRDefault="00137437" w:rsidP="008E0221">
            <w:pPr>
              <w:widowControl w:val="0"/>
              <w:spacing w:line="240" w:lineRule="auto"/>
              <w:rPr>
                <w:rFonts w:cs="TimesLTStd-Roman"/>
                <w:iCs/>
                <w:color w:val="000000"/>
                <w:sz w:val="20"/>
                <w:szCs w:val="16"/>
              </w:rPr>
            </w:pPr>
          </w:p>
        </w:tc>
      </w:tr>
      <w:tr w:rsidR="00137437" w:rsidRPr="00072E3C" w14:paraId="0A0F7FA6" w14:textId="77777777" w:rsidTr="008E0221">
        <w:trPr>
          <w:trHeight w:val="426"/>
        </w:trPr>
        <w:tc>
          <w:tcPr>
            <w:tcW w:w="3126" w:type="dxa"/>
            <w:tcBorders>
              <w:top w:val="nil"/>
              <w:left w:val="nil"/>
              <w:bottom w:val="nil"/>
              <w:right w:val="nil"/>
            </w:tcBorders>
          </w:tcPr>
          <w:p w14:paraId="35183934"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Constant</w:t>
            </w:r>
          </w:p>
        </w:tc>
        <w:tc>
          <w:tcPr>
            <w:tcW w:w="1694" w:type="dxa"/>
            <w:tcBorders>
              <w:top w:val="nil"/>
              <w:left w:val="nil"/>
              <w:bottom w:val="nil"/>
              <w:right w:val="nil"/>
            </w:tcBorders>
          </w:tcPr>
          <w:p w14:paraId="7D573E74"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0.00326***</w:t>
            </w:r>
          </w:p>
        </w:tc>
        <w:tc>
          <w:tcPr>
            <w:tcW w:w="1559" w:type="dxa"/>
            <w:tcBorders>
              <w:top w:val="nil"/>
              <w:left w:val="nil"/>
              <w:bottom w:val="nil"/>
              <w:right w:val="nil"/>
            </w:tcBorders>
          </w:tcPr>
          <w:p w14:paraId="1703DBAF"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0.00302**</w:t>
            </w:r>
          </w:p>
        </w:tc>
      </w:tr>
      <w:tr w:rsidR="00137437" w:rsidRPr="00072E3C" w14:paraId="102A3207" w14:textId="77777777" w:rsidTr="008E0221">
        <w:trPr>
          <w:trHeight w:val="280"/>
        </w:trPr>
        <w:tc>
          <w:tcPr>
            <w:tcW w:w="3126" w:type="dxa"/>
            <w:tcBorders>
              <w:top w:val="nil"/>
              <w:left w:val="nil"/>
              <w:bottom w:val="nil"/>
              <w:right w:val="nil"/>
            </w:tcBorders>
          </w:tcPr>
          <w:p w14:paraId="0FA0CA31"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Observations</w:t>
            </w:r>
          </w:p>
        </w:tc>
        <w:tc>
          <w:tcPr>
            <w:tcW w:w="1694" w:type="dxa"/>
            <w:tcBorders>
              <w:top w:val="nil"/>
              <w:left w:val="nil"/>
              <w:bottom w:val="nil"/>
              <w:right w:val="nil"/>
            </w:tcBorders>
          </w:tcPr>
          <w:p w14:paraId="267966D6"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4,872</w:t>
            </w:r>
          </w:p>
        </w:tc>
        <w:tc>
          <w:tcPr>
            <w:tcW w:w="1559" w:type="dxa"/>
            <w:tcBorders>
              <w:top w:val="nil"/>
              <w:left w:val="nil"/>
              <w:bottom w:val="nil"/>
              <w:right w:val="nil"/>
            </w:tcBorders>
          </w:tcPr>
          <w:p w14:paraId="1A6AD997"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2,088</w:t>
            </w:r>
          </w:p>
        </w:tc>
      </w:tr>
      <w:tr w:rsidR="00137437" w:rsidRPr="00072E3C" w14:paraId="1762D6E6" w14:textId="77777777" w:rsidTr="008E0221">
        <w:trPr>
          <w:trHeight w:val="261"/>
        </w:trPr>
        <w:tc>
          <w:tcPr>
            <w:tcW w:w="3126" w:type="dxa"/>
            <w:tcBorders>
              <w:top w:val="nil"/>
              <w:left w:val="nil"/>
              <w:bottom w:val="nil"/>
              <w:right w:val="nil"/>
            </w:tcBorders>
          </w:tcPr>
          <w:p w14:paraId="3DCDE48D"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R-squared</w:t>
            </w:r>
          </w:p>
        </w:tc>
        <w:tc>
          <w:tcPr>
            <w:tcW w:w="1694" w:type="dxa"/>
            <w:tcBorders>
              <w:top w:val="nil"/>
              <w:left w:val="nil"/>
              <w:bottom w:val="nil"/>
              <w:right w:val="nil"/>
            </w:tcBorders>
          </w:tcPr>
          <w:p w14:paraId="1EC5BCEE"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0.035</w:t>
            </w:r>
          </w:p>
        </w:tc>
        <w:tc>
          <w:tcPr>
            <w:tcW w:w="1559" w:type="dxa"/>
            <w:tcBorders>
              <w:top w:val="nil"/>
              <w:left w:val="nil"/>
              <w:bottom w:val="nil"/>
              <w:right w:val="nil"/>
            </w:tcBorders>
          </w:tcPr>
          <w:p w14:paraId="22EDC9C9"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0.171</w:t>
            </w:r>
          </w:p>
        </w:tc>
      </w:tr>
      <w:tr w:rsidR="00137437" w:rsidRPr="00072E3C" w14:paraId="5F139B6E" w14:textId="77777777" w:rsidTr="008E0221">
        <w:trPr>
          <w:trHeight w:val="280"/>
        </w:trPr>
        <w:tc>
          <w:tcPr>
            <w:tcW w:w="3126" w:type="dxa"/>
            <w:tcBorders>
              <w:top w:val="nil"/>
              <w:left w:val="nil"/>
              <w:bottom w:val="single" w:sz="6" w:space="0" w:color="000000"/>
              <w:right w:val="nil"/>
            </w:tcBorders>
          </w:tcPr>
          <w:p w14:paraId="45DAF5D8"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 xml:space="preserve">Number of </w:t>
            </w:r>
            <w:proofErr w:type="spellStart"/>
            <w:r w:rsidRPr="00072E3C">
              <w:rPr>
                <w:rFonts w:cs="TimesLTStd-Roman"/>
                <w:iCs/>
                <w:color w:val="000000"/>
                <w:sz w:val="20"/>
                <w:szCs w:val="16"/>
              </w:rPr>
              <w:t>Country_ID</w:t>
            </w:r>
            <w:proofErr w:type="spellEnd"/>
          </w:p>
        </w:tc>
        <w:tc>
          <w:tcPr>
            <w:tcW w:w="1694" w:type="dxa"/>
            <w:tcBorders>
              <w:top w:val="nil"/>
              <w:left w:val="nil"/>
              <w:bottom w:val="single" w:sz="6" w:space="0" w:color="000000"/>
              <w:right w:val="nil"/>
            </w:tcBorders>
          </w:tcPr>
          <w:p w14:paraId="7C163376"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7</w:t>
            </w:r>
          </w:p>
        </w:tc>
        <w:tc>
          <w:tcPr>
            <w:tcW w:w="1559" w:type="dxa"/>
            <w:tcBorders>
              <w:top w:val="nil"/>
              <w:left w:val="nil"/>
              <w:bottom w:val="single" w:sz="6" w:space="0" w:color="000000"/>
              <w:right w:val="nil"/>
            </w:tcBorders>
          </w:tcPr>
          <w:p w14:paraId="7AC12775" w14:textId="77777777" w:rsidR="00137437" w:rsidRPr="00072E3C" w:rsidRDefault="00137437" w:rsidP="008E0221">
            <w:pPr>
              <w:widowControl w:val="0"/>
              <w:spacing w:line="240" w:lineRule="auto"/>
              <w:rPr>
                <w:rFonts w:cs="TimesLTStd-Roman"/>
                <w:iCs/>
                <w:color w:val="000000"/>
                <w:sz w:val="20"/>
                <w:szCs w:val="16"/>
              </w:rPr>
            </w:pPr>
            <w:r w:rsidRPr="00072E3C">
              <w:rPr>
                <w:rFonts w:cs="TimesLTStd-Roman"/>
                <w:iCs/>
                <w:color w:val="000000"/>
                <w:sz w:val="20"/>
                <w:szCs w:val="16"/>
              </w:rPr>
              <w:t>3</w:t>
            </w:r>
          </w:p>
        </w:tc>
      </w:tr>
    </w:tbl>
    <w:p w14:paraId="0E3EA268" w14:textId="77777777" w:rsidR="00137437" w:rsidRPr="00072E3C" w:rsidRDefault="00137437" w:rsidP="00137437">
      <w:pPr>
        <w:widowControl w:val="0"/>
        <w:spacing w:line="240" w:lineRule="auto"/>
        <w:rPr>
          <w:rFonts w:cs="TimesLTStd-Roman"/>
          <w:iCs/>
          <w:color w:val="000000"/>
          <w:sz w:val="20"/>
          <w:szCs w:val="16"/>
        </w:rPr>
      </w:pPr>
      <w:r w:rsidRPr="00072E3C">
        <w:rPr>
          <w:rFonts w:cs="TimesLTStd-Roman"/>
          <w:iCs/>
          <w:color w:val="000000"/>
          <w:sz w:val="20"/>
          <w:szCs w:val="16"/>
        </w:rPr>
        <w:t xml:space="preserve">*** p&lt;0.01, ** p&lt;0.05, </w:t>
      </w:r>
    </w:p>
    <w:p w14:paraId="13E92249" w14:textId="77777777" w:rsidR="00137437" w:rsidRPr="00072E3C" w:rsidRDefault="00137437" w:rsidP="00137437">
      <w:pPr>
        <w:widowControl w:val="0"/>
        <w:spacing w:line="240" w:lineRule="auto"/>
        <w:rPr>
          <w:rFonts w:cs="TimesLTStd-Roman"/>
          <w:iCs/>
          <w:color w:val="000000"/>
          <w:sz w:val="20"/>
          <w:szCs w:val="16"/>
        </w:rPr>
      </w:pPr>
    </w:p>
    <w:p w14:paraId="71D50E54" w14:textId="77777777" w:rsidR="00137437" w:rsidRPr="00EE5255" w:rsidRDefault="00137437" w:rsidP="00137437">
      <w:pPr>
        <w:spacing w:line="240" w:lineRule="auto"/>
        <w:ind w:firstLine="0"/>
        <w:jc w:val="left"/>
      </w:pPr>
    </w:p>
    <w:p w14:paraId="7A51E7FF" w14:textId="77777777" w:rsidR="00513A55" w:rsidRPr="00EE5255" w:rsidRDefault="00513A55" w:rsidP="00582EC7">
      <w:pPr>
        <w:pStyle w:val="Heading2"/>
      </w:pPr>
      <w:bookmarkStart w:id="109" w:name="_Toc122697365"/>
      <w:r w:rsidRPr="00EE5255">
        <w:t>Country specific regressions – sovereign bond yields</w:t>
      </w:r>
      <w:bookmarkEnd w:id="109"/>
      <w:r w:rsidRPr="00EE5255">
        <w:t xml:space="preserve"> </w:t>
      </w:r>
    </w:p>
    <w:p w14:paraId="333E279C" w14:textId="77777777" w:rsidR="00513A55" w:rsidRPr="00EE5255" w:rsidRDefault="00513A55" w:rsidP="00513A55">
      <w:pPr>
        <w:spacing w:line="240" w:lineRule="auto"/>
        <w:ind w:firstLine="0"/>
        <w:jc w:val="left"/>
      </w:pPr>
    </w:p>
    <w:p w14:paraId="72825CD1" w14:textId="6ED2F1E8" w:rsidR="00513A55" w:rsidRDefault="00513A55" w:rsidP="00513A55">
      <w:pPr>
        <w:spacing w:after="240"/>
        <w:ind w:firstLine="720"/>
        <w:rPr>
          <w:rFonts w:cstheme="minorHAnsi"/>
          <w:color w:val="000000"/>
          <w:lang w:val="en-US"/>
        </w:rPr>
      </w:pPr>
      <w:r w:rsidRPr="0024689A">
        <w:rPr>
          <w:rFonts w:cstheme="minorHAnsi"/>
          <w:color w:val="000000"/>
          <w:lang w:val="en-US"/>
        </w:rPr>
        <w:t xml:space="preserve">Table </w:t>
      </w:r>
      <w:r w:rsidR="00D65D51">
        <w:rPr>
          <w:rFonts w:cstheme="minorHAnsi"/>
          <w:color w:val="000000"/>
          <w:lang w:val="en-US"/>
        </w:rPr>
        <w:t>6</w:t>
      </w:r>
      <w:r w:rsidRPr="0024689A">
        <w:rPr>
          <w:rFonts w:cstheme="minorHAnsi"/>
          <w:color w:val="000000"/>
          <w:lang w:val="en-US"/>
        </w:rPr>
        <w:t xml:space="preserve"> presents the results of individual country regressions that are used to predict changes in sovereign bond yields. This</w:t>
      </w:r>
      <w:r>
        <w:rPr>
          <w:rFonts w:cstheme="minorHAnsi"/>
          <w:color w:val="000000"/>
          <w:lang w:val="en-US"/>
        </w:rPr>
        <w:t xml:space="preserve"> regression</w:t>
      </w:r>
      <w:r w:rsidRPr="0024689A">
        <w:rPr>
          <w:rFonts w:cstheme="minorHAnsi"/>
          <w:color w:val="000000"/>
          <w:lang w:val="en-US"/>
        </w:rPr>
        <w:t xml:space="preserve"> model includes all control and moderator variables and is based on the country-specific regression defined in Equation 2. The country-specific regressions have shown heterogeneous yield reactions, with both positive and negative signs for the immediate and delayed effects of UMP. However, the results of these regressions generally show no statistically significant effects. There are a few exceptions to this </w:t>
      </w:r>
      <w:r>
        <w:rPr>
          <w:rFonts w:cstheme="minorHAnsi"/>
          <w:color w:val="000000"/>
          <w:lang w:val="en-US"/>
        </w:rPr>
        <w:t xml:space="preserve">result for Italy, </w:t>
      </w:r>
      <w:proofErr w:type="gramStart"/>
      <w:r>
        <w:rPr>
          <w:rFonts w:cstheme="minorHAnsi"/>
          <w:color w:val="000000"/>
          <w:lang w:val="en-US"/>
        </w:rPr>
        <w:lastRenderedPageBreak/>
        <w:t>France</w:t>
      </w:r>
      <w:proofErr w:type="gramEnd"/>
      <w:r>
        <w:rPr>
          <w:rFonts w:cstheme="minorHAnsi"/>
          <w:color w:val="000000"/>
          <w:lang w:val="en-US"/>
        </w:rPr>
        <w:t xml:space="preserve"> and Finland. T</w:t>
      </w:r>
      <w:r w:rsidRPr="0024689A">
        <w:rPr>
          <w:rFonts w:cstheme="minorHAnsi"/>
          <w:color w:val="000000"/>
          <w:lang w:val="en-US"/>
        </w:rPr>
        <w:t>here appears an immediate effect on UMP of Italy and delayed effect of France and Finland, which</w:t>
      </w:r>
      <w:r>
        <w:rPr>
          <w:rFonts w:cstheme="minorHAnsi"/>
          <w:color w:val="000000"/>
          <w:lang w:val="en-US"/>
        </w:rPr>
        <w:t xml:space="preserve"> all</w:t>
      </w:r>
      <w:r w:rsidRPr="0024689A">
        <w:rPr>
          <w:rFonts w:cstheme="minorHAnsi"/>
          <w:color w:val="000000"/>
          <w:lang w:val="en-US"/>
        </w:rPr>
        <w:t xml:space="preserve"> show </w:t>
      </w:r>
      <w:r>
        <w:rPr>
          <w:rFonts w:cstheme="minorHAnsi"/>
          <w:color w:val="000000"/>
          <w:lang w:val="en-US"/>
        </w:rPr>
        <w:t>a</w:t>
      </w:r>
      <w:r w:rsidRPr="0024689A">
        <w:rPr>
          <w:rFonts w:cstheme="minorHAnsi"/>
          <w:color w:val="000000"/>
          <w:lang w:val="en-US"/>
        </w:rPr>
        <w:t xml:space="preserve"> positive significant effect. </w:t>
      </w:r>
    </w:p>
    <w:p w14:paraId="0E2FB344" w14:textId="1F43A05D" w:rsidR="00513A55" w:rsidRDefault="00513A55" w:rsidP="00513A55">
      <w:pPr>
        <w:spacing w:after="240"/>
        <w:ind w:firstLine="720"/>
        <w:rPr>
          <w:rFonts w:cstheme="minorHAnsi"/>
          <w:color w:val="000000"/>
          <w:lang w:val="en-US"/>
        </w:rPr>
      </w:pPr>
      <w:r w:rsidRPr="00D94823">
        <w:rPr>
          <w:rFonts w:cstheme="minorHAnsi"/>
          <w:color w:val="000000"/>
          <w:lang w:val="en-US"/>
        </w:rPr>
        <w:t xml:space="preserve">In conclusion, this suggests that the impact of </w:t>
      </w:r>
      <w:r>
        <w:rPr>
          <w:rFonts w:cstheme="minorHAnsi"/>
          <w:color w:val="000000"/>
          <w:lang w:val="en-US"/>
        </w:rPr>
        <w:t>UMP</w:t>
      </w:r>
      <w:r w:rsidRPr="00D94823">
        <w:rPr>
          <w:rFonts w:cstheme="minorHAnsi"/>
          <w:color w:val="000000"/>
          <w:lang w:val="en-US"/>
        </w:rPr>
        <w:t xml:space="preserve"> announcements on sovereign bond yields may vary widely across different countries in the </w:t>
      </w:r>
      <w:r w:rsidR="004C51EF">
        <w:rPr>
          <w:rFonts w:cstheme="minorHAnsi"/>
          <w:color w:val="000000"/>
          <w:lang w:val="en-US"/>
        </w:rPr>
        <w:t>EMU</w:t>
      </w:r>
      <w:r w:rsidRPr="00D94823">
        <w:rPr>
          <w:rFonts w:cstheme="minorHAnsi"/>
          <w:color w:val="000000"/>
          <w:lang w:val="en-US"/>
        </w:rPr>
        <w:t xml:space="preserve"> and may not be significant at a country level in many cases. One potential explanation for this is that UMP announcements are difficult for individual financial markets to process</w:t>
      </w:r>
      <w:r>
        <w:rPr>
          <w:rFonts w:cstheme="minorHAnsi"/>
          <w:color w:val="000000"/>
          <w:lang w:val="en-US"/>
        </w:rPr>
        <w:t xml:space="preserve"> while financial markets are connected towards each other therefore these variables might not be independent. It could also be that the market </w:t>
      </w:r>
      <w:r w:rsidRPr="00D94823">
        <w:rPr>
          <w:rFonts w:cstheme="minorHAnsi"/>
          <w:color w:val="000000"/>
          <w:lang w:val="en-US"/>
        </w:rPr>
        <w:t>already incorporated</w:t>
      </w:r>
      <w:r>
        <w:rPr>
          <w:rFonts w:cstheme="minorHAnsi"/>
          <w:color w:val="000000"/>
          <w:lang w:val="en-US"/>
        </w:rPr>
        <w:t xml:space="preserve"> the information earlier</w:t>
      </w:r>
      <w:r w:rsidRPr="00D94823">
        <w:rPr>
          <w:rFonts w:cstheme="minorHAnsi"/>
          <w:color w:val="000000"/>
          <w:lang w:val="en-US"/>
        </w:rPr>
        <w:t>. Further analysis at the individual country level may be needed to fully understand why the effects of UMP announcements on sovereign bond yields vary across the EMU.</w:t>
      </w:r>
      <w:r>
        <w:rPr>
          <w:rFonts w:cstheme="minorHAnsi"/>
          <w:color w:val="000000"/>
          <w:lang w:val="en-US"/>
        </w:rPr>
        <w:t xml:space="preserve"> </w:t>
      </w:r>
    </w:p>
    <w:p w14:paraId="56A1F26F" w14:textId="77777777" w:rsidR="00137437" w:rsidRDefault="00137437">
      <w:pPr>
        <w:spacing w:line="240" w:lineRule="auto"/>
        <w:ind w:firstLine="0"/>
        <w:jc w:val="left"/>
        <w:rPr>
          <w:rFonts w:cstheme="minorHAnsi"/>
          <w:color w:val="000000"/>
          <w:lang w:val="en-US"/>
        </w:rPr>
        <w:sectPr w:rsidR="00137437" w:rsidSect="000C091F">
          <w:pgSz w:w="12240" w:h="15840"/>
          <w:pgMar w:top="1418" w:right="1418" w:bottom="1418" w:left="1418" w:header="57" w:footer="720" w:gutter="0"/>
          <w:cols w:space="708"/>
          <w:formProt w:val="0"/>
          <w:titlePg/>
          <w:docGrid w:linePitch="326"/>
        </w:sectPr>
      </w:pPr>
    </w:p>
    <w:p w14:paraId="57F849F4" w14:textId="7F4658A2" w:rsidR="00137437" w:rsidRDefault="00137437" w:rsidP="00137437">
      <w:pPr>
        <w:ind w:firstLine="0"/>
      </w:pPr>
    </w:p>
    <w:p w14:paraId="48C33430" w14:textId="03B600AA" w:rsidR="00137437" w:rsidRDefault="00137437" w:rsidP="00137437">
      <w:pPr>
        <w:ind w:firstLine="0"/>
      </w:pPr>
    </w:p>
    <w:p w14:paraId="78442A75" w14:textId="5CE0FBA9" w:rsidR="00137437" w:rsidRDefault="00137437" w:rsidP="00137437">
      <w:pPr>
        <w:ind w:firstLine="0"/>
      </w:pPr>
    </w:p>
    <w:p w14:paraId="3E235F9B" w14:textId="6E1795A6" w:rsidR="00CF48D9" w:rsidRPr="00517042" w:rsidRDefault="00CF48D9" w:rsidP="00137437">
      <w:pPr>
        <w:ind w:firstLine="0"/>
        <w:rPr>
          <w:u w:val="single"/>
        </w:rPr>
      </w:pPr>
    </w:p>
    <w:p w14:paraId="19D4E111" w14:textId="77777777" w:rsidR="00CF48D9" w:rsidRPr="005B73CB" w:rsidRDefault="00CF48D9" w:rsidP="00137437">
      <w:pPr>
        <w:ind w:firstLine="0"/>
      </w:pPr>
    </w:p>
    <w:p w14:paraId="180397BD" w14:textId="2109B4A0" w:rsidR="00CF48D9" w:rsidRPr="00CF48D9" w:rsidRDefault="00137437" w:rsidP="00CF48D9">
      <w:pPr>
        <w:pStyle w:val="Caption"/>
        <w:jc w:val="left"/>
        <w:rPr>
          <w:lang w:val="en-GB"/>
        </w:rPr>
      </w:pPr>
      <w:r w:rsidRPr="00BC2E42">
        <w:rPr>
          <w:lang w:val="en-GB"/>
        </w:rPr>
        <w:t xml:space="preserve">Table </w:t>
      </w:r>
      <w:r w:rsidR="00D65D51">
        <w:rPr>
          <w:lang w:val="en-GB"/>
        </w:rPr>
        <w:t>6</w:t>
      </w:r>
      <w:r>
        <w:rPr>
          <w:lang w:val="en-GB"/>
        </w:rPr>
        <w:t>.</w:t>
      </w:r>
      <w:r w:rsidRPr="00072E3C">
        <w:t xml:space="preserve"> </w:t>
      </w:r>
      <w:r w:rsidRPr="005B73CB">
        <w:rPr>
          <w:lang w:val="en-GB"/>
        </w:rPr>
        <w:t>Country-specific regression</w:t>
      </w:r>
      <w:r>
        <w:rPr>
          <w:lang w:val="en-GB"/>
        </w:rPr>
        <w:t>s</w:t>
      </w:r>
      <w:r w:rsidRPr="005B73CB">
        <w:rPr>
          <w:lang w:val="en-GB"/>
        </w:rPr>
        <w:t xml:space="preserve"> – Sovereign bond yiel</w:t>
      </w:r>
      <w:r>
        <w:rPr>
          <w:lang w:val="en-GB"/>
        </w:rPr>
        <w:t>d</w:t>
      </w:r>
    </w:p>
    <w:tbl>
      <w:tblPr>
        <w:tblpPr w:leftFromText="180" w:rightFromText="180" w:vertAnchor="page" w:horzAnchor="margin" w:tblpXSpec="center" w:tblpY="4036"/>
        <w:tblW w:w="15934" w:type="dxa"/>
        <w:tblLayout w:type="fixed"/>
        <w:tblCellMar>
          <w:left w:w="75" w:type="dxa"/>
          <w:right w:w="75" w:type="dxa"/>
        </w:tblCellMar>
        <w:tblLook w:val="0000" w:firstRow="0" w:lastRow="0" w:firstColumn="0" w:lastColumn="0" w:noHBand="0" w:noVBand="0"/>
      </w:tblPr>
      <w:tblGrid>
        <w:gridCol w:w="1952"/>
        <w:gridCol w:w="1394"/>
        <w:gridCol w:w="236"/>
        <w:gridCol w:w="1160"/>
        <w:gridCol w:w="784"/>
        <w:gridCol w:w="706"/>
        <w:gridCol w:w="490"/>
        <w:gridCol w:w="891"/>
        <w:gridCol w:w="382"/>
        <w:gridCol w:w="887"/>
        <w:gridCol w:w="1409"/>
        <w:gridCol w:w="525"/>
        <w:gridCol w:w="885"/>
        <w:gridCol w:w="1409"/>
        <w:gridCol w:w="1411"/>
        <w:gridCol w:w="1088"/>
        <w:gridCol w:w="184"/>
        <w:gridCol w:w="141"/>
      </w:tblGrid>
      <w:tr w:rsidR="00137437" w:rsidRPr="008E58D2" w14:paraId="3E715067" w14:textId="77777777" w:rsidTr="00517042">
        <w:trPr>
          <w:trHeight w:val="72"/>
        </w:trPr>
        <w:tc>
          <w:tcPr>
            <w:tcW w:w="1953" w:type="dxa"/>
            <w:tcBorders>
              <w:top w:val="single" w:sz="6" w:space="0" w:color="auto"/>
              <w:left w:val="nil"/>
              <w:bottom w:val="nil"/>
              <w:right w:val="nil"/>
            </w:tcBorders>
          </w:tcPr>
          <w:p w14:paraId="2CDDE2BB" w14:textId="77777777" w:rsidR="00137437" w:rsidRPr="008E58D2" w:rsidRDefault="00137437" w:rsidP="008E0221">
            <w:pPr>
              <w:widowControl w:val="0"/>
              <w:spacing w:line="240" w:lineRule="auto"/>
              <w:rPr>
                <w:rFonts w:cs="TimesLTStd-Roman"/>
                <w:iCs/>
                <w:color w:val="000000"/>
                <w:sz w:val="20"/>
                <w:szCs w:val="16"/>
              </w:rPr>
            </w:pPr>
            <w:r>
              <w:rPr>
                <w:rFonts w:cs="TimesLTStd-Roman"/>
                <w:iCs/>
                <w:color w:val="000000"/>
                <w:sz w:val="20"/>
                <w:szCs w:val="16"/>
              </w:rPr>
              <w:t>Y</w:t>
            </w:r>
            <w:r w:rsidRPr="008E58D2">
              <w:rPr>
                <w:rFonts w:cs="TimesLTStd-Roman"/>
                <w:iCs/>
                <w:color w:val="000000"/>
                <w:sz w:val="20"/>
                <w:szCs w:val="16"/>
              </w:rPr>
              <w:t>ield</w:t>
            </w:r>
          </w:p>
        </w:tc>
        <w:tc>
          <w:tcPr>
            <w:tcW w:w="1395" w:type="dxa"/>
            <w:tcBorders>
              <w:top w:val="single" w:sz="6" w:space="0" w:color="auto"/>
              <w:left w:val="nil"/>
              <w:bottom w:val="nil"/>
              <w:right w:val="nil"/>
            </w:tcBorders>
          </w:tcPr>
          <w:p w14:paraId="574FEA7C" w14:textId="77777777" w:rsidR="00137437" w:rsidRPr="005B73CB" w:rsidRDefault="00137437" w:rsidP="008E0221">
            <w:pPr>
              <w:widowControl w:val="0"/>
              <w:spacing w:line="240" w:lineRule="auto"/>
              <w:jc w:val="left"/>
              <w:rPr>
                <w:rFonts w:cs="TimesLTStd-Roman"/>
                <w:b/>
                <w:bCs/>
                <w:iCs/>
                <w:color w:val="000000"/>
                <w:sz w:val="20"/>
                <w:szCs w:val="16"/>
              </w:rPr>
            </w:pPr>
            <w:r w:rsidRPr="005B73CB">
              <w:rPr>
                <w:rFonts w:cs="TimesLTStd-Roman"/>
                <w:b/>
                <w:bCs/>
                <w:iCs/>
                <w:color w:val="000000"/>
                <w:sz w:val="20"/>
                <w:szCs w:val="16"/>
              </w:rPr>
              <w:t>(1)</w:t>
            </w:r>
          </w:p>
        </w:tc>
        <w:tc>
          <w:tcPr>
            <w:tcW w:w="1395" w:type="dxa"/>
            <w:gridSpan w:val="2"/>
            <w:tcBorders>
              <w:top w:val="single" w:sz="6" w:space="0" w:color="auto"/>
              <w:left w:val="nil"/>
              <w:bottom w:val="nil"/>
              <w:right w:val="nil"/>
            </w:tcBorders>
          </w:tcPr>
          <w:p w14:paraId="2FE38CFC" w14:textId="77777777" w:rsidR="00137437" w:rsidRPr="005B73CB" w:rsidRDefault="00137437" w:rsidP="008E0221">
            <w:pPr>
              <w:widowControl w:val="0"/>
              <w:spacing w:line="240" w:lineRule="auto"/>
              <w:jc w:val="left"/>
              <w:rPr>
                <w:rFonts w:cs="TimesLTStd-Roman"/>
                <w:b/>
                <w:bCs/>
                <w:iCs/>
                <w:color w:val="000000"/>
                <w:sz w:val="20"/>
                <w:szCs w:val="16"/>
              </w:rPr>
            </w:pPr>
            <w:r w:rsidRPr="005B73CB">
              <w:rPr>
                <w:rFonts w:cs="TimesLTStd-Roman"/>
                <w:b/>
                <w:bCs/>
                <w:iCs/>
                <w:color w:val="000000"/>
                <w:sz w:val="20"/>
                <w:szCs w:val="16"/>
              </w:rPr>
              <w:t>(2)</w:t>
            </w:r>
          </w:p>
        </w:tc>
        <w:tc>
          <w:tcPr>
            <w:tcW w:w="1490" w:type="dxa"/>
            <w:gridSpan w:val="2"/>
            <w:tcBorders>
              <w:top w:val="single" w:sz="6" w:space="0" w:color="auto"/>
              <w:left w:val="nil"/>
              <w:bottom w:val="nil"/>
              <w:right w:val="nil"/>
            </w:tcBorders>
          </w:tcPr>
          <w:p w14:paraId="47A475A4" w14:textId="77777777" w:rsidR="00137437" w:rsidRPr="005B73CB" w:rsidRDefault="00137437" w:rsidP="008E0221">
            <w:pPr>
              <w:widowControl w:val="0"/>
              <w:spacing w:line="240" w:lineRule="auto"/>
              <w:jc w:val="left"/>
              <w:rPr>
                <w:rFonts w:cs="TimesLTStd-Roman"/>
                <w:b/>
                <w:bCs/>
                <w:iCs/>
                <w:color w:val="000000"/>
                <w:sz w:val="20"/>
                <w:szCs w:val="16"/>
              </w:rPr>
            </w:pPr>
            <w:r w:rsidRPr="005B73CB">
              <w:rPr>
                <w:rFonts w:cs="TimesLTStd-Roman"/>
                <w:b/>
                <w:bCs/>
                <w:iCs/>
                <w:color w:val="000000"/>
                <w:sz w:val="20"/>
                <w:szCs w:val="16"/>
              </w:rPr>
              <w:t>(3)</w:t>
            </w:r>
          </w:p>
        </w:tc>
        <w:tc>
          <w:tcPr>
            <w:tcW w:w="1381" w:type="dxa"/>
            <w:gridSpan w:val="2"/>
            <w:tcBorders>
              <w:top w:val="single" w:sz="6" w:space="0" w:color="auto"/>
              <w:left w:val="nil"/>
              <w:bottom w:val="nil"/>
              <w:right w:val="nil"/>
            </w:tcBorders>
          </w:tcPr>
          <w:p w14:paraId="0B41E31B" w14:textId="77777777" w:rsidR="00137437" w:rsidRPr="005B73CB" w:rsidRDefault="00137437" w:rsidP="008E0221">
            <w:pPr>
              <w:widowControl w:val="0"/>
              <w:spacing w:line="240" w:lineRule="auto"/>
              <w:jc w:val="left"/>
              <w:rPr>
                <w:rFonts w:cs="TimesLTStd-Roman"/>
                <w:b/>
                <w:bCs/>
                <w:iCs/>
                <w:color w:val="000000"/>
                <w:sz w:val="20"/>
                <w:szCs w:val="16"/>
              </w:rPr>
            </w:pPr>
            <w:r w:rsidRPr="005B73CB">
              <w:rPr>
                <w:rFonts w:cs="TimesLTStd-Roman"/>
                <w:b/>
                <w:bCs/>
                <w:iCs/>
                <w:color w:val="000000"/>
                <w:sz w:val="20"/>
                <w:szCs w:val="16"/>
              </w:rPr>
              <w:t>(4)</w:t>
            </w:r>
          </w:p>
        </w:tc>
        <w:tc>
          <w:tcPr>
            <w:tcW w:w="1269" w:type="dxa"/>
            <w:gridSpan w:val="2"/>
            <w:tcBorders>
              <w:top w:val="single" w:sz="6" w:space="0" w:color="auto"/>
              <w:left w:val="nil"/>
              <w:bottom w:val="nil"/>
              <w:right w:val="nil"/>
            </w:tcBorders>
          </w:tcPr>
          <w:p w14:paraId="79B24411" w14:textId="77777777" w:rsidR="00137437" w:rsidRPr="005B73CB" w:rsidRDefault="00137437" w:rsidP="008E0221">
            <w:pPr>
              <w:widowControl w:val="0"/>
              <w:spacing w:line="240" w:lineRule="auto"/>
              <w:jc w:val="left"/>
              <w:rPr>
                <w:rFonts w:cs="TimesLTStd-Roman"/>
                <w:b/>
                <w:bCs/>
                <w:iCs/>
                <w:color w:val="000000"/>
                <w:sz w:val="20"/>
                <w:szCs w:val="16"/>
              </w:rPr>
            </w:pPr>
            <w:r w:rsidRPr="005B73CB">
              <w:rPr>
                <w:rFonts w:cs="TimesLTStd-Roman"/>
                <w:b/>
                <w:bCs/>
                <w:iCs/>
                <w:color w:val="000000"/>
                <w:sz w:val="20"/>
                <w:szCs w:val="16"/>
              </w:rPr>
              <w:t>(5)</w:t>
            </w:r>
          </w:p>
        </w:tc>
        <w:tc>
          <w:tcPr>
            <w:tcW w:w="1409" w:type="dxa"/>
            <w:tcBorders>
              <w:top w:val="single" w:sz="6" w:space="0" w:color="auto"/>
              <w:left w:val="nil"/>
              <w:bottom w:val="nil"/>
              <w:right w:val="nil"/>
            </w:tcBorders>
          </w:tcPr>
          <w:p w14:paraId="46EA4865" w14:textId="77777777" w:rsidR="00137437" w:rsidRPr="005B73CB" w:rsidRDefault="00137437" w:rsidP="008E0221">
            <w:pPr>
              <w:widowControl w:val="0"/>
              <w:spacing w:line="240" w:lineRule="auto"/>
              <w:jc w:val="left"/>
              <w:rPr>
                <w:rFonts w:cs="TimesLTStd-Roman"/>
                <w:b/>
                <w:bCs/>
                <w:iCs/>
                <w:color w:val="000000"/>
                <w:sz w:val="20"/>
                <w:szCs w:val="16"/>
              </w:rPr>
            </w:pPr>
            <w:r w:rsidRPr="005B73CB">
              <w:rPr>
                <w:rFonts w:cs="TimesLTStd-Roman"/>
                <w:b/>
                <w:bCs/>
                <w:iCs/>
                <w:color w:val="000000"/>
                <w:sz w:val="20"/>
                <w:szCs w:val="16"/>
              </w:rPr>
              <w:t>(6)</w:t>
            </w:r>
          </w:p>
        </w:tc>
        <w:tc>
          <w:tcPr>
            <w:tcW w:w="1410" w:type="dxa"/>
            <w:gridSpan w:val="2"/>
            <w:tcBorders>
              <w:top w:val="single" w:sz="6" w:space="0" w:color="auto"/>
              <w:left w:val="nil"/>
              <w:bottom w:val="nil"/>
              <w:right w:val="nil"/>
            </w:tcBorders>
          </w:tcPr>
          <w:p w14:paraId="24E82D39" w14:textId="77777777" w:rsidR="00137437" w:rsidRPr="005B73CB" w:rsidRDefault="00137437" w:rsidP="008E0221">
            <w:pPr>
              <w:widowControl w:val="0"/>
              <w:spacing w:line="240" w:lineRule="auto"/>
              <w:jc w:val="left"/>
              <w:rPr>
                <w:rFonts w:cs="TimesLTStd-Roman"/>
                <w:b/>
                <w:bCs/>
                <w:iCs/>
                <w:color w:val="000000"/>
                <w:sz w:val="20"/>
                <w:szCs w:val="16"/>
              </w:rPr>
            </w:pPr>
            <w:r w:rsidRPr="005B73CB">
              <w:rPr>
                <w:rFonts w:cs="TimesLTStd-Roman"/>
                <w:b/>
                <w:bCs/>
                <w:iCs/>
                <w:color w:val="000000"/>
                <w:sz w:val="20"/>
                <w:szCs w:val="16"/>
              </w:rPr>
              <w:t>(7)</w:t>
            </w:r>
          </w:p>
        </w:tc>
        <w:tc>
          <w:tcPr>
            <w:tcW w:w="1409" w:type="dxa"/>
            <w:tcBorders>
              <w:top w:val="single" w:sz="6" w:space="0" w:color="auto"/>
              <w:left w:val="nil"/>
              <w:bottom w:val="nil"/>
              <w:right w:val="nil"/>
            </w:tcBorders>
          </w:tcPr>
          <w:p w14:paraId="7A1BB813" w14:textId="77777777" w:rsidR="00137437" w:rsidRPr="005B73CB" w:rsidRDefault="00137437" w:rsidP="008E0221">
            <w:pPr>
              <w:widowControl w:val="0"/>
              <w:spacing w:line="240" w:lineRule="auto"/>
              <w:jc w:val="left"/>
              <w:rPr>
                <w:rFonts w:cs="TimesLTStd-Roman"/>
                <w:b/>
                <w:bCs/>
                <w:iCs/>
                <w:color w:val="000000"/>
                <w:sz w:val="20"/>
                <w:szCs w:val="16"/>
              </w:rPr>
            </w:pPr>
            <w:r w:rsidRPr="005B73CB">
              <w:rPr>
                <w:rFonts w:cs="TimesLTStd-Roman"/>
                <w:b/>
                <w:bCs/>
                <w:iCs/>
                <w:color w:val="000000"/>
                <w:sz w:val="20"/>
                <w:szCs w:val="16"/>
              </w:rPr>
              <w:t>(8)</w:t>
            </w:r>
          </w:p>
        </w:tc>
        <w:tc>
          <w:tcPr>
            <w:tcW w:w="1410" w:type="dxa"/>
            <w:tcBorders>
              <w:top w:val="single" w:sz="6" w:space="0" w:color="auto"/>
              <w:left w:val="nil"/>
              <w:bottom w:val="nil"/>
              <w:right w:val="nil"/>
            </w:tcBorders>
          </w:tcPr>
          <w:p w14:paraId="14719EFA" w14:textId="77777777" w:rsidR="00137437" w:rsidRPr="005B73CB" w:rsidRDefault="00137437" w:rsidP="008E0221">
            <w:pPr>
              <w:widowControl w:val="0"/>
              <w:spacing w:line="240" w:lineRule="auto"/>
              <w:jc w:val="left"/>
              <w:rPr>
                <w:rFonts w:cs="TimesLTStd-Roman"/>
                <w:b/>
                <w:bCs/>
                <w:iCs/>
                <w:color w:val="000000"/>
                <w:sz w:val="20"/>
                <w:szCs w:val="16"/>
              </w:rPr>
            </w:pPr>
            <w:r w:rsidRPr="005B73CB">
              <w:rPr>
                <w:rFonts w:cs="TimesLTStd-Roman"/>
                <w:b/>
                <w:bCs/>
                <w:iCs/>
                <w:color w:val="000000"/>
                <w:sz w:val="20"/>
                <w:szCs w:val="16"/>
              </w:rPr>
              <w:t>(9)</w:t>
            </w:r>
          </w:p>
        </w:tc>
        <w:tc>
          <w:tcPr>
            <w:tcW w:w="1413" w:type="dxa"/>
            <w:gridSpan w:val="3"/>
            <w:tcBorders>
              <w:top w:val="single" w:sz="6" w:space="0" w:color="auto"/>
              <w:left w:val="nil"/>
              <w:bottom w:val="nil"/>
              <w:right w:val="nil"/>
            </w:tcBorders>
          </w:tcPr>
          <w:p w14:paraId="65EC89DA" w14:textId="77777777" w:rsidR="00137437" w:rsidRPr="005B73CB" w:rsidRDefault="00137437" w:rsidP="008E0221">
            <w:pPr>
              <w:widowControl w:val="0"/>
              <w:spacing w:line="240" w:lineRule="auto"/>
              <w:ind w:firstLine="0"/>
              <w:jc w:val="left"/>
              <w:rPr>
                <w:rFonts w:cs="TimesLTStd-Roman"/>
                <w:b/>
                <w:bCs/>
                <w:iCs/>
                <w:color w:val="000000"/>
                <w:sz w:val="20"/>
                <w:szCs w:val="16"/>
              </w:rPr>
            </w:pPr>
            <w:r w:rsidRPr="005B73CB">
              <w:rPr>
                <w:rFonts w:cs="TimesLTStd-Roman"/>
                <w:b/>
                <w:bCs/>
                <w:iCs/>
                <w:color w:val="000000"/>
                <w:sz w:val="20"/>
                <w:szCs w:val="16"/>
              </w:rPr>
              <w:t>(10)</w:t>
            </w:r>
          </w:p>
        </w:tc>
      </w:tr>
      <w:tr w:rsidR="00137437" w:rsidRPr="008E58D2" w14:paraId="7B3855F3" w14:textId="77777777" w:rsidTr="00517042">
        <w:trPr>
          <w:trHeight w:val="197"/>
        </w:trPr>
        <w:tc>
          <w:tcPr>
            <w:tcW w:w="1953" w:type="dxa"/>
            <w:tcBorders>
              <w:top w:val="nil"/>
              <w:left w:val="nil"/>
              <w:bottom w:val="single" w:sz="6" w:space="0" w:color="auto"/>
              <w:right w:val="nil"/>
            </w:tcBorders>
          </w:tcPr>
          <w:p w14:paraId="1C2661F4" w14:textId="77777777" w:rsidR="00137437" w:rsidRPr="008E58D2" w:rsidRDefault="00137437" w:rsidP="008E0221">
            <w:pPr>
              <w:widowControl w:val="0"/>
              <w:spacing w:line="240" w:lineRule="auto"/>
              <w:rPr>
                <w:rFonts w:cs="TimesLTStd-Roman"/>
                <w:iCs/>
                <w:color w:val="000000"/>
                <w:sz w:val="20"/>
                <w:szCs w:val="16"/>
              </w:rPr>
            </w:pPr>
            <w:r w:rsidRPr="008E58D2">
              <w:rPr>
                <w:rFonts w:cs="TimesLTStd-Roman"/>
                <w:iCs/>
                <w:color w:val="000000"/>
                <w:sz w:val="20"/>
                <w:szCs w:val="16"/>
              </w:rPr>
              <w:t>VARIABLES</w:t>
            </w:r>
          </w:p>
        </w:tc>
        <w:tc>
          <w:tcPr>
            <w:tcW w:w="1395" w:type="dxa"/>
            <w:tcBorders>
              <w:top w:val="nil"/>
              <w:left w:val="nil"/>
              <w:bottom w:val="single" w:sz="6" w:space="0" w:color="auto"/>
              <w:right w:val="nil"/>
            </w:tcBorders>
          </w:tcPr>
          <w:p w14:paraId="07887BA6" w14:textId="77777777" w:rsidR="00137437" w:rsidRPr="005B73CB" w:rsidRDefault="00137437" w:rsidP="008E0221">
            <w:pPr>
              <w:widowControl w:val="0"/>
              <w:spacing w:line="240" w:lineRule="auto"/>
              <w:jc w:val="left"/>
              <w:rPr>
                <w:rFonts w:cs="TimesLTStd-Roman"/>
                <w:b/>
                <w:bCs/>
                <w:iCs/>
                <w:color w:val="000000"/>
                <w:sz w:val="20"/>
                <w:szCs w:val="16"/>
              </w:rPr>
            </w:pPr>
            <w:r w:rsidRPr="005B73CB">
              <w:rPr>
                <w:rFonts w:cs="TimesLTStd-Roman"/>
                <w:b/>
                <w:bCs/>
                <w:iCs/>
                <w:color w:val="000000"/>
                <w:sz w:val="20"/>
                <w:szCs w:val="16"/>
              </w:rPr>
              <w:t>ger</w:t>
            </w:r>
          </w:p>
        </w:tc>
        <w:tc>
          <w:tcPr>
            <w:tcW w:w="1395" w:type="dxa"/>
            <w:gridSpan w:val="2"/>
            <w:tcBorders>
              <w:top w:val="nil"/>
              <w:left w:val="nil"/>
              <w:bottom w:val="single" w:sz="6" w:space="0" w:color="auto"/>
              <w:right w:val="nil"/>
            </w:tcBorders>
          </w:tcPr>
          <w:p w14:paraId="19FC5704" w14:textId="77777777" w:rsidR="00137437" w:rsidRPr="005B73CB" w:rsidRDefault="00137437" w:rsidP="008E0221">
            <w:pPr>
              <w:widowControl w:val="0"/>
              <w:spacing w:line="240" w:lineRule="auto"/>
              <w:jc w:val="left"/>
              <w:rPr>
                <w:rFonts w:cs="TimesLTStd-Roman"/>
                <w:b/>
                <w:bCs/>
                <w:iCs/>
                <w:color w:val="000000"/>
                <w:sz w:val="20"/>
                <w:szCs w:val="16"/>
              </w:rPr>
            </w:pPr>
            <w:proofErr w:type="spellStart"/>
            <w:r w:rsidRPr="005B73CB">
              <w:rPr>
                <w:rFonts w:cs="TimesLTStd-Roman"/>
                <w:b/>
                <w:bCs/>
                <w:iCs/>
                <w:color w:val="000000"/>
                <w:sz w:val="20"/>
                <w:szCs w:val="16"/>
              </w:rPr>
              <w:t>nl</w:t>
            </w:r>
            <w:proofErr w:type="spellEnd"/>
          </w:p>
        </w:tc>
        <w:tc>
          <w:tcPr>
            <w:tcW w:w="1490" w:type="dxa"/>
            <w:gridSpan w:val="2"/>
            <w:tcBorders>
              <w:top w:val="nil"/>
              <w:left w:val="nil"/>
              <w:bottom w:val="single" w:sz="6" w:space="0" w:color="auto"/>
              <w:right w:val="nil"/>
            </w:tcBorders>
          </w:tcPr>
          <w:p w14:paraId="00A2E16A" w14:textId="77777777" w:rsidR="00137437" w:rsidRPr="005B73CB" w:rsidRDefault="00137437" w:rsidP="008E0221">
            <w:pPr>
              <w:widowControl w:val="0"/>
              <w:spacing w:line="240" w:lineRule="auto"/>
              <w:jc w:val="left"/>
              <w:rPr>
                <w:rFonts w:cs="TimesLTStd-Roman"/>
                <w:b/>
                <w:bCs/>
                <w:iCs/>
                <w:color w:val="000000"/>
                <w:sz w:val="20"/>
                <w:szCs w:val="16"/>
              </w:rPr>
            </w:pPr>
            <w:proofErr w:type="spellStart"/>
            <w:r w:rsidRPr="005B73CB">
              <w:rPr>
                <w:rFonts w:cs="TimesLTStd-Roman"/>
                <w:b/>
                <w:bCs/>
                <w:iCs/>
                <w:color w:val="000000"/>
                <w:sz w:val="20"/>
                <w:szCs w:val="16"/>
              </w:rPr>
              <w:t>ir</w:t>
            </w:r>
            <w:proofErr w:type="spellEnd"/>
          </w:p>
        </w:tc>
        <w:tc>
          <w:tcPr>
            <w:tcW w:w="1381" w:type="dxa"/>
            <w:gridSpan w:val="2"/>
            <w:tcBorders>
              <w:top w:val="nil"/>
              <w:left w:val="nil"/>
              <w:bottom w:val="single" w:sz="6" w:space="0" w:color="auto"/>
              <w:right w:val="nil"/>
            </w:tcBorders>
          </w:tcPr>
          <w:p w14:paraId="03AE5263" w14:textId="77777777" w:rsidR="00137437" w:rsidRPr="005B73CB" w:rsidRDefault="00137437" w:rsidP="008E0221">
            <w:pPr>
              <w:widowControl w:val="0"/>
              <w:spacing w:line="240" w:lineRule="auto"/>
              <w:jc w:val="left"/>
              <w:rPr>
                <w:rFonts w:cs="TimesLTStd-Roman"/>
                <w:b/>
                <w:bCs/>
                <w:iCs/>
                <w:color w:val="000000"/>
                <w:sz w:val="20"/>
                <w:szCs w:val="16"/>
              </w:rPr>
            </w:pPr>
            <w:r w:rsidRPr="005B73CB">
              <w:rPr>
                <w:rFonts w:cs="TimesLTStd-Roman"/>
                <w:b/>
                <w:bCs/>
                <w:iCs/>
                <w:color w:val="000000"/>
                <w:sz w:val="20"/>
                <w:szCs w:val="16"/>
              </w:rPr>
              <w:t>au</w:t>
            </w:r>
          </w:p>
        </w:tc>
        <w:tc>
          <w:tcPr>
            <w:tcW w:w="1269" w:type="dxa"/>
            <w:gridSpan w:val="2"/>
            <w:tcBorders>
              <w:top w:val="nil"/>
              <w:left w:val="nil"/>
              <w:bottom w:val="single" w:sz="6" w:space="0" w:color="auto"/>
              <w:right w:val="nil"/>
            </w:tcBorders>
          </w:tcPr>
          <w:p w14:paraId="519B6041" w14:textId="77777777" w:rsidR="00137437" w:rsidRPr="005B73CB" w:rsidRDefault="00137437" w:rsidP="008E0221">
            <w:pPr>
              <w:widowControl w:val="0"/>
              <w:spacing w:line="240" w:lineRule="auto"/>
              <w:jc w:val="left"/>
              <w:rPr>
                <w:rFonts w:cs="TimesLTStd-Roman"/>
                <w:b/>
                <w:bCs/>
                <w:iCs/>
                <w:color w:val="000000"/>
                <w:sz w:val="20"/>
                <w:szCs w:val="16"/>
              </w:rPr>
            </w:pPr>
            <w:r w:rsidRPr="005B73CB">
              <w:rPr>
                <w:rFonts w:cs="TimesLTStd-Roman"/>
                <w:b/>
                <w:bCs/>
                <w:iCs/>
                <w:color w:val="000000"/>
                <w:sz w:val="20"/>
                <w:szCs w:val="16"/>
              </w:rPr>
              <w:t>fi</w:t>
            </w:r>
          </w:p>
        </w:tc>
        <w:tc>
          <w:tcPr>
            <w:tcW w:w="1409" w:type="dxa"/>
            <w:tcBorders>
              <w:top w:val="nil"/>
              <w:left w:val="nil"/>
              <w:bottom w:val="single" w:sz="6" w:space="0" w:color="auto"/>
              <w:right w:val="nil"/>
            </w:tcBorders>
          </w:tcPr>
          <w:p w14:paraId="50C87D1B" w14:textId="77777777" w:rsidR="00137437" w:rsidRPr="005B73CB" w:rsidRDefault="00137437" w:rsidP="008E0221">
            <w:pPr>
              <w:widowControl w:val="0"/>
              <w:spacing w:line="240" w:lineRule="auto"/>
              <w:jc w:val="left"/>
              <w:rPr>
                <w:rFonts w:cs="TimesLTStd-Roman"/>
                <w:b/>
                <w:bCs/>
                <w:iCs/>
                <w:color w:val="000000"/>
                <w:sz w:val="20"/>
                <w:szCs w:val="16"/>
              </w:rPr>
            </w:pPr>
            <w:proofErr w:type="spellStart"/>
            <w:r w:rsidRPr="005B73CB">
              <w:rPr>
                <w:rFonts w:cs="TimesLTStd-Roman"/>
                <w:b/>
                <w:bCs/>
                <w:iCs/>
                <w:color w:val="000000"/>
                <w:sz w:val="20"/>
                <w:szCs w:val="16"/>
              </w:rPr>
              <w:t>fr</w:t>
            </w:r>
            <w:proofErr w:type="spellEnd"/>
          </w:p>
        </w:tc>
        <w:tc>
          <w:tcPr>
            <w:tcW w:w="1410" w:type="dxa"/>
            <w:gridSpan w:val="2"/>
            <w:tcBorders>
              <w:top w:val="nil"/>
              <w:left w:val="nil"/>
              <w:bottom w:val="single" w:sz="6" w:space="0" w:color="auto"/>
              <w:right w:val="nil"/>
            </w:tcBorders>
          </w:tcPr>
          <w:p w14:paraId="36744715" w14:textId="77777777" w:rsidR="00137437" w:rsidRPr="005B73CB" w:rsidRDefault="00137437" w:rsidP="008E0221">
            <w:pPr>
              <w:widowControl w:val="0"/>
              <w:spacing w:line="240" w:lineRule="auto"/>
              <w:jc w:val="left"/>
              <w:rPr>
                <w:rFonts w:cs="TimesLTStd-Roman"/>
                <w:b/>
                <w:bCs/>
                <w:iCs/>
                <w:color w:val="000000"/>
                <w:sz w:val="20"/>
                <w:szCs w:val="16"/>
              </w:rPr>
            </w:pPr>
            <w:r w:rsidRPr="005B73CB">
              <w:rPr>
                <w:rFonts w:cs="TimesLTStd-Roman"/>
                <w:b/>
                <w:bCs/>
                <w:iCs/>
                <w:color w:val="000000"/>
                <w:sz w:val="20"/>
                <w:szCs w:val="16"/>
              </w:rPr>
              <w:t>bel</w:t>
            </w:r>
          </w:p>
        </w:tc>
        <w:tc>
          <w:tcPr>
            <w:tcW w:w="1409" w:type="dxa"/>
            <w:tcBorders>
              <w:top w:val="nil"/>
              <w:left w:val="nil"/>
              <w:bottom w:val="single" w:sz="6" w:space="0" w:color="auto"/>
              <w:right w:val="nil"/>
            </w:tcBorders>
          </w:tcPr>
          <w:p w14:paraId="25D7B50A" w14:textId="77777777" w:rsidR="00137437" w:rsidRPr="005B73CB" w:rsidRDefault="00137437" w:rsidP="008E0221">
            <w:pPr>
              <w:widowControl w:val="0"/>
              <w:spacing w:line="240" w:lineRule="auto"/>
              <w:jc w:val="left"/>
              <w:rPr>
                <w:rFonts w:cs="TimesLTStd-Roman"/>
                <w:b/>
                <w:bCs/>
                <w:iCs/>
                <w:color w:val="000000"/>
                <w:sz w:val="20"/>
                <w:szCs w:val="16"/>
              </w:rPr>
            </w:pPr>
            <w:proofErr w:type="spellStart"/>
            <w:r w:rsidRPr="005B73CB">
              <w:rPr>
                <w:rFonts w:cs="TimesLTStd-Roman"/>
                <w:b/>
                <w:bCs/>
                <w:iCs/>
                <w:color w:val="000000"/>
                <w:sz w:val="20"/>
                <w:szCs w:val="16"/>
              </w:rPr>
              <w:t>por</w:t>
            </w:r>
            <w:proofErr w:type="spellEnd"/>
          </w:p>
        </w:tc>
        <w:tc>
          <w:tcPr>
            <w:tcW w:w="1410" w:type="dxa"/>
            <w:tcBorders>
              <w:top w:val="nil"/>
              <w:left w:val="nil"/>
              <w:bottom w:val="single" w:sz="6" w:space="0" w:color="auto"/>
              <w:right w:val="nil"/>
            </w:tcBorders>
          </w:tcPr>
          <w:p w14:paraId="5F491440" w14:textId="77777777" w:rsidR="00137437" w:rsidRPr="005B73CB" w:rsidRDefault="00137437" w:rsidP="008E0221">
            <w:pPr>
              <w:widowControl w:val="0"/>
              <w:spacing w:line="240" w:lineRule="auto"/>
              <w:jc w:val="left"/>
              <w:rPr>
                <w:rFonts w:cs="TimesLTStd-Roman"/>
                <w:b/>
                <w:bCs/>
                <w:iCs/>
                <w:color w:val="000000"/>
                <w:sz w:val="20"/>
                <w:szCs w:val="16"/>
              </w:rPr>
            </w:pPr>
            <w:r w:rsidRPr="005B73CB">
              <w:rPr>
                <w:rFonts w:cs="TimesLTStd-Roman"/>
                <w:b/>
                <w:bCs/>
                <w:iCs/>
                <w:color w:val="000000"/>
                <w:sz w:val="20"/>
                <w:szCs w:val="16"/>
              </w:rPr>
              <w:t>es</w:t>
            </w:r>
          </w:p>
        </w:tc>
        <w:tc>
          <w:tcPr>
            <w:tcW w:w="1413" w:type="dxa"/>
            <w:gridSpan w:val="3"/>
            <w:tcBorders>
              <w:top w:val="nil"/>
              <w:left w:val="nil"/>
              <w:bottom w:val="single" w:sz="6" w:space="0" w:color="auto"/>
              <w:right w:val="nil"/>
            </w:tcBorders>
          </w:tcPr>
          <w:p w14:paraId="119AD05E" w14:textId="77777777" w:rsidR="00137437" w:rsidRPr="005B73CB" w:rsidRDefault="00137437" w:rsidP="008E0221">
            <w:pPr>
              <w:widowControl w:val="0"/>
              <w:spacing w:line="240" w:lineRule="auto"/>
              <w:ind w:firstLine="0"/>
              <w:jc w:val="left"/>
              <w:rPr>
                <w:rFonts w:cs="TimesLTStd-Roman"/>
                <w:b/>
                <w:bCs/>
                <w:iCs/>
                <w:color w:val="000000"/>
                <w:sz w:val="20"/>
                <w:szCs w:val="16"/>
              </w:rPr>
            </w:pPr>
            <w:r w:rsidRPr="005B73CB">
              <w:rPr>
                <w:rFonts w:cs="TimesLTStd-Roman"/>
                <w:b/>
                <w:bCs/>
                <w:iCs/>
                <w:color w:val="000000"/>
                <w:sz w:val="20"/>
                <w:szCs w:val="16"/>
              </w:rPr>
              <w:t>it</w:t>
            </w:r>
          </w:p>
        </w:tc>
      </w:tr>
      <w:tr w:rsidR="00137437" w:rsidRPr="008E58D2" w14:paraId="02210664" w14:textId="77777777" w:rsidTr="00517042">
        <w:trPr>
          <w:trHeight w:val="197"/>
        </w:trPr>
        <w:tc>
          <w:tcPr>
            <w:tcW w:w="1953" w:type="dxa"/>
            <w:tcBorders>
              <w:top w:val="nil"/>
              <w:left w:val="nil"/>
              <w:bottom w:val="nil"/>
              <w:right w:val="nil"/>
            </w:tcBorders>
          </w:tcPr>
          <w:p w14:paraId="3B464722" w14:textId="77777777" w:rsidR="00137437" w:rsidRPr="008E58D2" w:rsidRDefault="00137437" w:rsidP="008E0221">
            <w:pPr>
              <w:widowControl w:val="0"/>
              <w:spacing w:line="240" w:lineRule="auto"/>
              <w:rPr>
                <w:rFonts w:cs="TimesLTStd-Roman"/>
                <w:iCs/>
                <w:color w:val="000000"/>
                <w:sz w:val="20"/>
                <w:szCs w:val="16"/>
              </w:rPr>
            </w:pPr>
          </w:p>
        </w:tc>
        <w:tc>
          <w:tcPr>
            <w:tcW w:w="1395" w:type="dxa"/>
            <w:tcBorders>
              <w:top w:val="nil"/>
              <w:left w:val="nil"/>
              <w:bottom w:val="nil"/>
              <w:right w:val="nil"/>
            </w:tcBorders>
          </w:tcPr>
          <w:p w14:paraId="1223C6EF" w14:textId="77777777" w:rsidR="00137437" w:rsidRPr="008E58D2" w:rsidRDefault="00137437" w:rsidP="008E0221">
            <w:pPr>
              <w:widowControl w:val="0"/>
              <w:spacing w:line="240" w:lineRule="auto"/>
              <w:jc w:val="left"/>
              <w:rPr>
                <w:rFonts w:cs="TimesLTStd-Roman"/>
                <w:iCs/>
                <w:color w:val="000000"/>
                <w:sz w:val="20"/>
                <w:szCs w:val="16"/>
              </w:rPr>
            </w:pPr>
          </w:p>
        </w:tc>
        <w:tc>
          <w:tcPr>
            <w:tcW w:w="1395" w:type="dxa"/>
            <w:gridSpan w:val="2"/>
            <w:tcBorders>
              <w:top w:val="nil"/>
              <w:left w:val="nil"/>
              <w:bottom w:val="nil"/>
              <w:right w:val="nil"/>
            </w:tcBorders>
          </w:tcPr>
          <w:p w14:paraId="019381AA" w14:textId="77777777" w:rsidR="00137437" w:rsidRPr="008E58D2" w:rsidRDefault="00137437" w:rsidP="008E0221">
            <w:pPr>
              <w:widowControl w:val="0"/>
              <w:spacing w:line="240" w:lineRule="auto"/>
              <w:jc w:val="left"/>
              <w:rPr>
                <w:rFonts w:cs="TimesLTStd-Roman"/>
                <w:iCs/>
                <w:color w:val="000000"/>
                <w:sz w:val="20"/>
                <w:szCs w:val="16"/>
              </w:rPr>
            </w:pPr>
          </w:p>
        </w:tc>
        <w:tc>
          <w:tcPr>
            <w:tcW w:w="1490" w:type="dxa"/>
            <w:gridSpan w:val="2"/>
            <w:tcBorders>
              <w:top w:val="nil"/>
              <w:left w:val="nil"/>
              <w:bottom w:val="nil"/>
              <w:right w:val="nil"/>
            </w:tcBorders>
          </w:tcPr>
          <w:p w14:paraId="12E20B23" w14:textId="77777777" w:rsidR="00137437" w:rsidRPr="008E58D2" w:rsidRDefault="00137437" w:rsidP="008E0221">
            <w:pPr>
              <w:widowControl w:val="0"/>
              <w:spacing w:line="240" w:lineRule="auto"/>
              <w:jc w:val="left"/>
              <w:rPr>
                <w:rFonts w:cs="TimesLTStd-Roman"/>
                <w:iCs/>
                <w:color w:val="000000"/>
                <w:sz w:val="20"/>
                <w:szCs w:val="16"/>
              </w:rPr>
            </w:pPr>
          </w:p>
        </w:tc>
        <w:tc>
          <w:tcPr>
            <w:tcW w:w="1381" w:type="dxa"/>
            <w:gridSpan w:val="2"/>
            <w:tcBorders>
              <w:top w:val="nil"/>
              <w:left w:val="nil"/>
              <w:bottom w:val="nil"/>
              <w:right w:val="nil"/>
            </w:tcBorders>
          </w:tcPr>
          <w:p w14:paraId="04D1EFEC" w14:textId="77777777" w:rsidR="00137437" w:rsidRPr="008E58D2" w:rsidRDefault="00137437" w:rsidP="008E0221">
            <w:pPr>
              <w:widowControl w:val="0"/>
              <w:spacing w:line="240" w:lineRule="auto"/>
              <w:jc w:val="left"/>
              <w:rPr>
                <w:rFonts w:cs="TimesLTStd-Roman"/>
                <w:iCs/>
                <w:color w:val="000000"/>
                <w:sz w:val="20"/>
                <w:szCs w:val="16"/>
              </w:rPr>
            </w:pPr>
          </w:p>
        </w:tc>
        <w:tc>
          <w:tcPr>
            <w:tcW w:w="1269" w:type="dxa"/>
            <w:gridSpan w:val="2"/>
            <w:tcBorders>
              <w:top w:val="nil"/>
              <w:left w:val="nil"/>
              <w:bottom w:val="nil"/>
              <w:right w:val="nil"/>
            </w:tcBorders>
          </w:tcPr>
          <w:p w14:paraId="04EDE42D" w14:textId="77777777" w:rsidR="00137437" w:rsidRPr="008E58D2" w:rsidRDefault="00137437" w:rsidP="008E0221">
            <w:pPr>
              <w:widowControl w:val="0"/>
              <w:spacing w:line="240" w:lineRule="auto"/>
              <w:jc w:val="left"/>
              <w:rPr>
                <w:rFonts w:cs="TimesLTStd-Roman"/>
                <w:iCs/>
                <w:color w:val="000000"/>
                <w:sz w:val="20"/>
                <w:szCs w:val="16"/>
              </w:rPr>
            </w:pPr>
          </w:p>
        </w:tc>
        <w:tc>
          <w:tcPr>
            <w:tcW w:w="1409" w:type="dxa"/>
            <w:tcBorders>
              <w:top w:val="nil"/>
              <w:left w:val="nil"/>
              <w:bottom w:val="nil"/>
              <w:right w:val="nil"/>
            </w:tcBorders>
          </w:tcPr>
          <w:p w14:paraId="35574D5B" w14:textId="77777777" w:rsidR="00137437" w:rsidRPr="008E58D2" w:rsidRDefault="00137437" w:rsidP="008E0221">
            <w:pPr>
              <w:widowControl w:val="0"/>
              <w:spacing w:line="240" w:lineRule="auto"/>
              <w:jc w:val="left"/>
              <w:rPr>
                <w:rFonts w:cs="TimesLTStd-Roman"/>
                <w:iCs/>
                <w:color w:val="000000"/>
                <w:sz w:val="20"/>
                <w:szCs w:val="16"/>
              </w:rPr>
            </w:pPr>
          </w:p>
        </w:tc>
        <w:tc>
          <w:tcPr>
            <w:tcW w:w="1410" w:type="dxa"/>
            <w:gridSpan w:val="2"/>
            <w:tcBorders>
              <w:top w:val="nil"/>
              <w:left w:val="nil"/>
              <w:bottom w:val="nil"/>
              <w:right w:val="nil"/>
            </w:tcBorders>
          </w:tcPr>
          <w:p w14:paraId="713F6453" w14:textId="77777777" w:rsidR="00137437" w:rsidRPr="008E58D2" w:rsidRDefault="00137437" w:rsidP="008E0221">
            <w:pPr>
              <w:widowControl w:val="0"/>
              <w:spacing w:line="240" w:lineRule="auto"/>
              <w:jc w:val="left"/>
              <w:rPr>
                <w:rFonts w:cs="TimesLTStd-Roman"/>
                <w:iCs/>
                <w:color w:val="000000"/>
                <w:sz w:val="20"/>
                <w:szCs w:val="16"/>
              </w:rPr>
            </w:pPr>
          </w:p>
        </w:tc>
        <w:tc>
          <w:tcPr>
            <w:tcW w:w="1409" w:type="dxa"/>
            <w:tcBorders>
              <w:top w:val="nil"/>
              <w:left w:val="nil"/>
              <w:bottom w:val="nil"/>
              <w:right w:val="nil"/>
            </w:tcBorders>
          </w:tcPr>
          <w:p w14:paraId="27F8B88E" w14:textId="77777777" w:rsidR="00137437" w:rsidRPr="008E58D2" w:rsidRDefault="00137437" w:rsidP="008E0221">
            <w:pPr>
              <w:widowControl w:val="0"/>
              <w:spacing w:line="240" w:lineRule="auto"/>
              <w:jc w:val="left"/>
              <w:rPr>
                <w:rFonts w:cs="TimesLTStd-Roman"/>
                <w:iCs/>
                <w:color w:val="000000"/>
                <w:sz w:val="20"/>
                <w:szCs w:val="16"/>
              </w:rPr>
            </w:pPr>
          </w:p>
        </w:tc>
        <w:tc>
          <w:tcPr>
            <w:tcW w:w="1410" w:type="dxa"/>
            <w:tcBorders>
              <w:top w:val="nil"/>
              <w:left w:val="nil"/>
              <w:bottom w:val="nil"/>
              <w:right w:val="nil"/>
            </w:tcBorders>
          </w:tcPr>
          <w:p w14:paraId="0BCCED24" w14:textId="77777777" w:rsidR="00137437" w:rsidRPr="008E58D2" w:rsidRDefault="00137437" w:rsidP="008E0221">
            <w:pPr>
              <w:widowControl w:val="0"/>
              <w:spacing w:line="240" w:lineRule="auto"/>
              <w:jc w:val="left"/>
              <w:rPr>
                <w:rFonts w:cs="TimesLTStd-Roman"/>
                <w:iCs/>
                <w:color w:val="000000"/>
                <w:sz w:val="20"/>
                <w:szCs w:val="16"/>
              </w:rPr>
            </w:pPr>
          </w:p>
        </w:tc>
        <w:tc>
          <w:tcPr>
            <w:tcW w:w="1413" w:type="dxa"/>
            <w:gridSpan w:val="3"/>
            <w:tcBorders>
              <w:top w:val="nil"/>
              <w:left w:val="nil"/>
              <w:bottom w:val="nil"/>
              <w:right w:val="nil"/>
            </w:tcBorders>
          </w:tcPr>
          <w:p w14:paraId="4FB2317A" w14:textId="77777777" w:rsidR="00137437" w:rsidRPr="008E58D2" w:rsidRDefault="00137437" w:rsidP="008E0221">
            <w:pPr>
              <w:widowControl w:val="0"/>
              <w:spacing w:line="240" w:lineRule="auto"/>
              <w:jc w:val="left"/>
              <w:rPr>
                <w:rFonts w:cs="TimesLTStd-Roman"/>
                <w:iCs/>
                <w:color w:val="000000"/>
                <w:sz w:val="20"/>
                <w:szCs w:val="16"/>
              </w:rPr>
            </w:pPr>
          </w:p>
        </w:tc>
      </w:tr>
      <w:tr w:rsidR="00137437" w:rsidRPr="008E58D2" w14:paraId="733A12C6" w14:textId="77777777" w:rsidTr="00517042">
        <w:trPr>
          <w:trHeight w:val="210"/>
        </w:trPr>
        <w:tc>
          <w:tcPr>
            <w:tcW w:w="1953" w:type="dxa"/>
            <w:tcBorders>
              <w:top w:val="nil"/>
              <w:left w:val="nil"/>
              <w:bottom w:val="nil"/>
              <w:right w:val="nil"/>
            </w:tcBorders>
          </w:tcPr>
          <w:p w14:paraId="47FEE17A" w14:textId="77777777" w:rsidR="00137437" w:rsidRPr="008E58D2" w:rsidRDefault="00137437" w:rsidP="008E0221">
            <w:pPr>
              <w:widowControl w:val="0"/>
              <w:spacing w:line="240" w:lineRule="auto"/>
              <w:jc w:val="left"/>
              <w:rPr>
                <w:rFonts w:cs="TimesLTStd-Roman"/>
                <w:iCs/>
                <w:color w:val="000000"/>
                <w:sz w:val="20"/>
                <w:szCs w:val="16"/>
              </w:rPr>
            </w:pPr>
            <w:proofErr w:type="spellStart"/>
            <w:r w:rsidRPr="008E58D2">
              <w:rPr>
                <w:rFonts w:cs="TimesLTStd-Roman"/>
                <w:iCs/>
                <w:color w:val="000000"/>
                <w:sz w:val="20"/>
                <w:szCs w:val="16"/>
              </w:rPr>
              <w:t>dummy_special</w:t>
            </w:r>
            <w:proofErr w:type="spellEnd"/>
          </w:p>
        </w:tc>
        <w:tc>
          <w:tcPr>
            <w:tcW w:w="1395" w:type="dxa"/>
            <w:tcBorders>
              <w:top w:val="nil"/>
              <w:left w:val="nil"/>
              <w:bottom w:val="nil"/>
              <w:right w:val="nil"/>
            </w:tcBorders>
          </w:tcPr>
          <w:p w14:paraId="181CD32D"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0.0104</w:t>
            </w:r>
          </w:p>
        </w:tc>
        <w:tc>
          <w:tcPr>
            <w:tcW w:w="1395" w:type="dxa"/>
            <w:gridSpan w:val="2"/>
            <w:tcBorders>
              <w:top w:val="nil"/>
              <w:left w:val="nil"/>
              <w:bottom w:val="nil"/>
              <w:right w:val="nil"/>
            </w:tcBorders>
          </w:tcPr>
          <w:p w14:paraId="24DE2543"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0.0219</w:t>
            </w:r>
          </w:p>
        </w:tc>
        <w:tc>
          <w:tcPr>
            <w:tcW w:w="1490" w:type="dxa"/>
            <w:gridSpan w:val="2"/>
            <w:tcBorders>
              <w:top w:val="nil"/>
              <w:left w:val="nil"/>
              <w:bottom w:val="nil"/>
              <w:right w:val="nil"/>
            </w:tcBorders>
          </w:tcPr>
          <w:p w14:paraId="794852DA"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-0.00753</w:t>
            </w:r>
          </w:p>
        </w:tc>
        <w:tc>
          <w:tcPr>
            <w:tcW w:w="1381" w:type="dxa"/>
            <w:gridSpan w:val="2"/>
            <w:tcBorders>
              <w:top w:val="nil"/>
              <w:left w:val="nil"/>
              <w:bottom w:val="nil"/>
              <w:right w:val="nil"/>
            </w:tcBorders>
          </w:tcPr>
          <w:p w14:paraId="669F7B64"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0.0115</w:t>
            </w:r>
          </w:p>
        </w:tc>
        <w:tc>
          <w:tcPr>
            <w:tcW w:w="1269" w:type="dxa"/>
            <w:gridSpan w:val="2"/>
            <w:tcBorders>
              <w:top w:val="nil"/>
              <w:left w:val="nil"/>
              <w:bottom w:val="nil"/>
              <w:right w:val="nil"/>
            </w:tcBorders>
          </w:tcPr>
          <w:p w14:paraId="0F4D9175"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0.00206</w:t>
            </w:r>
          </w:p>
        </w:tc>
        <w:tc>
          <w:tcPr>
            <w:tcW w:w="1409" w:type="dxa"/>
            <w:tcBorders>
              <w:top w:val="nil"/>
              <w:left w:val="nil"/>
              <w:bottom w:val="nil"/>
              <w:right w:val="nil"/>
            </w:tcBorders>
          </w:tcPr>
          <w:p w14:paraId="2DD1FF16"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0.0140</w:t>
            </w:r>
          </w:p>
        </w:tc>
        <w:tc>
          <w:tcPr>
            <w:tcW w:w="1410" w:type="dxa"/>
            <w:gridSpan w:val="2"/>
            <w:tcBorders>
              <w:top w:val="nil"/>
              <w:left w:val="nil"/>
              <w:bottom w:val="nil"/>
              <w:right w:val="nil"/>
            </w:tcBorders>
          </w:tcPr>
          <w:p w14:paraId="6C33B0B4"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0.00890</w:t>
            </w:r>
          </w:p>
        </w:tc>
        <w:tc>
          <w:tcPr>
            <w:tcW w:w="1409" w:type="dxa"/>
            <w:tcBorders>
              <w:top w:val="nil"/>
              <w:left w:val="nil"/>
              <w:bottom w:val="nil"/>
              <w:right w:val="nil"/>
            </w:tcBorders>
          </w:tcPr>
          <w:p w14:paraId="160ECEB2"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0.00109</w:t>
            </w:r>
          </w:p>
        </w:tc>
        <w:tc>
          <w:tcPr>
            <w:tcW w:w="1410" w:type="dxa"/>
            <w:tcBorders>
              <w:top w:val="nil"/>
              <w:left w:val="nil"/>
              <w:bottom w:val="nil"/>
              <w:right w:val="nil"/>
            </w:tcBorders>
          </w:tcPr>
          <w:p w14:paraId="511C4C51"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0.0186</w:t>
            </w:r>
          </w:p>
        </w:tc>
        <w:tc>
          <w:tcPr>
            <w:tcW w:w="1413" w:type="dxa"/>
            <w:gridSpan w:val="3"/>
            <w:tcBorders>
              <w:top w:val="nil"/>
              <w:left w:val="nil"/>
              <w:bottom w:val="nil"/>
              <w:right w:val="nil"/>
            </w:tcBorders>
          </w:tcPr>
          <w:p w14:paraId="45A8AE78"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0.0745***</w:t>
            </w:r>
          </w:p>
        </w:tc>
      </w:tr>
      <w:tr w:rsidR="00137437" w:rsidRPr="008E58D2" w14:paraId="21019687" w14:textId="77777777" w:rsidTr="00517042">
        <w:trPr>
          <w:trHeight w:val="197"/>
        </w:trPr>
        <w:tc>
          <w:tcPr>
            <w:tcW w:w="1953" w:type="dxa"/>
            <w:tcBorders>
              <w:top w:val="nil"/>
              <w:left w:val="nil"/>
              <w:bottom w:val="nil"/>
              <w:right w:val="nil"/>
            </w:tcBorders>
          </w:tcPr>
          <w:p w14:paraId="15EF2653" w14:textId="77777777" w:rsidR="00137437" w:rsidRPr="008E58D2" w:rsidRDefault="00137437" w:rsidP="008E0221">
            <w:pPr>
              <w:widowControl w:val="0"/>
              <w:spacing w:line="240" w:lineRule="auto"/>
              <w:jc w:val="left"/>
              <w:rPr>
                <w:rFonts w:cs="TimesLTStd-Roman"/>
                <w:iCs/>
                <w:color w:val="000000"/>
                <w:sz w:val="20"/>
                <w:szCs w:val="16"/>
              </w:rPr>
            </w:pPr>
            <w:proofErr w:type="spellStart"/>
            <w:r w:rsidRPr="008E58D2">
              <w:rPr>
                <w:rFonts w:cs="TimesLTStd-Roman"/>
                <w:iCs/>
                <w:color w:val="000000"/>
                <w:sz w:val="20"/>
                <w:szCs w:val="16"/>
              </w:rPr>
              <w:t>dummy_special_d</w:t>
            </w:r>
            <w:proofErr w:type="spellEnd"/>
          </w:p>
        </w:tc>
        <w:tc>
          <w:tcPr>
            <w:tcW w:w="1395" w:type="dxa"/>
            <w:tcBorders>
              <w:top w:val="nil"/>
              <w:left w:val="nil"/>
              <w:bottom w:val="nil"/>
              <w:right w:val="nil"/>
            </w:tcBorders>
          </w:tcPr>
          <w:p w14:paraId="129E0350"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0.0309*</w:t>
            </w:r>
          </w:p>
        </w:tc>
        <w:tc>
          <w:tcPr>
            <w:tcW w:w="1395" w:type="dxa"/>
            <w:gridSpan w:val="2"/>
            <w:tcBorders>
              <w:top w:val="nil"/>
              <w:left w:val="nil"/>
              <w:bottom w:val="nil"/>
              <w:right w:val="nil"/>
            </w:tcBorders>
          </w:tcPr>
          <w:p w14:paraId="52F1E0A3"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0.0236</w:t>
            </w:r>
          </w:p>
        </w:tc>
        <w:tc>
          <w:tcPr>
            <w:tcW w:w="1490" w:type="dxa"/>
            <w:gridSpan w:val="2"/>
            <w:tcBorders>
              <w:top w:val="nil"/>
              <w:left w:val="nil"/>
              <w:bottom w:val="nil"/>
              <w:right w:val="nil"/>
            </w:tcBorders>
          </w:tcPr>
          <w:p w14:paraId="2443BF7C"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0.0295</w:t>
            </w:r>
          </w:p>
        </w:tc>
        <w:tc>
          <w:tcPr>
            <w:tcW w:w="1381" w:type="dxa"/>
            <w:gridSpan w:val="2"/>
            <w:tcBorders>
              <w:top w:val="nil"/>
              <w:left w:val="nil"/>
              <w:bottom w:val="nil"/>
              <w:right w:val="nil"/>
            </w:tcBorders>
          </w:tcPr>
          <w:p w14:paraId="5615AB99"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0.0283</w:t>
            </w:r>
          </w:p>
        </w:tc>
        <w:tc>
          <w:tcPr>
            <w:tcW w:w="1269" w:type="dxa"/>
            <w:gridSpan w:val="2"/>
            <w:tcBorders>
              <w:top w:val="nil"/>
              <w:left w:val="nil"/>
              <w:bottom w:val="nil"/>
              <w:right w:val="nil"/>
            </w:tcBorders>
          </w:tcPr>
          <w:p w14:paraId="1864E53A"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0.0381**</w:t>
            </w:r>
          </w:p>
        </w:tc>
        <w:tc>
          <w:tcPr>
            <w:tcW w:w="1409" w:type="dxa"/>
            <w:tcBorders>
              <w:top w:val="nil"/>
              <w:left w:val="nil"/>
              <w:bottom w:val="nil"/>
              <w:right w:val="nil"/>
            </w:tcBorders>
          </w:tcPr>
          <w:p w14:paraId="71BA90F9"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0.0384**</w:t>
            </w:r>
          </w:p>
        </w:tc>
        <w:tc>
          <w:tcPr>
            <w:tcW w:w="1410" w:type="dxa"/>
            <w:gridSpan w:val="2"/>
            <w:tcBorders>
              <w:top w:val="nil"/>
              <w:left w:val="nil"/>
              <w:bottom w:val="nil"/>
              <w:right w:val="nil"/>
            </w:tcBorders>
          </w:tcPr>
          <w:p w14:paraId="1D58956C"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0.0273</w:t>
            </w:r>
          </w:p>
        </w:tc>
        <w:tc>
          <w:tcPr>
            <w:tcW w:w="1409" w:type="dxa"/>
            <w:tcBorders>
              <w:top w:val="nil"/>
              <w:left w:val="nil"/>
              <w:bottom w:val="nil"/>
              <w:right w:val="nil"/>
            </w:tcBorders>
          </w:tcPr>
          <w:p w14:paraId="6A69188A"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0.0238</w:t>
            </w:r>
          </w:p>
        </w:tc>
        <w:tc>
          <w:tcPr>
            <w:tcW w:w="1410" w:type="dxa"/>
            <w:tcBorders>
              <w:top w:val="nil"/>
              <w:left w:val="nil"/>
              <w:bottom w:val="nil"/>
              <w:right w:val="nil"/>
            </w:tcBorders>
          </w:tcPr>
          <w:p w14:paraId="5CDF4AD6"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0.00400</w:t>
            </w:r>
          </w:p>
        </w:tc>
        <w:tc>
          <w:tcPr>
            <w:tcW w:w="1413" w:type="dxa"/>
            <w:gridSpan w:val="3"/>
            <w:tcBorders>
              <w:top w:val="nil"/>
              <w:left w:val="nil"/>
              <w:bottom w:val="nil"/>
              <w:right w:val="nil"/>
            </w:tcBorders>
          </w:tcPr>
          <w:p w14:paraId="7D46D260"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-0.0184</w:t>
            </w:r>
          </w:p>
        </w:tc>
      </w:tr>
      <w:tr w:rsidR="00137437" w:rsidRPr="005B73CB" w14:paraId="6DB0F7FA" w14:textId="77777777" w:rsidTr="00517042">
        <w:trPr>
          <w:gridAfter w:val="1"/>
          <w:wAfter w:w="141" w:type="dxa"/>
          <w:trHeight w:val="197"/>
        </w:trPr>
        <w:tc>
          <w:tcPr>
            <w:tcW w:w="1953" w:type="dxa"/>
            <w:tcBorders>
              <w:top w:val="nil"/>
              <w:left w:val="nil"/>
              <w:bottom w:val="nil"/>
              <w:right w:val="nil"/>
            </w:tcBorders>
          </w:tcPr>
          <w:p w14:paraId="54F87103" w14:textId="77777777" w:rsidR="00137437" w:rsidRPr="008E58D2" w:rsidRDefault="00137437" w:rsidP="008E0221">
            <w:pPr>
              <w:widowControl w:val="0"/>
              <w:spacing w:line="240" w:lineRule="auto"/>
              <w:jc w:val="left"/>
              <w:rPr>
                <w:rFonts w:cs="TimesLTStd-Roman"/>
                <w:iCs/>
                <w:color w:val="000000"/>
                <w:sz w:val="20"/>
                <w:szCs w:val="16"/>
              </w:rPr>
            </w:pPr>
            <w:r w:rsidRPr="008E58D2">
              <w:rPr>
                <w:rFonts w:cs="TimesLTStd-Roman"/>
                <w:iCs/>
                <w:color w:val="000000"/>
                <w:sz w:val="20"/>
                <w:szCs w:val="16"/>
              </w:rPr>
              <w:t>dummy_special_d2</w:t>
            </w:r>
          </w:p>
        </w:tc>
        <w:tc>
          <w:tcPr>
            <w:tcW w:w="1395" w:type="dxa"/>
            <w:tcBorders>
              <w:top w:val="nil"/>
              <w:left w:val="nil"/>
              <w:bottom w:val="nil"/>
              <w:right w:val="nil"/>
            </w:tcBorders>
          </w:tcPr>
          <w:p w14:paraId="5A14743A"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-0.0123</w:t>
            </w:r>
          </w:p>
        </w:tc>
        <w:tc>
          <w:tcPr>
            <w:tcW w:w="1395" w:type="dxa"/>
            <w:gridSpan w:val="2"/>
            <w:tcBorders>
              <w:top w:val="nil"/>
              <w:left w:val="nil"/>
              <w:bottom w:val="nil"/>
              <w:right w:val="nil"/>
            </w:tcBorders>
          </w:tcPr>
          <w:p w14:paraId="5DBBC3BD"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0.00227</w:t>
            </w:r>
          </w:p>
        </w:tc>
        <w:tc>
          <w:tcPr>
            <w:tcW w:w="1490" w:type="dxa"/>
            <w:gridSpan w:val="2"/>
            <w:tcBorders>
              <w:top w:val="nil"/>
              <w:left w:val="nil"/>
              <w:bottom w:val="nil"/>
              <w:right w:val="nil"/>
            </w:tcBorders>
          </w:tcPr>
          <w:p w14:paraId="07510E5E"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-0.00595</w:t>
            </w:r>
          </w:p>
        </w:tc>
        <w:tc>
          <w:tcPr>
            <w:tcW w:w="1381" w:type="dxa"/>
            <w:gridSpan w:val="2"/>
            <w:tcBorders>
              <w:top w:val="nil"/>
              <w:left w:val="nil"/>
              <w:bottom w:val="nil"/>
              <w:right w:val="nil"/>
            </w:tcBorders>
          </w:tcPr>
          <w:p w14:paraId="4BA0E46B"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-0.00436</w:t>
            </w:r>
          </w:p>
        </w:tc>
        <w:tc>
          <w:tcPr>
            <w:tcW w:w="1269" w:type="dxa"/>
            <w:gridSpan w:val="2"/>
            <w:tcBorders>
              <w:top w:val="nil"/>
              <w:left w:val="nil"/>
              <w:bottom w:val="nil"/>
              <w:right w:val="nil"/>
            </w:tcBorders>
          </w:tcPr>
          <w:p w14:paraId="7667C684"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0.00659</w:t>
            </w:r>
          </w:p>
        </w:tc>
        <w:tc>
          <w:tcPr>
            <w:tcW w:w="1409" w:type="dxa"/>
            <w:tcBorders>
              <w:top w:val="nil"/>
              <w:left w:val="nil"/>
              <w:bottom w:val="nil"/>
              <w:right w:val="nil"/>
            </w:tcBorders>
          </w:tcPr>
          <w:p w14:paraId="0637BA81"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-0.00265</w:t>
            </w:r>
          </w:p>
        </w:tc>
        <w:tc>
          <w:tcPr>
            <w:tcW w:w="1410" w:type="dxa"/>
            <w:gridSpan w:val="2"/>
            <w:tcBorders>
              <w:top w:val="nil"/>
              <w:left w:val="nil"/>
              <w:bottom w:val="nil"/>
              <w:right w:val="nil"/>
            </w:tcBorders>
          </w:tcPr>
          <w:p w14:paraId="22FAA6C7"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0.00743</w:t>
            </w:r>
          </w:p>
        </w:tc>
        <w:tc>
          <w:tcPr>
            <w:tcW w:w="1409" w:type="dxa"/>
            <w:tcBorders>
              <w:top w:val="nil"/>
              <w:left w:val="nil"/>
              <w:bottom w:val="nil"/>
              <w:right w:val="nil"/>
            </w:tcBorders>
          </w:tcPr>
          <w:p w14:paraId="04DCF7D0"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0.0350*</w:t>
            </w:r>
          </w:p>
        </w:tc>
        <w:tc>
          <w:tcPr>
            <w:tcW w:w="1410" w:type="dxa"/>
            <w:tcBorders>
              <w:top w:val="nil"/>
              <w:left w:val="nil"/>
              <w:bottom w:val="nil"/>
              <w:right w:val="nil"/>
            </w:tcBorders>
          </w:tcPr>
          <w:p w14:paraId="2C1BA009"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0.0240</w:t>
            </w:r>
          </w:p>
        </w:tc>
        <w:tc>
          <w:tcPr>
            <w:tcW w:w="1272" w:type="dxa"/>
            <w:gridSpan w:val="2"/>
            <w:tcBorders>
              <w:top w:val="nil"/>
              <w:left w:val="nil"/>
              <w:bottom w:val="nil"/>
              <w:right w:val="nil"/>
            </w:tcBorders>
          </w:tcPr>
          <w:p w14:paraId="3AD738F6"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0.0355</w:t>
            </w:r>
          </w:p>
        </w:tc>
      </w:tr>
      <w:tr w:rsidR="00137437" w:rsidRPr="008E58D2" w14:paraId="091E08CF" w14:textId="77777777" w:rsidTr="00517042">
        <w:trPr>
          <w:trHeight w:val="197"/>
        </w:trPr>
        <w:tc>
          <w:tcPr>
            <w:tcW w:w="1953" w:type="dxa"/>
            <w:tcBorders>
              <w:top w:val="nil"/>
              <w:left w:val="nil"/>
              <w:bottom w:val="nil"/>
              <w:right w:val="nil"/>
            </w:tcBorders>
          </w:tcPr>
          <w:p w14:paraId="39261E04" w14:textId="77777777" w:rsidR="00137437" w:rsidRPr="008E58D2" w:rsidRDefault="00137437" w:rsidP="008E0221">
            <w:pPr>
              <w:widowControl w:val="0"/>
              <w:spacing w:line="240" w:lineRule="auto"/>
              <w:jc w:val="left"/>
              <w:rPr>
                <w:rFonts w:cs="TimesLTStd-Roman"/>
                <w:iCs/>
                <w:color w:val="000000"/>
                <w:sz w:val="20"/>
                <w:szCs w:val="16"/>
              </w:rPr>
            </w:pPr>
            <w:proofErr w:type="spellStart"/>
            <w:r w:rsidRPr="008E58D2">
              <w:rPr>
                <w:rFonts w:cs="TimesLTStd-Roman"/>
                <w:iCs/>
                <w:color w:val="000000"/>
                <w:sz w:val="20"/>
                <w:szCs w:val="16"/>
              </w:rPr>
              <w:t>lag_yield_fd</w:t>
            </w:r>
            <w:proofErr w:type="spellEnd"/>
            <w:r w:rsidRPr="008E58D2">
              <w:rPr>
                <w:rFonts w:cs="TimesLTStd-Roman"/>
                <w:iCs/>
                <w:color w:val="000000"/>
                <w:sz w:val="20"/>
                <w:szCs w:val="16"/>
              </w:rPr>
              <w:t>_</w:t>
            </w:r>
          </w:p>
        </w:tc>
        <w:tc>
          <w:tcPr>
            <w:tcW w:w="1395" w:type="dxa"/>
            <w:tcBorders>
              <w:top w:val="nil"/>
              <w:left w:val="nil"/>
              <w:bottom w:val="nil"/>
              <w:right w:val="nil"/>
            </w:tcBorders>
          </w:tcPr>
          <w:p w14:paraId="065A6463"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0.0728*</w:t>
            </w:r>
          </w:p>
        </w:tc>
        <w:tc>
          <w:tcPr>
            <w:tcW w:w="1395" w:type="dxa"/>
            <w:gridSpan w:val="2"/>
            <w:tcBorders>
              <w:top w:val="nil"/>
              <w:left w:val="nil"/>
              <w:bottom w:val="nil"/>
              <w:right w:val="nil"/>
            </w:tcBorders>
          </w:tcPr>
          <w:p w14:paraId="54C9D0C7"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0.110***</w:t>
            </w:r>
          </w:p>
        </w:tc>
        <w:tc>
          <w:tcPr>
            <w:tcW w:w="1490" w:type="dxa"/>
            <w:gridSpan w:val="2"/>
            <w:tcBorders>
              <w:top w:val="nil"/>
              <w:left w:val="nil"/>
              <w:bottom w:val="nil"/>
              <w:right w:val="nil"/>
            </w:tcBorders>
          </w:tcPr>
          <w:p w14:paraId="5D5B3F94"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0.0627*</w:t>
            </w:r>
          </w:p>
        </w:tc>
        <w:tc>
          <w:tcPr>
            <w:tcW w:w="1381" w:type="dxa"/>
            <w:gridSpan w:val="2"/>
            <w:tcBorders>
              <w:top w:val="nil"/>
              <w:left w:val="nil"/>
              <w:bottom w:val="nil"/>
              <w:right w:val="nil"/>
            </w:tcBorders>
          </w:tcPr>
          <w:p w14:paraId="10A2F014"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0.0978***</w:t>
            </w:r>
          </w:p>
        </w:tc>
        <w:tc>
          <w:tcPr>
            <w:tcW w:w="1269" w:type="dxa"/>
            <w:gridSpan w:val="2"/>
            <w:tcBorders>
              <w:top w:val="nil"/>
              <w:left w:val="nil"/>
              <w:bottom w:val="nil"/>
              <w:right w:val="nil"/>
            </w:tcBorders>
          </w:tcPr>
          <w:p w14:paraId="55E0E48A"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0.0644*</w:t>
            </w:r>
          </w:p>
        </w:tc>
        <w:tc>
          <w:tcPr>
            <w:tcW w:w="1409" w:type="dxa"/>
            <w:tcBorders>
              <w:top w:val="nil"/>
              <w:left w:val="nil"/>
              <w:bottom w:val="nil"/>
              <w:right w:val="nil"/>
            </w:tcBorders>
          </w:tcPr>
          <w:p w14:paraId="2FAC6198"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0.0631*</w:t>
            </w:r>
          </w:p>
        </w:tc>
        <w:tc>
          <w:tcPr>
            <w:tcW w:w="1410" w:type="dxa"/>
            <w:gridSpan w:val="2"/>
            <w:tcBorders>
              <w:top w:val="nil"/>
              <w:left w:val="nil"/>
              <w:bottom w:val="nil"/>
              <w:right w:val="nil"/>
            </w:tcBorders>
          </w:tcPr>
          <w:p w14:paraId="0328C76F"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0.0989***</w:t>
            </w:r>
          </w:p>
        </w:tc>
        <w:tc>
          <w:tcPr>
            <w:tcW w:w="1409" w:type="dxa"/>
            <w:tcBorders>
              <w:top w:val="nil"/>
              <w:left w:val="nil"/>
              <w:bottom w:val="nil"/>
              <w:right w:val="nil"/>
            </w:tcBorders>
          </w:tcPr>
          <w:p w14:paraId="4E779E2D"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0.0986***</w:t>
            </w:r>
          </w:p>
        </w:tc>
        <w:tc>
          <w:tcPr>
            <w:tcW w:w="1410" w:type="dxa"/>
            <w:tcBorders>
              <w:top w:val="nil"/>
              <w:left w:val="nil"/>
              <w:bottom w:val="nil"/>
              <w:right w:val="nil"/>
            </w:tcBorders>
          </w:tcPr>
          <w:p w14:paraId="5DFC0EAC"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0.0822**</w:t>
            </w:r>
          </w:p>
        </w:tc>
        <w:tc>
          <w:tcPr>
            <w:tcW w:w="1413" w:type="dxa"/>
            <w:gridSpan w:val="3"/>
            <w:tcBorders>
              <w:top w:val="nil"/>
              <w:left w:val="nil"/>
              <w:bottom w:val="nil"/>
              <w:right w:val="nil"/>
            </w:tcBorders>
          </w:tcPr>
          <w:p w14:paraId="29CBC3AA"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-0.000558</w:t>
            </w:r>
          </w:p>
        </w:tc>
      </w:tr>
      <w:tr w:rsidR="00137437" w:rsidRPr="008E58D2" w14:paraId="1F5EF408" w14:textId="77777777" w:rsidTr="00517042">
        <w:trPr>
          <w:trHeight w:val="210"/>
        </w:trPr>
        <w:tc>
          <w:tcPr>
            <w:tcW w:w="1953" w:type="dxa"/>
            <w:tcBorders>
              <w:top w:val="nil"/>
              <w:left w:val="nil"/>
              <w:bottom w:val="nil"/>
              <w:right w:val="nil"/>
            </w:tcBorders>
          </w:tcPr>
          <w:p w14:paraId="60449B94" w14:textId="77777777" w:rsidR="00137437" w:rsidRPr="008E58D2" w:rsidRDefault="00137437" w:rsidP="008E0221">
            <w:pPr>
              <w:widowControl w:val="0"/>
              <w:spacing w:line="240" w:lineRule="auto"/>
              <w:jc w:val="left"/>
              <w:rPr>
                <w:rFonts w:cs="TimesLTStd-Roman"/>
                <w:iCs/>
                <w:color w:val="000000"/>
                <w:sz w:val="20"/>
                <w:szCs w:val="16"/>
              </w:rPr>
            </w:pPr>
            <w:proofErr w:type="spellStart"/>
            <w:r w:rsidRPr="008E58D2">
              <w:rPr>
                <w:rFonts w:cs="TimesLTStd-Roman"/>
                <w:iCs/>
                <w:color w:val="000000"/>
                <w:sz w:val="20"/>
                <w:szCs w:val="16"/>
              </w:rPr>
              <w:t>stock_fd</w:t>
            </w:r>
            <w:proofErr w:type="spellEnd"/>
            <w:r w:rsidRPr="008E58D2">
              <w:rPr>
                <w:rFonts w:cs="TimesLTStd-Roman"/>
                <w:iCs/>
                <w:color w:val="000000"/>
                <w:sz w:val="20"/>
                <w:szCs w:val="16"/>
              </w:rPr>
              <w:t>_</w:t>
            </w:r>
          </w:p>
        </w:tc>
        <w:tc>
          <w:tcPr>
            <w:tcW w:w="1395" w:type="dxa"/>
            <w:tcBorders>
              <w:top w:val="nil"/>
              <w:left w:val="nil"/>
              <w:bottom w:val="nil"/>
              <w:right w:val="nil"/>
            </w:tcBorders>
          </w:tcPr>
          <w:p w14:paraId="43116750"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4.08e-05</w:t>
            </w:r>
          </w:p>
        </w:tc>
        <w:tc>
          <w:tcPr>
            <w:tcW w:w="1395" w:type="dxa"/>
            <w:gridSpan w:val="2"/>
            <w:tcBorders>
              <w:top w:val="nil"/>
              <w:left w:val="nil"/>
              <w:bottom w:val="nil"/>
              <w:right w:val="nil"/>
            </w:tcBorders>
          </w:tcPr>
          <w:p w14:paraId="0DB54D25"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-0.000279</w:t>
            </w:r>
          </w:p>
        </w:tc>
        <w:tc>
          <w:tcPr>
            <w:tcW w:w="1490" w:type="dxa"/>
            <w:gridSpan w:val="2"/>
            <w:tcBorders>
              <w:top w:val="nil"/>
              <w:left w:val="nil"/>
              <w:bottom w:val="nil"/>
              <w:right w:val="nil"/>
            </w:tcBorders>
          </w:tcPr>
          <w:p w14:paraId="7F5D3930"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-5.22e-05</w:t>
            </w:r>
          </w:p>
        </w:tc>
        <w:tc>
          <w:tcPr>
            <w:tcW w:w="1381" w:type="dxa"/>
            <w:gridSpan w:val="2"/>
            <w:tcBorders>
              <w:top w:val="nil"/>
              <w:left w:val="nil"/>
              <w:bottom w:val="nil"/>
              <w:right w:val="nil"/>
            </w:tcBorders>
          </w:tcPr>
          <w:p w14:paraId="3667E1D8"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0.000230***</w:t>
            </w:r>
          </w:p>
        </w:tc>
        <w:tc>
          <w:tcPr>
            <w:tcW w:w="1269" w:type="dxa"/>
            <w:gridSpan w:val="2"/>
            <w:tcBorders>
              <w:top w:val="nil"/>
              <w:left w:val="nil"/>
              <w:bottom w:val="nil"/>
              <w:right w:val="nil"/>
            </w:tcBorders>
          </w:tcPr>
          <w:p w14:paraId="4A4FFB9A"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6.84e-05**</w:t>
            </w:r>
          </w:p>
        </w:tc>
        <w:tc>
          <w:tcPr>
            <w:tcW w:w="1409" w:type="dxa"/>
            <w:tcBorders>
              <w:top w:val="nil"/>
              <w:left w:val="nil"/>
              <w:bottom w:val="nil"/>
              <w:right w:val="nil"/>
            </w:tcBorders>
          </w:tcPr>
          <w:p w14:paraId="79741E81"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7.86e-05</w:t>
            </w:r>
          </w:p>
        </w:tc>
        <w:tc>
          <w:tcPr>
            <w:tcW w:w="1410" w:type="dxa"/>
            <w:gridSpan w:val="2"/>
            <w:tcBorders>
              <w:top w:val="nil"/>
              <w:left w:val="nil"/>
              <w:bottom w:val="nil"/>
              <w:right w:val="nil"/>
            </w:tcBorders>
          </w:tcPr>
          <w:p w14:paraId="76C339B7"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4.58e-05</w:t>
            </w:r>
          </w:p>
        </w:tc>
        <w:tc>
          <w:tcPr>
            <w:tcW w:w="1409" w:type="dxa"/>
            <w:tcBorders>
              <w:top w:val="nil"/>
              <w:left w:val="nil"/>
              <w:bottom w:val="nil"/>
              <w:right w:val="nil"/>
            </w:tcBorders>
          </w:tcPr>
          <w:p w14:paraId="3A8A0F40"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-1.02e-05</w:t>
            </w:r>
          </w:p>
        </w:tc>
        <w:tc>
          <w:tcPr>
            <w:tcW w:w="1410" w:type="dxa"/>
            <w:tcBorders>
              <w:top w:val="nil"/>
              <w:left w:val="nil"/>
              <w:bottom w:val="nil"/>
              <w:right w:val="nil"/>
            </w:tcBorders>
          </w:tcPr>
          <w:p w14:paraId="5D77E822"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0.000101***</w:t>
            </w:r>
          </w:p>
        </w:tc>
        <w:tc>
          <w:tcPr>
            <w:tcW w:w="1413" w:type="dxa"/>
            <w:gridSpan w:val="3"/>
            <w:tcBorders>
              <w:top w:val="nil"/>
              <w:left w:val="nil"/>
              <w:bottom w:val="nil"/>
              <w:right w:val="nil"/>
            </w:tcBorders>
          </w:tcPr>
          <w:p w14:paraId="5C11510B"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-4.28e-05**</w:t>
            </w:r>
          </w:p>
        </w:tc>
      </w:tr>
      <w:tr w:rsidR="00137437" w:rsidRPr="008E58D2" w14:paraId="735878DB" w14:textId="77777777" w:rsidTr="00517042">
        <w:trPr>
          <w:trHeight w:val="197"/>
        </w:trPr>
        <w:tc>
          <w:tcPr>
            <w:tcW w:w="1953" w:type="dxa"/>
            <w:tcBorders>
              <w:top w:val="nil"/>
              <w:left w:val="nil"/>
              <w:bottom w:val="nil"/>
              <w:right w:val="nil"/>
            </w:tcBorders>
          </w:tcPr>
          <w:p w14:paraId="18C49300" w14:textId="77777777" w:rsidR="00137437" w:rsidRPr="008E58D2" w:rsidRDefault="00137437" w:rsidP="008E0221">
            <w:pPr>
              <w:widowControl w:val="0"/>
              <w:spacing w:line="240" w:lineRule="auto"/>
              <w:jc w:val="left"/>
              <w:rPr>
                <w:rFonts w:cs="TimesLTStd-Roman"/>
                <w:iCs/>
                <w:color w:val="000000"/>
                <w:sz w:val="20"/>
                <w:szCs w:val="16"/>
              </w:rPr>
            </w:pPr>
            <w:proofErr w:type="spellStart"/>
            <w:r w:rsidRPr="008E58D2">
              <w:rPr>
                <w:rFonts w:cs="TimesLTStd-Roman"/>
                <w:iCs/>
                <w:color w:val="000000"/>
                <w:sz w:val="20"/>
                <w:szCs w:val="16"/>
              </w:rPr>
              <w:t>vstoxx_fd</w:t>
            </w:r>
            <w:proofErr w:type="spellEnd"/>
          </w:p>
        </w:tc>
        <w:tc>
          <w:tcPr>
            <w:tcW w:w="1395" w:type="dxa"/>
            <w:tcBorders>
              <w:top w:val="nil"/>
              <w:left w:val="nil"/>
              <w:bottom w:val="nil"/>
              <w:right w:val="nil"/>
            </w:tcBorders>
          </w:tcPr>
          <w:p w14:paraId="48483467"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-0.0007</w:t>
            </w:r>
          </w:p>
        </w:tc>
        <w:tc>
          <w:tcPr>
            <w:tcW w:w="1395" w:type="dxa"/>
            <w:gridSpan w:val="2"/>
            <w:tcBorders>
              <w:top w:val="nil"/>
              <w:left w:val="nil"/>
              <w:bottom w:val="nil"/>
              <w:right w:val="nil"/>
            </w:tcBorders>
          </w:tcPr>
          <w:p w14:paraId="150F1F40"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-0.00189</w:t>
            </w:r>
          </w:p>
        </w:tc>
        <w:tc>
          <w:tcPr>
            <w:tcW w:w="1490" w:type="dxa"/>
            <w:gridSpan w:val="2"/>
            <w:tcBorders>
              <w:top w:val="nil"/>
              <w:left w:val="nil"/>
              <w:bottom w:val="nil"/>
              <w:right w:val="nil"/>
            </w:tcBorders>
          </w:tcPr>
          <w:p w14:paraId="002E86D6"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-0.00246*</w:t>
            </w:r>
          </w:p>
        </w:tc>
        <w:tc>
          <w:tcPr>
            <w:tcW w:w="1381" w:type="dxa"/>
            <w:gridSpan w:val="2"/>
            <w:tcBorders>
              <w:top w:val="nil"/>
              <w:left w:val="nil"/>
              <w:bottom w:val="nil"/>
              <w:right w:val="nil"/>
            </w:tcBorders>
          </w:tcPr>
          <w:p w14:paraId="13F77625"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-0.000856</w:t>
            </w:r>
          </w:p>
        </w:tc>
        <w:tc>
          <w:tcPr>
            <w:tcW w:w="1269" w:type="dxa"/>
            <w:gridSpan w:val="2"/>
            <w:tcBorders>
              <w:top w:val="nil"/>
              <w:left w:val="nil"/>
              <w:bottom w:val="nil"/>
              <w:right w:val="nil"/>
            </w:tcBorders>
          </w:tcPr>
          <w:p w14:paraId="177C17FA"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-0.000444</w:t>
            </w:r>
          </w:p>
        </w:tc>
        <w:tc>
          <w:tcPr>
            <w:tcW w:w="1409" w:type="dxa"/>
            <w:tcBorders>
              <w:top w:val="nil"/>
              <w:left w:val="nil"/>
              <w:bottom w:val="nil"/>
              <w:right w:val="nil"/>
            </w:tcBorders>
          </w:tcPr>
          <w:p w14:paraId="0EB08BF3"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-0.00123</w:t>
            </w:r>
          </w:p>
        </w:tc>
        <w:tc>
          <w:tcPr>
            <w:tcW w:w="1410" w:type="dxa"/>
            <w:gridSpan w:val="2"/>
            <w:tcBorders>
              <w:top w:val="nil"/>
              <w:left w:val="nil"/>
              <w:bottom w:val="nil"/>
              <w:right w:val="nil"/>
            </w:tcBorders>
          </w:tcPr>
          <w:p w14:paraId="25F5A2CE"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-0.00133</w:t>
            </w:r>
          </w:p>
        </w:tc>
        <w:tc>
          <w:tcPr>
            <w:tcW w:w="1409" w:type="dxa"/>
            <w:tcBorders>
              <w:top w:val="nil"/>
              <w:left w:val="nil"/>
              <w:bottom w:val="nil"/>
              <w:right w:val="nil"/>
            </w:tcBorders>
          </w:tcPr>
          <w:p w14:paraId="5B738757"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-0.00100</w:t>
            </w:r>
          </w:p>
        </w:tc>
        <w:tc>
          <w:tcPr>
            <w:tcW w:w="1410" w:type="dxa"/>
            <w:tcBorders>
              <w:top w:val="nil"/>
              <w:left w:val="nil"/>
              <w:bottom w:val="nil"/>
              <w:right w:val="nil"/>
            </w:tcBorders>
          </w:tcPr>
          <w:p w14:paraId="7A1C0418"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-0.000570</w:t>
            </w:r>
          </w:p>
        </w:tc>
        <w:tc>
          <w:tcPr>
            <w:tcW w:w="1413" w:type="dxa"/>
            <w:gridSpan w:val="3"/>
            <w:tcBorders>
              <w:top w:val="nil"/>
              <w:left w:val="nil"/>
              <w:bottom w:val="nil"/>
              <w:right w:val="nil"/>
            </w:tcBorders>
          </w:tcPr>
          <w:p w14:paraId="1FD617B7"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-0.00215</w:t>
            </w:r>
          </w:p>
        </w:tc>
      </w:tr>
      <w:tr w:rsidR="00137437" w:rsidRPr="008E58D2" w14:paraId="261D3E02" w14:textId="77777777" w:rsidTr="00517042">
        <w:trPr>
          <w:trHeight w:val="197"/>
        </w:trPr>
        <w:tc>
          <w:tcPr>
            <w:tcW w:w="1953" w:type="dxa"/>
            <w:tcBorders>
              <w:top w:val="nil"/>
              <w:left w:val="nil"/>
              <w:bottom w:val="nil"/>
              <w:right w:val="nil"/>
            </w:tcBorders>
          </w:tcPr>
          <w:p w14:paraId="24215E4D" w14:textId="77777777" w:rsidR="00137437" w:rsidRPr="008E58D2" w:rsidRDefault="00137437" w:rsidP="008E0221">
            <w:pPr>
              <w:widowControl w:val="0"/>
              <w:spacing w:line="240" w:lineRule="auto"/>
              <w:jc w:val="left"/>
              <w:rPr>
                <w:rFonts w:cs="TimesLTStd-Roman"/>
                <w:iCs/>
                <w:color w:val="000000"/>
                <w:sz w:val="20"/>
                <w:szCs w:val="16"/>
              </w:rPr>
            </w:pPr>
            <w:proofErr w:type="spellStart"/>
            <w:r w:rsidRPr="008E58D2">
              <w:rPr>
                <w:rFonts w:cs="TimesLTStd-Roman"/>
                <w:iCs/>
                <w:color w:val="000000"/>
                <w:sz w:val="20"/>
                <w:szCs w:val="16"/>
              </w:rPr>
              <w:t>itraxx_n_fd</w:t>
            </w:r>
            <w:proofErr w:type="spellEnd"/>
          </w:p>
        </w:tc>
        <w:tc>
          <w:tcPr>
            <w:tcW w:w="1395" w:type="dxa"/>
            <w:tcBorders>
              <w:top w:val="nil"/>
              <w:left w:val="nil"/>
              <w:bottom w:val="nil"/>
              <w:right w:val="nil"/>
            </w:tcBorders>
          </w:tcPr>
          <w:p w14:paraId="2F2B6373"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0.0018**</w:t>
            </w:r>
          </w:p>
        </w:tc>
        <w:tc>
          <w:tcPr>
            <w:tcW w:w="1395" w:type="dxa"/>
            <w:gridSpan w:val="2"/>
            <w:tcBorders>
              <w:top w:val="nil"/>
              <w:left w:val="nil"/>
              <w:bottom w:val="nil"/>
              <w:right w:val="nil"/>
            </w:tcBorders>
          </w:tcPr>
          <w:p w14:paraId="2E930473"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0.00228**</w:t>
            </w:r>
          </w:p>
        </w:tc>
        <w:tc>
          <w:tcPr>
            <w:tcW w:w="1490" w:type="dxa"/>
            <w:gridSpan w:val="2"/>
            <w:tcBorders>
              <w:top w:val="nil"/>
              <w:left w:val="nil"/>
              <w:bottom w:val="nil"/>
              <w:right w:val="nil"/>
            </w:tcBorders>
          </w:tcPr>
          <w:p w14:paraId="591E892A"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0.00310***</w:t>
            </w:r>
          </w:p>
        </w:tc>
        <w:tc>
          <w:tcPr>
            <w:tcW w:w="1381" w:type="dxa"/>
            <w:gridSpan w:val="2"/>
            <w:tcBorders>
              <w:top w:val="nil"/>
              <w:left w:val="nil"/>
              <w:bottom w:val="nil"/>
              <w:right w:val="nil"/>
            </w:tcBorders>
          </w:tcPr>
          <w:p w14:paraId="038104DA"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0.00281***</w:t>
            </w:r>
          </w:p>
        </w:tc>
        <w:tc>
          <w:tcPr>
            <w:tcW w:w="1269" w:type="dxa"/>
            <w:gridSpan w:val="2"/>
            <w:tcBorders>
              <w:top w:val="nil"/>
              <w:left w:val="nil"/>
              <w:bottom w:val="nil"/>
              <w:right w:val="nil"/>
            </w:tcBorders>
          </w:tcPr>
          <w:p w14:paraId="07A3C497"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0.00213**</w:t>
            </w:r>
          </w:p>
        </w:tc>
        <w:tc>
          <w:tcPr>
            <w:tcW w:w="1409" w:type="dxa"/>
            <w:tcBorders>
              <w:top w:val="nil"/>
              <w:left w:val="nil"/>
              <w:bottom w:val="nil"/>
              <w:right w:val="nil"/>
            </w:tcBorders>
          </w:tcPr>
          <w:p w14:paraId="30B97A79"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0.00276***</w:t>
            </w:r>
          </w:p>
        </w:tc>
        <w:tc>
          <w:tcPr>
            <w:tcW w:w="1410" w:type="dxa"/>
            <w:gridSpan w:val="2"/>
            <w:tcBorders>
              <w:top w:val="nil"/>
              <w:left w:val="nil"/>
              <w:bottom w:val="nil"/>
              <w:right w:val="nil"/>
            </w:tcBorders>
          </w:tcPr>
          <w:p w14:paraId="569C2E7A"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0.00274***</w:t>
            </w:r>
          </w:p>
        </w:tc>
        <w:tc>
          <w:tcPr>
            <w:tcW w:w="1409" w:type="dxa"/>
            <w:tcBorders>
              <w:top w:val="nil"/>
              <w:left w:val="nil"/>
              <w:bottom w:val="nil"/>
              <w:right w:val="nil"/>
            </w:tcBorders>
          </w:tcPr>
          <w:p w14:paraId="40AFD2D7"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0.00461***</w:t>
            </w:r>
          </w:p>
        </w:tc>
        <w:tc>
          <w:tcPr>
            <w:tcW w:w="1410" w:type="dxa"/>
            <w:tcBorders>
              <w:top w:val="nil"/>
              <w:left w:val="nil"/>
              <w:bottom w:val="nil"/>
              <w:right w:val="nil"/>
            </w:tcBorders>
          </w:tcPr>
          <w:p w14:paraId="343857C0"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0.00513***</w:t>
            </w:r>
          </w:p>
        </w:tc>
        <w:tc>
          <w:tcPr>
            <w:tcW w:w="1413" w:type="dxa"/>
            <w:gridSpan w:val="3"/>
            <w:tcBorders>
              <w:top w:val="nil"/>
              <w:left w:val="nil"/>
              <w:bottom w:val="nil"/>
              <w:right w:val="nil"/>
            </w:tcBorders>
          </w:tcPr>
          <w:p w14:paraId="708B2BD3"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0.00965***</w:t>
            </w:r>
          </w:p>
        </w:tc>
      </w:tr>
      <w:tr w:rsidR="00137437" w:rsidRPr="008E58D2" w14:paraId="472B1BB0" w14:textId="77777777" w:rsidTr="00517042">
        <w:trPr>
          <w:trHeight w:val="210"/>
        </w:trPr>
        <w:tc>
          <w:tcPr>
            <w:tcW w:w="1953" w:type="dxa"/>
            <w:tcBorders>
              <w:top w:val="nil"/>
              <w:left w:val="nil"/>
              <w:bottom w:val="nil"/>
              <w:right w:val="nil"/>
            </w:tcBorders>
          </w:tcPr>
          <w:p w14:paraId="4AE08C0C" w14:textId="77777777" w:rsidR="00137437" w:rsidRPr="008E58D2" w:rsidRDefault="00137437" w:rsidP="008E0221">
            <w:pPr>
              <w:widowControl w:val="0"/>
              <w:spacing w:line="240" w:lineRule="auto"/>
              <w:jc w:val="left"/>
              <w:rPr>
                <w:rFonts w:cs="TimesLTStd-Roman"/>
                <w:iCs/>
                <w:color w:val="000000"/>
                <w:sz w:val="20"/>
                <w:szCs w:val="16"/>
              </w:rPr>
            </w:pPr>
            <w:proofErr w:type="spellStart"/>
            <w:r w:rsidRPr="008E58D2">
              <w:rPr>
                <w:rFonts w:cs="TimesLTStd-Roman"/>
                <w:iCs/>
                <w:color w:val="000000"/>
                <w:sz w:val="20"/>
                <w:szCs w:val="16"/>
              </w:rPr>
              <w:t>tsm_fd</w:t>
            </w:r>
            <w:proofErr w:type="spellEnd"/>
          </w:p>
        </w:tc>
        <w:tc>
          <w:tcPr>
            <w:tcW w:w="1395" w:type="dxa"/>
            <w:tcBorders>
              <w:top w:val="nil"/>
              <w:left w:val="nil"/>
              <w:bottom w:val="nil"/>
              <w:right w:val="nil"/>
            </w:tcBorders>
          </w:tcPr>
          <w:p w14:paraId="2369807A"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6.45e-05</w:t>
            </w:r>
          </w:p>
        </w:tc>
        <w:tc>
          <w:tcPr>
            <w:tcW w:w="1395" w:type="dxa"/>
            <w:gridSpan w:val="2"/>
            <w:tcBorders>
              <w:top w:val="nil"/>
              <w:left w:val="nil"/>
              <w:bottom w:val="nil"/>
              <w:right w:val="nil"/>
            </w:tcBorders>
          </w:tcPr>
          <w:p w14:paraId="2172932D"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0.000259</w:t>
            </w:r>
          </w:p>
        </w:tc>
        <w:tc>
          <w:tcPr>
            <w:tcW w:w="1490" w:type="dxa"/>
            <w:gridSpan w:val="2"/>
            <w:tcBorders>
              <w:top w:val="nil"/>
              <w:left w:val="nil"/>
              <w:bottom w:val="nil"/>
              <w:right w:val="nil"/>
            </w:tcBorders>
          </w:tcPr>
          <w:p w14:paraId="4384EA6F"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0.000327*</w:t>
            </w:r>
          </w:p>
        </w:tc>
        <w:tc>
          <w:tcPr>
            <w:tcW w:w="1381" w:type="dxa"/>
            <w:gridSpan w:val="2"/>
            <w:tcBorders>
              <w:top w:val="nil"/>
              <w:left w:val="nil"/>
              <w:bottom w:val="nil"/>
              <w:right w:val="nil"/>
            </w:tcBorders>
          </w:tcPr>
          <w:p w14:paraId="5D2269EE"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-9.59e-05</w:t>
            </w:r>
          </w:p>
        </w:tc>
        <w:tc>
          <w:tcPr>
            <w:tcW w:w="1269" w:type="dxa"/>
            <w:gridSpan w:val="2"/>
            <w:tcBorders>
              <w:top w:val="nil"/>
              <w:left w:val="nil"/>
              <w:bottom w:val="nil"/>
              <w:right w:val="nil"/>
            </w:tcBorders>
          </w:tcPr>
          <w:p w14:paraId="0C46C5DA"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-4.79e-05</w:t>
            </w:r>
          </w:p>
        </w:tc>
        <w:tc>
          <w:tcPr>
            <w:tcW w:w="1409" w:type="dxa"/>
            <w:tcBorders>
              <w:top w:val="nil"/>
              <w:left w:val="nil"/>
              <w:bottom w:val="nil"/>
              <w:right w:val="nil"/>
            </w:tcBorders>
          </w:tcPr>
          <w:p w14:paraId="1220EF60"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-7.67e-05</w:t>
            </w:r>
          </w:p>
        </w:tc>
        <w:tc>
          <w:tcPr>
            <w:tcW w:w="1410" w:type="dxa"/>
            <w:gridSpan w:val="2"/>
            <w:tcBorders>
              <w:top w:val="nil"/>
              <w:left w:val="nil"/>
              <w:bottom w:val="nil"/>
              <w:right w:val="nil"/>
            </w:tcBorders>
          </w:tcPr>
          <w:p w14:paraId="148BEBAD"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6.30e-05</w:t>
            </w:r>
          </w:p>
        </w:tc>
        <w:tc>
          <w:tcPr>
            <w:tcW w:w="1409" w:type="dxa"/>
            <w:tcBorders>
              <w:top w:val="nil"/>
              <w:left w:val="nil"/>
              <w:bottom w:val="nil"/>
              <w:right w:val="nil"/>
            </w:tcBorders>
          </w:tcPr>
          <w:p w14:paraId="56DD0F5B"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0.000343**</w:t>
            </w:r>
          </w:p>
        </w:tc>
        <w:tc>
          <w:tcPr>
            <w:tcW w:w="1410" w:type="dxa"/>
            <w:tcBorders>
              <w:top w:val="nil"/>
              <w:left w:val="nil"/>
              <w:bottom w:val="nil"/>
              <w:right w:val="nil"/>
            </w:tcBorders>
          </w:tcPr>
          <w:p w14:paraId="79A30925"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-8.30e-05</w:t>
            </w:r>
          </w:p>
        </w:tc>
        <w:tc>
          <w:tcPr>
            <w:tcW w:w="1413" w:type="dxa"/>
            <w:gridSpan w:val="3"/>
            <w:tcBorders>
              <w:top w:val="nil"/>
              <w:left w:val="nil"/>
              <w:bottom w:val="nil"/>
              <w:right w:val="nil"/>
            </w:tcBorders>
          </w:tcPr>
          <w:p w14:paraId="7EA2D0A4"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0.000734***</w:t>
            </w:r>
          </w:p>
        </w:tc>
      </w:tr>
      <w:tr w:rsidR="00137437" w:rsidRPr="008E58D2" w14:paraId="12193867" w14:textId="77777777" w:rsidTr="00517042">
        <w:trPr>
          <w:trHeight w:val="197"/>
        </w:trPr>
        <w:tc>
          <w:tcPr>
            <w:tcW w:w="1953" w:type="dxa"/>
            <w:tcBorders>
              <w:top w:val="nil"/>
              <w:left w:val="nil"/>
              <w:bottom w:val="nil"/>
              <w:right w:val="nil"/>
            </w:tcBorders>
          </w:tcPr>
          <w:p w14:paraId="5BD20F5E" w14:textId="77777777" w:rsidR="00137437" w:rsidRPr="008E58D2" w:rsidRDefault="00137437" w:rsidP="008E0221">
            <w:pPr>
              <w:widowControl w:val="0"/>
              <w:spacing w:line="240" w:lineRule="auto"/>
              <w:jc w:val="left"/>
              <w:rPr>
                <w:rFonts w:cs="TimesLTStd-Roman"/>
                <w:iCs/>
                <w:color w:val="000000"/>
                <w:sz w:val="20"/>
                <w:szCs w:val="16"/>
              </w:rPr>
            </w:pPr>
            <w:proofErr w:type="spellStart"/>
            <w:r w:rsidRPr="008E58D2">
              <w:rPr>
                <w:rFonts w:cs="TimesLTStd-Roman"/>
                <w:iCs/>
                <w:color w:val="000000"/>
                <w:sz w:val="20"/>
                <w:szCs w:val="16"/>
              </w:rPr>
              <w:t>cesi_fd</w:t>
            </w:r>
            <w:proofErr w:type="spellEnd"/>
          </w:p>
        </w:tc>
        <w:tc>
          <w:tcPr>
            <w:tcW w:w="1395" w:type="dxa"/>
            <w:tcBorders>
              <w:top w:val="nil"/>
              <w:left w:val="nil"/>
              <w:bottom w:val="nil"/>
              <w:right w:val="nil"/>
            </w:tcBorders>
          </w:tcPr>
          <w:p w14:paraId="24A48096"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0.00043***</w:t>
            </w:r>
          </w:p>
        </w:tc>
        <w:tc>
          <w:tcPr>
            <w:tcW w:w="1395" w:type="dxa"/>
            <w:gridSpan w:val="2"/>
            <w:tcBorders>
              <w:top w:val="nil"/>
              <w:left w:val="nil"/>
              <w:bottom w:val="nil"/>
              <w:right w:val="nil"/>
            </w:tcBorders>
          </w:tcPr>
          <w:p w14:paraId="55E5C27F"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0.000448***</w:t>
            </w:r>
          </w:p>
        </w:tc>
        <w:tc>
          <w:tcPr>
            <w:tcW w:w="1490" w:type="dxa"/>
            <w:gridSpan w:val="2"/>
            <w:tcBorders>
              <w:top w:val="nil"/>
              <w:left w:val="nil"/>
              <w:bottom w:val="nil"/>
              <w:right w:val="nil"/>
            </w:tcBorders>
          </w:tcPr>
          <w:p w14:paraId="6A637154"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0.000487***</w:t>
            </w:r>
          </w:p>
        </w:tc>
        <w:tc>
          <w:tcPr>
            <w:tcW w:w="1381" w:type="dxa"/>
            <w:gridSpan w:val="2"/>
            <w:tcBorders>
              <w:top w:val="nil"/>
              <w:left w:val="nil"/>
              <w:bottom w:val="nil"/>
              <w:right w:val="nil"/>
            </w:tcBorders>
          </w:tcPr>
          <w:p w14:paraId="03FF92A3"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0.000478***</w:t>
            </w:r>
          </w:p>
        </w:tc>
        <w:tc>
          <w:tcPr>
            <w:tcW w:w="1269" w:type="dxa"/>
            <w:gridSpan w:val="2"/>
            <w:tcBorders>
              <w:top w:val="nil"/>
              <w:left w:val="nil"/>
              <w:bottom w:val="nil"/>
              <w:right w:val="nil"/>
            </w:tcBorders>
          </w:tcPr>
          <w:p w14:paraId="7EA93900"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0.00049***</w:t>
            </w:r>
          </w:p>
        </w:tc>
        <w:tc>
          <w:tcPr>
            <w:tcW w:w="1409" w:type="dxa"/>
            <w:tcBorders>
              <w:top w:val="nil"/>
              <w:left w:val="nil"/>
              <w:bottom w:val="nil"/>
              <w:right w:val="nil"/>
            </w:tcBorders>
          </w:tcPr>
          <w:p w14:paraId="3CFCA146"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0.000462***</w:t>
            </w:r>
          </w:p>
        </w:tc>
        <w:tc>
          <w:tcPr>
            <w:tcW w:w="1410" w:type="dxa"/>
            <w:gridSpan w:val="2"/>
            <w:tcBorders>
              <w:top w:val="nil"/>
              <w:left w:val="nil"/>
              <w:bottom w:val="nil"/>
              <w:right w:val="nil"/>
            </w:tcBorders>
          </w:tcPr>
          <w:p w14:paraId="42C3C00A"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0.000482***</w:t>
            </w:r>
          </w:p>
        </w:tc>
        <w:tc>
          <w:tcPr>
            <w:tcW w:w="1409" w:type="dxa"/>
            <w:tcBorders>
              <w:top w:val="nil"/>
              <w:left w:val="nil"/>
              <w:bottom w:val="nil"/>
              <w:right w:val="nil"/>
            </w:tcBorders>
          </w:tcPr>
          <w:p w14:paraId="6AAB0FA7"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0.000494***</w:t>
            </w:r>
          </w:p>
        </w:tc>
        <w:tc>
          <w:tcPr>
            <w:tcW w:w="1410" w:type="dxa"/>
            <w:tcBorders>
              <w:top w:val="nil"/>
              <w:left w:val="nil"/>
              <w:bottom w:val="nil"/>
              <w:right w:val="nil"/>
            </w:tcBorders>
          </w:tcPr>
          <w:p w14:paraId="3F847992"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0.000362**</w:t>
            </w:r>
          </w:p>
        </w:tc>
        <w:tc>
          <w:tcPr>
            <w:tcW w:w="1413" w:type="dxa"/>
            <w:gridSpan w:val="3"/>
            <w:tcBorders>
              <w:top w:val="nil"/>
              <w:left w:val="nil"/>
              <w:bottom w:val="nil"/>
              <w:right w:val="nil"/>
            </w:tcBorders>
          </w:tcPr>
          <w:p w14:paraId="5838B233"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0.000302</w:t>
            </w:r>
          </w:p>
        </w:tc>
      </w:tr>
      <w:tr w:rsidR="00137437" w:rsidRPr="008E58D2" w14:paraId="06485DD9" w14:textId="77777777" w:rsidTr="00517042">
        <w:trPr>
          <w:trHeight w:val="449"/>
        </w:trPr>
        <w:tc>
          <w:tcPr>
            <w:tcW w:w="1953" w:type="dxa"/>
            <w:tcBorders>
              <w:top w:val="nil"/>
              <w:left w:val="nil"/>
              <w:bottom w:val="nil"/>
              <w:right w:val="nil"/>
            </w:tcBorders>
          </w:tcPr>
          <w:p w14:paraId="6C959424" w14:textId="77777777" w:rsidR="00137437" w:rsidRPr="008E58D2" w:rsidRDefault="00137437" w:rsidP="008E0221">
            <w:pPr>
              <w:widowControl w:val="0"/>
              <w:spacing w:line="240" w:lineRule="auto"/>
              <w:jc w:val="left"/>
              <w:rPr>
                <w:rFonts w:cs="TimesLTStd-Roman"/>
                <w:iCs/>
                <w:color w:val="000000"/>
                <w:sz w:val="20"/>
                <w:szCs w:val="16"/>
              </w:rPr>
            </w:pPr>
            <w:proofErr w:type="spellStart"/>
            <w:r w:rsidRPr="008E58D2">
              <w:rPr>
                <w:rFonts w:cs="TimesLTStd-Roman"/>
                <w:iCs/>
                <w:color w:val="000000"/>
                <w:sz w:val="20"/>
                <w:szCs w:val="16"/>
              </w:rPr>
              <w:t>cds_fd</w:t>
            </w:r>
            <w:proofErr w:type="spellEnd"/>
            <w:r w:rsidRPr="008E58D2">
              <w:rPr>
                <w:rFonts w:cs="TimesLTStd-Roman"/>
                <w:iCs/>
                <w:color w:val="000000"/>
                <w:sz w:val="20"/>
                <w:szCs w:val="16"/>
              </w:rPr>
              <w:t>_</w:t>
            </w:r>
          </w:p>
        </w:tc>
        <w:tc>
          <w:tcPr>
            <w:tcW w:w="1395" w:type="dxa"/>
            <w:tcBorders>
              <w:top w:val="nil"/>
              <w:left w:val="nil"/>
              <w:bottom w:val="nil"/>
              <w:right w:val="nil"/>
            </w:tcBorders>
          </w:tcPr>
          <w:p w14:paraId="41612948"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0.00520</w:t>
            </w:r>
          </w:p>
        </w:tc>
        <w:tc>
          <w:tcPr>
            <w:tcW w:w="1395" w:type="dxa"/>
            <w:gridSpan w:val="2"/>
            <w:tcBorders>
              <w:top w:val="nil"/>
              <w:left w:val="nil"/>
              <w:bottom w:val="nil"/>
              <w:right w:val="nil"/>
            </w:tcBorders>
          </w:tcPr>
          <w:p w14:paraId="477980E7"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-0.00235</w:t>
            </w:r>
          </w:p>
        </w:tc>
        <w:tc>
          <w:tcPr>
            <w:tcW w:w="1490" w:type="dxa"/>
            <w:gridSpan w:val="2"/>
            <w:tcBorders>
              <w:top w:val="nil"/>
              <w:left w:val="nil"/>
              <w:bottom w:val="nil"/>
              <w:right w:val="nil"/>
            </w:tcBorders>
          </w:tcPr>
          <w:p w14:paraId="1B52FE47"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0.00189</w:t>
            </w:r>
          </w:p>
        </w:tc>
        <w:tc>
          <w:tcPr>
            <w:tcW w:w="1381" w:type="dxa"/>
            <w:gridSpan w:val="2"/>
            <w:tcBorders>
              <w:top w:val="nil"/>
              <w:left w:val="nil"/>
              <w:bottom w:val="nil"/>
              <w:right w:val="nil"/>
            </w:tcBorders>
          </w:tcPr>
          <w:p w14:paraId="59F1B3E5"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-0.00409**</w:t>
            </w:r>
          </w:p>
        </w:tc>
        <w:tc>
          <w:tcPr>
            <w:tcW w:w="1269" w:type="dxa"/>
            <w:gridSpan w:val="2"/>
            <w:tcBorders>
              <w:top w:val="nil"/>
              <w:left w:val="nil"/>
              <w:bottom w:val="nil"/>
              <w:right w:val="nil"/>
            </w:tcBorders>
          </w:tcPr>
          <w:p w14:paraId="288F4AAF"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-0.000420</w:t>
            </w:r>
          </w:p>
        </w:tc>
        <w:tc>
          <w:tcPr>
            <w:tcW w:w="1409" w:type="dxa"/>
            <w:tcBorders>
              <w:top w:val="nil"/>
              <w:left w:val="nil"/>
              <w:bottom w:val="nil"/>
              <w:right w:val="nil"/>
            </w:tcBorders>
          </w:tcPr>
          <w:p w14:paraId="1C30E408"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0.00604***</w:t>
            </w:r>
          </w:p>
        </w:tc>
        <w:tc>
          <w:tcPr>
            <w:tcW w:w="1410" w:type="dxa"/>
            <w:gridSpan w:val="2"/>
            <w:tcBorders>
              <w:top w:val="nil"/>
              <w:left w:val="nil"/>
              <w:bottom w:val="nil"/>
              <w:right w:val="nil"/>
            </w:tcBorders>
          </w:tcPr>
          <w:p w14:paraId="1AA8D330"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0.00211</w:t>
            </w:r>
          </w:p>
        </w:tc>
        <w:tc>
          <w:tcPr>
            <w:tcW w:w="1409" w:type="dxa"/>
            <w:tcBorders>
              <w:top w:val="nil"/>
              <w:left w:val="nil"/>
              <w:bottom w:val="nil"/>
              <w:right w:val="nil"/>
            </w:tcBorders>
          </w:tcPr>
          <w:p w14:paraId="59BA8877"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0.00936***</w:t>
            </w:r>
          </w:p>
        </w:tc>
        <w:tc>
          <w:tcPr>
            <w:tcW w:w="1410" w:type="dxa"/>
            <w:tcBorders>
              <w:top w:val="nil"/>
              <w:left w:val="nil"/>
              <w:bottom w:val="nil"/>
              <w:right w:val="nil"/>
            </w:tcBorders>
          </w:tcPr>
          <w:p w14:paraId="641227A0"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0.00623***</w:t>
            </w:r>
          </w:p>
        </w:tc>
        <w:tc>
          <w:tcPr>
            <w:tcW w:w="1413" w:type="dxa"/>
            <w:gridSpan w:val="3"/>
            <w:tcBorders>
              <w:top w:val="nil"/>
              <w:left w:val="nil"/>
              <w:bottom w:val="nil"/>
              <w:right w:val="nil"/>
            </w:tcBorders>
          </w:tcPr>
          <w:p w14:paraId="278722A2"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0.00591***</w:t>
            </w:r>
          </w:p>
        </w:tc>
      </w:tr>
      <w:tr w:rsidR="00137437" w:rsidRPr="008E58D2" w14:paraId="44294D63" w14:textId="77777777" w:rsidTr="00517042">
        <w:trPr>
          <w:trHeight w:val="197"/>
        </w:trPr>
        <w:tc>
          <w:tcPr>
            <w:tcW w:w="1953" w:type="dxa"/>
            <w:tcBorders>
              <w:top w:val="nil"/>
              <w:left w:val="nil"/>
              <w:bottom w:val="nil"/>
              <w:right w:val="nil"/>
            </w:tcBorders>
          </w:tcPr>
          <w:p w14:paraId="2144FBC4" w14:textId="77777777" w:rsidR="00137437" w:rsidRPr="008E58D2" w:rsidRDefault="00137437" w:rsidP="008E0221">
            <w:pPr>
              <w:widowControl w:val="0"/>
              <w:spacing w:line="240" w:lineRule="auto"/>
              <w:jc w:val="left"/>
              <w:rPr>
                <w:rFonts w:cs="TimesLTStd-Roman"/>
                <w:iCs/>
                <w:color w:val="000000"/>
                <w:sz w:val="20"/>
                <w:szCs w:val="16"/>
              </w:rPr>
            </w:pPr>
            <w:proofErr w:type="spellStart"/>
            <w:r w:rsidRPr="008E58D2">
              <w:rPr>
                <w:rFonts w:cs="TimesLTStd-Roman"/>
                <w:iCs/>
                <w:color w:val="000000"/>
                <w:sz w:val="20"/>
                <w:szCs w:val="16"/>
              </w:rPr>
              <w:t>lag_cds_fd</w:t>
            </w:r>
            <w:proofErr w:type="spellEnd"/>
            <w:r w:rsidRPr="008E58D2">
              <w:rPr>
                <w:rFonts w:cs="TimesLTStd-Roman"/>
                <w:iCs/>
                <w:color w:val="000000"/>
                <w:sz w:val="20"/>
                <w:szCs w:val="16"/>
              </w:rPr>
              <w:t>_</w:t>
            </w:r>
          </w:p>
        </w:tc>
        <w:tc>
          <w:tcPr>
            <w:tcW w:w="1395" w:type="dxa"/>
            <w:tcBorders>
              <w:top w:val="nil"/>
              <w:left w:val="nil"/>
              <w:bottom w:val="nil"/>
              <w:right w:val="nil"/>
            </w:tcBorders>
          </w:tcPr>
          <w:p w14:paraId="6E7B4EF0"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0.00544</w:t>
            </w:r>
          </w:p>
        </w:tc>
        <w:tc>
          <w:tcPr>
            <w:tcW w:w="1395" w:type="dxa"/>
            <w:gridSpan w:val="2"/>
            <w:tcBorders>
              <w:top w:val="nil"/>
              <w:left w:val="nil"/>
              <w:bottom w:val="nil"/>
              <w:right w:val="nil"/>
            </w:tcBorders>
          </w:tcPr>
          <w:p w14:paraId="0B904AFF"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9.16e-05</w:t>
            </w:r>
          </w:p>
        </w:tc>
        <w:tc>
          <w:tcPr>
            <w:tcW w:w="1490" w:type="dxa"/>
            <w:gridSpan w:val="2"/>
            <w:tcBorders>
              <w:top w:val="nil"/>
              <w:left w:val="nil"/>
              <w:bottom w:val="nil"/>
              <w:right w:val="nil"/>
            </w:tcBorders>
          </w:tcPr>
          <w:p w14:paraId="3999CB37"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0.00349*</w:t>
            </w:r>
          </w:p>
        </w:tc>
        <w:tc>
          <w:tcPr>
            <w:tcW w:w="1381" w:type="dxa"/>
            <w:gridSpan w:val="2"/>
            <w:tcBorders>
              <w:top w:val="nil"/>
              <w:left w:val="nil"/>
              <w:bottom w:val="nil"/>
              <w:right w:val="nil"/>
            </w:tcBorders>
          </w:tcPr>
          <w:p w14:paraId="5C15C7C2"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-0.00155</w:t>
            </w:r>
          </w:p>
        </w:tc>
        <w:tc>
          <w:tcPr>
            <w:tcW w:w="1269" w:type="dxa"/>
            <w:gridSpan w:val="2"/>
            <w:tcBorders>
              <w:top w:val="nil"/>
              <w:left w:val="nil"/>
              <w:bottom w:val="nil"/>
              <w:right w:val="nil"/>
            </w:tcBorders>
          </w:tcPr>
          <w:p w14:paraId="4A9D41F5"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0.00494**</w:t>
            </w:r>
          </w:p>
        </w:tc>
        <w:tc>
          <w:tcPr>
            <w:tcW w:w="1409" w:type="dxa"/>
            <w:tcBorders>
              <w:top w:val="nil"/>
              <w:left w:val="nil"/>
              <w:bottom w:val="nil"/>
              <w:right w:val="nil"/>
            </w:tcBorders>
          </w:tcPr>
          <w:p w14:paraId="0DF81DBD"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0.00289</w:t>
            </w:r>
          </w:p>
        </w:tc>
        <w:tc>
          <w:tcPr>
            <w:tcW w:w="1410" w:type="dxa"/>
            <w:gridSpan w:val="2"/>
            <w:tcBorders>
              <w:top w:val="nil"/>
              <w:left w:val="nil"/>
              <w:bottom w:val="nil"/>
              <w:right w:val="nil"/>
            </w:tcBorders>
          </w:tcPr>
          <w:p w14:paraId="029984F3"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-0.00126</w:t>
            </w:r>
          </w:p>
        </w:tc>
        <w:tc>
          <w:tcPr>
            <w:tcW w:w="1409" w:type="dxa"/>
            <w:tcBorders>
              <w:top w:val="nil"/>
              <w:left w:val="nil"/>
              <w:bottom w:val="nil"/>
              <w:right w:val="nil"/>
            </w:tcBorders>
          </w:tcPr>
          <w:p w14:paraId="568E14F9"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0.00322***</w:t>
            </w:r>
          </w:p>
        </w:tc>
        <w:tc>
          <w:tcPr>
            <w:tcW w:w="1410" w:type="dxa"/>
            <w:tcBorders>
              <w:top w:val="nil"/>
              <w:left w:val="nil"/>
              <w:bottom w:val="nil"/>
              <w:right w:val="nil"/>
            </w:tcBorders>
          </w:tcPr>
          <w:p w14:paraId="23C7853A"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0.000744</w:t>
            </w:r>
          </w:p>
        </w:tc>
        <w:tc>
          <w:tcPr>
            <w:tcW w:w="1413" w:type="dxa"/>
            <w:gridSpan w:val="3"/>
            <w:tcBorders>
              <w:top w:val="nil"/>
              <w:left w:val="nil"/>
              <w:bottom w:val="nil"/>
              <w:right w:val="nil"/>
            </w:tcBorders>
          </w:tcPr>
          <w:p w14:paraId="384EDAB6"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0.00134*</w:t>
            </w:r>
          </w:p>
        </w:tc>
      </w:tr>
      <w:tr w:rsidR="00137437" w:rsidRPr="008E58D2" w14:paraId="32F0FCCB" w14:textId="77777777" w:rsidTr="00517042">
        <w:trPr>
          <w:trHeight w:val="210"/>
        </w:trPr>
        <w:tc>
          <w:tcPr>
            <w:tcW w:w="1953" w:type="dxa"/>
            <w:tcBorders>
              <w:top w:val="nil"/>
              <w:left w:val="nil"/>
              <w:bottom w:val="nil"/>
              <w:right w:val="nil"/>
            </w:tcBorders>
          </w:tcPr>
          <w:p w14:paraId="7F8A9D90" w14:textId="77777777" w:rsidR="00137437" w:rsidRPr="008E58D2" w:rsidRDefault="00137437" w:rsidP="008E0221">
            <w:pPr>
              <w:widowControl w:val="0"/>
              <w:spacing w:line="240" w:lineRule="auto"/>
              <w:jc w:val="left"/>
              <w:rPr>
                <w:rFonts w:cs="TimesLTStd-Roman"/>
                <w:iCs/>
                <w:color w:val="000000"/>
                <w:sz w:val="20"/>
                <w:szCs w:val="16"/>
              </w:rPr>
            </w:pPr>
            <w:r w:rsidRPr="008E58D2">
              <w:rPr>
                <w:rFonts w:cs="TimesLTStd-Roman"/>
                <w:iCs/>
                <w:color w:val="000000"/>
                <w:sz w:val="20"/>
                <w:szCs w:val="16"/>
              </w:rPr>
              <w:t>Constant</w:t>
            </w:r>
          </w:p>
        </w:tc>
        <w:tc>
          <w:tcPr>
            <w:tcW w:w="1395" w:type="dxa"/>
            <w:tcBorders>
              <w:top w:val="nil"/>
              <w:left w:val="nil"/>
              <w:bottom w:val="nil"/>
              <w:right w:val="nil"/>
            </w:tcBorders>
          </w:tcPr>
          <w:p w14:paraId="03CB8BE9"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0.00296</w:t>
            </w:r>
          </w:p>
        </w:tc>
        <w:tc>
          <w:tcPr>
            <w:tcW w:w="1395" w:type="dxa"/>
            <w:gridSpan w:val="2"/>
            <w:tcBorders>
              <w:top w:val="nil"/>
              <w:left w:val="nil"/>
              <w:bottom w:val="nil"/>
              <w:right w:val="nil"/>
            </w:tcBorders>
          </w:tcPr>
          <w:p w14:paraId="32C32105"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0.00311</w:t>
            </w:r>
          </w:p>
        </w:tc>
        <w:tc>
          <w:tcPr>
            <w:tcW w:w="1490" w:type="dxa"/>
            <w:gridSpan w:val="2"/>
            <w:tcBorders>
              <w:top w:val="nil"/>
              <w:left w:val="nil"/>
              <w:bottom w:val="nil"/>
              <w:right w:val="nil"/>
            </w:tcBorders>
          </w:tcPr>
          <w:p w14:paraId="02D67936"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0.00361*</w:t>
            </w:r>
          </w:p>
        </w:tc>
        <w:tc>
          <w:tcPr>
            <w:tcW w:w="1381" w:type="dxa"/>
            <w:gridSpan w:val="2"/>
            <w:tcBorders>
              <w:top w:val="nil"/>
              <w:left w:val="nil"/>
              <w:bottom w:val="nil"/>
              <w:right w:val="nil"/>
            </w:tcBorders>
          </w:tcPr>
          <w:p w14:paraId="78F4CF86"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0.00357*</w:t>
            </w:r>
          </w:p>
        </w:tc>
        <w:tc>
          <w:tcPr>
            <w:tcW w:w="1269" w:type="dxa"/>
            <w:gridSpan w:val="2"/>
            <w:tcBorders>
              <w:top w:val="nil"/>
              <w:left w:val="nil"/>
              <w:bottom w:val="nil"/>
              <w:right w:val="nil"/>
            </w:tcBorders>
          </w:tcPr>
          <w:p w14:paraId="62CA4FC0"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0.00333*</w:t>
            </w:r>
          </w:p>
        </w:tc>
        <w:tc>
          <w:tcPr>
            <w:tcW w:w="1409" w:type="dxa"/>
            <w:tcBorders>
              <w:top w:val="nil"/>
              <w:left w:val="nil"/>
              <w:bottom w:val="nil"/>
              <w:right w:val="nil"/>
            </w:tcBorders>
          </w:tcPr>
          <w:p w14:paraId="06626447"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0.00309</w:t>
            </w:r>
          </w:p>
        </w:tc>
        <w:tc>
          <w:tcPr>
            <w:tcW w:w="1410" w:type="dxa"/>
            <w:gridSpan w:val="2"/>
            <w:tcBorders>
              <w:top w:val="nil"/>
              <w:left w:val="nil"/>
              <w:bottom w:val="nil"/>
              <w:right w:val="nil"/>
            </w:tcBorders>
          </w:tcPr>
          <w:p w14:paraId="07AD9E03"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0.00312</w:t>
            </w:r>
          </w:p>
        </w:tc>
        <w:tc>
          <w:tcPr>
            <w:tcW w:w="1409" w:type="dxa"/>
            <w:tcBorders>
              <w:top w:val="nil"/>
              <w:left w:val="nil"/>
              <w:bottom w:val="nil"/>
              <w:right w:val="nil"/>
            </w:tcBorders>
          </w:tcPr>
          <w:p w14:paraId="2A937EA1"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0.00249</w:t>
            </w:r>
          </w:p>
        </w:tc>
        <w:tc>
          <w:tcPr>
            <w:tcW w:w="1410" w:type="dxa"/>
            <w:tcBorders>
              <w:top w:val="nil"/>
              <w:left w:val="nil"/>
              <w:bottom w:val="nil"/>
              <w:right w:val="nil"/>
            </w:tcBorders>
          </w:tcPr>
          <w:p w14:paraId="776DC066"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0.00305</w:t>
            </w:r>
          </w:p>
        </w:tc>
        <w:tc>
          <w:tcPr>
            <w:tcW w:w="1413" w:type="dxa"/>
            <w:gridSpan w:val="3"/>
            <w:tcBorders>
              <w:top w:val="nil"/>
              <w:left w:val="nil"/>
              <w:bottom w:val="nil"/>
              <w:right w:val="nil"/>
            </w:tcBorders>
          </w:tcPr>
          <w:p w14:paraId="487B080F"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0.00337</w:t>
            </w:r>
          </w:p>
        </w:tc>
      </w:tr>
      <w:tr w:rsidR="00137437" w:rsidRPr="008E58D2" w14:paraId="5B5A84F2" w14:textId="77777777" w:rsidTr="00517042">
        <w:trPr>
          <w:trHeight w:val="197"/>
        </w:trPr>
        <w:tc>
          <w:tcPr>
            <w:tcW w:w="1953" w:type="dxa"/>
            <w:tcBorders>
              <w:top w:val="nil"/>
              <w:left w:val="nil"/>
              <w:bottom w:val="nil"/>
              <w:right w:val="nil"/>
            </w:tcBorders>
          </w:tcPr>
          <w:p w14:paraId="621ECD50" w14:textId="77777777" w:rsidR="00137437" w:rsidRPr="008E58D2" w:rsidRDefault="00137437" w:rsidP="008E0221">
            <w:pPr>
              <w:widowControl w:val="0"/>
              <w:spacing w:line="240" w:lineRule="auto"/>
              <w:rPr>
                <w:rFonts w:cs="TimesLTStd-Roman"/>
                <w:iCs/>
                <w:color w:val="000000"/>
                <w:sz w:val="20"/>
                <w:szCs w:val="16"/>
              </w:rPr>
            </w:pPr>
          </w:p>
        </w:tc>
        <w:tc>
          <w:tcPr>
            <w:tcW w:w="1395" w:type="dxa"/>
            <w:tcBorders>
              <w:top w:val="nil"/>
              <w:left w:val="nil"/>
              <w:bottom w:val="nil"/>
              <w:right w:val="nil"/>
            </w:tcBorders>
          </w:tcPr>
          <w:p w14:paraId="52B76089" w14:textId="77777777" w:rsidR="00137437" w:rsidRPr="005B73CB" w:rsidRDefault="00137437" w:rsidP="008E0221">
            <w:pPr>
              <w:widowControl w:val="0"/>
              <w:spacing w:line="240" w:lineRule="auto"/>
              <w:jc w:val="left"/>
              <w:rPr>
                <w:rFonts w:cstheme="minorHAnsi"/>
                <w:iCs/>
                <w:color w:val="000000"/>
                <w:sz w:val="18"/>
                <w:szCs w:val="18"/>
              </w:rPr>
            </w:pPr>
          </w:p>
        </w:tc>
        <w:tc>
          <w:tcPr>
            <w:tcW w:w="1395" w:type="dxa"/>
            <w:gridSpan w:val="2"/>
            <w:tcBorders>
              <w:top w:val="nil"/>
              <w:left w:val="nil"/>
              <w:bottom w:val="nil"/>
              <w:right w:val="nil"/>
            </w:tcBorders>
          </w:tcPr>
          <w:p w14:paraId="5FFF45E1" w14:textId="77777777" w:rsidR="00137437" w:rsidRPr="005B73CB" w:rsidRDefault="00137437" w:rsidP="008E0221">
            <w:pPr>
              <w:widowControl w:val="0"/>
              <w:spacing w:line="240" w:lineRule="auto"/>
              <w:jc w:val="left"/>
              <w:rPr>
                <w:rFonts w:cstheme="minorHAnsi"/>
                <w:iCs/>
                <w:color w:val="000000"/>
                <w:sz w:val="18"/>
                <w:szCs w:val="18"/>
              </w:rPr>
            </w:pPr>
          </w:p>
        </w:tc>
        <w:tc>
          <w:tcPr>
            <w:tcW w:w="1490" w:type="dxa"/>
            <w:gridSpan w:val="2"/>
            <w:tcBorders>
              <w:top w:val="nil"/>
              <w:left w:val="nil"/>
              <w:bottom w:val="nil"/>
              <w:right w:val="nil"/>
            </w:tcBorders>
          </w:tcPr>
          <w:p w14:paraId="5F28A7F8" w14:textId="77777777" w:rsidR="00137437" w:rsidRPr="005B73CB" w:rsidRDefault="00137437" w:rsidP="008E0221">
            <w:pPr>
              <w:widowControl w:val="0"/>
              <w:spacing w:line="240" w:lineRule="auto"/>
              <w:jc w:val="left"/>
              <w:rPr>
                <w:rFonts w:cstheme="minorHAnsi"/>
                <w:iCs/>
                <w:color w:val="000000"/>
                <w:sz w:val="18"/>
                <w:szCs w:val="18"/>
              </w:rPr>
            </w:pPr>
          </w:p>
        </w:tc>
        <w:tc>
          <w:tcPr>
            <w:tcW w:w="1381" w:type="dxa"/>
            <w:gridSpan w:val="2"/>
            <w:tcBorders>
              <w:top w:val="nil"/>
              <w:left w:val="nil"/>
              <w:bottom w:val="nil"/>
              <w:right w:val="nil"/>
            </w:tcBorders>
          </w:tcPr>
          <w:p w14:paraId="35C0D020" w14:textId="77777777" w:rsidR="00137437" w:rsidRPr="005B73CB" w:rsidRDefault="00137437" w:rsidP="008E0221">
            <w:pPr>
              <w:widowControl w:val="0"/>
              <w:spacing w:line="240" w:lineRule="auto"/>
              <w:jc w:val="left"/>
              <w:rPr>
                <w:rFonts w:cstheme="minorHAnsi"/>
                <w:iCs/>
                <w:color w:val="000000"/>
                <w:sz w:val="18"/>
                <w:szCs w:val="18"/>
              </w:rPr>
            </w:pPr>
          </w:p>
        </w:tc>
        <w:tc>
          <w:tcPr>
            <w:tcW w:w="1269" w:type="dxa"/>
            <w:gridSpan w:val="2"/>
            <w:tcBorders>
              <w:top w:val="nil"/>
              <w:left w:val="nil"/>
              <w:bottom w:val="nil"/>
              <w:right w:val="nil"/>
            </w:tcBorders>
          </w:tcPr>
          <w:p w14:paraId="40FD3F34" w14:textId="77777777" w:rsidR="00137437" w:rsidRPr="005B73CB" w:rsidRDefault="00137437" w:rsidP="008E0221">
            <w:pPr>
              <w:widowControl w:val="0"/>
              <w:spacing w:line="240" w:lineRule="auto"/>
              <w:jc w:val="left"/>
              <w:rPr>
                <w:rFonts w:cstheme="minorHAnsi"/>
                <w:iCs/>
                <w:color w:val="000000"/>
                <w:sz w:val="18"/>
                <w:szCs w:val="18"/>
              </w:rPr>
            </w:pPr>
          </w:p>
        </w:tc>
        <w:tc>
          <w:tcPr>
            <w:tcW w:w="1409" w:type="dxa"/>
            <w:tcBorders>
              <w:top w:val="nil"/>
              <w:left w:val="nil"/>
              <w:bottom w:val="nil"/>
              <w:right w:val="nil"/>
            </w:tcBorders>
          </w:tcPr>
          <w:p w14:paraId="4E6E9717" w14:textId="77777777" w:rsidR="00137437" w:rsidRPr="005B73CB" w:rsidRDefault="00137437" w:rsidP="008E0221">
            <w:pPr>
              <w:widowControl w:val="0"/>
              <w:spacing w:line="240" w:lineRule="auto"/>
              <w:jc w:val="left"/>
              <w:rPr>
                <w:rFonts w:cstheme="minorHAnsi"/>
                <w:iCs/>
                <w:color w:val="000000"/>
                <w:sz w:val="18"/>
                <w:szCs w:val="18"/>
              </w:rPr>
            </w:pPr>
          </w:p>
        </w:tc>
        <w:tc>
          <w:tcPr>
            <w:tcW w:w="1410" w:type="dxa"/>
            <w:gridSpan w:val="2"/>
            <w:tcBorders>
              <w:top w:val="nil"/>
              <w:left w:val="nil"/>
              <w:bottom w:val="nil"/>
              <w:right w:val="nil"/>
            </w:tcBorders>
          </w:tcPr>
          <w:p w14:paraId="03A72819" w14:textId="77777777" w:rsidR="00137437" w:rsidRPr="005B73CB" w:rsidRDefault="00137437" w:rsidP="008E0221">
            <w:pPr>
              <w:widowControl w:val="0"/>
              <w:spacing w:line="240" w:lineRule="auto"/>
              <w:jc w:val="left"/>
              <w:rPr>
                <w:rFonts w:cstheme="minorHAnsi"/>
                <w:iCs/>
                <w:color w:val="000000"/>
                <w:sz w:val="18"/>
                <w:szCs w:val="18"/>
              </w:rPr>
            </w:pPr>
          </w:p>
        </w:tc>
        <w:tc>
          <w:tcPr>
            <w:tcW w:w="1409" w:type="dxa"/>
            <w:tcBorders>
              <w:top w:val="nil"/>
              <w:left w:val="nil"/>
              <w:bottom w:val="nil"/>
              <w:right w:val="nil"/>
            </w:tcBorders>
          </w:tcPr>
          <w:p w14:paraId="3EB9F949" w14:textId="77777777" w:rsidR="00137437" w:rsidRPr="005B73CB" w:rsidRDefault="00137437" w:rsidP="008E0221">
            <w:pPr>
              <w:widowControl w:val="0"/>
              <w:spacing w:line="240" w:lineRule="auto"/>
              <w:jc w:val="left"/>
              <w:rPr>
                <w:rFonts w:cstheme="minorHAnsi"/>
                <w:iCs/>
                <w:color w:val="000000"/>
                <w:sz w:val="18"/>
                <w:szCs w:val="18"/>
              </w:rPr>
            </w:pPr>
          </w:p>
        </w:tc>
        <w:tc>
          <w:tcPr>
            <w:tcW w:w="1410" w:type="dxa"/>
            <w:tcBorders>
              <w:top w:val="nil"/>
              <w:left w:val="nil"/>
              <w:bottom w:val="nil"/>
              <w:right w:val="nil"/>
            </w:tcBorders>
          </w:tcPr>
          <w:p w14:paraId="7F9D33D1" w14:textId="77777777" w:rsidR="00137437" w:rsidRPr="005B73CB" w:rsidRDefault="00137437" w:rsidP="008E0221">
            <w:pPr>
              <w:widowControl w:val="0"/>
              <w:spacing w:line="240" w:lineRule="auto"/>
              <w:jc w:val="left"/>
              <w:rPr>
                <w:rFonts w:cstheme="minorHAnsi"/>
                <w:iCs/>
                <w:color w:val="000000"/>
                <w:sz w:val="18"/>
                <w:szCs w:val="18"/>
              </w:rPr>
            </w:pPr>
          </w:p>
        </w:tc>
        <w:tc>
          <w:tcPr>
            <w:tcW w:w="1413" w:type="dxa"/>
            <w:gridSpan w:val="3"/>
            <w:tcBorders>
              <w:top w:val="nil"/>
              <w:left w:val="nil"/>
              <w:bottom w:val="nil"/>
              <w:right w:val="nil"/>
            </w:tcBorders>
          </w:tcPr>
          <w:p w14:paraId="4CD9D202" w14:textId="77777777" w:rsidR="00137437" w:rsidRPr="005B73CB" w:rsidRDefault="00137437" w:rsidP="008E0221">
            <w:pPr>
              <w:widowControl w:val="0"/>
              <w:spacing w:line="240" w:lineRule="auto"/>
              <w:jc w:val="left"/>
              <w:rPr>
                <w:rFonts w:cstheme="minorHAnsi"/>
                <w:iCs/>
                <w:color w:val="000000"/>
                <w:sz w:val="18"/>
                <w:szCs w:val="18"/>
              </w:rPr>
            </w:pPr>
          </w:p>
        </w:tc>
      </w:tr>
      <w:tr w:rsidR="00137437" w:rsidRPr="008E58D2" w14:paraId="61BBD616" w14:textId="77777777" w:rsidTr="00517042">
        <w:trPr>
          <w:trHeight w:val="197"/>
        </w:trPr>
        <w:tc>
          <w:tcPr>
            <w:tcW w:w="1953" w:type="dxa"/>
            <w:tcBorders>
              <w:top w:val="nil"/>
              <w:left w:val="nil"/>
              <w:bottom w:val="nil"/>
              <w:right w:val="nil"/>
            </w:tcBorders>
          </w:tcPr>
          <w:p w14:paraId="3AAB192C" w14:textId="77777777" w:rsidR="00137437" w:rsidRPr="008E58D2" w:rsidRDefault="00137437" w:rsidP="008E0221">
            <w:pPr>
              <w:widowControl w:val="0"/>
              <w:spacing w:line="240" w:lineRule="auto"/>
              <w:rPr>
                <w:rFonts w:cs="TimesLTStd-Roman"/>
                <w:iCs/>
                <w:color w:val="000000"/>
                <w:sz w:val="20"/>
                <w:szCs w:val="16"/>
              </w:rPr>
            </w:pPr>
          </w:p>
        </w:tc>
        <w:tc>
          <w:tcPr>
            <w:tcW w:w="1395" w:type="dxa"/>
            <w:tcBorders>
              <w:top w:val="nil"/>
              <w:left w:val="nil"/>
              <w:bottom w:val="nil"/>
              <w:right w:val="nil"/>
            </w:tcBorders>
          </w:tcPr>
          <w:p w14:paraId="50F17DFB" w14:textId="77777777" w:rsidR="00137437" w:rsidRPr="005B73CB" w:rsidRDefault="00137437" w:rsidP="008E0221">
            <w:pPr>
              <w:widowControl w:val="0"/>
              <w:spacing w:line="240" w:lineRule="auto"/>
              <w:jc w:val="left"/>
              <w:rPr>
                <w:rFonts w:cstheme="minorHAnsi"/>
                <w:iCs/>
                <w:color w:val="000000"/>
                <w:sz w:val="18"/>
                <w:szCs w:val="18"/>
              </w:rPr>
            </w:pPr>
          </w:p>
        </w:tc>
        <w:tc>
          <w:tcPr>
            <w:tcW w:w="1395" w:type="dxa"/>
            <w:gridSpan w:val="2"/>
            <w:tcBorders>
              <w:top w:val="nil"/>
              <w:left w:val="nil"/>
              <w:bottom w:val="nil"/>
              <w:right w:val="nil"/>
            </w:tcBorders>
          </w:tcPr>
          <w:p w14:paraId="5B7AED95" w14:textId="77777777" w:rsidR="00137437" w:rsidRPr="005B73CB" w:rsidRDefault="00137437" w:rsidP="008E0221">
            <w:pPr>
              <w:widowControl w:val="0"/>
              <w:spacing w:line="240" w:lineRule="auto"/>
              <w:jc w:val="left"/>
              <w:rPr>
                <w:rFonts w:cstheme="minorHAnsi"/>
                <w:iCs/>
                <w:color w:val="000000"/>
                <w:sz w:val="18"/>
                <w:szCs w:val="18"/>
              </w:rPr>
            </w:pPr>
          </w:p>
        </w:tc>
        <w:tc>
          <w:tcPr>
            <w:tcW w:w="1490" w:type="dxa"/>
            <w:gridSpan w:val="2"/>
            <w:tcBorders>
              <w:top w:val="nil"/>
              <w:left w:val="nil"/>
              <w:bottom w:val="nil"/>
              <w:right w:val="nil"/>
            </w:tcBorders>
          </w:tcPr>
          <w:p w14:paraId="15F96072" w14:textId="77777777" w:rsidR="00137437" w:rsidRPr="005B73CB" w:rsidRDefault="00137437" w:rsidP="008E0221">
            <w:pPr>
              <w:widowControl w:val="0"/>
              <w:spacing w:line="240" w:lineRule="auto"/>
              <w:jc w:val="left"/>
              <w:rPr>
                <w:rFonts w:cstheme="minorHAnsi"/>
                <w:iCs/>
                <w:color w:val="000000"/>
                <w:sz w:val="18"/>
                <w:szCs w:val="18"/>
              </w:rPr>
            </w:pPr>
          </w:p>
        </w:tc>
        <w:tc>
          <w:tcPr>
            <w:tcW w:w="1381" w:type="dxa"/>
            <w:gridSpan w:val="2"/>
            <w:tcBorders>
              <w:top w:val="nil"/>
              <w:left w:val="nil"/>
              <w:bottom w:val="nil"/>
              <w:right w:val="nil"/>
            </w:tcBorders>
          </w:tcPr>
          <w:p w14:paraId="1AF5BDCC" w14:textId="77777777" w:rsidR="00137437" w:rsidRPr="005B73CB" w:rsidRDefault="00137437" w:rsidP="008E0221">
            <w:pPr>
              <w:widowControl w:val="0"/>
              <w:spacing w:line="240" w:lineRule="auto"/>
              <w:jc w:val="left"/>
              <w:rPr>
                <w:rFonts w:cstheme="minorHAnsi"/>
                <w:iCs/>
                <w:color w:val="000000"/>
                <w:sz w:val="18"/>
                <w:szCs w:val="18"/>
              </w:rPr>
            </w:pPr>
          </w:p>
        </w:tc>
        <w:tc>
          <w:tcPr>
            <w:tcW w:w="1269" w:type="dxa"/>
            <w:gridSpan w:val="2"/>
            <w:tcBorders>
              <w:top w:val="nil"/>
              <w:left w:val="nil"/>
              <w:bottom w:val="nil"/>
              <w:right w:val="nil"/>
            </w:tcBorders>
          </w:tcPr>
          <w:p w14:paraId="607F006B" w14:textId="77777777" w:rsidR="00137437" w:rsidRPr="005B73CB" w:rsidRDefault="00137437" w:rsidP="008E0221">
            <w:pPr>
              <w:widowControl w:val="0"/>
              <w:spacing w:line="240" w:lineRule="auto"/>
              <w:jc w:val="left"/>
              <w:rPr>
                <w:rFonts w:cstheme="minorHAnsi"/>
                <w:iCs/>
                <w:color w:val="000000"/>
                <w:sz w:val="18"/>
                <w:szCs w:val="18"/>
              </w:rPr>
            </w:pPr>
          </w:p>
        </w:tc>
        <w:tc>
          <w:tcPr>
            <w:tcW w:w="1409" w:type="dxa"/>
            <w:tcBorders>
              <w:top w:val="nil"/>
              <w:left w:val="nil"/>
              <w:bottom w:val="nil"/>
              <w:right w:val="nil"/>
            </w:tcBorders>
          </w:tcPr>
          <w:p w14:paraId="033FE363" w14:textId="77777777" w:rsidR="00137437" w:rsidRPr="005B73CB" w:rsidRDefault="00137437" w:rsidP="008E0221">
            <w:pPr>
              <w:widowControl w:val="0"/>
              <w:spacing w:line="240" w:lineRule="auto"/>
              <w:jc w:val="left"/>
              <w:rPr>
                <w:rFonts w:cstheme="minorHAnsi"/>
                <w:iCs/>
                <w:color w:val="000000"/>
                <w:sz w:val="18"/>
                <w:szCs w:val="18"/>
              </w:rPr>
            </w:pPr>
          </w:p>
        </w:tc>
        <w:tc>
          <w:tcPr>
            <w:tcW w:w="1410" w:type="dxa"/>
            <w:gridSpan w:val="2"/>
            <w:tcBorders>
              <w:top w:val="nil"/>
              <w:left w:val="nil"/>
              <w:bottom w:val="nil"/>
              <w:right w:val="nil"/>
            </w:tcBorders>
          </w:tcPr>
          <w:p w14:paraId="450310A0" w14:textId="77777777" w:rsidR="00137437" w:rsidRPr="005B73CB" w:rsidRDefault="00137437" w:rsidP="008E0221">
            <w:pPr>
              <w:widowControl w:val="0"/>
              <w:spacing w:line="240" w:lineRule="auto"/>
              <w:jc w:val="left"/>
              <w:rPr>
                <w:rFonts w:cstheme="minorHAnsi"/>
                <w:iCs/>
                <w:color w:val="000000"/>
                <w:sz w:val="18"/>
                <w:szCs w:val="18"/>
              </w:rPr>
            </w:pPr>
          </w:p>
        </w:tc>
        <w:tc>
          <w:tcPr>
            <w:tcW w:w="1409" w:type="dxa"/>
            <w:tcBorders>
              <w:top w:val="nil"/>
              <w:left w:val="nil"/>
              <w:bottom w:val="nil"/>
              <w:right w:val="nil"/>
            </w:tcBorders>
          </w:tcPr>
          <w:p w14:paraId="21A1A4CB" w14:textId="77777777" w:rsidR="00137437" w:rsidRPr="005B73CB" w:rsidRDefault="00137437" w:rsidP="008E0221">
            <w:pPr>
              <w:widowControl w:val="0"/>
              <w:spacing w:line="240" w:lineRule="auto"/>
              <w:jc w:val="left"/>
              <w:rPr>
                <w:rFonts w:cstheme="minorHAnsi"/>
                <w:iCs/>
                <w:color w:val="000000"/>
                <w:sz w:val="18"/>
                <w:szCs w:val="18"/>
              </w:rPr>
            </w:pPr>
          </w:p>
        </w:tc>
        <w:tc>
          <w:tcPr>
            <w:tcW w:w="1410" w:type="dxa"/>
            <w:tcBorders>
              <w:top w:val="nil"/>
              <w:left w:val="nil"/>
              <w:bottom w:val="nil"/>
              <w:right w:val="nil"/>
            </w:tcBorders>
          </w:tcPr>
          <w:p w14:paraId="513BC1FB" w14:textId="77777777" w:rsidR="00137437" w:rsidRPr="005B73CB" w:rsidRDefault="00137437" w:rsidP="008E0221">
            <w:pPr>
              <w:widowControl w:val="0"/>
              <w:spacing w:line="240" w:lineRule="auto"/>
              <w:jc w:val="left"/>
              <w:rPr>
                <w:rFonts w:cstheme="minorHAnsi"/>
                <w:iCs/>
                <w:color w:val="000000"/>
                <w:sz w:val="18"/>
                <w:szCs w:val="18"/>
              </w:rPr>
            </w:pPr>
          </w:p>
        </w:tc>
        <w:tc>
          <w:tcPr>
            <w:tcW w:w="1413" w:type="dxa"/>
            <w:gridSpan w:val="3"/>
            <w:tcBorders>
              <w:top w:val="nil"/>
              <w:left w:val="nil"/>
              <w:bottom w:val="nil"/>
              <w:right w:val="nil"/>
            </w:tcBorders>
          </w:tcPr>
          <w:p w14:paraId="7C8DA9E6" w14:textId="77777777" w:rsidR="00137437" w:rsidRPr="005B73CB" w:rsidRDefault="00137437" w:rsidP="008E0221">
            <w:pPr>
              <w:widowControl w:val="0"/>
              <w:spacing w:line="240" w:lineRule="auto"/>
              <w:jc w:val="left"/>
              <w:rPr>
                <w:rFonts w:cstheme="minorHAnsi"/>
                <w:iCs/>
                <w:color w:val="000000"/>
                <w:sz w:val="18"/>
                <w:szCs w:val="18"/>
              </w:rPr>
            </w:pPr>
          </w:p>
        </w:tc>
      </w:tr>
      <w:tr w:rsidR="00137437" w:rsidRPr="008E58D2" w14:paraId="27BB646A" w14:textId="77777777" w:rsidTr="00517042">
        <w:trPr>
          <w:trHeight w:val="197"/>
        </w:trPr>
        <w:tc>
          <w:tcPr>
            <w:tcW w:w="1953" w:type="dxa"/>
            <w:tcBorders>
              <w:top w:val="nil"/>
              <w:left w:val="nil"/>
              <w:bottom w:val="single" w:sz="6" w:space="0" w:color="auto"/>
              <w:right w:val="nil"/>
            </w:tcBorders>
          </w:tcPr>
          <w:p w14:paraId="7E10FBCE" w14:textId="77777777" w:rsidR="00137437" w:rsidRPr="008E58D2" w:rsidRDefault="00137437" w:rsidP="008E0221">
            <w:pPr>
              <w:widowControl w:val="0"/>
              <w:spacing w:line="240" w:lineRule="auto"/>
              <w:rPr>
                <w:rFonts w:cs="TimesLTStd-Roman"/>
                <w:iCs/>
                <w:color w:val="000000"/>
                <w:sz w:val="20"/>
                <w:szCs w:val="16"/>
              </w:rPr>
            </w:pPr>
            <w:r w:rsidRPr="008E58D2">
              <w:rPr>
                <w:rFonts w:cs="TimesLTStd-Roman"/>
                <w:iCs/>
                <w:color w:val="000000"/>
                <w:sz w:val="20"/>
                <w:szCs w:val="16"/>
              </w:rPr>
              <w:t>R-squared</w:t>
            </w:r>
          </w:p>
        </w:tc>
        <w:tc>
          <w:tcPr>
            <w:tcW w:w="1395" w:type="dxa"/>
            <w:tcBorders>
              <w:top w:val="nil"/>
              <w:left w:val="nil"/>
              <w:bottom w:val="single" w:sz="6" w:space="0" w:color="auto"/>
              <w:right w:val="nil"/>
            </w:tcBorders>
          </w:tcPr>
          <w:p w14:paraId="6C990AAA"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0.047</w:t>
            </w:r>
          </w:p>
        </w:tc>
        <w:tc>
          <w:tcPr>
            <w:tcW w:w="1395" w:type="dxa"/>
            <w:gridSpan w:val="2"/>
            <w:tcBorders>
              <w:top w:val="nil"/>
              <w:left w:val="nil"/>
              <w:bottom w:val="single" w:sz="6" w:space="0" w:color="auto"/>
              <w:right w:val="nil"/>
            </w:tcBorders>
          </w:tcPr>
          <w:p w14:paraId="463B0D46"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0.042</w:t>
            </w:r>
          </w:p>
        </w:tc>
        <w:tc>
          <w:tcPr>
            <w:tcW w:w="1490" w:type="dxa"/>
            <w:gridSpan w:val="2"/>
            <w:tcBorders>
              <w:top w:val="nil"/>
              <w:left w:val="nil"/>
              <w:bottom w:val="single" w:sz="6" w:space="0" w:color="auto"/>
              <w:right w:val="nil"/>
            </w:tcBorders>
          </w:tcPr>
          <w:p w14:paraId="62791776"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0.042</w:t>
            </w:r>
          </w:p>
        </w:tc>
        <w:tc>
          <w:tcPr>
            <w:tcW w:w="1381" w:type="dxa"/>
            <w:gridSpan w:val="2"/>
            <w:tcBorders>
              <w:top w:val="nil"/>
              <w:left w:val="nil"/>
              <w:bottom w:val="single" w:sz="6" w:space="0" w:color="auto"/>
              <w:right w:val="nil"/>
            </w:tcBorders>
          </w:tcPr>
          <w:p w14:paraId="5A85EC52"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0.054</w:t>
            </w:r>
          </w:p>
        </w:tc>
        <w:tc>
          <w:tcPr>
            <w:tcW w:w="1269" w:type="dxa"/>
            <w:gridSpan w:val="2"/>
            <w:tcBorders>
              <w:top w:val="nil"/>
              <w:left w:val="nil"/>
              <w:bottom w:val="single" w:sz="6" w:space="0" w:color="auto"/>
              <w:right w:val="nil"/>
            </w:tcBorders>
          </w:tcPr>
          <w:p w14:paraId="5EC7F98D"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0.043</w:t>
            </w:r>
          </w:p>
        </w:tc>
        <w:tc>
          <w:tcPr>
            <w:tcW w:w="1409" w:type="dxa"/>
            <w:tcBorders>
              <w:top w:val="nil"/>
              <w:left w:val="nil"/>
              <w:bottom w:val="single" w:sz="6" w:space="0" w:color="auto"/>
              <w:right w:val="nil"/>
            </w:tcBorders>
          </w:tcPr>
          <w:p w14:paraId="38BD886A"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0.052</w:t>
            </w:r>
          </w:p>
        </w:tc>
        <w:tc>
          <w:tcPr>
            <w:tcW w:w="1410" w:type="dxa"/>
            <w:gridSpan w:val="2"/>
            <w:tcBorders>
              <w:top w:val="nil"/>
              <w:left w:val="nil"/>
              <w:bottom w:val="single" w:sz="6" w:space="0" w:color="auto"/>
              <w:right w:val="nil"/>
            </w:tcBorders>
          </w:tcPr>
          <w:p w14:paraId="5A271D74"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0.043</w:t>
            </w:r>
          </w:p>
        </w:tc>
        <w:tc>
          <w:tcPr>
            <w:tcW w:w="1409" w:type="dxa"/>
            <w:tcBorders>
              <w:top w:val="nil"/>
              <w:left w:val="nil"/>
              <w:bottom w:val="single" w:sz="6" w:space="0" w:color="auto"/>
              <w:right w:val="nil"/>
            </w:tcBorders>
          </w:tcPr>
          <w:p w14:paraId="29A1C7E7"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0.193</w:t>
            </w:r>
          </w:p>
        </w:tc>
        <w:tc>
          <w:tcPr>
            <w:tcW w:w="1410" w:type="dxa"/>
            <w:tcBorders>
              <w:top w:val="nil"/>
              <w:left w:val="nil"/>
              <w:bottom w:val="single" w:sz="6" w:space="0" w:color="auto"/>
              <w:right w:val="nil"/>
            </w:tcBorders>
          </w:tcPr>
          <w:p w14:paraId="3E7EBDD0"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0.137</w:t>
            </w:r>
          </w:p>
        </w:tc>
        <w:tc>
          <w:tcPr>
            <w:tcW w:w="1413" w:type="dxa"/>
            <w:gridSpan w:val="3"/>
            <w:tcBorders>
              <w:top w:val="nil"/>
              <w:left w:val="nil"/>
              <w:bottom w:val="single" w:sz="6" w:space="0" w:color="auto"/>
              <w:right w:val="nil"/>
            </w:tcBorders>
          </w:tcPr>
          <w:p w14:paraId="1F44A6B0" w14:textId="77777777" w:rsidR="00137437" w:rsidRPr="005B73CB" w:rsidRDefault="00137437" w:rsidP="008E0221">
            <w:pPr>
              <w:widowControl w:val="0"/>
              <w:spacing w:line="240" w:lineRule="auto"/>
              <w:jc w:val="left"/>
              <w:rPr>
                <w:rFonts w:cstheme="minorHAnsi"/>
                <w:iCs/>
                <w:color w:val="000000"/>
                <w:sz w:val="18"/>
                <w:szCs w:val="18"/>
              </w:rPr>
            </w:pPr>
            <w:r w:rsidRPr="005B73CB">
              <w:rPr>
                <w:rFonts w:cstheme="minorHAnsi"/>
                <w:iCs/>
                <w:color w:val="000000"/>
                <w:sz w:val="18"/>
                <w:szCs w:val="18"/>
              </w:rPr>
              <w:t>0.228</w:t>
            </w:r>
          </w:p>
        </w:tc>
      </w:tr>
      <w:tr w:rsidR="00137437" w:rsidRPr="008E58D2" w14:paraId="23F3EC57" w14:textId="77777777" w:rsidTr="00517042">
        <w:trPr>
          <w:gridAfter w:val="2"/>
          <w:wAfter w:w="323" w:type="dxa"/>
          <w:trHeight w:val="197"/>
        </w:trPr>
        <w:tc>
          <w:tcPr>
            <w:tcW w:w="1953" w:type="dxa"/>
            <w:tcBorders>
              <w:top w:val="nil"/>
              <w:left w:val="nil"/>
              <w:bottom w:val="single" w:sz="6" w:space="0" w:color="auto"/>
              <w:right w:val="nil"/>
            </w:tcBorders>
          </w:tcPr>
          <w:p w14:paraId="5B07EC01" w14:textId="77777777" w:rsidR="00137437" w:rsidRPr="008E58D2" w:rsidRDefault="00137437" w:rsidP="008E0221">
            <w:pPr>
              <w:widowControl w:val="0"/>
              <w:spacing w:line="240" w:lineRule="auto"/>
              <w:rPr>
                <w:rFonts w:cs="TimesLTStd-Roman"/>
                <w:iCs/>
                <w:color w:val="000000"/>
                <w:sz w:val="20"/>
                <w:szCs w:val="16"/>
              </w:rPr>
            </w:pPr>
          </w:p>
        </w:tc>
        <w:tc>
          <w:tcPr>
            <w:tcW w:w="1631" w:type="dxa"/>
            <w:gridSpan w:val="2"/>
            <w:tcBorders>
              <w:top w:val="nil"/>
              <w:left w:val="nil"/>
              <w:bottom w:val="single" w:sz="6" w:space="0" w:color="auto"/>
              <w:right w:val="nil"/>
            </w:tcBorders>
          </w:tcPr>
          <w:p w14:paraId="59F5D6BA" w14:textId="77777777" w:rsidR="00137437" w:rsidRPr="008E58D2" w:rsidRDefault="00137437" w:rsidP="008E0221">
            <w:pPr>
              <w:widowControl w:val="0"/>
              <w:spacing w:line="240" w:lineRule="auto"/>
              <w:rPr>
                <w:rFonts w:cs="TimesLTStd-Roman"/>
                <w:iCs/>
                <w:color w:val="000000"/>
                <w:sz w:val="20"/>
                <w:szCs w:val="16"/>
              </w:rPr>
            </w:pPr>
          </w:p>
        </w:tc>
        <w:tc>
          <w:tcPr>
            <w:tcW w:w="1160" w:type="dxa"/>
            <w:tcBorders>
              <w:top w:val="nil"/>
              <w:left w:val="nil"/>
              <w:bottom w:val="single" w:sz="6" w:space="0" w:color="auto"/>
              <w:right w:val="nil"/>
            </w:tcBorders>
          </w:tcPr>
          <w:p w14:paraId="473B7AC8" w14:textId="77777777" w:rsidR="00137437" w:rsidRPr="008E58D2" w:rsidRDefault="00137437" w:rsidP="008E0221">
            <w:pPr>
              <w:widowControl w:val="0"/>
              <w:spacing w:line="240" w:lineRule="auto"/>
              <w:rPr>
                <w:rFonts w:cs="TimesLTStd-Roman"/>
                <w:iCs/>
                <w:color w:val="000000"/>
                <w:sz w:val="20"/>
                <w:szCs w:val="16"/>
              </w:rPr>
            </w:pPr>
          </w:p>
        </w:tc>
        <w:tc>
          <w:tcPr>
            <w:tcW w:w="784" w:type="dxa"/>
            <w:tcBorders>
              <w:top w:val="nil"/>
              <w:left w:val="nil"/>
              <w:bottom w:val="single" w:sz="6" w:space="0" w:color="auto"/>
              <w:right w:val="nil"/>
            </w:tcBorders>
          </w:tcPr>
          <w:p w14:paraId="4FE222FF" w14:textId="77777777" w:rsidR="00137437" w:rsidRPr="008E58D2" w:rsidRDefault="00137437" w:rsidP="008E0221">
            <w:pPr>
              <w:widowControl w:val="0"/>
              <w:spacing w:line="240" w:lineRule="auto"/>
              <w:rPr>
                <w:rFonts w:cs="TimesLTStd-Roman"/>
                <w:iCs/>
                <w:color w:val="000000"/>
                <w:sz w:val="20"/>
                <w:szCs w:val="16"/>
              </w:rPr>
            </w:pPr>
          </w:p>
        </w:tc>
        <w:tc>
          <w:tcPr>
            <w:tcW w:w="1196" w:type="dxa"/>
            <w:gridSpan w:val="2"/>
            <w:tcBorders>
              <w:top w:val="nil"/>
              <w:left w:val="nil"/>
              <w:bottom w:val="single" w:sz="6" w:space="0" w:color="auto"/>
              <w:right w:val="nil"/>
            </w:tcBorders>
          </w:tcPr>
          <w:p w14:paraId="31657065" w14:textId="77777777" w:rsidR="00137437" w:rsidRPr="008E58D2" w:rsidRDefault="00137437" w:rsidP="008E0221">
            <w:pPr>
              <w:widowControl w:val="0"/>
              <w:spacing w:line="240" w:lineRule="auto"/>
              <w:rPr>
                <w:rFonts w:cs="TimesLTStd-Roman"/>
                <w:iCs/>
                <w:color w:val="000000"/>
                <w:sz w:val="20"/>
                <w:szCs w:val="16"/>
              </w:rPr>
            </w:pPr>
          </w:p>
        </w:tc>
        <w:tc>
          <w:tcPr>
            <w:tcW w:w="1273" w:type="dxa"/>
            <w:gridSpan w:val="2"/>
            <w:tcBorders>
              <w:top w:val="nil"/>
              <w:left w:val="nil"/>
              <w:bottom w:val="single" w:sz="6" w:space="0" w:color="auto"/>
              <w:right w:val="nil"/>
            </w:tcBorders>
          </w:tcPr>
          <w:p w14:paraId="1B95B1C7" w14:textId="77777777" w:rsidR="00137437" w:rsidRPr="008E58D2" w:rsidRDefault="00137437" w:rsidP="008E0221">
            <w:pPr>
              <w:widowControl w:val="0"/>
              <w:spacing w:line="240" w:lineRule="auto"/>
              <w:rPr>
                <w:rFonts w:cs="TimesLTStd-Roman"/>
                <w:iCs/>
                <w:color w:val="000000"/>
                <w:sz w:val="20"/>
                <w:szCs w:val="16"/>
              </w:rPr>
            </w:pPr>
          </w:p>
        </w:tc>
        <w:tc>
          <w:tcPr>
            <w:tcW w:w="2296" w:type="dxa"/>
            <w:gridSpan w:val="2"/>
            <w:tcBorders>
              <w:top w:val="nil"/>
              <w:left w:val="nil"/>
              <w:bottom w:val="single" w:sz="6" w:space="0" w:color="auto"/>
              <w:right w:val="nil"/>
            </w:tcBorders>
          </w:tcPr>
          <w:p w14:paraId="58D1E606" w14:textId="77777777" w:rsidR="00137437" w:rsidRPr="008E58D2" w:rsidRDefault="00137437" w:rsidP="008E0221">
            <w:pPr>
              <w:widowControl w:val="0"/>
              <w:spacing w:line="240" w:lineRule="auto"/>
              <w:rPr>
                <w:rFonts w:cs="TimesLTStd-Roman"/>
                <w:iCs/>
                <w:color w:val="000000"/>
                <w:sz w:val="20"/>
                <w:szCs w:val="16"/>
              </w:rPr>
            </w:pPr>
          </w:p>
        </w:tc>
        <w:tc>
          <w:tcPr>
            <w:tcW w:w="525" w:type="dxa"/>
            <w:tcBorders>
              <w:top w:val="nil"/>
              <w:left w:val="nil"/>
              <w:bottom w:val="single" w:sz="6" w:space="0" w:color="auto"/>
              <w:right w:val="nil"/>
            </w:tcBorders>
          </w:tcPr>
          <w:p w14:paraId="07726001" w14:textId="77777777" w:rsidR="00137437" w:rsidRPr="008E58D2" w:rsidRDefault="00137437" w:rsidP="008E0221">
            <w:pPr>
              <w:widowControl w:val="0"/>
              <w:spacing w:line="240" w:lineRule="auto"/>
              <w:rPr>
                <w:rFonts w:cs="TimesLTStd-Roman"/>
                <w:iCs/>
                <w:color w:val="000000"/>
                <w:sz w:val="20"/>
                <w:szCs w:val="16"/>
              </w:rPr>
            </w:pPr>
          </w:p>
        </w:tc>
        <w:tc>
          <w:tcPr>
            <w:tcW w:w="885" w:type="dxa"/>
            <w:tcBorders>
              <w:top w:val="nil"/>
              <w:left w:val="nil"/>
              <w:bottom w:val="single" w:sz="6" w:space="0" w:color="auto"/>
              <w:right w:val="nil"/>
            </w:tcBorders>
          </w:tcPr>
          <w:p w14:paraId="49D9C873" w14:textId="77777777" w:rsidR="00137437" w:rsidRPr="008E58D2" w:rsidRDefault="00137437" w:rsidP="008E0221">
            <w:pPr>
              <w:widowControl w:val="0"/>
              <w:spacing w:line="240" w:lineRule="auto"/>
              <w:rPr>
                <w:rFonts w:cs="TimesLTStd-Roman"/>
                <w:iCs/>
                <w:color w:val="000000"/>
                <w:sz w:val="20"/>
                <w:szCs w:val="16"/>
              </w:rPr>
            </w:pPr>
          </w:p>
        </w:tc>
        <w:tc>
          <w:tcPr>
            <w:tcW w:w="2820" w:type="dxa"/>
            <w:gridSpan w:val="2"/>
            <w:tcBorders>
              <w:top w:val="nil"/>
              <w:left w:val="nil"/>
              <w:bottom w:val="single" w:sz="6" w:space="0" w:color="auto"/>
              <w:right w:val="nil"/>
            </w:tcBorders>
          </w:tcPr>
          <w:p w14:paraId="42EBC58F" w14:textId="77777777" w:rsidR="00137437" w:rsidRPr="008E58D2" w:rsidRDefault="00137437" w:rsidP="008E0221">
            <w:pPr>
              <w:widowControl w:val="0"/>
              <w:spacing w:line="240" w:lineRule="auto"/>
              <w:rPr>
                <w:rFonts w:cs="TimesLTStd-Roman"/>
                <w:iCs/>
                <w:color w:val="000000"/>
                <w:sz w:val="20"/>
                <w:szCs w:val="16"/>
              </w:rPr>
            </w:pPr>
          </w:p>
        </w:tc>
        <w:tc>
          <w:tcPr>
            <w:tcW w:w="1088" w:type="dxa"/>
            <w:tcBorders>
              <w:top w:val="nil"/>
              <w:left w:val="nil"/>
              <w:bottom w:val="single" w:sz="6" w:space="0" w:color="auto"/>
              <w:right w:val="nil"/>
            </w:tcBorders>
          </w:tcPr>
          <w:p w14:paraId="6A06DA5C" w14:textId="77777777" w:rsidR="00137437" w:rsidRPr="008E58D2" w:rsidRDefault="00137437" w:rsidP="008E0221">
            <w:pPr>
              <w:widowControl w:val="0"/>
              <w:spacing w:line="240" w:lineRule="auto"/>
              <w:rPr>
                <w:rFonts w:cs="TimesLTStd-Roman"/>
                <w:iCs/>
                <w:color w:val="000000"/>
                <w:sz w:val="20"/>
                <w:szCs w:val="16"/>
              </w:rPr>
            </w:pPr>
          </w:p>
        </w:tc>
      </w:tr>
    </w:tbl>
    <w:p w14:paraId="2939A738" w14:textId="59047CD9" w:rsidR="00137437" w:rsidRPr="00137437" w:rsidRDefault="00137437" w:rsidP="00517042">
      <w:pPr>
        <w:widowControl w:val="0"/>
        <w:spacing w:line="240" w:lineRule="auto"/>
        <w:ind w:firstLine="0"/>
        <w:rPr>
          <w:rFonts w:cstheme="minorHAnsi"/>
          <w:color w:val="000000"/>
          <w:sz w:val="20"/>
          <w:szCs w:val="20"/>
          <w:lang w:val="en-US"/>
        </w:rPr>
      </w:pPr>
      <w:r w:rsidRPr="00517042">
        <w:rPr>
          <w:rFonts w:cs="TimesLTStd-Roman"/>
          <w:iCs/>
          <w:color w:val="000000"/>
          <w:sz w:val="20"/>
          <w:szCs w:val="16"/>
        </w:rPr>
        <w:t>*** p&lt;0.01, ** p&lt;0.05</w:t>
      </w:r>
      <w:proofErr w:type="gramStart"/>
      <w:r w:rsidRPr="00517042">
        <w:rPr>
          <w:rFonts w:cs="TimesLTStd-Roman"/>
          <w:iCs/>
          <w:color w:val="000000"/>
          <w:sz w:val="20"/>
          <w:szCs w:val="16"/>
        </w:rPr>
        <w:t>, ,</w:t>
      </w:r>
      <w:proofErr w:type="gramEnd"/>
      <w:r w:rsidRPr="00517042">
        <w:rPr>
          <w:rFonts w:cs="TimesLTStd-Roman"/>
          <w:iCs/>
          <w:color w:val="000000"/>
          <w:sz w:val="20"/>
          <w:szCs w:val="16"/>
        </w:rPr>
        <w:t xml:space="preserve">  Number of observations: 697</w:t>
      </w:r>
      <w:r w:rsidRPr="00137437">
        <w:rPr>
          <w:rFonts w:cstheme="minorHAnsi"/>
          <w:color w:val="000000"/>
          <w:sz w:val="20"/>
          <w:szCs w:val="20"/>
          <w:lang w:val="en-US"/>
        </w:rPr>
        <w:t xml:space="preserve"> </w:t>
      </w:r>
      <w:r w:rsidRPr="00137437">
        <w:rPr>
          <w:rFonts w:cstheme="minorHAnsi"/>
          <w:color w:val="000000"/>
          <w:sz w:val="20"/>
          <w:szCs w:val="20"/>
          <w:lang w:val="en-US"/>
        </w:rPr>
        <w:br w:type="page"/>
      </w:r>
    </w:p>
    <w:p w14:paraId="10336F60" w14:textId="77777777" w:rsidR="00137437" w:rsidRDefault="00137437" w:rsidP="00137437">
      <w:pPr>
        <w:spacing w:after="240"/>
        <w:ind w:firstLine="0"/>
        <w:rPr>
          <w:rFonts w:cstheme="minorHAnsi"/>
          <w:color w:val="000000"/>
          <w:lang w:val="en-US"/>
        </w:rPr>
        <w:sectPr w:rsidR="00137437" w:rsidSect="000C091F">
          <w:footerReference w:type="first" r:id="rId11"/>
          <w:pgSz w:w="15840" w:h="12240" w:orient="landscape"/>
          <w:pgMar w:top="1418" w:right="1418" w:bottom="1418" w:left="1418" w:header="720" w:footer="720" w:gutter="0"/>
          <w:cols w:space="708"/>
          <w:formProt w:val="0"/>
          <w:titlePg/>
          <w:docGrid w:linePitch="326"/>
        </w:sectPr>
      </w:pPr>
    </w:p>
    <w:p w14:paraId="56FCFC90" w14:textId="77777777" w:rsidR="00513A55" w:rsidRDefault="00513A55" w:rsidP="00582EC7">
      <w:pPr>
        <w:pStyle w:val="Heading2"/>
      </w:pPr>
      <w:bookmarkStart w:id="110" w:name="_Toc122697366"/>
      <w:r w:rsidRPr="0024689A">
        <w:lastRenderedPageBreak/>
        <w:t>Robustness check</w:t>
      </w:r>
      <w:bookmarkEnd w:id="110"/>
    </w:p>
    <w:p w14:paraId="4271F761" w14:textId="515AB236" w:rsidR="00513A55" w:rsidRDefault="00513A55" w:rsidP="001D5E45">
      <w:pPr>
        <w:ind w:firstLine="0"/>
        <w:rPr>
          <w:lang w:val="en-US"/>
        </w:rPr>
      </w:pPr>
    </w:p>
    <w:p w14:paraId="1F73A0C7" w14:textId="168FAEDE" w:rsidR="001D5E45" w:rsidRPr="00C17BB0" w:rsidRDefault="001D5E45" w:rsidP="001D5E45">
      <w:pPr>
        <w:ind w:firstLine="0"/>
        <w:rPr>
          <w:lang w:val="en-US"/>
        </w:rPr>
      </w:pPr>
      <w:r>
        <w:rPr>
          <w:lang w:val="en-US"/>
        </w:rPr>
        <w:t>In the following section the results of</w:t>
      </w:r>
      <w:r w:rsidR="005A5703">
        <w:rPr>
          <w:lang w:val="en-US"/>
        </w:rPr>
        <w:t xml:space="preserve"> the robustness check are shown,</w:t>
      </w:r>
      <w:r w:rsidR="006653E7">
        <w:rPr>
          <w:lang w:val="en-US"/>
        </w:rPr>
        <w:t xml:space="preserve"> </w:t>
      </w:r>
      <w:proofErr w:type="gramStart"/>
      <w:r w:rsidR="006653E7">
        <w:rPr>
          <w:lang w:val="en-US"/>
        </w:rPr>
        <w:t xml:space="preserve">examining </w:t>
      </w:r>
      <w:r w:rsidR="005A5703">
        <w:rPr>
          <w:lang w:val="en-US"/>
        </w:rPr>
        <w:t xml:space="preserve"> the</w:t>
      </w:r>
      <w:proofErr w:type="gramEnd"/>
      <w:r w:rsidR="005A5703" w:rsidRPr="005A5703">
        <w:rPr>
          <w:lang w:val="en-US"/>
        </w:rPr>
        <w:t xml:space="preserve"> relationship between UMP announcements and credit default swap (CDS) changes</w:t>
      </w:r>
      <w:r w:rsidR="006653E7">
        <w:rPr>
          <w:lang w:val="en-US"/>
        </w:rPr>
        <w:t>.</w:t>
      </w:r>
    </w:p>
    <w:p w14:paraId="462818E3" w14:textId="59813198" w:rsidR="00513A55" w:rsidRPr="006653E7" w:rsidRDefault="00513A55" w:rsidP="006653E7">
      <w:pPr>
        <w:pStyle w:val="Heading3"/>
      </w:pPr>
      <w:bookmarkStart w:id="111" w:name="_Toc122697367"/>
      <w:r w:rsidRPr="00EE5255">
        <w:t xml:space="preserve">Panel regression EMU </w:t>
      </w:r>
      <w:r>
        <w:t>–</w:t>
      </w:r>
      <w:r w:rsidRPr="00EE5255">
        <w:t xml:space="preserve"> </w:t>
      </w:r>
      <w:r>
        <w:t>CDS</w:t>
      </w:r>
      <w:bookmarkEnd w:id="111"/>
    </w:p>
    <w:p w14:paraId="0B4F8393" w14:textId="53E8819A" w:rsidR="00513A55" w:rsidRPr="0024689A" w:rsidRDefault="00513A55" w:rsidP="00513A55">
      <w:pPr>
        <w:spacing w:after="240"/>
        <w:ind w:firstLine="720"/>
        <w:rPr>
          <w:rFonts w:cstheme="minorHAnsi"/>
          <w:color w:val="000000"/>
          <w:lang w:val="en-US"/>
        </w:rPr>
      </w:pPr>
      <w:r w:rsidRPr="0024689A">
        <w:rPr>
          <w:rFonts w:cstheme="minorHAnsi"/>
          <w:color w:val="000000"/>
          <w:lang w:val="en-US"/>
        </w:rPr>
        <w:t xml:space="preserve">In Table </w:t>
      </w:r>
      <w:r w:rsidR="00D65D51">
        <w:rPr>
          <w:rFonts w:cstheme="minorHAnsi"/>
          <w:color w:val="000000"/>
          <w:lang w:val="en-US"/>
        </w:rPr>
        <w:t>7</w:t>
      </w:r>
      <w:r w:rsidRPr="0024689A">
        <w:rPr>
          <w:rFonts w:cstheme="minorHAnsi"/>
          <w:color w:val="000000"/>
          <w:lang w:val="en-US"/>
        </w:rPr>
        <w:t>, the panel regression predicting credit default swap changes is shown. This model includes all control and moderator variables. This study concludes that the dummy covering all ECB PEPP events (</w:t>
      </w:r>
      <w:proofErr w:type="spellStart"/>
      <w:r w:rsidRPr="0024689A">
        <w:rPr>
          <w:rFonts w:cstheme="minorHAnsi"/>
          <w:color w:val="000000"/>
          <w:lang w:val="en-US"/>
        </w:rPr>
        <w:t>dummy_special</w:t>
      </w:r>
      <w:proofErr w:type="spellEnd"/>
      <w:r w:rsidRPr="0024689A">
        <w:rPr>
          <w:rFonts w:cstheme="minorHAnsi"/>
          <w:color w:val="000000"/>
          <w:lang w:val="en-US"/>
        </w:rPr>
        <w:t xml:space="preserve">) significantly decreases the CDS spread for the whole sample of 10 European countries in the panel regression. </w:t>
      </w:r>
      <w:r>
        <w:rPr>
          <w:rFonts w:cstheme="minorHAnsi"/>
          <w:color w:val="000000"/>
          <w:lang w:val="en-US"/>
        </w:rPr>
        <w:t>In conclusion</w:t>
      </w:r>
      <w:r w:rsidRPr="0024689A">
        <w:rPr>
          <w:rFonts w:cstheme="minorHAnsi"/>
          <w:color w:val="000000"/>
          <w:lang w:val="en-US"/>
        </w:rPr>
        <w:t xml:space="preserve">, this study finds empirical support for Hypothesis 1, stating that ECB PEPP announcements </w:t>
      </w:r>
      <w:r>
        <w:rPr>
          <w:rFonts w:cstheme="minorHAnsi"/>
          <w:color w:val="000000"/>
          <w:lang w:val="en-US"/>
        </w:rPr>
        <w:t>had</w:t>
      </w:r>
      <w:r w:rsidRPr="0024689A">
        <w:rPr>
          <w:rFonts w:cstheme="minorHAnsi"/>
          <w:color w:val="000000"/>
          <w:lang w:val="en-US"/>
        </w:rPr>
        <w:t xml:space="preserve"> an immediate negative effect on the credit default swap spread. </w:t>
      </w:r>
    </w:p>
    <w:p w14:paraId="04776058" w14:textId="77777777" w:rsidR="00513A55" w:rsidRPr="0024689A" w:rsidRDefault="00513A55" w:rsidP="00513A55">
      <w:pPr>
        <w:spacing w:after="240"/>
        <w:ind w:firstLine="720"/>
        <w:rPr>
          <w:rFonts w:cstheme="minorHAnsi"/>
          <w:color w:val="000000"/>
          <w:lang w:val="en-US"/>
        </w:rPr>
      </w:pPr>
      <w:r w:rsidRPr="0024689A">
        <w:rPr>
          <w:rFonts w:cstheme="minorHAnsi"/>
          <w:color w:val="000000"/>
          <w:lang w:val="en-US"/>
        </w:rPr>
        <w:t>Concluding, the results indicate that the dummy variable representing all ECB PEPP events (</w:t>
      </w:r>
      <w:proofErr w:type="spellStart"/>
      <w:r w:rsidRPr="0024689A">
        <w:rPr>
          <w:rFonts w:cstheme="minorHAnsi"/>
          <w:color w:val="000000"/>
          <w:lang w:val="en-US"/>
        </w:rPr>
        <w:t>dummy_special</w:t>
      </w:r>
      <w:proofErr w:type="spellEnd"/>
      <w:r w:rsidRPr="0024689A">
        <w:rPr>
          <w:rFonts w:cstheme="minorHAnsi"/>
          <w:color w:val="000000"/>
          <w:lang w:val="en-US"/>
        </w:rPr>
        <w:t>) significantly reduces the level of credit default swap changes in a sample of 10 European countries when analyzed using</w:t>
      </w:r>
      <w:r>
        <w:rPr>
          <w:rFonts w:cstheme="minorHAnsi"/>
          <w:color w:val="000000"/>
          <w:lang w:val="en-US"/>
        </w:rPr>
        <w:t xml:space="preserve"> a</w:t>
      </w:r>
      <w:r w:rsidRPr="0024689A">
        <w:rPr>
          <w:rFonts w:cstheme="minorHAnsi"/>
          <w:color w:val="000000"/>
          <w:lang w:val="en-US"/>
        </w:rPr>
        <w:t xml:space="preserve"> panel regression. This finding provides empirical support for Hypothesis (1) that ECB PEPP announcements have a negative impact on credit default swap spreads in the short term. Overall, these results suggest that ECB PEPP events have a measurable effect on financial markets in European countries.</w:t>
      </w:r>
    </w:p>
    <w:p w14:paraId="72B7BD73" w14:textId="77777777" w:rsidR="00513A55" w:rsidRPr="0024689A" w:rsidRDefault="00513A55" w:rsidP="00513A55">
      <w:pPr>
        <w:spacing w:after="240"/>
        <w:ind w:firstLine="720"/>
        <w:rPr>
          <w:rFonts w:cstheme="minorHAnsi"/>
          <w:color w:val="000000"/>
          <w:lang w:val="en-US"/>
        </w:rPr>
      </w:pPr>
      <w:r w:rsidRPr="0024689A">
        <w:rPr>
          <w:rFonts w:cstheme="minorHAnsi"/>
          <w:color w:val="000000"/>
          <w:lang w:val="en-US"/>
        </w:rPr>
        <w:t xml:space="preserve">Interestingly, after </w:t>
      </w:r>
      <w:r>
        <w:rPr>
          <w:rFonts w:cstheme="minorHAnsi"/>
          <w:color w:val="000000"/>
          <w:lang w:val="en-US"/>
        </w:rPr>
        <w:t>examining</w:t>
      </w:r>
      <w:r w:rsidRPr="0024689A">
        <w:rPr>
          <w:rFonts w:cstheme="minorHAnsi"/>
          <w:color w:val="000000"/>
          <w:lang w:val="en-US"/>
        </w:rPr>
        <w:t xml:space="preserve"> for a two-day delayed effect, there appears a significant positive effect</w:t>
      </w:r>
      <w:r>
        <w:rPr>
          <w:rFonts w:cstheme="minorHAnsi"/>
          <w:color w:val="000000"/>
          <w:lang w:val="en-US"/>
        </w:rPr>
        <w:t xml:space="preserve"> on sovereign bond yields</w:t>
      </w:r>
      <w:r w:rsidRPr="0024689A">
        <w:rPr>
          <w:rFonts w:cstheme="minorHAnsi"/>
          <w:color w:val="000000"/>
          <w:lang w:val="en-US"/>
        </w:rPr>
        <w:t xml:space="preserve">. So, there appears to be a sign reversal effect after two days, suggesting that the market initially reacts as hypothesized and CDS changes decrease, but after two days the market </w:t>
      </w:r>
      <w:r>
        <w:rPr>
          <w:rFonts w:cstheme="minorHAnsi"/>
          <w:color w:val="000000"/>
          <w:lang w:val="en-US"/>
        </w:rPr>
        <w:t>shows a different policy transmission</w:t>
      </w:r>
      <w:r w:rsidRPr="0024689A">
        <w:rPr>
          <w:rFonts w:cstheme="minorHAnsi"/>
          <w:color w:val="000000"/>
          <w:lang w:val="en-US"/>
        </w:rPr>
        <w:t>.</w:t>
      </w:r>
      <w:r>
        <w:rPr>
          <w:rFonts w:cstheme="minorHAnsi"/>
          <w:color w:val="000000"/>
          <w:lang w:val="en-US"/>
        </w:rPr>
        <w:t xml:space="preserve"> </w:t>
      </w:r>
      <w:r w:rsidRPr="00C9279F">
        <w:rPr>
          <w:rFonts w:cstheme="minorHAnsi"/>
          <w:color w:val="000000"/>
          <w:lang w:val="en-US"/>
        </w:rPr>
        <w:t>This study does not find significant empirical support for a one-day delayed effect on the financial market</w:t>
      </w:r>
      <w:r>
        <w:rPr>
          <w:rFonts w:cstheme="minorHAnsi"/>
          <w:color w:val="000000"/>
          <w:lang w:val="en-US"/>
        </w:rPr>
        <w:t>’s</w:t>
      </w:r>
      <w:r w:rsidRPr="00C9279F">
        <w:rPr>
          <w:rFonts w:cstheme="minorHAnsi"/>
          <w:color w:val="000000"/>
          <w:lang w:val="en-US"/>
        </w:rPr>
        <w:t xml:space="preserve"> reaction towards ECB </w:t>
      </w:r>
      <w:r w:rsidRPr="009640A0">
        <w:rPr>
          <w:rFonts w:cstheme="minorHAnsi"/>
          <w:lang w:val="en-US"/>
        </w:rPr>
        <w:t>announcements.</w:t>
      </w:r>
    </w:p>
    <w:p w14:paraId="0DEBC86F" w14:textId="77777777" w:rsidR="00513A55" w:rsidRDefault="00513A55" w:rsidP="00513A55">
      <w:pPr>
        <w:spacing w:after="240"/>
        <w:ind w:firstLine="720"/>
        <w:rPr>
          <w:rFonts w:cstheme="minorHAnsi"/>
          <w:color w:val="000000"/>
          <w:lang w:val="en-US"/>
        </w:rPr>
      </w:pPr>
      <w:r w:rsidRPr="0024689A">
        <w:rPr>
          <w:rFonts w:cstheme="minorHAnsi"/>
          <w:color w:val="000000"/>
          <w:lang w:val="en-US"/>
        </w:rPr>
        <w:t xml:space="preserve">The findings of this study suggest that the initial announcement of ECB policy measures may have the expected impact on the financial market, but this effect does not appear to be sustained over the </w:t>
      </w:r>
      <w:r>
        <w:rPr>
          <w:rFonts w:cstheme="minorHAnsi"/>
          <w:color w:val="000000"/>
          <w:lang w:val="en-US"/>
        </w:rPr>
        <w:t>following days</w:t>
      </w:r>
      <w:r w:rsidRPr="0024689A">
        <w:rPr>
          <w:rFonts w:cstheme="minorHAnsi"/>
          <w:color w:val="000000"/>
          <w:lang w:val="en-US"/>
        </w:rPr>
        <w:t>.</w:t>
      </w:r>
      <w:r>
        <w:rPr>
          <w:rFonts w:cstheme="minorHAnsi"/>
          <w:color w:val="000000"/>
          <w:lang w:val="en-US"/>
        </w:rPr>
        <w:t xml:space="preserve"> </w:t>
      </w:r>
      <w:r w:rsidRPr="009B5CA7">
        <w:rPr>
          <w:rFonts w:cstheme="minorHAnsi"/>
          <w:color w:val="000000"/>
          <w:lang w:val="en-US"/>
        </w:rPr>
        <w:t>These findings suggest that the initial reaction to ECB announcements may be an overreaction and that the market eventually readjusts by displaying an increase in yields</w:t>
      </w:r>
      <w:r>
        <w:rPr>
          <w:rFonts w:cstheme="minorHAnsi"/>
          <w:color w:val="000000"/>
          <w:lang w:val="en-US"/>
        </w:rPr>
        <w:t xml:space="preserve"> towards the UMP announcements</w:t>
      </w:r>
      <w:r w:rsidRPr="009B5CA7">
        <w:rPr>
          <w:rFonts w:cstheme="minorHAnsi"/>
          <w:color w:val="000000"/>
          <w:lang w:val="en-US"/>
        </w:rPr>
        <w:t xml:space="preserve"> after two days.</w:t>
      </w:r>
    </w:p>
    <w:p w14:paraId="29751448" w14:textId="77777777" w:rsidR="00513A55" w:rsidRDefault="00513A55" w:rsidP="00FE7FF4">
      <w:pPr>
        <w:pStyle w:val="Heading3"/>
      </w:pPr>
      <w:bookmarkStart w:id="112" w:name="_Toc122697368"/>
      <w:r w:rsidRPr="000529D2">
        <w:lastRenderedPageBreak/>
        <w:t>Panel regression – Core countries vs. Periphery countries</w:t>
      </w:r>
      <w:r>
        <w:t xml:space="preserve"> CDS</w:t>
      </w:r>
      <w:bookmarkEnd w:id="112"/>
    </w:p>
    <w:p w14:paraId="59874307" w14:textId="15C5A076" w:rsidR="00513A55" w:rsidRPr="0024689A" w:rsidRDefault="00513A55" w:rsidP="00513A55">
      <w:pPr>
        <w:spacing w:after="240"/>
        <w:ind w:firstLine="720"/>
        <w:rPr>
          <w:rFonts w:cstheme="minorHAnsi"/>
          <w:color w:val="000000"/>
          <w:lang w:val="en-US"/>
        </w:rPr>
      </w:pPr>
      <w:r w:rsidRPr="0024689A">
        <w:rPr>
          <w:rFonts w:cstheme="minorHAnsi"/>
          <w:color w:val="000000"/>
          <w:lang w:val="en-US"/>
        </w:rPr>
        <w:t xml:space="preserve">Analyzing Table </w:t>
      </w:r>
      <w:r w:rsidR="00D65D51">
        <w:rPr>
          <w:rFonts w:cstheme="minorHAnsi"/>
          <w:color w:val="000000"/>
          <w:lang w:val="en-US"/>
        </w:rPr>
        <w:t>8</w:t>
      </w:r>
      <w:r w:rsidRPr="0024689A">
        <w:rPr>
          <w:rFonts w:cstheme="minorHAnsi"/>
          <w:color w:val="000000"/>
          <w:lang w:val="en-US"/>
        </w:rPr>
        <w:t xml:space="preserve">, CDS model (1), </w:t>
      </w:r>
      <w:r>
        <w:rPr>
          <w:rFonts w:cstheme="minorHAnsi"/>
          <w:color w:val="000000"/>
          <w:lang w:val="en-US"/>
        </w:rPr>
        <w:t>Core countries</w:t>
      </w:r>
      <w:r w:rsidRPr="0024689A">
        <w:rPr>
          <w:rFonts w:cstheme="minorHAnsi"/>
          <w:color w:val="000000"/>
          <w:lang w:val="en-US"/>
        </w:rPr>
        <w:t xml:space="preserve"> </w:t>
      </w:r>
      <w:r>
        <w:rPr>
          <w:rFonts w:cstheme="minorHAnsi"/>
          <w:color w:val="000000"/>
          <w:lang w:val="en-US"/>
        </w:rPr>
        <w:t>sovereign bond yields seem</w:t>
      </w:r>
      <w:r w:rsidRPr="0024689A">
        <w:rPr>
          <w:rFonts w:cstheme="minorHAnsi"/>
          <w:color w:val="000000"/>
          <w:lang w:val="en-US"/>
        </w:rPr>
        <w:t xml:space="preserve"> to react immediately positive with regards towards yield reacting on the UMP announcement, </w:t>
      </w:r>
      <w:sdt>
        <w:sdtPr>
          <w:rPr>
            <w:rFonts w:cstheme="minorHAnsi"/>
            <w:color w:val="000000"/>
            <w:lang w:val="en-US"/>
          </w:rPr>
          <w:tag w:val="goog_rdk_26"/>
          <w:id w:val="1750160841"/>
        </w:sdtPr>
        <w:sdtContent/>
      </w:sdt>
      <w:r w:rsidRPr="0024689A">
        <w:rPr>
          <w:rFonts w:cstheme="minorHAnsi"/>
          <w:color w:val="000000"/>
          <w:lang w:val="en-US"/>
        </w:rPr>
        <w:t xml:space="preserve">however this reaction is not significant. The </w:t>
      </w:r>
      <w:r>
        <w:rPr>
          <w:rFonts w:cstheme="minorHAnsi"/>
          <w:color w:val="000000"/>
          <w:lang w:val="en-US"/>
        </w:rPr>
        <w:t>periphery countries</w:t>
      </w:r>
      <w:r w:rsidRPr="0024689A">
        <w:rPr>
          <w:rFonts w:cstheme="minorHAnsi"/>
          <w:color w:val="000000"/>
          <w:lang w:val="en-US"/>
        </w:rPr>
        <w:t xml:space="preserve">, model (2), do show a significant negative coefficient for the regressions, confirming hypothesis (3). Neither grouped countries show significant results for a one-day delayed effect. Interestingly, the effect seems to have a significant positive effect for </w:t>
      </w:r>
      <w:r>
        <w:rPr>
          <w:rFonts w:cstheme="minorHAnsi"/>
          <w:color w:val="000000"/>
          <w:lang w:val="en-US"/>
        </w:rPr>
        <w:t>Core countries</w:t>
      </w:r>
      <w:r w:rsidRPr="0024689A">
        <w:rPr>
          <w:rFonts w:cstheme="minorHAnsi"/>
          <w:color w:val="000000"/>
          <w:lang w:val="en-US"/>
        </w:rPr>
        <w:t xml:space="preserve"> after two days, when controlling for a double lagged variable (dummy_special_d2). Th</w:t>
      </w:r>
      <w:r>
        <w:rPr>
          <w:rFonts w:cstheme="minorHAnsi"/>
          <w:color w:val="000000"/>
          <w:lang w:val="en-US"/>
        </w:rPr>
        <w:t>e two-day delayed effect</w:t>
      </w:r>
      <w:r w:rsidRPr="0024689A">
        <w:rPr>
          <w:rFonts w:cstheme="minorHAnsi"/>
          <w:color w:val="000000"/>
          <w:lang w:val="en-US"/>
        </w:rPr>
        <w:t xml:space="preserve"> is not </w:t>
      </w:r>
      <w:r>
        <w:rPr>
          <w:rFonts w:cstheme="minorHAnsi"/>
          <w:color w:val="000000"/>
          <w:lang w:val="en-US"/>
        </w:rPr>
        <w:t>significantly shown for periphery countries</w:t>
      </w:r>
      <w:r w:rsidRPr="0024689A">
        <w:rPr>
          <w:rFonts w:cstheme="minorHAnsi"/>
          <w:color w:val="000000"/>
          <w:lang w:val="en-US"/>
        </w:rPr>
        <w:t xml:space="preserve">. </w:t>
      </w:r>
    </w:p>
    <w:p w14:paraId="3523556F" w14:textId="6204342F" w:rsidR="00513A55" w:rsidRDefault="00513A55" w:rsidP="00513A55">
      <w:pPr>
        <w:spacing w:after="240"/>
        <w:ind w:firstLine="720"/>
        <w:rPr>
          <w:rFonts w:cstheme="minorHAnsi"/>
          <w:color w:val="000000"/>
          <w:lang w:val="en-US"/>
        </w:rPr>
      </w:pPr>
      <w:r w:rsidRPr="0024689A">
        <w:rPr>
          <w:rFonts w:cstheme="minorHAnsi"/>
          <w:color w:val="000000"/>
          <w:lang w:val="en-US"/>
        </w:rPr>
        <w:t>The findings of this regression suggest that the initial announcement of ECB policy measures might not have an immediate</w:t>
      </w:r>
      <w:r>
        <w:rPr>
          <w:rFonts w:cstheme="minorHAnsi"/>
          <w:color w:val="000000"/>
          <w:lang w:val="en-US"/>
        </w:rPr>
        <w:t xml:space="preserve"> significant</w:t>
      </w:r>
      <w:r w:rsidRPr="0024689A">
        <w:rPr>
          <w:rFonts w:cstheme="minorHAnsi"/>
          <w:color w:val="000000"/>
          <w:lang w:val="en-US"/>
        </w:rPr>
        <w:t xml:space="preserve"> impact on the financial markets for </w:t>
      </w:r>
      <w:r>
        <w:rPr>
          <w:rFonts w:cstheme="minorHAnsi"/>
          <w:color w:val="000000"/>
          <w:lang w:val="en-US"/>
        </w:rPr>
        <w:t>Core countries</w:t>
      </w:r>
      <w:r w:rsidRPr="0024689A">
        <w:rPr>
          <w:rFonts w:cstheme="minorHAnsi"/>
          <w:color w:val="000000"/>
          <w:lang w:val="en-US"/>
        </w:rPr>
        <w:t xml:space="preserve">. Instead, after two days, it appears that the market adjusts its outlook to a more negative view as it becomes clear that the </w:t>
      </w:r>
      <w:r w:rsidR="0053411C">
        <w:rPr>
          <w:rFonts w:cstheme="minorHAnsi"/>
          <w:color w:val="000000"/>
          <w:lang w:val="en-US"/>
        </w:rPr>
        <w:t xml:space="preserve">CDS levels </w:t>
      </w:r>
      <w:r w:rsidRPr="0024689A">
        <w:rPr>
          <w:rFonts w:cstheme="minorHAnsi"/>
          <w:color w:val="000000"/>
          <w:lang w:val="en-US"/>
        </w:rPr>
        <w:t xml:space="preserve">did not significantly improve in </w:t>
      </w:r>
      <w:r w:rsidR="004E5C3F">
        <w:rPr>
          <w:rFonts w:cstheme="minorHAnsi"/>
          <w:color w:val="000000"/>
          <w:lang w:val="en-US"/>
        </w:rPr>
        <w:t>the following</w:t>
      </w:r>
      <w:r w:rsidR="0053411C">
        <w:rPr>
          <w:rFonts w:cstheme="minorHAnsi"/>
          <w:color w:val="000000"/>
          <w:lang w:val="en-US"/>
        </w:rPr>
        <w:t xml:space="preserve"> days</w:t>
      </w:r>
      <w:r w:rsidRPr="0024689A">
        <w:rPr>
          <w:rFonts w:cstheme="minorHAnsi"/>
          <w:color w:val="000000"/>
          <w:lang w:val="en-US"/>
        </w:rPr>
        <w:t>.</w:t>
      </w:r>
      <w:r>
        <w:rPr>
          <w:rFonts w:cstheme="minorHAnsi"/>
          <w:color w:val="000000"/>
          <w:lang w:val="en-US"/>
        </w:rPr>
        <w:t xml:space="preserve"> </w:t>
      </w:r>
      <w:r w:rsidRPr="00263560">
        <w:rPr>
          <w:rFonts w:cstheme="minorHAnsi"/>
          <w:color w:val="000000"/>
          <w:lang w:val="en-US"/>
        </w:rPr>
        <w:t xml:space="preserve">This suggests that the market may take some time to fully comprehend and react to announcements of unconventional monetary policy </w:t>
      </w:r>
      <w:r>
        <w:rPr>
          <w:rFonts w:cstheme="minorHAnsi"/>
          <w:color w:val="000000"/>
          <w:lang w:val="en-US"/>
        </w:rPr>
        <w:t xml:space="preserve">UMP </w:t>
      </w:r>
      <w:r w:rsidRPr="00263560">
        <w:rPr>
          <w:rFonts w:cstheme="minorHAnsi"/>
          <w:color w:val="000000"/>
          <w:lang w:val="en-US"/>
        </w:rPr>
        <w:t xml:space="preserve">measures by the </w:t>
      </w:r>
      <w:r>
        <w:rPr>
          <w:rFonts w:cstheme="minorHAnsi"/>
          <w:color w:val="000000"/>
          <w:lang w:val="en-US"/>
        </w:rPr>
        <w:t>ECB</w:t>
      </w:r>
      <w:r w:rsidR="0053411C">
        <w:rPr>
          <w:rFonts w:cstheme="minorHAnsi"/>
          <w:color w:val="000000"/>
          <w:lang w:val="en-US"/>
        </w:rPr>
        <w:t>.</w:t>
      </w:r>
      <w:r>
        <w:rPr>
          <w:rFonts w:cstheme="minorHAnsi"/>
          <w:color w:val="000000"/>
          <w:lang w:val="en-US"/>
        </w:rPr>
        <w:t xml:space="preserve"> </w:t>
      </w:r>
      <w:r w:rsidRPr="00263560">
        <w:rPr>
          <w:rFonts w:cstheme="minorHAnsi"/>
          <w:color w:val="000000"/>
          <w:lang w:val="en-US"/>
        </w:rPr>
        <w:t xml:space="preserve">On the day of the announcement, the market appears to interpret the implications of UMP differently. It seems that after a few days, there </w:t>
      </w:r>
      <w:proofErr w:type="gramStart"/>
      <w:r w:rsidRPr="00263560">
        <w:rPr>
          <w:rFonts w:cstheme="minorHAnsi"/>
          <w:color w:val="000000"/>
          <w:lang w:val="en-US"/>
        </w:rPr>
        <w:t>must</w:t>
      </w:r>
      <w:proofErr w:type="gramEnd"/>
      <w:r w:rsidRPr="00263560">
        <w:rPr>
          <w:rFonts w:cstheme="minorHAnsi"/>
          <w:color w:val="000000"/>
          <w:lang w:val="en-US"/>
        </w:rPr>
        <w:t xml:space="preserve"> be a renewed consensus in the market, which may depend on interactions between individuals and news articles that provide new interpretations of the direction of ECB policy. This delay in the transmission of the policy announcement to sovereign bond yields, and subsequently to </w:t>
      </w:r>
      <w:r>
        <w:rPr>
          <w:rFonts w:cstheme="minorHAnsi"/>
          <w:color w:val="000000"/>
          <w:lang w:val="en-US"/>
        </w:rPr>
        <w:t>CDS</w:t>
      </w:r>
      <w:r w:rsidRPr="00263560">
        <w:rPr>
          <w:rFonts w:cstheme="minorHAnsi"/>
          <w:color w:val="000000"/>
          <w:lang w:val="en-US"/>
        </w:rPr>
        <w:t xml:space="preserve"> changes, may explain why the market adjusts its outlook over time. This suggests that there may be a lag between the announcement of UMP measures and their full impact on financial markets.</w:t>
      </w:r>
    </w:p>
    <w:p w14:paraId="5652D2F4" w14:textId="7D91F356" w:rsidR="00137437" w:rsidRDefault="00137437" w:rsidP="00513A55">
      <w:pPr>
        <w:spacing w:after="240"/>
        <w:ind w:firstLine="720"/>
        <w:rPr>
          <w:rFonts w:cstheme="minorHAnsi"/>
          <w:color w:val="000000"/>
          <w:lang w:val="en-US"/>
        </w:rPr>
      </w:pPr>
    </w:p>
    <w:p w14:paraId="63313755" w14:textId="35AC9D84" w:rsidR="00137437" w:rsidRDefault="00137437" w:rsidP="00513A55">
      <w:pPr>
        <w:spacing w:after="240"/>
        <w:ind w:firstLine="720"/>
        <w:rPr>
          <w:rFonts w:cstheme="minorHAnsi"/>
          <w:color w:val="000000"/>
          <w:lang w:val="en-US"/>
        </w:rPr>
      </w:pPr>
    </w:p>
    <w:p w14:paraId="3A23B38F" w14:textId="3782BAE8" w:rsidR="00137437" w:rsidRDefault="00137437" w:rsidP="00513A55">
      <w:pPr>
        <w:spacing w:after="240"/>
        <w:ind w:firstLine="720"/>
        <w:rPr>
          <w:rFonts w:cstheme="minorHAnsi"/>
          <w:color w:val="000000"/>
          <w:lang w:val="en-US"/>
        </w:rPr>
      </w:pPr>
    </w:p>
    <w:p w14:paraId="2D49348B" w14:textId="77777777" w:rsidR="009D6410" w:rsidRDefault="009D6410" w:rsidP="00513A55">
      <w:pPr>
        <w:spacing w:after="240"/>
        <w:ind w:firstLine="720"/>
        <w:rPr>
          <w:rFonts w:cstheme="minorHAnsi"/>
          <w:color w:val="000000"/>
          <w:lang w:val="en-US"/>
        </w:rPr>
      </w:pPr>
    </w:p>
    <w:p w14:paraId="279160C3" w14:textId="77777777" w:rsidR="00513A55" w:rsidRDefault="00513A55" w:rsidP="00FE7FF4">
      <w:pPr>
        <w:pStyle w:val="Heading3"/>
      </w:pPr>
      <w:bookmarkStart w:id="113" w:name="_Toc122697369"/>
      <w:r w:rsidRPr="004B1F5D">
        <w:lastRenderedPageBreak/>
        <w:t xml:space="preserve">Country specific regressions – </w:t>
      </w:r>
      <w:r>
        <w:t>CDS</w:t>
      </w:r>
      <w:bookmarkEnd w:id="113"/>
    </w:p>
    <w:p w14:paraId="3A488F9A" w14:textId="5611661D" w:rsidR="009D6410" w:rsidRDefault="00513A55" w:rsidP="00513A55">
      <w:pPr>
        <w:spacing w:after="240"/>
        <w:ind w:firstLine="720"/>
        <w:rPr>
          <w:rFonts w:cstheme="minorHAnsi"/>
          <w:color w:val="000000"/>
          <w:lang w:val="en-US"/>
        </w:rPr>
      </w:pPr>
      <w:r>
        <w:rPr>
          <w:rFonts w:cstheme="minorHAnsi"/>
          <w:color w:val="000000"/>
          <w:lang w:val="en-US"/>
        </w:rPr>
        <w:t>T</w:t>
      </w:r>
      <w:r w:rsidRPr="00417F02">
        <w:rPr>
          <w:rFonts w:cstheme="minorHAnsi"/>
          <w:color w:val="000000"/>
          <w:lang w:val="en-US"/>
        </w:rPr>
        <w:t xml:space="preserve">able </w:t>
      </w:r>
      <w:r w:rsidR="00D65D51">
        <w:rPr>
          <w:rFonts w:cstheme="minorHAnsi"/>
          <w:color w:val="000000"/>
          <w:lang w:val="en-US"/>
        </w:rPr>
        <w:t>9</w:t>
      </w:r>
      <w:r w:rsidRPr="00417F02">
        <w:rPr>
          <w:rFonts w:cstheme="minorHAnsi"/>
          <w:color w:val="000000"/>
          <w:lang w:val="en-US"/>
        </w:rPr>
        <w:t xml:space="preserve"> shows the effects of unconventional monetary policy announcements on credit default swaps on an individual country level. The results seem to be inconsistent, and that the effect is </w:t>
      </w:r>
      <w:r w:rsidRPr="00FE7FF4">
        <w:rPr>
          <w:rFonts w:cstheme="minorHAnsi"/>
          <w:lang w:val="en-US"/>
        </w:rPr>
        <w:t xml:space="preserve">heterogeneous in sign reactions and non-significant, rejecting hypothesis (3). Due to a lack of discernible patterns, it is challenging to draw conclusions about the effects of UMP announcements on CDS for individual European </w:t>
      </w:r>
      <w:r w:rsidRPr="00417F02">
        <w:rPr>
          <w:rFonts w:cstheme="minorHAnsi"/>
          <w:color w:val="000000"/>
          <w:lang w:val="en-US"/>
        </w:rPr>
        <w:t>countries.</w:t>
      </w:r>
    </w:p>
    <w:p w14:paraId="20F53463" w14:textId="77777777" w:rsidR="009D6410" w:rsidRDefault="009D6410">
      <w:pPr>
        <w:spacing w:line="240" w:lineRule="auto"/>
        <w:ind w:firstLine="0"/>
        <w:jc w:val="left"/>
        <w:rPr>
          <w:rFonts w:cstheme="minorHAnsi"/>
          <w:color w:val="000000"/>
          <w:lang w:val="en-US"/>
        </w:rPr>
      </w:pPr>
      <w:r>
        <w:rPr>
          <w:rFonts w:cstheme="minorHAnsi"/>
          <w:color w:val="000000"/>
          <w:lang w:val="en-US"/>
        </w:rPr>
        <w:br w:type="page"/>
      </w:r>
    </w:p>
    <w:p w14:paraId="0CB9E728" w14:textId="3F39A533" w:rsidR="00513A55" w:rsidRDefault="00745214" w:rsidP="00513A55">
      <w:pPr>
        <w:pStyle w:val="Heading1"/>
      </w:pPr>
      <w:bookmarkStart w:id="114" w:name="_Toc122697370"/>
      <w:r>
        <w:lastRenderedPageBreak/>
        <w:t>Conclusion and discussion</w:t>
      </w:r>
      <w:bookmarkEnd w:id="114"/>
    </w:p>
    <w:p w14:paraId="52E5A5B3" w14:textId="193CC444" w:rsidR="00513A55" w:rsidRDefault="00513A55" w:rsidP="00E304EC">
      <w:pPr>
        <w:ind w:firstLine="576"/>
        <w:jc w:val="left"/>
      </w:pPr>
      <w:r>
        <w:t xml:space="preserve">The primary </w:t>
      </w:r>
      <w:r w:rsidRPr="004E5C3F">
        <w:t xml:space="preserve">purpose of this study was to examine how effective the unconventional monetary policy of the ECB stimulated the economy during the </w:t>
      </w:r>
      <w:r w:rsidR="004C51EF">
        <w:t>COVID-19</w:t>
      </w:r>
      <w:r w:rsidRPr="004E5C3F">
        <w:t xml:space="preserve"> pandemic by studying sovereign bond yield reactions of all EMU memb</w:t>
      </w:r>
      <w:r>
        <w:t xml:space="preserve">er countries. </w:t>
      </w:r>
    </w:p>
    <w:p w14:paraId="4B422C42" w14:textId="77777777" w:rsidR="00DD76E9" w:rsidRDefault="00DD76E9" w:rsidP="00DD76E9">
      <w:pPr>
        <w:jc w:val="left"/>
      </w:pPr>
    </w:p>
    <w:p w14:paraId="4F129865" w14:textId="77777777" w:rsidR="00513A55" w:rsidRDefault="00513A55" w:rsidP="00513A55">
      <w:pPr>
        <w:pStyle w:val="Heading2"/>
      </w:pPr>
      <w:bookmarkStart w:id="115" w:name="_Toc122697371"/>
      <w:r>
        <w:t>Main f</w:t>
      </w:r>
      <w:r w:rsidRPr="00A51392">
        <w:t>indings</w:t>
      </w:r>
      <w:bookmarkEnd w:id="115"/>
    </w:p>
    <w:p w14:paraId="176D48C4" w14:textId="77777777" w:rsidR="00513A55" w:rsidRPr="00201197" w:rsidRDefault="00513A55" w:rsidP="00513A55">
      <w:pPr>
        <w:rPr>
          <w:lang w:val="en-US"/>
        </w:rPr>
      </w:pPr>
    </w:p>
    <w:p w14:paraId="568D3429" w14:textId="77777777" w:rsidR="00513A55" w:rsidRDefault="00513A55" w:rsidP="00513A55">
      <w:pPr>
        <w:spacing w:after="240"/>
        <w:ind w:firstLine="720"/>
        <w:rPr>
          <w:rFonts w:cstheme="minorHAnsi"/>
          <w:color w:val="000000"/>
          <w:lang w:val="en-US"/>
        </w:rPr>
      </w:pPr>
      <w:r w:rsidRPr="003135E9">
        <w:rPr>
          <w:rFonts w:cstheme="minorHAnsi"/>
          <w:color w:val="000000"/>
          <w:lang w:val="en-US"/>
        </w:rPr>
        <w:t xml:space="preserve">This study shows there existed a significant positive relationship between the yield level and UMP announcement for the EMU. It is interesting to note that also when controlling for a delayed effect, this positive effect still existed and was significant. These findings are contrary </w:t>
      </w:r>
      <w:r>
        <w:rPr>
          <w:rFonts w:cstheme="minorHAnsi"/>
          <w:color w:val="000000"/>
          <w:lang w:val="en-US"/>
        </w:rPr>
        <w:t>to</w:t>
      </w:r>
      <w:r w:rsidRPr="003135E9">
        <w:rPr>
          <w:rFonts w:cstheme="minorHAnsi"/>
          <w:color w:val="000000"/>
          <w:lang w:val="en-US"/>
        </w:rPr>
        <w:t xml:space="preserve"> Hypothesis 1.</w:t>
      </w:r>
      <w:r>
        <w:rPr>
          <w:rFonts w:cstheme="minorHAnsi"/>
          <w:color w:val="000000"/>
          <w:lang w:val="en-US"/>
        </w:rPr>
        <w:t xml:space="preserve"> </w:t>
      </w:r>
      <w:r w:rsidRPr="003135E9">
        <w:rPr>
          <w:rFonts w:cstheme="minorHAnsi"/>
          <w:color w:val="000000"/>
          <w:lang w:val="en-US"/>
        </w:rPr>
        <w:t xml:space="preserve">Hypothesis 2 stated that sovereign long-term yields levels for individual EU countries decrease when the ECB announces UMP measures. Contrary to expectations, this study did not find a significant negative effect between countries. Results for individual country regression show heterogeneous non-significant results were found when studying </w:t>
      </w:r>
      <w:r>
        <w:rPr>
          <w:rFonts w:cstheme="minorHAnsi"/>
          <w:color w:val="000000"/>
          <w:lang w:val="en-US"/>
        </w:rPr>
        <w:t>sovereign yield changes</w:t>
      </w:r>
      <w:r w:rsidRPr="003135E9">
        <w:rPr>
          <w:rFonts w:cstheme="minorHAnsi"/>
          <w:color w:val="000000"/>
          <w:lang w:val="en-US"/>
        </w:rPr>
        <w:t xml:space="preserve"> at a country level. The present findings seem to be consistent with other research, which found it </w:t>
      </w:r>
      <w:r>
        <w:rPr>
          <w:rFonts w:cstheme="minorHAnsi"/>
          <w:color w:val="000000"/>
          <w:lang w:val="en-US"/>
        </w:rPr>
        <w:t>difficult to establish conclusive relations for U</w:t>
      </w:r>
      <w:r w:rsidRPr="003135E9">
        <w:rPr>
          <w:rFonts w:cstheme="minorHAnsi"/>
          <w:color w:val="000000"/>
          <w:lang w:val="en-US"/>
        </w:rPr>
        <w:t>MP announcement</w:t>
      </w:r>
      <w:r>
        <w:rPr>
          <w:rFonts w:cstheme="minorHAnsi"/>
          <w:color w:val="000000"/>
          <w:lang w:val="en-US"/>
        </w:rPr>
        <w:t>s</w:t>
      </w:r>
      <w:r w:rsidRPr="003135E9">
        <w:rPr>
          <w:rFonts w:cstheme="minorHAnsi"/>
          <w:color w:val="000000"/>
          <w:lang w:val="en-US"/>
        </w:rPr>
        <w:t xml:space="preserve"> on a country level. </w:t>
      </w:r>
      <w:r>
        <w:rPr>
          <w:rFonts w:cstheme="minorHAnsi"/>
          <w:color w:val="000000"/>
          <w:lang w:val="en-US"/>
        </w:rPr>
        <w:t>Previous</w:t>
      </w:r>
      <w:r w:rsidRPr="003135E9">
        <w:rPr>
          <w:rFonts w:cstheme="minorHAnsi"/>
          <w:color w:val="000000"/>
          <w:lang w:val="en-US"/>
        </w:rPr>
        <w:t xml:space="preserve"> research has noted the importance of categorizing countries in the EMU based on their average yield levels. As hypothesized this categorization between core countries and periphery countries should result in sovereign long-term yields decreasing stronger (less strong) for periphery (core) countries when the ECB announces UMP measures.</w:t>
      </w:r>
      <w:r>
        <w:rPr>
          <w:rFonts w:cstheme="minorHAnsi"/>
          <w:color w:val="000000"/>
          <w:lang w:val="en-US"/>
        </w:rPr>
        <w:t xml:space="preserve"> </w:t>
      </w:r>
    </w:p>
    <w:p w14:paraId="0216E223" w14:textId="77777777" w:rsidR="00513A55" w:rsidRDefault="00513A55" w:rsidP="00513A55">
      <w:pPr>
        <w:pStyle w:val="Heading2"/>
      </w:pPr>
      <w:bookmarkStart w:id="116" w:name="_Toc122697372"/>
      <w:r>
        <w:t>Interpretation of findings</w:t>
      </w:r>
      <w:bookmarkEnd w:id="116"/>
    </w:p>
    <w:p w14:paraId="42EE1901" w14:textId="77777777" w:rsidR="00513A55" w:rsidRPr="00201197" w:rsidRDefault="00513A55" w:rsidP="00513A55">
      <w:pPr>
        <w:rPr>
          <w:lang w:val="en-US"/>
        </w:rPr>
      </w:pPr>
    </w:p>
    <w:p w14:paraId="43420F5C" w14:textId="0706B9E0" w:rsidR="00513A55" w:rsidRDefault="00513A55" w:rsidP="00E304EC">
      <w:pPr>
        <w:ind w:firstLine="576"/>
        <w:jc w:val="left"/>
        <w:rPr>
          <w:rFonts w:cstheme="minorHAnsi"/>
          <w:color w:val="000000"/>
          <w:lang w:val="en-US"/>
        </w:rPr>
      </w:pPr>
      <w:r w:rsidRPr="00953910">
        <w:rPr>
          <w:rFonts w:cstheme="minorHAnsi"/>
          <w:color w:val="000000"/>
          <w:lang w:val="en-US"/>
        </w:rPr>
        <w:t xml:space="preserve">Overall, </w:t>
      </w:r>
      <w:r>
        <w:rPr>
          <w:rFonts w:cstheme="minorHAnsi"/>
          <w:color w:val="000000"/>
          <w:lang w:val="en-US"/>
        </w:rPr>
        <w:t>the</w:t>
      </w:r>
      <w:r w:rsidRPr="00953910">
        <w:rPr>
          <w:rFonts w:cstheme="minorHAnsi"/>
          <w:color w:val="000000"/>
          <w:lang w:val="en-US"/>
        </w:rPr>
        <w:t xml:space="preserve"> results suggest that the government sovereign bond markets may already be incorporating information about </w:t>
      </w:r>
      <w:r>
        <w:rPr>
          <w:rFonts w:cstheme="minorHAnsi"/>
          <w:color w:val="000000"/>
          <w:lang w:val="en-US"/>
        </w:rPr>
        <w:t>UMP</w:t>
      </w:r>
      <w:r w:rsidRPr="00953910">
        <w:rPr>
          <w:rFonts w:cstheme="minorHAnsi"/>
          <w:color w:val="000000"/>
          <w:lang w:val="en-US"/>
        </w:rPr>
        <w:t xml:space="preserve"> measures into their yields and bond prices before the</w:t>
      </w:r>
      <w:r>
        <w:rPr>
          <w:rFonts w:cstheme="minorHAnsi"/>
          <w:color w:val="000000"/>
          <w:lang w:val="en-US"/>
        </w:rPr>
        <w:t xml:space="preserve"> actual UMP</w:t>
      </w:r>
      <w:r w:rsidRPr="00953910">
        <w:rPr>
          <w:rFonts w:cstheme="minorHAnsi"/>
          <w:color w:val="000000"/>
          <w:lang w:val="en-US"/>
        </w:rPr>
        <w:t xml:space="preserve"> announcements </w:t>
      </w:r>
      <w:r>
        <w:rPr>
          <w:rFonts w:cstheme="minorHAnsi"/>
          <w:color w:val="000000"/>
          <w:lang w:val="en-US"/>
        </w:rPr>
        <w:t>were</w:t>
      </w:r>
      <w:r w:rsidRPr="00953910">
        <w:rPr>
          <w:rFonts w:cstheme="minorHAnsi"/>
          <w:color w:val="000000"/>
          <w:lang w:val="en-US"/>
        </w:rPr>
        <w:t xml:space="preserve"> made. This suggests that the market can accurately anticipate the outcomes of ECB announcements, with a margin of error small enough to prevent statistically significant market fluctuations. This finding is supported by our analysis at both the aggregate and group level (core countries vs. periphery countries).</w:t>
      </w:r>
      <w:r w:rsidR="00477706">
        <w:rPr>
          <w:rFonts w:cstheme="minorHAnsi"/>
          <w:color w:val="000000"/>
          <w:lang w:val="en-US"/>
        </w:rPr>
        <w:t xml:space="preserve"> </w:t>
      </w:r>
      <w:r>
        <w:rPr>
          <w:rFonts w:cstheme="minorHAnsi"/>
          <w:color w:val="000000"/>
          <w:lang w:val="en-US"/>
        </w:rPr>
        <w:t>On a country level, i</w:t>
      </w:r>
      <w:r w:rsidRPr="00953910">
        <w:rPr>
          <w:rFonts w:cstheme="minorHAnsi"/>
          <w:color w:val="000000"/>
          <w:lang w:val="en-US"/>
        </w:rPr>
        <w:t xml:space="preserve">t is also possible that UMP announcements may be difficult for individual financial markets to process, </w:t>
      </w:r>
      <w:r w:rsidRPr="00953910">
        <w:rPr>
          <w:rFonts w:cstheme="minorHAnsi"/>
          <w:color w:val="000000"/>
          <w:lang w:val="en-US"/>
        </w:rPr>
        <w:lastRenderedPageBreak/>
        <w:t xml:space="preserve">especially if financial markets are interconnected. </w:t>
      </w:r>
      <w:r w:rsidR="0078645C">
        <w:rPr>
          <w:rFonts w:cstheme="minorHAnsi"/>
          <w:color w:val="000000"/>
          <w:lang w:val="en-US"/>
        </w:rPr>
        <w:t>If markets are interconnected and country dynamics are not synced, t</w:t>
      </w:r>
      <w:r w:rsidR="001A3411">
        <w:rPr>
          <w:rFonts w:cstheme="minorHAnsi"/>
          <w:color w:val="000000"/>
          <w:lang w:val="en-US"/>
        </w:rPr>
        <w:t xml:space="preserve">his can hint </w:t>
      </w:r>
      <w:r w:rsidR="008E522D">
        <w:rPr>
          <w:rFonts w:cstheme="minorHAnsi"/>
          <w:color w:val="000000"/>
          <w:lang w:val="en-US"/>
        </w:rPr>
        <w:t xml:space="preserve">and question </w:t>
      </w:r>
      <w:r w:rsidR="001A3411">
        <w:rPr>
          <w:rFonts w:cstheme="minorHAnsi"/>
          <w:color w:val="000000"/>
          <w:lang w:val="en-US"/>
        </w:rPr>
        <w:t>a disunity or fragmentation</w:t>
      </w:r>
      <w:r w:rsidR="00254564">
        <w:rPr>
          <w:rFonts w:cstheme="minorHAnsi"/>
          <w:color w:val="000000"/>
          <w:lang w:val="en-US"/>
        </w:rPr>
        <w:t xml:space="preserve"> within the EMU. </w:t>
      </w:r>
    </w:p>
    <w:p w14:paraId="58541EA7" w14:textId="77777777" w:rsidR="00513A55" w:rsidRDefault="00513A55" w:rsidP="00513A55">
      <w:pPr>
        <w:ind w:firstLine="0"/>
        <w:jc w:val="left"/>
        <w:rPr>
          <w:rFonts w:cstheme="minorHAnsi"/>
          <w:color w:val="000000"/>
          <w:lang w:val="en-US"/>
        </w:rPr>
      </w:pPr>
    </w:p>
    <w:p w14:paraId="2E28CB87" w14:textId="580F48D0" w:rsidR="00513A55" w:rsidRDefault="00513A55" w:rsidP="00513A55">
      <w:pPr>
        <w:pStyle w:val="Heading2"/>
      </w:pPr>
      <w:bookmarkStart w:id="117" w:name="_Toc122697373"/>
      <w:r>
        <w:t xml:space="preserve">Policy </w:t>
      </w:r>
      <w:r w:rsidR="0007629B">
        <w:t>i</w:t>
      </w:r>
      <w:r>
        <w:t>mplications for ECB</w:t>
      </w:r>
      <w:bookmarkEnd w:id="117"/>
      <w:r>
        <w:t xml:space="preserve"> </w:t>
      </w:r>
    </w:p>
    <w:p w14:paraId="6E14D23B" w14:textId="77777777" w:rsidR="00513A55" w:rsidRPr="00201197" w:rsidRDefault="00513A55" w:rsidP="00513A55">
      <w:pPr>
        <w:rPr>
          <w:lang w:val="en-US"/>
        </w:rPr>
      </w:pPr>
    </w:p>
    <w:p w14:paraId="2FD2199F" w14:textId="6D00DA0C" w:rsidR="00513A55" w:rsidRPr="00945E10" w:rsidRDefault="00513A55" w:rsidP="00513A55">
      <w:pPr>
        <w:ind w:firstLine="720"/>
        <w:jc w:val="left"/>
      </w:pPr>
      <w:r w:rsidRPr="00953910">
        <w:t xml:space="preserve">The ECB should examine the transmission of monetary policy more closely, given that its current announcements do not seem to have the expected effect of decreasing yields after the announcement, but </w:t>
      </w:r>
      <w:r>
        <w:t>rather the opposite. It is important for the ECB to understand how and when its communication of policy influences the market to effectively implement its monetary policy. Increased sovereign yields following announcements of UMP measures may indicate rising inflation expectations or tightened credit conditions, which can have negative implications for the economy. To address this issue, the ECB could consider altering the content of its UMP announcements</w:t>
      </w:r>
      <w:r w:rsidR="00716D8C">
        <w:t xml:space="preserve">. By addressing </w:t>
      </w:r>
      <w:r w:rsidR="00121F53">
        <w:t>above mentioned</w:t>
      </w:r>
      <w:r w:rsidR="00716D8C">
        <w:t xml:space="preserve"> concerns, such as: rising inflation expectations or tightened credit conditions,</w:t>
      </w:r>
      <w:r w:rsidR="002412C1">
        <w:t xml:space="preserve"> within the announcement made of new UMP measures. </w:t>
      </w:r>
      <w:r>
        <w:t>By doing so, the ECB may be able to prevent such outcomes from occurring and improve the effectiveness of its monetary policy.</w:t>
      </w:r>
      <w:r w:rsidR="00B45CCE">
        <w:t xml:space="preserve"> </w:t>
      </w:r>
    </w:p>
    <w:p w14:paraId="34D50A8E" w14:textId="77777777" w:rsidR="00513A55" w:rsidRDefault="00513A55" w:rsidP="00513A55">
      <w:pPr>
        <w:pStyle w:val="Heading2"/>
      </w:pPr>
      <w:bookmarkStart w:id="118" w:name="_Toc122697374"/>
      <w:r>
        <w:t>Limitations</w:t>
      </w:r>
      <w:bookmarkEnd w:id="118"/>
    </w:p>
    <w:p w14:paraId="6C02B616" w14:textId="77777777" w:rsidR="00513A55" w:rsidRPr="00201197" w:rsidRDefault="00513A55" w:rsidP="00513A55">
      <w:pPr>
        <w:rPr>
          <w:lang w:val="en-US"/>
        </w:rPr>
      </w:pPr>
    </w:p>
    <w:p w14:paraId="719E6050" w14:textId="34A60A2D" w:rsidR="00771245" w:rsidRDefault="00513A55" w:rsidP="00771245">
      <w:pPr>
        <w:spacing w:after="240"/>
        <w:ind w:firstLine="720"/>
        <w:rPr>
          <w:rFonts w:cstheme="minorHAnsi"/>
          <w:color w:val="000000"/>
          <w:lang w:val="en-US"/>
        </w:rPr>
      </w:pPr>
      <w:r w:rsidRPr="002C2900">
        <w:rPr>
          <w:rFonts w:cstheme="minorHAnsi"/>
          <w:color w:val="000000"/>
          <w:lang w:val="en-US"/>
        </w:rPr>
        <w:t xml:space="preserve">It is important to note that this study has some limitations, one of which is that the </w:t>
      </w:r>
      <w:r w:rsidR="004C51EF">
        <w:rPr>
          <w:rFonts w:cstheme="minorHAnsi"/>
          <w:color w:val="000000"/>
          <w:lang w:val="en-US"/>
        </w:rPr>
        <w:t>ECB</w:t>
      </w:r>
      <w:r w:rsidRPr="002C2900">
        <w:rPr>
          <w:rFonts w:cstheme="minorHAnsi"/>
          <w:color w:val="000000"/>
          <w:lang w:val="en-US"/>
        </w:rPr>
        <w:t xml:space="preserve">'s measures related to the </w:t>
      </w:r>
      <w:r w:rsidR="004C51EF">
        <w:rPr>
          <w:rFonts w:cstheme="minorHAnsi"/>
          <w:color w:val="000000"/>
          <w:lang w:val="en-US"/>
        </w:rPr>
        <w:t>COVID-19</w:t>
      </w:r>
      <w:r w:rsidRPr="002C2900">
        <w:rPr>
          <w:rFonts w:cstheme="minorHAnsi"/>
          <w:color w:val="000000"/>
          <w:lang w:val="en-US"/>
        </w:rPr>
        <w:t xml:space="preserve"> pandemic are still in effect, making it difficult to fully assess their efficacy at this time. However, this study covers a significant </w:t>
      </w:r>
      <w:proofErr w:type="gramStart"/>
      <w:r w:rsidRPr="002C2900">
        <w:rPr>
          <w:rFonts w:cstheme="minorHAnsi"/>
          <w:color w:val="000000"/>
          <w:lang w:val="en-US"/>
        </w:rPr>
        <w:t>period of time</w:t>
      </w:r>
      <w:proofErr w:type="gramEnd"/>
      <w:r w:rsidRPr="002C2900">
        <w:rPr>
          <w:rFonts w:cstheme="minorHAnsi"/>
          <w:color w:val="000000"/>
          <w:lang w:val="en-US"/>
        </w:rPr>
        <w:t xml:space="preserve">, spanning two and a half years starting in March 2020 and ending prior to the planned termination of the PEPP in early 2023. While the study does not consider other programs such as Long-term Refinancing Operations (LTROs), it does focus on the most influential asset purchase program implemented during the </w:t>
      </w:r>
      <w:r w:rsidR="004C51EF">
        <w:rPr>
          <w:rFonts w:cstheme="minorHAnsi"/>
          <w:color w:val="000000"/>
          <w:lang w:val="en-US"/>
        </w:rPr>
        <w:t>COVID-19</w:t>
      </w:r>
      <w:r w:rsidRPr="002C2900">
        <w:rPr>
          <w:rFonts w:cstheme="minorHAnsi"/>
          <w:color w:val="000000"/>
          <w:lang w:val="en-US"/>
        </w:rPr>
        <w:t xml:space="preserve"> pandemic, the PEPP. </w:t>
      </w:r>
    </w:p>
    <w:p w14:paraId="677A137C" w14:textId="77777777" w:rsidR="00771245" w:rsidRDefault="00771245" w:rsidP="00771245">
      <w:pPr>
        <w:spacing w:after="240"/>
        <w:ind w:firstLine="720"/>
        <w:rPr>
          <w:rFonts w:cstheme="minorHAnsi"/>
        </w:rPr>
      </w:pPr>
      <w:r w:rsidRPr="00771245">
        <w:rPr>
          <w:rFonts w:cstheme="minorHAnsi"/>
        </w:rPr>
        <w:t xml:space="preserve">It is important to note that this study is based in Europe and the results may not necessarily be representative of the global market. As unconventional monetary policies are becoming relevant worldwide, it would be valuable to conduct similar studies in other regions, such as Asia, Africa, and South America, </w:t>
      </w:r>
      <w:proofErr w:type="gramStart"/>
      <w:r w:rsidRPr="00771245">
        <w:rPr>
          <w:rFonts w:cstheme="minorHAnsi"/>
        </w:rPr>
        <w:t>in order to</w:t>
      </w:r>
      <w:proofErr w:type="gramEnd"/>
      <w:r w:rsidRPr="00771245">
        <w:rPr>
          <w:rFonts w:cstheme="minorHAnsi"/>
        </w:rPr>
        <w:t xml:space="preserve"> create a more comprehensive understanding of the effects of UMP on foreign yield reactions across the globe. While the findings of this study </w:t>
      </w:r>
      <w:r w:rsidRPr="00771245">
        <w:rPr>
          <w:rFonts w:cstheme="minorHAnsi"/>
        </w:rPr>
        <w:lastRenderedPageBreak/>
        <w:t>may not be directly applicable to other regions, they can still serve as a useful reference point and guide for further research into the impact of unconventional monetary policy measures in other parts of the world.</w:t>
      </w:r>
    </w:p>
    <w:p w14:paraId="7EAF70A2" w14:textId="384AD73D" w:rsidR="00513A55" w:rsidRDefault="00513A55" w:rsidP="00771245">
      <w:pPr>
        <w:pStyle w:val="Heading2"/>
      </w:pPr>
      <w:bookmarkStart w:id="119" w:name="_Toc122697375"/>
      <w:r w:rsidRPr="00945E10">
        <w:t>Future research</w:t>
      </w:r>
      <w:bookmarkEnd w:id="119"/>
    </w:p>
    <w:p w14:paraId="2A3022BE" w14:textId="77777777" w:rsidR="00771245" w:rsidRPr="00771245" w:rsidRDefault="00771245" w:rsidP="00771245">
      <w:pPr>
        <w:rPr>
          <w:lang w:val="en-US"/>
        </w:rPr>
      </w:pPr>
    </w:p>
    <w:p w14:paraId="0D702763" w14:textId="77777777" w:rsidR="00513A55" w:rsidRDefault="00513A55" w:rsidP="00513A55">
      <w:pPr>
        <w:spacing w:after="240"/>
        <w:ind w:firstLine="720"/>
        <w:rPr>
          <w:rFonts w:cstheme="minorHAnsi"/>
          <w:color w:val="000000"/>
          <w:lang w:val="en-US"/>
        </w:rPr>
      </w:pPr>
      <w:r w:rsidRPr="00771245">
        <w:t>There are several ways that we envision the findings of this study can be extended. On</w:t>
      </w:r>
      <w:r w:rsidRPr="00771245">
        <w:rPr>
          <w:rFonts w:cstheme="minorHAnsi"/>
          <w:lang w:val="en-US"/>
        </w:rPr>
        <w:t xml:space="preserve">e </w:t>
      </w:r>
      <w:r w:rsidRPr="00F46073">
        <w:rPr>
          <w:rFonts w:cstheme="minorHAnsi"/>
          <w:color w:val="000000"/>
          <w:lang w:val="en-US"/>
        </w:rPr>
        <w:t>potential extension of this study would be to examine yield reactions the days before the official</w:t>
      </w:r>
      <w:r w:rsidRPr="003135E9">
        <w:rPr>
          <w:rFonts w:cstheme="minorHAnsi"/>
          <w:color w:val="000000"/>
          <w:lang w:val="en-US"/>
        </w:rPr>
        <w:t xml:space="preserve"> announcement date of unconventional monetary policy. By studying this </w:t>
      </w:r>
      <w:proofErr w:type="gramStart"/>
      <w:r w:rsidRPr="003135E9">
        <w:rPr>
          <w:rFonts w:cstheme="minorHAnsi"/>
          <w:color w:val="000000"/>
          <w:lang w:val="en-US"/>
        </w:rPr>
        <w:t>time period</w:t>
      </w:r>
      <w:proofErr w:type="gramEnd"/>
      <w:r w:rsidRPr="003135E9">
        <w:rPr>
          <w:rFonts w:cstheme="minorHAnsi"/>
          <w:color w:val="000000"/>
          <w:lang w:val="en-US"/>
        </w:rPr>
        <w:t>, it may be possible to identify the information that triggers investors to alter their yield expectations and analyze when information about a potential UMP arrives in the market. This could provide insights into how investors respond to UMP announcements and how they incorporate new information into their decision-making processes.</w:t>
      </w:r>
      <w:r>
        <w:rPr>
          <w:rFonts w:cstheme="minorHAnsi"/>
          <w:color w:val="000000"/>
          <w:lang w:val="en-US"/>
        </w:rPr>
        <w:t xml:space="preserve"> </w:t>
      </w:r>
    </w:p>
    <w:p w14:paraId="22A3C60D" w14:textId="77777777" w:rsidR="00513A55" w:rsidRPr="003135E9" w:rsidRDefault="00513A55" w:rsidP="00513A55">
      <w:pPr>
        <w:spacing w:after="240"/>
        <w:ind w:firstLine="720"/>
        <w:rPr>
          <w:rFonts w:cstheme="minorHAnsi"/>
          <w:color w:val="000000"/>
          <w:lang w:val="en-US"/>
        </w:rPr>
      </w:pPr>
      <w:r w:rsidRPr="003135E9">
        <w:rPr>
          <w:rFonts w:cstheme="minorHAnsi"/>
          <w:color w:val="000000"/>
          <w:lang w:val="en-US"/>
        </w:rPr>
        <w:t xml:space="preserve">Another extension could be the use of high-frequency data. Because this data captures changes in bond yields at a more granular level, this could be beneficial in studying the effects of unconventional monetary policy announcements on bond yields. High-frequency data allows for a more detailed analysis of the dynamics of bond yields in response to UMP announcements, providing a more complete picture of these effects. In addition, high-frequency data may be less prone to measurement error than daily data, which could help to reduce biases in the analysis. However, it is important to consider the potential challenges and limitations of using high-frequency data, </w:t>
      </w:r>
      <w:r w:rsidRPr="00771245">
        <w:rPr>
          <w:rFonts w:cstheme="minorHAnsi"/>
          <w:lang w:val="en-US"/>
        </w:rPr>
        <w:t xml:space="preserve">such as the need for specialized econometric techniques and the potential availability of data, the latter being the main argument for this study not to use it. Furthermore, high-frequency data may lead to further insights into the liquidity implications of monetary policy announcements, such as bid and ask spread dynamics. </w:t>
      </w:r>
    </w:p>
    <w:p w14:paraId="7FF1A654" w14:textId="77777777" w:rsidR="00513A55" w:rsidRPr="003135E9" w:rsidRDefault="00513A55" w:rsidP="00513A55">
      <w:pPr>
        <w:spacing w:after="240"/>
        <w:ind w:firstLine="720"/>
        <w:rPr>
          <w:rFonts w:cstheme="minorHAnsi"/>
          <w:color w:val="000000"/>
          <w:lang w:val="en-US"/>
        </w:rPr>
      </w:pPr>
      <w:r w:rsidRPr="003135E9">
        <w:rPr>
          <w:rFonts w:cstheme="minorHAnsi"/>
          <w:color w:val="000000"/>
          <w:lang w:val="en-US"/>
        </w:rPr>
        <w:t xml:space="preserve">One area that warrants further investigation is the relationship between </w:t>
      </w:r>
      <w:r>
        <w:rPr>
          <w:rFonts w:cstheme="minorHAnsi"/>
          <w:color w:val="000000"/>
          <w:lang w:val="en-US"/>
        </w:rPr>
        <w:t>CDS</w:t>
      </w:r>
      <w:r w:rsidRPr="003135E9">
        <w:rPr>
          <w:rFonts w:cstheme="minorHAnsi"/>
          <w:color w:val="000000"/>
          <w:lang w:val="en-US"/>
        </w:rPr>
        <w:t xml:space="preserve"> and sovereign bond yields. Our research has yielded conflicting results when using CDS as a robustness test, indicating that the exact nature of the relationship is currently unclear. A deeper understanding of the transmission mechanisms between CDS and bond yields could provide valuable insights into how these financial instruments interact and how they are impacted by </w:t>
      </w:r>
      <w:r>
        <w:rPr>
          <w:rFonts w:cstheme="minorHAnsi"/>
          <w:color w:val="000000"/>
          <w:lang w:val="en-US"/>
        </w:rPr>
        <w:lastRenderedPageBreak/>
        <w:t>UMP</w:t>
      </w:r>
      <w:r w:rsidRPr="003135E9">
        <w:rPr>
          <w:rFonts w:cstheme="minorHAnsi"/>
          <w:color w:val="000000"/>
          <w:lang w:val="en-US"/>
        </w:rPr>
        <w:t xml:space="preserve"> announcements. This information could be useful for practitioners and policy makers in assessing the market implications of UMP announcements and making informed investment decisions.</w:t>
      </w:r>
    </w:p>
    <w:p w14:paraId="7486DAE6" w14:textId="695515AA" w:rsidR="00513A55" w:rsidRDefault="00513A55" w:rsidP="00513A55">
      <w:pPr>
        <w:spacing w:after="240"/>
        <w:ind w:firstLine="720"/>
        <w:rPr>
          <w:rFonts w:cstheme="minorHAnsi"/>
          <w:color w:val="000000"/>
          <w:lang w:val="en-US"/>
        </w:rPr>
      </w:pPr>
      <w:r w:rsidRPr="003135E9">
        <w:rPr>
          <w:rFonts w:cstheme="minorHAnsi"/>
          <w:color w:val="000000"/>
          <w:lang w:val="en-US"/>
        </w:rPr>
        <w:t>Finally, this research can be improved by using</w:t>
      </w:r>
      <w:r>
        <w:rPr>
          <w:rFonts w:cstheme="minorHAnsi"/>
          <w:color w:val="000000"/>
          <w:lang w:val="en-US"/>
        </w:rPr>
        <w:t xml:space="preserve"> mixed frequency estimation techniques like</w:t>
      </w:r>
      <w:r w:rsidRPr="003135E9">
        <w:rPr>
          <w:rFonts w:cstheme="minorHAnsi"/>
          <w:color w:val="000000"/>
          <w:lang w:val="en-US"/>
        </w:rPr>
        <w:t xml:space="preserve"> Mixed Data </w:t>
      </w:r>
      <w:r w:rsidRPr="00771245">
        <w:rPr>
          <w:rFonts w:cstheme="minorHAnsi"/>
          <w:lang w:val="en-US"/>
        </w:rPr>
        <w:t xml:space="preserve">Sampling (MIDAS) regressions. These tools </w:t>
      </w:r>
      <w:proofErr w:type="gramStart"/>
      <w:r w:rsidR="00771245" w:rsidRPr="00771245">
        <w:rPr>
          <w:rFonts w:cstheme="minorHAnsi"/>
          <w:lang w:val="en-US"/>
        </w:rPr>
        <w:t>allow</w:t>
      </w:r>
      <w:proofErr w:type="gramEnd"/>
      <w:r w:rsidR="00771245" w:rsidRPr="00771245">
        <w:rPr>
          <w:rFonts w:cstheme="minorHAnsi"/>
          <w:lang w:val="en-US"/>
        </w:rPr>
        <w:t xml:space="preserve"> </w:t>
      </w:r>
      <w:r w:rsidRPr="00771245">
        <w:rPr>
          <w:rFonts w:cstheme="minorHAnsi"/>
          <w:lang w:val="en-US"/>
        </w:rPr>
        <w:t xml:space="preserve">to incorporate information from lower-frequency data sources, such as quarterly or annual data when studying daily rates. </w:t>
      </w:r>
      <w:proofErr w:type="gramStart"/>
      <w:r w:rsidRPr="00771245">
        <w:rPr>
          <w:rFonts w:cstheme="minorHAnsi"/>
          <w:lang w:val="en-US"/>
        </w:rPr>
        <w:t>Thus</w:t>
      </w:r>
      <w:proofErr w:type="gramEnd"/>
      <w:r w:rsidRPr="00771245">
        <w:rPr>
          <w:rFonts w:cstheme="minorHAnsi"/>
          <w:lang w:val="en-US"/>
        </w:rPr>
        <w:t xml:space="preserve"> the information content of macroeconomic data can be fully harnessed when pitted against higher frequency measures like market responses. When </w:t>
      </w:r>
      <w:r w:rsidRPr="003135E9">
        <w:rPr>
          <w:rFonts w:cstheme="minorHAnsi"/>
          <w:color w:val="000000"/>
          <w:lang w:val="en-US"/>
        </w:rPr>
        <w:t xml:space="preserve">using this method, this research could control for among other inflation and GDP data, which can improve the overall prediction power of the models used. </w:t>
      </w:r>
    </w:p>
    <w:p w14:paraId="7488A974" w14:textId="77777777" w:rsidR="00513A55" w:rsidRDefault="00513A55" w:rsidP="00513A55">
      <w:pPr>
        <w:spacing w:line="240" w:lineRule="auto"/>
        <w:ind w:firstLine="0"/>
        <w:jc w:val="left"/>
        <w:rPr>
          <w:rFonts w:cstheme="minorHAnsi"/>
          <w:color w:val="000000"/>
          <w:lang w:val="en-US"/>
        </w:rPr>
      </w:pPr>
      <w:r>
        <w:rPr>
          <w:rFonts w:cstheme="minorHAnsi"/>
          <w:color w:val="000000"/>
          <w:lang w:val="en-US"/>
        </w:rPr>
        <w:br w:type="page"/>
      </w:r>
    </w:p>
    <w:p w14:paraId="72EE4D5B" w14:textId="6E8C7FC9" w:rsidR="005D2D75" w:rsidRDefault="0006771C" w:rsidP="00A72DF5">
      <w:pPr>
        <w:pStyle w:val="Heading1"/>
      </w:pPr>
      <w:bookmarkStart w:id="120" w:name="_Hlk121920133"/>
      <w:bookmarkStart w:id="121" w:name="_Toc122697376"/>
      <w:r w:rsidRPr="0064134A">
        <w:lastRenderedPageBreak/>
        <w:t>A</w:t>
      </w:r>
      <w:bookmarkStart w:id="122" w:name="_Hlk121920353"/>
      <w:r w:rsidRPr="0064134A">
        <w:t>ppendix</w:t>
      </w:r>
      <w:bookmarkEnd w:id="121"/>
    </w:p>
    <w:p w14:paraId="37FB3A84" w14:textId="07B426E6" w:rsidR="007164C4" w:rsidRPr="0057041A" w:rsidRDefault="009D6410" w:rsidP="007164C4">
      <w:pPr>
        <w:pStyle w:val="Heading2"/>
      </w:pPr>
      <w:bookmarkStart w:id="123" w:name="_Toc122697377"/>
      <w:bookmarkEnd w:id="120"/>
      <w:bookmarkEnd w:id="122"/>
      <w:r>
        <w:t>T</w:t>
      </w:r>
      <w:r w:rsidR="007164C4" w:rsidRPr="0057041A">
        <w:t xml:space="preserve">able </w:t>
      </w:r>
      <w:r w:rsidR="00D65D51">
        <w:t>7</w:t>
      </w:r>
      <w:bookmarkEnd w:id="123"/>
    </w:p>
    <w:p w14:paraId="3C00B96A" w14:textId="3992CEA5" w:rsidR="007164C4" w:rsidRDefault="007164C4" w:rsidP="007164C4">
      <w:pPr>
        <w:spacing w:line="240" w:lineRule="auto"/>
        <w:ind w:firstLine="0"/>
        <w:jc w:val="left"/>
      </w:pPr>
    </w:p>
    <w:p w14:paraId="500E697B" w14:textId="6279F4EC" w:rsidR="007B4B95" w:rsidRDefault="007B4B95" w:rsidP="007B4B95">
      <w:pPr>
        <w:pStyle w:val="Caption"/>
        <w:jc w:val="left"/>
      </w:pPr>
      <w:r w:rsidRPr="00BC2E42">
        <w:rPr>
          <w:lang w:val="en-GB"/>
        </w:rPr>
        <w:t xml:space="preserve">Table </w:t>
      </w:r>
      <w:r w:rsidR="00D65D51">
        <w:rPr>
          <w:lang w:val="en-GB"/>
        </w:rPr>
        <w:t>7</w:t>
      </w:r>
      <w:r>
        <w:rPr>
          <w:lang w:val="en-GB"/>
        </w:rPr>
        <w:t>.</w:t>
      </w:r>
      <w:r w:rsidRPr="00072E3C">
        <w:t xml:space="preserve"> </w:t>
      </w:r>
      <w:r w:rsidRPr="00216FBA">
        <w:t xml:space="preserve">Panel regression </w:t>
      </w:r>
      <w:r w:rsidRPr="00792271">
        <w:rPr>
          <w:lang w:val="en-GB"/>
        </w:rPr>
        <w:t>– European Monetary Union (</w:t>
      </w:r>
      <w:r>
        <w:rPr>
          <w:lang w:val="en-GB"/>
        </w:rPr>
        <w:t>Credit Default Swap)</w:t>
      </w:r>
    </w:p>
    <w:tbl>
      <w:tblPr>
        <w:tblW w:w="10269" w:type="dxa"/>
        <w:tblLayout w:type="fixed"/>
        <w:tblLook w:val="0000" w:firstRow="0" w:lastRow="0" w:firstColumn="0" w:lastColumn="0" w:noHBand="0" w:noVBand="0"/>
      </w:tblPr>
      <w:tblGrid>
        <w:gridCol w:w="2099"/>
        <w:gridCol w:w="28"/>
        <w:gridCol w:w="992"/>
        <w:gridCol w:w="709"/>
        <w:gridCol w:w="351"/>
        <w:gridCol w:w="1089"/>
        <w:gridCol w:w="1152"/>
        <w:gridCol w:w="101"/>
        <w:gridCol w:w="1435"/>
        <w:gridCol w:w="1469"/>
        <w:gridCol w:w="67"/>
        <w:gridCol w:w="777"/>
      </w:tblGrid>
      <w:tr w:rsidR="007164C4" w:rsidRPr="007B4B95" w14:paraId="7E36CABA" w14:textId="77777777" w:rsidTr="00506BFF">
        <w:trPr>
          <w:trHeight w:val="332"/>
        </w:trPr>
        <w:tc>
          <w:tcPr>
            <w:tcW w:w="2099" w:type="dxa"/>
            <w:tcBorders>
              <w:top w:val="single" w:sz="4" w:space="0" w:color="auto"/>
              <w:left w:val="nil"/>
              <w:bottom w:val="single" w:sz="8" w:space="0" w:color="auto"/>
              <w:right w:val="nil"/>
            </w:tcBorders>
          </w:tcPr>
          <w:p w14:paraId="02D5DAB9" w14:textId="77777777" w:rsidR="007164C4" w:rsidRPr="007B4B95" w:rsidRDefault="007164C4" w:rsidP="000D4D5C">
            <w:pPr>
              <w:widowControl w:val="0"/>
              <w:spacing w:line="240" w:lineRule="auto"/>
              <w:jc w:val="left"/>
              <w:rPr>
                <w:rFonts w:cs="TimesLTStd-Roman"/>
                <w:iCs/>
                <w:color w:val="000000"/>
                <w:sz w:val="20"/>
                <w:szCs w:val="16"/>
              </w:rPr>
            </w:pPr>
            <w:proofErr w:type="spellStart"/>
            <w:r w:rsidRPr="007B4B95">
              <w:rPr>
                <w:rFonts w:cs="TimesLTStd-Roman"/>
                <w:iCs/>
                <w:color w:val="000000"/>
                <w:sz w:val="20"/>
                <w:szCs w:val="16"/>
              </w:rPr>
              <w:t>cds_fd</w:t>
            </w:r>
            <w:proofErr w:type="spellEnd"/>
            <w:r w:rsidRPr="007B4B95">
              <w:rPr>
                <w:rFonts w:cs="TimesLTStd-Roman"/>
                <w:iCs/>
                <w:color w:val="000000"/>
                <w:sz w:val="20"/>
                <w:szCs w:val="16"/>
              </w:rPr>
              <w:t>_</w:t>
            </w:r>
          </w:p>
        </w:tc>
        <w:tc>
          <w:tcPr>
            <w:tcW w:w="1020" w:type="dxa"/>
            <w:gridSpan w:val="2"/>
            <w:tcBorders>
              <w:top w:val="single" w:sz="4" w:space="0" w:color="auto"/>
              <w:left w:val="nil"/>
              <w:bottom w:val="single" w:sz="8" w:space="0" w:color="auto"/>
              <w:right w:val="nil"/>
            </w:tcBorders>
          </w:tcPr>
          <w:p w14:paraId="61349C0F" w14:textId="0632324A"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Coef.</w:t>
            </w:r>
          </w:p>
        </w:tc>
        <w:tc>
          <w:tcPr>
            <w:tcW w:w="1060" w:type="dxa"/>
            <w:gridSpan w:val="2"/>
            <w:tcBorders>
              <w:top w:val="single" w:sz="4" w:space="0" w:color="auto"/>
              <w:left w:val="nil"/>
              <w:bottom w:val="single" w:sz="8" w:space="0" w:color="auto"/>
              <w:right w:val="nil"/>
            </w:tcBorders>
          </w:tcPr>
          <w:p w14:paraId="3A53D5C7" w14:textId="4EBFE79F" w:rsidR="007164C4" w:rsidRPr="007B4B95" w:rsidRDefault="007164C4" w:rsidP="000D4D5C">
            <w:pPr>
              <w:widowControl w:val="0"/>
              <w:spacing w:line="240" w:lineRule="auto"/>
              <w:jc w:val="center"/>
              <w:rPr>
                <w:rFonts w:cs="TimesLTStd-Roman"/>
                <w:iCs/>
                <w:color w:val="000000"/>
                <w:sz w:val="20"/>
                <w:szCs w:val="16"/>
              </w:rPr>
            </w:pPr>
            <w:proofErr w:type="spellStart"/>
            <w:proofErr w:type="gramStart"/>
            <w:r w:rsidRPr="007B4B95">
              <w:rPr>
                <w:rFonts w:cs="TimesLTStd-Roman"/>
                <w:iCs/>
                <w:color w:val="000000"/>
                <w:sz w:val="20"/>
                <w:szCs w:val="16"/>
              </w:rPr>
              <w:t>St.Err</w:t>
            </w:r>
            <w:proofErr w:type="spellEnd"/>
            <w:proofErr w:type="gramEnd"/>
            <w:r w:rsidRPr="007B4B95">
              <w:rPr>
                <w:rFonts w:cs="TimesLTStd-Roman"/>
                <w:iCs/>
                <w:color w:val="000000"/>
                <w:sz w:val="20"/>
                <w:szCs w:val="16"/>
              </w:rPr>
              <w:t>.</w:t>
            </w:r>
          </w:p>
        </w:tc>
        <w:tc>
          <w:tcPr>
            <w:tcW w:w="1089" w:type="dxa"/>
            <w:tcBorders>
              <w:top w:val="single" w:sz="4" w:space="0" w:color="auto"/>
              <w:left w:val="nil"/>
              <w:bottom w:val="single" w:sz="8" w:space="0" w:color="auto"/>
              <w:right w:val="nil"/>
            </w:tcBorders>
          </w:tcPr>
          <w:p w14:paraId="3D3CF41B" w14:textId="33259515"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t-value</w:t>
            </w:r>
          </w:p>
        </w:tc>
        <w:tc>
          <w:tcPr>
            <w:tcW w:w="1152" w:type="dxa"/>
            <w:tcBorders>
              <w:top w:val="single" w:sz="4" w:space="0" w:color="auto"/>
              <w:left w:val="nil"/>
              <w:bottom w:val="single" w:sz="8" w:space="0" w:color="auto"/>
              <w:right w:val="nil"/>
            </w:tcBorders>
          </w:tcPr>
          <w:p w14:paraId="666D8E37" w14:textId="43D503B2"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p-value</w:t>
            </w:r>
          </w:p>
        </w:tc>
        <w:tc>
          <w:tcPr>
            <w:tcW w:w="1536" w:type="dxa"/>
            <w:gridSpan w:val="2"/>
            <w:tcBorders>
              <w:top w:val="single" w:sz="4" w:space="0" w:color="auto"/>
              <w:left w:val="nil"/>
              <w:bottom w:val="single" w:sz="8" w:space="0" w:color="auto"/>
              <w:right w:val="nil"/>
            </w:tcBorders>
          </w:tcPr>
          <w:p w14:paraId="13F5CF17" w14:textId="5DFB9EED"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[95% Conf</w:t>
            </w:r>
          </w:p>
        </w:tc>
        <w:tc>
          <w:tcPr>
            <w:tcW w:w="1536" w:type="dxa"/>
            <w:gridSpan w:val="2"/>
            <w:tcBorders>
              <w:top w:val="single" w:sz="4" w:space="0" w:color="auto"/>
              <w:left w:val="nil"/>
              <w:bottom w:val="single" w:sz="8" w:space="0" w:color="auto"/>
              <w:right w:val="nil"/>
            </w:tcBorders>
          </w:tcPr>
          <w:p w14:paraId="5816698A" w14:textId="190CCD15"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Interval]</w:t>
            </w:r>
          </w:p>
        </w:tc>
        <w:tc>
          <w:tcPr>
            <w:tcW w:w="777" w:type="dxa"/>
            <w:tcBorders>
              <w:top w:val="single" w:sz="4" w:space="0" w:color="auto"/>
              <w:left w:val="nil"/>
              <w:bottom w:val="single" w:sz="8" w:space="0" w:color="auto"/>
              <w:right w:val="nil"/>
            </w:tcBorders>
          </w:tcPr>
          <w:p w14:paraId="6EDBB835" w14:textId="553C78A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Sig</w:t>
            </w:r>
          </w:p>
        </w:tc>
      </w:tr>
      <w:tr w:rsidR="007164C4" w:rsidRPr="007B4B95" w14:paraId="4FEB6BCF" w14:textId="77777777" w:rsidTr="00506BFF">
        <w:trPr>
          <w:trHeight w:val="342"/>
        </w:trPr>
        <w:tc>
          <w:tcPr>
            <w:tcW w:w="2099" w:type="dxa"/>
            <w:tcBorders>
              <w:top w:val="nil"/>
              <w:left w:val="nil"/>
              <w:bottom w:val="nil"/>
              <w:right w:val="nil"/>
            </w:tcBorders>
          </w:tcPr>
          <w:p w14:paraId="170C3CFB" w14:textId="77777777" w:rsidR="007164C4" w:rsidRPr="007B4B95" w:rsidRDefault="007164C4" w:rsidP="000D4D5C">
            <w:pPr>
              <w:widowControl w:val="0"/>
              <w:spacing w:line="240" w:lineRule="auto"/>
              <w:jc w:val="left"/>
              <w:rPr>
                <w:rFonts w:cs="TimesLTStd-Roman"/>
                <w:iCs/>
                <w:color w:val="000000"/>
                <w:sz w:val="20"/>
                <w:szCs w:val="16"/>
              </w:rPr>
            </w:pPr>
            <w:proofErr w:type="spellStart"/>
            <w:r w:rsidRPr="007B4B95">
              <w:rPr>
                <w:rFonts w:cs="TimesLTStd-Roman"/>
                <w:iCs/>
                <w:color w:val="000000"/>
                <w:sz w:val="20"/>
                <w:szCs w:val="16"/>
              </w:rPr>
              <w:t>dummy_special</w:t>
            </w:r>
            <w:proofErr w:type="spellEnd"/>
          </w:p>
        </w:tc>
        <w:tc>
          <w:tcPr>
            <w:tcW w:w="1020" w:type="dxa"/>
            <w:gridSpan w:val="2"/>
            <w:tcBorders>
              <w:top w:val="nil"/>
              <w:left w:val="nil"/>
              <w:bottom w:val="nil"/>
              <w:right w:val="nil"/>
            </w:tcBorders>
          </w:tcPr>
          <w:p w14:paraId="4B8C22F4"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-.653</w:t>
            </w:r>
          </w:p>
        </w:tc>
        <w:tc>
          <w:tcPr>
            <w:tcW w:w="1060" w:type="dxa"/>
            <w:gridSpan w:val="2"/>
            <w:tcBorders>
              <w:top w:val="nil"/>
              <w:left w:val="nil"/>
              <w:bottom w:val="nil"/>
              <w:right w:val="nil"/>
            </w:tcBorders>
          </w:tcPr>
          <w:p w14:paraId="5A25C634"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.192</w:t>
            </w:r>
          </w:p>
        </w:tc>
        <w:tc>
          <w:tcPr>
            <w:tcW w:w="1089" w:type="dxa"/>
            <w:tcBorders>
              <w:top w:val="nil"/>
              <w:left w:val="nil"/>
              <w:bottom w:val="nil"/>
              <w:right w:val="nil"/>
            </w:tcBorders>
          </w:tcPr>
          <w:p w14:paraId="76319161"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-3.40</w:t>
            </w:r>
          </w:p>
        </w:tc>
        <w:tc>
          <w:tcPr>
            <w:tcW w:w="1152" w:type="dxa"/>
            <w:tcBorders>
              <w:top w:val="nil"/>
              <w:left w:val="nil"/>
              <w:bottom w:val="nil"/>
              <w:right w:val="nil"/>
            </w:tcBorders>
          </w:tcPr>
          <w:p w14:paraId="66A323EE"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.001</w:t>
            </w:r>
          </w:p>
        </w:tc>
        <w:tc>
          <w:tcPr>
            <w:tcW w:w="1536" w:type="dxa"/>
            <w:gridSpan w:val="2"/>
            <w:tcBorders>
              <w:top w:val="nil"/>
              <w:left w:val="nil"/>
              <w:bottom w:val="nil"/>
              <w:right w:val="nil"/>
            </w:tcBorders>
          </w:tcPr>
          <w:p w14:paraId="1BA65EAB"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-1.029</w:t>
            </w:r>
          </w:p>
        </w:tc>
        <w:tc>
          <w:tcPr>
            <w:tcW w:w="1536" w:type="dxa"/>
            <w:gridSpan w:val="2"/>
            <w:tcBorders>
              <w:top w:val="nil"/>
              <w:left w:val="nil"/>
              <w:bottom w:val="nil"/>
              <w:right w:val="nil"/>
            </w:tcBorders>
          </w:tcPr>
          <w:p w14:paraId="588A8D9A"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-.277</w:t>
            </w:r>
          </w:p>
        </w:tc>
        <w:tc>
          <w:tcPr>
            <w:tcW w:w="777" w:type="dxa"/>
            <w:tcBorders>
              <w:top w:val="nil"/>
              <w:left w:val="nil"/>
              <w:bottom w:val="nil"/>
              <w:right w:val="nil"/>
            </w:tcBorders>
          </w:tcPr>
          <w:p w14:paraId="566731B9"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w:t>
            </w:r>
          </w:p>
        </w:tc>
      </w:tr>
      <w:tr w:rsidR="007164C4" w:rsidRPr="007B4B95" w14:paraId="24F094F5" w14:textId="77777777" w:rsidTr="00506BFF">
        <w:trPr>
          <w:trHeight w:val="342"/>
        </w:trPr>
        <w:tc>
          <w:tcPr>
            <w:tcW w:w="2099" w:type="dxa"/>
            <w:tcBorders>
              <w:top w:val="nil"/>
              <w:left w:val="nil"/>
              <w:bottom w:val="nil"/>
              <w:right w:val="nil"/>
            </w:tcBorders>
          </w:tcPr>
          <w:p w14:paraId="1593C9BB" w14:textId="77777777" w:rsidR="007164C4" w:rsidRPr="007B4B95" w:rsidRDefault="007164C4" w:rsidP="000D4D5C">
            <w:pPr>
              <w:widowControl w:val="0"/>
              <w:spacing w:line="240" w:lineRule="auto"/>
              <w:jc w:val="left"/>
              <w:rPr>
                <w:rFonts w:cs="TimesLTStd-Roman"/>
                <w:iCs/>
                <w:color w:val="000000"/>
                <w:sz w:val="20"/>
                <w:szCs w:val="16"/>
              </w:rPr>
            </w:pPr>
            <w:proofErr w:type="spellStart"/>
            <w:r w:rsidRPr="007B4B95">
              <w:rPr>
                <w:rFonts w:cs="TimesLTStd-Roman"/>
                <w:iCs/>
                <w:color w:val="000000"/>
                <w:sz w:val="20"/>
                <w:szCs w:val="16"/>
              </w:rPr>
              <w:t>dummy_special_d</w:t>
            </w:r>
            <w:proofErr w:type="spellEnd"/>
          </w:p>
        </w:tc>
        <w:tc>
          <w:tcPr>
            <w:tcW w:w="1020" w:type="dxa"/>
            <w:gridSpan w:val="2"/>
            <w:tcBorders>
              <w:top w:val="nil"/>
              <w:left w:val="nil"/>
              <w:bottom w:val="nil"/>
              <w:right w:val="nil"/>
            </w:tcBorders>
          </w:tcPr>
          <w:p w14:paraId="61AEC321"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-.03</w:t>
            </w:r>
          </w:p>
        </w:tc>
        <w:tc>
          <w:tcPr>
            <w:tcW w:w="1060" w:type="dxa"/>
            <w:gridSpan w:val="2"/>
            <w:tcBorders>
              <w:top w:val="nil"/>
              <w:left w:val="nil"/>
              <w:bottom w:val="nil"/>
              <w:right w:val="nil"/>
            </w:tcBorders>
          </w:tcPr>
          <w:p w14:paraId="0880ABAC"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.192</w:t>
            </w:r>
          </w:p>
        </w:tc>
        <w:tc>
          <w:tcPr>
            <w:tcW w:w="1089" w:type="dxa"/>
            <w:tcBorders>
              <w:top w:val="nil"/>
              <w:left w:val="nil"/>
              <w:bottom w:val="nil"/>
              <w:right w:val="nil"/>
            </w:tcBorders>
          </w:tcPr>
          <w:p w14:paraId="4B46A16D"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-0.15</w:t>
            </w:r>
          </w:p>
        </w:tc>
        <w:tc>
          <w:tcPr>
            <w:tcW w:w="1152" w:type="dxa"/>
            <w:tcBorders>
              <w:top w:val="nil"/>
              <w:left w:val="nil"/>
              <w:bottom w:val="nil"/>
              <w:right w:val="nil"/>
            </w:tcBorders>
          </w:tcPr>
          <w:p w14:paraId="6FABB86C"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.878</w:t>
            </w:r>
          </w:p>
        </w:tc>
        <w:tc>
          <w:tcPr>
            <w:tcW w:w="1536" w:type="dxa"/>
            <w:gridSpan w:val="2"/>
            <w:tcBorders>
              <w:top w:val="nil"/>
              <w:left w:val="nil"/>
              <w:bottom w:val="nil"/>
              <w:right w:val="nil"/>
            </w:tcBorders>
          </w:tcPr>
          <w:p w14:paraId="29CF01AB"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-.406</w:t>
            </w:r>
          </w:p>
        </w:tc>
        <w:tc>
          <w:tcPr>
            <w:tcW w:w="1536" w:type="dxa"/>
            <w:gridSpan w:val="2"/>
            <w:tcBorders>
              <w:top w:val="nil"/>
              <w:left w:val="nil"/>
              <w:bottom w:val="nil"/>
              <w:right w:val="nil"/>
            </w:tcBorders>
          </w:tcPr>
          <w:p w14:paraId="057FCF79"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.347</w:t>
            </w:r>
          </w:p>
        </w:tc>
        <w:tc>
          <w:tcPr>
            <w:tcW w:w="777" w:type="dxa"/>
            <w:tcBorders>
              <w:top w:val="nil"/>
              <w:left w:val="nil"/>
              <w:bottom w:val="nil"/>
              <w:right w:val="nil"/>
            </w:tcBorders>
          </w:tcPr>
          <w:p w14:paraId="1346F9FA" w14:textId="77777777" w:rsidR="007164C4" w:rsidRPr="007B4B95" w:rsidRDefault="007164C4" w:rsidP="000D4D5C">
            <w:pPr>
              <w:widowControl w:val="0"/>
              <w:spacing w:line="240" w:lineRule="auto"/>
              <w:jc w:val="center"/>
              <w:rPr>
                <w:rFonts w:cs="TimesLTStd-Roman"/>
                <w:iCs/>
                <w:color w:val="000000"/>
                <w:sz w:val="20"/>
                <w:szCs w:val="16"/>
              </w:rPr>
            </w:pPr>
          </w:p>
        </w:tc>
      </w:tr>
      <w:tr w:rsidR="007164C4" w:rsidRPr="007B4B95" w14:paraId="7EF90340" w14:textId="77777777" w:rsidTr="00506BFF">
        <w:trPr>
          <w:trHeight w:val="332"/>
        </w:trPr>
        <w:tc>
          <w:tcPr>
            <w:tcW w:w="2099" w:type="dxa"/>
            <w:tcBorders>
              <w:top w:val="nil"/>
              <w:left w:val="nil"/>
              <w:bottom w:val="nil"/>
              <w:right w:val="nil"/>
            </w:tcBorders>
          </w:tcPr>
          <w:p w14:paraId="3C8F4A21" w14:textId="77777777" w:rsidR="007164C4" w:rsidRPr="007B4B95" w:rsidRDefault="007164C4" w:rsidP="000D4D5C">
            <w:pPr>
              <w:widowControl w:val="0"/>
              <w:spacing w:line="240" w:lineRule="auto"/>
              <w:jc w:val="left"/>
              <w:rPr>
                <w:rFonts w:cs="TimesLTStd-Roman"/>
                <w:iCs/>
                <w:color w:val="000000"/>
                <w:sz w:val="20"/>
                <w:szCs w:val="16"/>
              </w:rPr>
            </w:pPr>
            <w:r w:rsidRPr="007B4B95">
              <w:rPr>
                <w:rFonts w:cs="TimesLTStd-Roman"/>
                <w:iCs/>
                <w:color w:val="000000"/>
                <w:sz w:val="20"/>
                <w:szCs w:val="16"/>
              </w:rPr>
              <w:t>dummy_special_d2</w:t>
            </w:r>
          </w:p>
        </w:tc>
        <w:tc>
          <w:tcPr>
            <w:tcW w:w="1020" w:type="dxa"/>
            <w:gridSpan w:val="2"/>
            <w:tcBorders>
              <w:top w:val="nil"/>
              <w:left w:val="nil"/>
              <w:bottom w:val="nil"/>
              <w:right w:val="nil"/>
            </w:tcBorders>
          </w:tcPr>
          <w:p w14:paraId="601BA6A2"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.503</w:t>
            </w:r>
          </w:p>
        </w:tc>
        <w:tc>
          <w:tcPr>
            <w:tcW w:w="1060" w:type="dxa"/>
            <w:gridSpan w:val="2"/>
            <w:tcBorders>
              <w:top w:val="nil"/>
              <w:left w:val="nil"/>
              <w:bottom w:val="nil"/>
              <w:right w:val="nil"/>
            </w:tcBorders>
          </w:tcPr>
          <w:p w14:paraId="1FD47C1B"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.19</w:t>
            </w:r>
          </w:p>
        </w:tc>
        <w:tc>
          <w:tcPr>
            <w:tcW w:w="1089" w:type="dxa"/>
            <w:tcBorders>
              <w:top w:val="nil"/>
              <w:left w:val="nil"/>
              <w:bottom w:val="nil"/>
              <w:right w:val="nil"/>
            </w:tcBorders>
          </w:tcPr>
          <w:p w14:paraId="35A9D6D3"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2.65</w:t>
            </w:r>
          </w:p>
        </w:tc>
        <w:tc>
          <w:tcPr>
            <w:tcW w:w="1152" w:type="dxa"/>
            <w:tcBorders>
              <w:top w:val="nil"/>
              <w:left w:val="nil"/>
              <w:bottom w:val="nil"/>
              <w:right w:val="nil"/>
            </w:tcBorders>
          </w:tcPr>
          <w:p w14:paraId="4FA32D46"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.008</w:t>
            </w:r>
          </w:p>
        </w:tc>
        <w:tc>
          <w:tcPr>
            <w:tcW w:w="1536" w:type="dxa"/>
            <w:gridSpan w:val="2"/>
            <w:tcBorders>
              <w:top w:val="nil"/>
              <w:left w:val="nil"/>
              <w:bottom w:val="nil"/>
              <w:right w:val="nil"/>
            </w:tcBorders>
          </w:tcPr>
          <w:p w14:paraId="420CC15A"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.131</w:t>
            </w:r>
          </w:p>
        </w:tc>
        <w:tc>
          <w:tcPr>
            <w:tcW w:w="1536" w:type="dxa"/>
            <w:gridSpan w:val="2"/>
            <w:tcBorders>
              <w:top w:val="nil"/>
              <w:left w:val="nil"/>
              <w:bottom w:val="nil"/>
              <w:right w:val="nil"/>
            </w:tcBorders>
          </w:tcPr>
          <w:p w14:paraId="7E627B40"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.876</w:t>
            </w:r>
          </w:p>
        </w:tc>
        <w:tc>
          <w:tcPr>
            <w:tcW w:w="777" w:type="dxa"/>
            <w:tcBorders>
              <w:top w:val="nil"/>
              <w:left w:val="nil"/>
              <w:bottom w:val="nil"/>
              <w:right w:val="nil"/>
            </w:tcBorders>
          </w:tcPr>
          <w:p w14:paraId="231F331F"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w:t>
            </w:r>
          </w:p>
        </w:tc>
      </w:tr>
      <w:tr w:rsidR="007164C4" w:rsidRPr="007B4B95" w14:paraId="5753654E" w14:textId="77777777" w:rsidTr="00506BFF">
        <w:trPr>
          <w:trHeight w:val="342"/>
        </w:trPr>
        <w:tc>
          <w:tcPr>
            <w:tcW w:w="2099" w:type="dxa"/>
            <w:tcBorders>
              <w:top w:val="nil"/>
              <w:left w:val="nil"/>
              <w:bottom w:val="nil"/>
              <w:right w:val="nil"/>
            </w:tcBorders>
          </w:tcPr>
          <w:p w14:paraId="31FEAA08" w14:textId="77777777" w:rsidR="007164C4" w:rsidRPr="007B4B95" w:rsidRDefault="007164C4" w:rsidP="000D4D5C">
            <w:pPr>
              <w:widowControl w:val="0"/>
              <w:spacing w:line="240" w:lineRule="auto"/>
              <w:jc w:val="left"/>
              <w:rPr>
                <w:rFonts w:cs="TimesLTStd-Roman"/>
                <w:iCs/>
                <w:color w:val="000000"/>
                <w:sz w:val="20"/>
                <w:szCs w:val="16"/>
              </w:rPr>
            </w:pPr>
            <w:proofErr w:type="spellStart"/>
            <w:r w:rsidRPr="007B4B95">
              <w:rPr>
                <w:rFonts w:cs="TimesLTStd-Roman"/>
                <w:iCs/>
                <w:color w:val="000000"/>
                <w:sz w:val="20"/>
                <w:szCs w:val="16"/>
              </w:rPr>
              <w:t>lag_cds_fd</w:t>
            </w:r>
            <w:proofErr w:type="spellEnd"/>
            <w:r w:rsidRPr="007B4B95">
              <w:rPr>
                <w:rFonts w:cs="TimesLTStd-Roman"/>
                <w:iCs/>
                <w:color w:val="000000"/>
                <w:sz w:val="20"/>
                <w:szCs w:val="16"/>
              </w:rPr>
              <w:t>_</w:t>
            </w:r>
          </w:p>
        </w:tc>
        <w:tc>
          <w:tcPr>
            <w:tcW w:w="1020" w:type="dxa"/>
            <w:gridSpan w:val="2"/>
            <w:tcBorders>
              <w:top w:val="nil"/>
              <w:left w:val="nil"/>
              <w:bottom w:val="nil"/>
              <w:right w:val="nil"/>
            </w:tcBorders>
          </w:tcPr>
          <w:p w14:paraId="11CDD172"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-.074</w:t>
            </w:r>
          </w:p>
        </w:tc>
        <w:tc>
          <w:tcPr>
            <w:tcW w:w="1060" w:type="dxa"/>
            <w:gridSpan w:val="2"/>
            <w:tcBorders>
              <w:top w:val="nil"/>
              <w:left w:val="nil"/>
              <w:bottom w:val="nil"/>
              <w:right w:val="nil"/>
            </w:tcBorders>
          </w:tcPr>
          <w:p w14:paraId="1FE8C268"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.012</w:t>
            </w:r>
          </w:p>
        </w:tc>
        <w:tc>
          <w:tcPr>
            <w:tcW w:w="1089" w:type="dxa"/>
            <w:tcBorders>
              <w:top w:val="nil"/>
              <w:left w:val="nil"/>
              <w:bottom w:val="nil"/>
              <w:right w:val="nil"/>
            </w:tcBorders>
          </w:tcPr>
          <w:p w14:paraId="3F76C7E7"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-6.41</w:t>
            </w:r>
          </w:p>
        </w:tc>
        <w:tc>
          <w:tcPr>
            <w:tcW w:w="1152" w:type="dxa"/>
            <w:tcBorders>
              <w:top w:val="nil"/>
              <w:left w:val="nil"/>
              <w:bottom w:val="nil"/>
              <w:right w:val="nil"/>
            </w:tcBorders>
          </w:tcPr>
          <w:p w14:paraId="4ADFC4A1"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w:t>
            </w:r>
          </w:p>
        </w:tc>
        <w:tc>
          <w:tcPr>
            <w:tcW w:w="1536" w:type="dxa"/>
            <w:gridSpan w:val="2"/>
            <w:tcBorders>
              <w:top w:val="nil"/>
              <w:left w:val="nil"/>
              <w:bottom w:val="nil"/>
              <w:right w:val="nil"/>
            </w:tcBorders>
          </w:tcPr>
          <w:p w14:paraId="05873AEB"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-.097</w:t>
            </w:r>
          </w:p>
        </w:tc>
        <w:tc>
          <w:tcPr>
            <w:tcW w:w="1536" w:type="dxa"/>
            <w:gridSpan w:val="2"/>
            <w:tcBorders>
              <w:top w:val="nil"/>
              <w:left w:val="nil"/>
              <w:bottom w:val="nil"/>
              <w:right w:val="nil"/>
            </w:tcBorders>
          </w:tcPr>
          <w:p w14:paraId="2FEC0876"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-.052</w:t>
            </w:r>
          </w:p>
        </w:tc>
        <w:tc>
          <w:tcPr>
            <w:tcW w:w="777" w:type="dxa"/>
            <w:tcBorders>
              <w:top w:val="nil"/>
              <w:left w:val="nil"/>
              <w:bottom w:val="nil"/>
              <w:right w:val="nil"/>
            </w:tcBorders>
          </w:tcPr>
          <w:p w14:paraId="0D0D6E76"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w:t>
            </w:r>
          </w:p>
        </w:tc>
      </w:tr>
      <w:tr w:rsidR="007164C4" w:rsidRPr="007B4B95" w14:paraId="2F95E5E4" w14:textId="77777777" w:rsidTr="00506BFF">
        <w:trPr>
          <w:trHeight w:val="332"/>
        </w:trPr>
        <w:tc>
          <w:tcPr>
            <w:tcW w:w="2099" w:type="dxa"/>
            <w:tcBorders>
              <w:top w:val="nil"/>
              <w:left w:val="nil"/>
              <w:bottom w:val="nil"/>
              <w:right w:val="nil"/>
            </w:tcBorders>
          </w:tcPr>
          <w:p w14:paraId="35624345" w14:textId="77777777" w:rsidR="007164C4" w:rsidRPr="007B4B95" w:rsidRDefault="007164C4" w:rsidP="000D4D5C">
            <w:pPr>
              <w:widowControl w:val="0"/>
              <w:spacing w:line="240" w:lineRule="auto"/>
              <w:jc w:val="left"/>
              <w:rPr>
                <w:rFonts w:cs="TimesLTStd-Roman"/>
                <w:iCs/>
                <w:color w:val="000000"/>
                <w:sz w:val="20"/>
                <w:szCs w:val="16"/>
              </w:rPr>
            </w:pPr>
            <w:proofErr w:type="spellStart"/>
            <w:r w:rsidRPr="007B4B95">
              <w:rPr>
                <w:rFonts w:cs="TimesLTStd-Roman"/>
                <w:iCs/>
                <w:color w:val="000000"/>
                <w:sz w:val="20"/>
                <w:szCs w:val="16"/>
              </w:rPr>
              <w:t>stock_fd</w:t>
            </w:r>
            <w:proofErr w:type="spellEnd"/>
            <w:r w:rsidRPr="007B4B95">
              <w:rPr>
                <w:rFonts w:cs="TimesLTStd-Roman"/>
                <w:iCs/>
                <w:color w:val="000000"/>
                <w:sz w:val="20"/>
                <w:szCs w:val="16"/>
              </w:rPr>
              <w:t>_</w:t>
            </w:r>
          </w:p>
        </w:tc>
        <w:tc>
          <w:tcPr>
            <w:tcW w:w="1020" w:type="dxa"/>
            <w:gridSpan w:val="2"/>
            <w:tcBorders>
              <w:top w:val="nil"/>
              <w:left w:val="nil"/>
              <w:bottom w:val="nil"/>
              <w:right w:val="nil"/>
            </w:tcBorders>
          </w:tcPr>
          <w:p w14:paraId="15BB710E"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-.001</w:t>
            </w:r>
          </w:p>
        </w:tc>
        <w:tc>
          <w:tcPr>
            <w:tcW w:w="1060" w:type="dxa"/>
            <w:gridSpan w:val="2"/>
            <w:tcBorders>
              <w:top w:val="nil"/>
              <w:left w:val="nil"/>
              <w:bottom w:val="nil"/>
              <w:right w:val="nil"/>
            </w:tcBorders>
          </w:tcPr>
          <w:p w14:paraId="52ECE866"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w:t>
            </w:r>
          </w:p>
        </w:tc>
        <w:tc>
          <w:tcPr>
            <w:tcW w:w="1089" w:type="dxa"/>
            <w:tcBorders>
              <w:top w:val="nil"/>
              <w:left w:val="nil"/>
              <w:bottom w:val="nil"/>
              <w:right w:val="nil"/>
            </w:tcBorders>
          </w:tcPr>
          <w:p w14:paraId="659C6160"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-6.66</w:t>
            </w:r>
          </w:p>
        </w:tc>
        <w:tc>
          <w:tcPr>
            <w:tcW w:w="1152" w:type="dxa"/>
            <w:tcBorders>
              <w:top w:val="nil"/>
              <w:left w:val="nil"/>
              <w:bottom w:val="nil"/>
              <w:right w:val="nil"/>
            </w:tcBorders>
          </w:tcPr>
          <w:p w14:paraId="3B50954A"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w:t>
            </w:r>
          </w:p>
        </w:tc>
        <w:tc>
          <w:tcPr>
            <w:tcW w:w="1536" w:type="dxa"/>
            <w:gridSpan w:val="2"/>
            <w:tcBorders>
              <w:top w:val="nil"/>
              <w:left w:val="nil"/>
              <w:bottom w:val="nil"/>
              <w:right w:val="nil"/>
            </w:tcBorders>
          </w:tcPr>
          <w:p w14:paraId="1D7C0390"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-.002</w:t>
            </w:r>
          </w:p>
        </w:tc>
        <w:tc>
          <w:tcPr>
            <w:tcW w:w="1536" w:type="dxa"/>
            <w:gridSpan w:val="2"/>
            <w:tcBorders>
              <w:top w:val="nil"/>
              <w:left w:val="nil"/>
              <w:bottom w:val="nil"/>
              <w:right w:val="nil"/>
            </w:tcBorders>
          </w:tcPr>
          <w:p w14:paraId="39A17052"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-.001</w:t>
            </w:r>
          </w:p>
        </w:tc>
        <w:tc>
          <w:tcPr>
            <w:tcW w:w="777" w:type="dxa"/>
            <w:tcBorders>
              <w:top w:val="nil"/>
              <w:left w:val="nil"/>
              <w:bottom w:val="nil"/>
              <w:right w:val="nil"/>
            </w:tcBorders>
          </w:tcPr>
          <w:p w14:paraId="015EDECC"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w:t>
            </w:r>
          </w:p>
        </w:tc>
      </w:tr>
      <w:tr w:rsidR="007164C4" w:rsidRPr="007B4B95" w14:paraId="79249ACF" w14:textId="77777777" w:rsidTr="00506BFF">
        <w:trPr>
          <w:trHeight w:val="342"/>
        </w:trPr>
        <w:tc>
          <w:tcPr>
            <w:tcW w:w="2099" w:type="dxa"/>
            <w:tcBorders>
              <w:top w:val="nil"/>
              <w:left w:val="nil"/>
              <w:bottom w:val="nil"/>
              <w:right w:val="nil"/>
            </w:tcBorders>
          </w:tcPr>
          <w:p w14:paraId="24A134FF" w14:textId="77777777" w:rsidR="007164C4" w:rsidRPr="007B4B95" w:rsidRDefault="007164C4" w:rsidP="000D4D5C">
            <w:pPr>
              <w:widowControl w:val="0"/>
              <w:spacing w:line="240" w:lineRule="auto"/>
              <w:jc w:val="left"/>
              <w:rPr>
                <w:rFonts w:cs="TimesLTStd-Roman"/>
                <w:iCs/>
                <w:color w:val="000000"/>
                <w:sz w:val="20"/>
                <w:szCs w:val="16"/>
              </w:rPr>
            </w:pPr>
            <w:proofErr w:type="spellStart"/>
            <w:r w:rsidRPr="007B4B95">
              <w:rPr>
                <w:rFonts w:cs="TimesLTStd-Roman"/>
                <w:iCs/>
                <w:color w:val="000000"/>
                <w:sz w:val="20"/>
                <w:szCs w:val="16"/>
              </w:rPr>
              <w:t>vstoxx_fd</w:t>
            </w:r>
            <w:proofErr w:type="spellEnd"/>
          </w:p>
        </w:tc>
        <w:tc>
          <w:tcPr>
            <w:tcW w:w="1020" w:type="dxa"/>
            <w:gridSpan w:val="2"/>
            <w:tcBorders>
              <w:top w:val="nil"/>
              <w:left w:val="nil"/>
              <w:bottom w:val="nil"/>
              <w:right w:val="nil"/>
            </w:tcBorders>
          </w:tcPr>
          <w:p w14:paraId="577ADF75"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.036</w:t>
            </w:r>
          </w:p>
        </w:tc>
        <w:tc>
          <w:tcPr>
            <w:tcW w:w="1060" w:type="dxa"/>
            <w:gridSpan w:val="2"/>
            <w:tcBorders>
              <w:top w:val="nil"/>
              <w:left w:val="nil"/>
              <w:bottom w:val="nil"/>
              <w:right w:val="nil"/>
            </w:tcBorders>
          </w:tcPr>
          <w:p w14:paraId="1FDB7245"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.014</w:t>
            </w:r>
          </w:p>
        </w:tc>
        <w:tc>
          <w:tcPr>
            <w:tcW w:w="1089" w:type="dxa"/>
            <w:tcBorders>
              <w:top w:val="nil"/>
              <w:left w:val="nil"/>
              <w:bottom w:val="nil"/>
              <w:right w:val="nil"/>
            </w:tcBorders>
          </w:tcPr>
          <w:p w14:paraId="40BB8C4B"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2.62</w:t>
            </w:r>
          </w:p>
        </w:tc>
        <w:tc>
          <w:tcPr>
            <w:tcW w:w="1152" w:type="dxa"/>
            <w:tcBorders>
              <w:top w:val="nil"/>
              <w:left w:val="nil"/>
              <w:bottom w:val="nil"/>
              <w:right w:val="nil"/>
            </w:tcBorders>
          </w:tcPr>
          <w:p w14:paraId="7602012B"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.009</w:t>
            </w:r>
          </w:p>
        </w:tc>
        <w:tc>
          <w:tcPr>
            <w:tcW w:w="1536" w:type="dxa"/>
            <w:gridSpan w:val="2"/>
            <w:tcBorders>
              <w:top w:val="nil"/>
              <w:left w:val="nil"/>
              <w:bottom w:val="nil"/>
              <w:right w:val="nil"/>
            </w:tcBorders>
          </w:tcPr>
          <w:p w14:paraId="45F3CC5A"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.009</w:t>
            </w:r>
          </w:p>
        </w:tc>
        <w:tc>
          <w:tcPr>
            <w:tcW w:w="1536" w:type="dxa"/>
            <w:gridSpan w:val="2"/>
            <w:tcBorders>
              <w:top w:val="nil"/>
              <w:left w:val="nil"/>
              <w:bottom w:val="nil"/>
              <w:right w:val="nil"/>
            </w:tcBorders>
          </w:tcPr>
          <w:p w14:paraId="34F36ABE"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.063</w:t>
            </w:r>
          </w:p>
        </w:tc>
        <w:tc>
          <w:tcPr>
            <w:tcW w:w="777" w:type="dxa"/>
            <w:tcBorders>
              <w:top w:val="nil"/>
              <w:left w:val="nil"/>
              <w:bottom w:val="nil"/>
              <w:right w:val="nil"/>
            </w:tcBorders>
          </w:tcPr>
          <w:p w14:paraId="7952D0E3"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w:t>
            </w:r>
          </w:p>
        </w:tc>
      </w:tr>
      <w:tr w:rsidR="007164C4" w:rsidRPr="007B4B95" w14:paraId="63AD85E0" w14:textId="77777777" w:rsidTr="00506BFF">
        <w:trPr>
          <w:trHeight w:val="332"/>
        </w:trPr>
        <w:tc>
          <w:tcPr>
            <w:tcW w:w="2099" w:type="dxa"/>
            <w:tcBorders>
              <w:top w:val="nil"/>
              <w:left w:val="nil"/>
              <w:bottom w:val="nil"/>
              <w:right w:val="nil"/>
            </w:tcBorders>
          </w:tcPr>
          <w:p w14:paraId="0C53EB44" w14:textId="77777777" w:rsidR="007164C4" w:rsidRPr="007B4B95" w:rsidRDefault="007164C4" w:rsidP="000D4D5C">
            <w:pPr>
              <w:widowControl w:val="0"/>
              <w:spacing w:line="240" w:lineRule="auto"/>
              <w:jc w:val="left"/>
              <w:rPr>
                <w:rFonts w:cs="TimesLTStd-Roman"/>
                <w:iCs/>
                <w:color w:val="000000"/>
                <w:sz w:val="20"/>
                <w:szCs w:val="16"/>
              </w:rPr>
            </w:pPr>
            <w:proofErr w:type="spellStart"/>
            <w:r w:rsidRPr="007B4B95">
              <w:rPr>
                <w:rFonts w:cs="TimesLTStd-Roman"/>
                <w:iCs/>
                <w:color w:val="000000"/>
                <w:sz w:val="20"/>
                <w:szCs w:val="16"/>
              </w:rPr>
              <w:t>itraxx_n_fd</w:t>
            </w:r>
            <w:proofErr w:type="spellEnd"/>
          </w:p>
        </w:tc>
        <w:tc>
          <w:tcPr>
            <w:tcW w:w="1020" w:type="dxa"/>
            <w:gridSpan w:val="2"/>
            <w:tcBorders>
              <w:top w:val="nil"/>
              <w:left w:val="nil"/>
              <w:bottom w:val="nil"/>
              <w:right w:val="nil"/>
            </w:tcBorders>
          </w:tcPr>
          <w:p w14:paraId="0A75511E"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.059</w:t>
            </w:r>
          </w:p>
        </w:tc>
        <w:tc>
          <w:tcPr>
            <w:tcW w:w="1060" w:type="dxa"/>
            <w:gridSpan w:val="2"/>
            <w:tcBorders>
              <w:top w:val="nil"/>
              <w:left w:val="nil"/>
              <w:bottom w:val="nil"/>
              <w:right w:val="nil"/>
            </w:tcBorders>
          </w:tcPr>
          <w:p w14:paraId="51B5B554"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.01</w:t>
            </w:r>
          </w:p>
        </w:tc>
        <w:tc>
          <w:tcPr>
            <w:tcW w:w="1089" w:type="dxa"/>
            <w:tcBorders>
              <w:top w:val="nil"/>
              <w:left w:val="nil"/>
              <w:bottom w:val="nil"/>
              <w:right w:val="nil"/>
            </w:tcBorders>
          </w:tcPr>
          <w:p w14:paraId="42FA31A8"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6.12</w:t>
            </w:r>
          </w:p>
        </w:tc>
        <w:tc>
          <w:tcPr>
            <w:tcW w:w="1152" w:type="dxa"/>
            <w:tcBorders>
              <w:top w:val="nil"/>
              <w:left w:val="nil"/>
              <w:bottom w:val="nil"/>
              <w:right w:val="nil"/>
            </w:tcBorders>
          </w:tcPr>
          <w:p w14:paraId="134FC137"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w:t>
            </w:r>
          </w:p>
        </w:tc>
        <w:tc>
          <w:tcPr>
            <w:tcW w:w="1536" w:type="dxa"/>
            <w:gridSpan w:val="2"/>
            <w:tcBorders>
              <w:top w:val="nil"/>
              <w:left w:val="nil"/>
              <w:bottom w:val="nil"/>
              <w:right w:val="nil"/>
            </w:tcBorders>
          </w:tcPr>
          <w:p w14:paraId="75B423E2"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.04</w:t>
            </w:r>
          </w:p>
        </w:tc>
        <w:tc>
          <w:tcPr>
            <w:tcW w:w="1536" w:type="dxa"/>
            <w:gridSpan w:val="2"/>
            <w:tcBorders>
              <w:top w:val="nil"/>
              <w:left w:val="nil"/>
              <w:bottom w:val="nil"/>
              <w:right w:val="nil"/>
            </w:tcBorders>
          </w:tcPr>
          <w:p w14:paraId="1AD18B31"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.078</w:t>
            </w:r>
          </w:p>
        </w:tc>
        <w:tc>
          <w:tcPr>
            <w:tcW w:w="777" w:type="dxa"/>
            <w:tcBorders>
              <w:top w:val="nil"/>
              <w:left w:val="nil"/>
              <w:bottom w:val="nil"/>
              <w:right w:val="nil"/>
            </w:tcBorders>
          </w:tcPr>
          <w:p w14:paraId="73D59477"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w:t>
            </w:r>
          </w:p>
        </w:tc>
      </w:tr>
      <w:tr w:rsidR="007164C4" w:rsidRPr="007B4B95" w14:paraId="3909BE4C" w14:textId="77777777" w:rsidTr="00506BFF">
        <w:trPr>
          <w:trHeight w:val="176"/>
        </w:trPr>
        <w:tc>
          <w:tcPr>
            <w:tcW w:w="2099" w:type="dxa"/>
            <w:tcBorders>
              <w:top w:val="nil"/>
              <w:left w:val="nil"/>
              <w:bottom w:val="nil"/>
              <w:right w:val="nil"/>
            </w:tcBorders>
          </w:tcPr>
          <w:p w14:paraId="12F5CAE7" w14:textId="77777777" w:rsidR="007164C4" w:rsidRPr="007B4B95" w:rsidRDefault="007164C4" w:rsidP="000D4D5C">
            <w:pPr>
              <w:widowControl w:val="0"/>
              <w:spacing w:line="240" w:lineRule="auto"/>
              <w:jc w:val="left"/>
              <w:rPr>
                <w:rFonts w:cs="TimesLTStd-Roman"/>
                <w:iCs/>
                <w:color w:val="000000"/>
                <w:sz w:val="20"/>
                <w:szCs w:val="16"/>
              </w:rPr>
            </w:pPr>
            <w:proofErr w:type="spellStart"/>
            <w:r w:rsidRPr="007B4B95">
              <w:rPr>
                <w:rFonts w:cs="TimesLTStd-Roman"/>
                <w:iCs/>
                <w:color w:val="000000"/>
                <w:sz w:val="20"/>
                <w:szCs w:val="16"/>
              </w:rPr>
              <w:t>tsm_fd</w:t>
            </w:r>
            <w:proofErr w:type="spellEnd"/>
          </w:p>
        </w:tc>
        <w:tc>
          <w:tcPr>
            <w:tcW w:w="1020" w:type="dxa"/>
            <w:gridSpan w:val="2"/>
            <w:tcBorders>
              <w:top w:val="nil"/>
              <w:left w:val="nil"/>
              <w:bottom w:val="nil"/>
              <w:right w:val="nil"/>
            </w:tcBorders>
          </w:tcPr>
          <w:p w14:paraId="7A75C24D"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.001</w:t>
            </w:r>
          </w:p>
        </w:tc>
        <w:tc>
          <w:tcPr>
            <w:tcW w:w="1060" w:type="dxa"/>
            <w:gridSpan w:val="2"/>
            <w:tcBorders>
              <w:top w:val="nil"/>
              <w:left w:val="nil"/>
              <w:bottom w:val="nil"/>
              <w:right w:val="nil"/>
            </w:tcBorders>
          </w:tcPr>
          <w:p w14:paraId="12AC01A1"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.002</w:t>
            </w:r>
          </w:p>
        </w:tc>
        <w:tc>
          <w:tcPr>
            <w:tcW w:w="1089" w:type="dxa"/>
            <w:tcBorders>
              <w:top w:val="nil"/>
              <w:left w:val="nil"/>
              <w:bottom w:val="nil"/>
              <w:right w:val="nil"/>
            </w:tcBorders>
          </w:tcPr>
          <w:p w14:paraId="6BC7487D"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0.65</w:t>
            </w:r>
          </w:p>
        </w:tc>
        <w:tc>
          <w:tcPr>
            <w:tcW w:w="1152" w:type="dxa"/>
            <w:tcBorders>
              <w:top w:val="nil"/>
              <w:left w:val="nil"/>
              <w:bottom w:val="nil"/>
              <w:right w:val="nil"/>
            </w:tcBorders>
          </w:tcPr>
          <w:p w14:paraId="5734DCCB"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.516</w:t>
            </w:r>
          </w:p>
        </w:tc>
        <w:tc>
          <w:tcPr>
            <w:tcW w:w="1536" w:type="dxa"/>
            <w:gridSpan w:val="2"/>
            <w:tcBorders>
              <w:top w:val="nil"/>
              <w:left w:val="nil"/>
              <w:bottom w:val="nil"/>
              <w:right w:val="nil"/>
            </w:tcBorders>
          </w:tcPr>
          <w:p w14:paraId="22073B7A"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-.002</w:t>
            </w:r>
          </w:p>
        </w:tc>
        <w:tc>
          <w:tcPr>
            <w:tcW w:w="1536" w:type="dxa"/>
            <w:gridSpan w:val="2"/>
            <w:tcBorders>
              <w:top w:val="nil"/>
              <w:left w:val="nil"/>
              <w:bottom w:val="nil"/>
              <w:right w:val="nil"/>
            </w:tcBorders>
          </w:tcPr>
          <w:p w14:paraId="0A818819"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.004</w:t>
            </w:r>
          </w:p>
        </w:tc>
        <w:tc>
          <w:tcPr>
            <w:tcW w:w="777" w:type="dxa"/>
            <w:tcBorders>
              <w:top w:val="nil"/>
              <w:left w:val="nil"/>
              <w:bottom w:val="nil"/>
              <w:right w:val="nil"/>
            </w:tcBorders>
          </w:tcPr>
          <w:p w14:paraId="264ED337" w14:textId="77777777" w:rsidR="007164C4" w:rsidRPr="007B4B95" w:rsidRDefault="007164C4" w:rsidP="000D4D5C">
            <w:pPr>
              <w:widowControl w:val="0"/>
              <w:spacing w:line="240" w:lineRule="auto"/>
              <w:jc w:val="center"/>
              <w:rPr>
                <w:rFonts w:cs="TimesLTStd-Roman"/>
                <w:iCs/>
                <w:color w:val="000000"/>
                <w:sz w:val="20"/>
                <w:szCs w:val="16"/>
              </w:rPr>
            </w:pPr>
          </w:p>
        </w:tc>
      </w:tr>
      <w:tr w:rsidR="007164C4" w:rsidRPr="007B4B95" w14:paraId="68B099E3" w14:textId="77777777" w:rsidTr="00506BFF">
        <w:trPr>
          <w:trHeight w:val="332"/>
        </w:trPr>
        <w:tc>
          <w:tcPr>
            <w:tcW w:w="2099" w:type="dxa"/>
            <w:tcBorders>
              <w:top w:val="nil"/>
              <w:left w:val="nil"/>
              <w:bottom w:val="nil"/>
              <w:right w:val="nil"/>
            </w:tcBorders>
          </w:tcPr>
          <w:p w14:paraId="45D630DE" w14:textId="77777777" w:rsidR="007164C4" w:rsidRPr="007B4B95" w:rsidRDefault="007164C4" w:rsidP="000D4D5C">
            <w:pPr>
              <w:widowControl w:val="0"/>
              <w:spacing w:line="240" w:lineRule="auto"/>
              <w:jc w:val="left"/>
              <w:rPr>
                <w:rFonts w:cs="TimesLTStd-Roman"/>
                <w:iCs/>
                <w:color w:val="000000"/>
                <w:sz w:val="20"/>
                <w:szCs w:val="16"/>
              </w:rPr>
            </w:pPr>
            <w:proofErr w:type="spellStart"/>
            <w:r w:rsidRPr="007B4B95">
              <w:rPr>
                <w:rFonts w:cs="TimesLTStd-Roman"/>
                <w:iCs/>
                <w:color w:val="000000"/>
                <w:sz w:val="20"/>
                <w:szCs w:val="16"/>
              </w:rPr>
              <w:t>cesi_fd</w:t>
            </w:r>
            <w:proofErr w:type="spellEnd"/>
          </w:p>
        </w:tc>
        <w:tc>
          <w:tcPr>
            <w:tcW w:w="1020" w:type="dxa"/>
            <w:gridSpan w:val="2"/>
            <w:tcBorders>
              <w:top w:val="nil"/>
              <w:left w:val="nil"/>
              <w:bottom w:val="nil"/>
              <w:right w:val="nil"/>
            </w:tcBorders>
          </w:tcPr>
          <w:p w14:paraId="451D8486"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.005</w:t>
            </w:r>
          </w:p>
        </w:tc>
        <w:tc>
          <w:tcPr>
            <w:tcW w:w="1060" w:type="dxa"/>
            <w:gridSpan w:val="2"/>
            <w:tcBorders>
              <w:top w:val="nil"/>
              <w:left w:val="nil"/>
              <w:bottom w:val="nil"/>
              <w:right w:val="nil"/>
            </w:tcBorders>
          </w:tcPr>
          <w:p w14:paraId="1871D449"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.002</w:t>
            </w:r>
          </w:p>
        </w:tc>
        <w:tc>
          <w:tcPr>
            <w:tcW w:w="1089" w:type="dxa"/>
            <w:tcBorders>
              <w:top w:val="nil"/>
              <w:left w:val="nil"/>
              <w:bottom w:val="nil"/>
              <w:right w:val="nil"/>
            </w:tcBorders>
          </w:tcPr>
          <w:p w14:paraId="61E9B28F"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2.78</w:t>
            </w:r>
          </w:p>
        </w:tc>
        <w:tc>
          <w:tcPr>
            <w:tcW w:w="1152" w:type="dxa"/>
            <w:tcBorders>
              <w:top w:val="nil"/>
              <w:left w:val="nil"/>
              <w:bottom w:val="nil"/>
              <w:right w:val="nil"/>
            </w:tcBorders>
          </w:tcPr>
          <w:p w14:paraId="5D740112"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.005</w:t>
            </w:r>
          </w:p>
        </w:tc>
        <w:tc>
          <w:tcPr>
            <w:tcW w:w="1536" w:type="dxa"/>
            <w:gridSpan w:val="2"/>
            <w:tcBorders>
              <w:top w:val="nil"/>
              <w:left w:val="nil"/>
              <w:bottom w:val="nil"/>
              <w:right w:val="nil"/>
            </w:tcBorders>
          </w:tcPr>
          <w:p w14:paraId="465A09AC"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.001</w:t>
            </w:r>
          </w:p>
        </w:tc>
        <w:tc>
          <w:tcPr>
            <w:tcW w:w="1536" w:type="dxa"/>
            <w:gridSpan w:val="2"/>
            <w:tcBorders>
              <w:top w:val="nil"/>
              <w:left w:val="nil"/>
              <w:bottom w:val="nil"/>
              <w:right w:val="nil"/>
            </w:tcBorders>
          </w:tcPr>
          <w:p w14:paraId="0731E82D"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.008</w:t>
            </w:r>
          </w:p>
        </w:tc>
        <w:tc>
          <w:tcPr>
            <w:tcW w:w="777" w:type="dxa"/>
            <w:tcBorders>
              <w:top w:val="nil"/>
              <w:left w:val="nil"/>
              <w:bottom w:val="nil"/>
              <w:right w:val="nil"/>
            </w:tcBorders>
          </w:tcPr>
          <w:p w14:paraId="20A4ADE9"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w:t>
            </w:r>
          </w:p>
        </w:tc>
      </w:tr>
      <w:tr w:rsidR="007164C4" w:rsidRPr="007B4B95" w14:paraId="62DC6DA5" w14:textId="77777777" w:rsidTr="00506BFF">
        <w:trPr>
          <w:trHeight w:val="342"/>
        </w:trPr>
        <w:tc>
          <w:tcPr>
            <w:tcW w:w="2099" w:type="dxa"/>
            <w:tcBorders>
              <w:top w:val="nil"/>
              <w:left w:val="nil"/>
              <w:bottom w:val="nil"/>
              <w:right w:val="nil"/>
            </w:tcBorders>
          </w:tcPr>
          <w:p w14:paraId="5A0C75ED" w14:textId="77777777" w:rsidR="007164C4" w:rsidRPr="007B4B95" w:rsidRDefault="007164C4" w:rsidP="000D4D5C">
            <w:pPr>
              <w:widowControl w:val="0"/>
              <w:spacing w:line="240" w:lineRule="auto"/>
              <w:jc w:val="left"/>
              <w:rPr>
                <w:rFonts w:cs="TimesLTStd-Roman"/>
                <w:iCs/>
                <w:color w:val="000000"/>
                <w:sz w:val="20"/>
                <w:szCs w:val="16"/>
              </w:rPr>
            </w:pPr>
            <w:proofErr w:type="spellStart"/>
            <w:r w:rsidRPr="007B4B95">
              <w:rPr>
                <w:rFonts w:cs="TimesLTStd-Roman"/>
                <w:iCs/>
                <w:color w:val="000000"/>
                <w:sz w:val="20"/>
                <w:szCs w:val="16"/>
              </w:rPr>
              <w:t>yield_fd</w:t>
            </w:r>
            <w:proofErr w:type="spellEnd"/>
            <w:r w:rsidRPr="007B4B95">
              <w:rPr>
                <w:rFonts w:cs="TimesLTStd-Roman"/>
                <w:iCs/>
                <w:color w:val="000000"/>
                <w:sz w:val="20"/>
                <w:szCs w:val="16"/>
              </w:rPr>
              <w:t>_</w:t>
            </w:r>
          </w:p>
        </w:tc>
        <w:tc>
          <w:tcPr>
            <w:tcW w:w="1020" w:type="dxa"/>
            <w:gridSpan w:val="2"/>
            <w:tcBorders>
              <w:top w:val="nil"/>
              <w:left w:val="nil"/>
              <w:bottom w:val="nil"/>
              <w:right w:val="nil"/>
            </w:tcBorders>
          </w:tcPr>
          <w:p w14:paraId="2B14E47C"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4.795</w:t>
            </w:r>
          </w:p>
        </w:tc>
        <w:tc>
          <w:tcPr>
            <w:tcW w:w="1060" w:type="dxa"/>
            <w:gridSpan w:val="2"/>
            <w:tcBorders>
              <w:top w:val="nil"/>
              <w:left w:val="nil"/>
              <w:bottom w:val="nil"/>
              <w:right w:val="nil"/>
            </w:tcBorders>
          </w:tcPr>
          <w:p w14:paraId="5B8E254A"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.356</w:t>
            </w:r>
          </w:p>
        </w:tc>
        <w:tc>
          <w:tcPr>
            <w:tcW w:w="1089" w:type="dxa"/>
            <w:tcBorders>
              <w:top w:val="nil"/>
              <w:left w:val="nil"/>
              <w:bottom w:val="nil"/>
              <w:right w:val="nil"/>
            </w:tcBorders>
          </w:tcPr>
          <w:p w14:paraId="77396338"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13.48</w:t>
            </w:r>
          </w:p>
        </w:tc>
        <w:tc>
          <w:tcPr>
            <w:tcW w:w="1152" w:type="dxa"/>
            <w:tcBorders>
              <w:top w:val="nil"/>
              <w:left w:val="nil"/>
              <w:bottom w:val="nil"/>
              <w:right w:val="nil"/>
            </w:tcBorders>
          </w:tcPr>
          <w:p w14:paraId="6FA0454A"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w:t>
            </w:r>
          </w:p>
        </w:tc>
        <w:tc>
          <w:tcPr>
            <w:tcW w:w="1536" w:type="dxa"/>
            <w:gridSpan w:val="2"/>
            <w:tcBorders>
              <w:top w:val="nil"/>
              <w:left w:val="nil"/>
              <w:bottom w:val="nil"/>
              <w:right w:val="nil"/>
            </w:tcBorders>
          </w:tcPr>
          <w:p w14:paraId="728F2217"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4.098</w:t>
            </w:r>
          </w:p>
        </w:tc>
        <w:tc>
          <w:tcPr>
            <w:tcW w:w="1536" w:type="dxa"/>
            <w:gridSpan w:val="2"/>
            <w:tcBorders>
              <w:top w:val="nil"/>
              <w:left w:val="nil"/>
              <w:bottom w:val="nil"/>
              <w:right w:val="nil"/>
            </w:tcBorders>
          </w:tcPr>
          <w:p w14:paraId="781BB015"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5.493</w:t>
            </w:r>
          </w:p>
        </w:tc>
        <w:tc>
          <w:tcPr>
            <w:tcW w:w="777" w:type="dxa"/>
            <w:tcBorders>
              <w:top w:val="nil"/>
              <w:left w:val="nil"/>
              <w:bottom w:val="nil"/>
              <w:right w:val="nil"/>
            </w:tcBorders>
          </w:tcPr>
          <w:p w14:paraId="593F0CD7"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w:t>
            </w:r>
          </w:p>
        </w:tc>
      </w:tr>
      <w:tr w:rsidR="007164C4" w:rsidRPr="007B4B95" w14:paraId="567E81F0" w14:textId="77777777" w:rsidTr="00506BFF">
        <w:trPr>
          <w:trHeight w:val="332"/>
        </w:trPr>
        <w:tc>
          <w:tcPr>
            <w:tcW w:w="2099" w:type="dxa"/>
            <w:tcBorders>
              <w:top w:val="nil"/>
              <w:left w:val="nil"/>
              <w:bottom w:val="nil"/>
              <w:right w:val="nil"/>
            </w:tcBorders>
          </w:tcPr>
          <w:p w14:paraId="3D672F1B" w14:textId="77777777" w:rsidR="007164C4" w:rsidRPr="007B4B95" w:rsidRDefault="007164C4" w:rsidP="000D4D5C">
            <w:pPr>
              <w:widowControl w:val="0"/>
              <w:spacing w:line="240" w:lineRule="auto"/>
              <w:jc w:val="left"/>
              <w:rPr>
                <w:rFonts w:cs="TimesLTStd-Roman"/>
                <w:iCs/>
                <w:color w:val="000000"/>
                <w:sz w:val="20"/>
                <w:szCs w:val="16"/>
              </w:rPr>
            </w:pPr>
            <w:proofErr w:type="spellStart"/>
            <w:r w:rsidRPr="007B4B95">
              <w:rPr>
                <w:rFonts w:cs="TimesLTStd-Roman"/>
                <w:iCs/>
                <w:color w:val="000000"/>
                <w:sz w:val="20"/>
                <w:szCs w:val="16"/>
              </w:rPr>
              <w:t>lag_yield_fd</w:t>
            </w:r>
            <w:proofErr w:type="spellEnd"/>
            <w:r w:rsidRPr="007B4B95">
              <w:rPr>
                <w:rFonts w:cs="TimesLTStd-Roman"/>
                <w:iCs/>
                <w:color w:val="000000"/>
                <w:sz w:val="20"/>
                <w:szCs w:val="16"/>
              </w:rPr>
              <w:t>_</w:t>
            </w:r>
          </w:p>
        </w:tc>
        <w:tc>
          <w:tcPr>
            <w:tcW w:w="1020" w:type="dxa"/>
            <w:gridSpan w:val="2"/>
            <w:tcBorders>
              <w:top w:val="nil"/>
              <w:left w:val="nil"/>
              <w:bottom w:val="nil"/>
              <w:right w:val="nil"/>
            </w:tcBorders>
          </w:tcPr>
          <w:p w14:paraId="3A86E252"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4.287</w:t>
            </w:r>
          </w:p>
        </w:tc>
        <w:tc>
          <w:tcPr>
            <w:tcW w:w="1060" w:type="dxa"/>
            <w:gridSpan w:val="2"/>
            <w:tcBorders>
              <w:top w:val="nil"/>
              <w:left w:val="nil"/>
              <w:bottom w:val="nil"/>
              <w:right w:val="nil"/>
            </w:tcBorders>
          </w:tcPr>
          <w:p w14:paraId="63A53084"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.357</w:t>
            </w:r>
          </w:p>
        </w:tc>
        <w:tc>
          <w:tcPr>
            <w:tcW w:w="1089" w:type="dxa"/>
            <w:tcBorders>
              <w:top w:val="nil"/>
              <w:left w:val="nil"/>
              <w:bottom w:val="nil"/>
              <w:right w:val="nil"/>
            </w:tcBorders>
          </w:tcPr>
          <w:p w14:paraId="534311CB"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11.99</w:t>
            </w:r>
          </w:p>
        </w:tc>
        <w:tc>
          <w:tcPr>
            <w:tcW w:w="1152" w:type="dxa"/>
            <w:tcBorders>
              <w:top w:val="nil"/>
              <w:left w:val="nil"/>
              <w:bottom w:val="nil"/>
              <w:right w:val="nil"/>
            </w:tcBorders>
          </w:tcPr>
          <w:p w14:paraId="4F0E6A6B"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w:t>
            </w:r>
          </w:p>
        </w:tc>
        <w:tc>
          <w:tcPr>
            <w:tcW w:w="1536" w:type="dxa"/>
            <w:gridSpan w:val="2"/>
            <w:tcBorders>
              <w:top w:val="nil"/>
              <w:left w:val="nil"/>
              <w:bottom w:val="nil"/>
              <w:right w:val="nil"/>
            </w:tcBorders>
          </w:tcPr>
          <w:p w14:paraId="77156442"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3.586</w:t>
            </w:r>
          </w:p>
        </w:tc>
        <w:tc>
          <w:tcPr>
            <w:tcW w:w="1536" w:type="dxa"/>
            <w:gridSpan w:val="2"/>
            <w:tcBorders>
              <w:top w:val="nil"/>
              <w:left w:val="nil"/>
              <w:bottom w:val="nil"/>
              <w:right w:val="nil"/>
            </w:tcBorders>
          </w:tcPr>
          <w:p w14:paraId="0AB42C92"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4.988</w:t>
            </w:r>
          </w:p>
        </w:tc>
        <w:tc>
          <w:tcPr>
            <w:tcW w:w="777" w:type="dxa"/>
            <w:tcBorders>
              <w:top w:val="nil"/>
              <w:left w:val="nil"/>
              <w:bottom w:val="nil"/>
              <w:right w:val="nil"/>
            </w:tcBorders>
          </w:tcPr>
          <w:p w14:paraId="3D1E826E"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w:t>
            </w:r>
          </w:p>
        </w:tc>
      </w:tr>
      <w:tr w:rsidR="007164C4" w:rsidRPr="007B4B95" w14:paraId="5550D019" w14:textId="77777777" w:rsidTr="00506BFF">
        <w:trPr>
          <w:trHeight w:val="176"/>
        </w:trPr>
        <w:tc>
          <w:tcPr>
            <w:tcW w:w="2099" w:type="dxa"/>
            <w:tcBorders>
              <w:top w:val="nil"/>
              <w:left w:val="nil"/>
              <w:bottom w:val="nil"/>
              <w:right w:val="nil"/>
            </w:tcBorders>
          </w:tcPr>
          <w:p w14:paraId="4E4BB512" w14:textId="77777777" w:rsidR="007164C4" w:rsidRPr="007B4B95" w:rsidRDefault="007164C4" w:rsidP="000D4D5C">
            <w:pPr>
              <w:widowControl w:val="0"/>
              <w:spacing w:line="240" w:lineRule="auto"/>
              <w:jc w:val="left"/>
              <w:rPr>
                <w:rFonts w:cs="TimesLTStd-Roman"/>
                <w:iCs/>
                <w:color w:val="000000"/>
                <w:sz w:val="20"/>
                <w:szCs w:val="16"/>
              </w:rPr>
            </w:pPr>
            <w:r w:rsidRPr="007B4B95">
              <w:rPr>
                <w:rFonts w:cs="TimesLTStd-Roman"/>
                <w:iCs/>
                <w:color w:val="000000"/>
                <w:sz w:val="20"/>
                <w:szCs w:val="16"/>
              </w:rPr>
              <w:t>Constant</w:t>
            </w:r>
          </w:p>
        </w:tc>
        <w:tc>
          <w:tcPr>
            <w:tcW w:w="1020" w:type="dxa"/>
            <w:gridSpan w:val="2"/>
            <w:tcBorders>
              <w:top w:val="nil"/>
              <w:left w:val="nil"/>
              <w:bottom w:val="nil"/>
              <w:right w:val="nil"/>
            </w:tcBorders>
          </w:tcPr>
          <w:p w14:paraId="496E480F"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-.038</w:t>
            </w:r>
          </w:p>
        </w:tc>
        <w:tc>
          <w:tcPr>
            <w:tcW w:w="1060" w:type="dxa"/>
            <w:gridSpan w:val="2"/>
            <w:tcBorders>
              <w:top w:val="nil"/>
              <w:left w:val="nil"/>
              <w:bottom w:val="nil"/>
              <w:right w:val="nil"/>
            </w:tcBorders>
          </w:tcPr>
          <w:p w14:paraId="26CF3D18"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.02</w:t>
            </w:r>
          </w:p>
        </w:tc>
        <w:tc>
          <w:tcPr>
            <w:tcW w:w="1089" w:type="dxa"/>
            <w:tcBorders>
              <w:top w:val="nil"/>
              <w:left w:val="nil"/>
              <w:bottom w:val="nil"/>
              <w:right w:val="nil"/>
            </w:tcBorders>
          </w:tcPr>
          <w:p w14:paraId="77678CCB"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-1.84</w:t>
            </w:r>
          </w:p>
        </w:tc>
        <w:tc>
          <w:tcPr>
            <w:tcW w:w="1152" w:type="dxa"/>
            <w:tcBorders>
              <w:top w:val="nil"/>
              <w:left w:val="nil"/>
              <w:bottom w:val="nil"/>
              <w:right w:val="nil"/>
            </w:tcBorders>
          </w:tcPr>
          <w:p w14:paraId="5A914819"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.065</w:t>
            </w:r>
          </w:p>
        </w:tc>
        <w:tc>
          <w:tcPr>
            <w:tcW w:w="1536" w:type="dxa"/>
            <w:gridSpan w:val="2"/>
            <w:tcBorders>
              <w:top w:val="nil"/>
              <w:left w:val="nil"/>
              <w:bottom w:val="nil"/>
              <w:right w:val="nil"/>
            </w:tcBorders>
          </w:tcPr>
          <w:p w14:paraId="1287C6C5"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-.077</w:t>
            </w:r>
          </w:p>
        </w:tc>
        <w:tc>
          <w:tcPr>
            <w:tcW w:w="1536" w:type="dxa"/>
            <w:gridSpan w:val="2"/>
            <w:tcBorders>
              <w:top w:val="nil"/>
              <w:left w:val="nil"/>
              <w:bottom w:val="nil"/>
              <w:right w:val="nil"/>
            </w:tcBorders>
          </w:tcPr>
          <w:p w14:paraId="7DE12551"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.002</w:t>
            </w:r>
          </w:p>
        </w:tc>
        <w:tc>
          <w:tcPr>
            <w:tcW w:w="777" w:type="dxa"/>
            <w:tcBorders>
              <w:top w:val="nil"/>
              <w:left w:val="nil"/>
              <w:bottom w:val="nil"/>
              <w:right w:val="nil"/>
            </w:tcBorders>
          </w:tcPr>
          <w:p w14:paraId="416185A5" w14:textId="77777777" w:rsidR="007164C4" w:rsidRPr="007B4B95" w:rsidRDefault="007164C4" w:rsidP="000D4D5C">
            <w:pPr>
              <w:widowControl w:val="0"/>
              <w:spacing w:line="240" w:lineRule="auto"/>
              <w:jc w:val="center"/>
              <w:rPr>
                <w:rFonts w:cs="TimesLTStd-Roman"/>
                <w:iCs/>
                <w:color w:val="000000"/>
                <w:sz w:val="20"/>
                <w:szCs w:val="16"/>
              </w:rPr>
            </w:pPr>
            <w:r w:rsidRPr="007B4B95">
              <w:rPr>
                <w:rFonts w:cs="TimesLTStd-Roman"/>
                <w:iCs/>
                <w:color w:val="000000"/>
                <w:sz w:val="20"/>
                <w:szCs w:val="16"/>
              </w:rPr>
              <w:t>*</w:t>
            </w:r>
          </w:p>
        </w:tc>
      </w:tr>
      <w:tr w:rsidR="007164C4" w:rsidRPr="007B4B95" w14:paraId="408DAC15" w14:textId="77777777" w:rsidTr="000D4D5C">
        <w:trPr>
          <w:trHeight w:val="165"/>
        </w:trPr>
        <w:tc>
          <w:tcPr>
            <w:tcW w:w="10269" w:type="dxa"/>
            <w:gridSpan w:val="12"/>
            <w:tcBorders>
              <w:top w:val="nil"/>
              <w:left w:val="nil"/>
              <w:bottom w:val="single" w:sz="4" w:space="0" w:color="auto"/>
              <w:right w:val="nil"/>
            </w:tcBorders>
          </w:tcPr>
          <w:p w14:paraId="184C4206" w14:textId="77777777" w:rsidR="007164C4" w:rsidRPr="007B4B95" w:rsidRDefault="007164C4" w:rsidP="000D4D5C">
            <w:pPr>
              <w:widowControl w:val="0"/>
              <w:spacing w:line="240" w:lineRule="auto"/>
              <w:jc w:val="center"/>
              <w:rPr>
                <w:rFonts w:cs="TimesLTStd-Roman"/>
                <w:iCs/>
                <w:color w:val="000000"/>
                <w:sz w:val="20"/>
                <w:szCs w:val="16"/>
              </w:rPr>
            </w:pPr>
          </w:p>
        </w:tc>
      </w:tr>
      <w:tr w:rsidR="007164C4" w:rsidRPr="007B4B95" w14:paraId="4F4BFADA" w14:textId="77777777" w:rsidTr="00D20E59">
        <w:trPr>
          <w:gridAfter w:val="2"/>
          <w:wAfter w:w="844" w:type="dxa"/>
          <w:trHeight w:val="165"/>
        </w:trPr>
        <w:tc>
          <w:tcPr>
            <w:tcW w:w="2127" w:type="dxa"/>
            <w:gridSpan w:val="2"/>
            <w:tcBorders>
              <w:top w:val="nil"/>
              <w:left w:val="nil"/>
              <w:bottom w:val="nil"/>
              <w:right w:val="nil"/>
            </w:tcBorders>
          </w:tcPr>
          <w:p w14:paraId="160F7B8C" w14:textId="77777777" w:rsidR="007164C4" w:rsidRPr="007B4B95" w:rsidRDefault="007164C4" w:rsidP="000D4D5C">
            <w:pPr>
              <w:widowControl w:val="0"/>
              <w:spacing w:line="240" w:lineRule="auto"/>
              <w:jc w:val="left"/>
              <w:rPr>
                <w:rFonts w:cs="TimesLTStd-Roman"/>
                <w:iCs/>
                <w:color w:val="000000"/>
                <w:sz w:val="20"/>
                <w:szCs w:val="16"/>
              </w:rPr>
            </w:pPr>
            <w:r w:rsidRPr="007B4B95">
              <w:rPr>
                <w:rFonts w:cs="TimesLTStd-Roman"/>
                <w:iCs/>
                <w:color w:val="000000"/>
                <w:sz w:val="20"/>
                <w:szCs w:val="16"/>
              </w:rPr>
              <w:t>Mean dependent var</w:t>
            </w:r>
          </w:p>
        </w:tc>
        <w:tc>
          <w:tcPr>
            <w:tcW w:w="1701" w:type="dxa"/>
            <w:gridSpan w:val="2"/>
            <w:tcBorders>
              <w:top w:val="nil"/>
              <w:left w:val="nil"/>
              <w:bottom w:val="nil"/>
              <w:right w:val="nil"/>
            </w:tcBorders>
          </w:tcPr>
          <w:p w14:paraId="6B035C22" w14:textId="77777777" w:rsidR="007164C4" w:rsidRPr="007B4B95" w:rsidRDefault="007164C4" w:rsidP="000D4D5C">
            <w:pPr>
              <w:widowControl w:val="0"/>
              <w:spacing w:line="240" w:lineRule="auto"/>
              <w:jc w:val="left"/>
              <w:rPr>
                <w:rFonts w:cs="TimesLTStd-Roman"/>
                <w:iCs/>
                <w:color w:val="000000"/>
                <w:sz w:val="20"/>
                <w:szCs w:val="16"/>
              </w:rPr>
            </w:pPr>
            <w:r w:rsidRPr="007B4B95">
              <w:rPr>
                <w:rFonts w:cs="TimesLTStd-Roman"/>
                <w:iCs/>
                <w:color w:val="000000"/>
                <w:sz w:val="20"/>
                <w:szCs w:val="16"/>
              </w:rPr>
              <w:t>0.001</w:t>
            </w:r>
          </w:p>
        </w:tc>
        <w:tc>
          <w:tcPr>
            <w:tcW w:w="2693" w:type="dxa"/>
            <w:gridSpan w:val="4"/>
            <w:tcBorders>
              <w:top w:val="nil"/>
              <w:left w:val="nil"/>
              <w:bottom w:val="nil"/>
              <w:right w:val="nil"/>
            </w:tcBorders>
          </w:tcPr>
          <w:p w14:paraId="7AF27FFB" w14:textId="0BED7CC8" w:rsidR="007164C4" w:rsidRPr="007B4B95" w:rsidRDefault="007164C4" w:rsidP="000D4D5C">
            <w:pPr>
              <w:widowControl w:val="0"/>
              <w:spacing w:line="240" w:lineRule="auto"/>
              <w:jc w:val="left"/>
              <w:rPr>
                <w:rFonts w:cs="TimesLTStd-Roman"/>
                <w:iCs/>
                <w:color w:val="000000"/>
                <w:sz w:val="20"/>
                <w:szCs w:val="16"/>
              </w:rPr>
            </w:pPr>
            <w:r w:rsidRPr="007B4B95">
              <w:rPr>
                <w:rFonts w:cs="TimesLTStd-Roman"/>
                <w:iCs/>
                <w:color w:val="000000"/>
                <w:sz w:val="20"/>
                <w:szCs w:val="16"/>
              </w:rPr>
              <w:t>SD dependent var</w:t>
            </w:r>
          </w:p>
        </w:tc>
        <w:tc>
          <w:tcPr>
            <w:tcW w:w="2904" w:type="dxa"/>
            <w:gridSpan w:val="2"/>
            <w:tcBorders>
              <w:top w:val="nil"/>
              <w:left w:val="nil"/>
              <w:bottom w:val="nil"/>
              <w:right w:val="nil"/>
            </w:tcBorders>
          </w:tcPr>
          <w:p w14:paraId="4424B54C" w14:textId="77777777" w:rsidR="007164C4" w:rsidRPr="007B4B95" w:rsidRDefault="007164C4" w:rsidP="000D4D5C">
            <w:pPr>
              <w:widowControl w:val="0"/>
              <w:spacing w:line="240" w:lineRule="auto"/>
              <w:jc w:val="left"/>
              <w:rPr>
                <w:rFonts w:cs="TimesLTStd-Roman"/>
                <w:iCs/>
                <w:color w:val="000000"/>
                <w:sz w:val="20"/>
                <w:szCs w:val="16"/>
              </w:rPr>
            </w:pPr>
            <w:r w:rsidRPr="007B4B95">
              <w:rPr>
                <w:rFonts w:cs="TimesLTStd-Roman"/>
                <w:iCs/>
                <w:color w:val="000000"/>
                <w:sz w:val="20"/>
                <w:szCs w:val="16"/>
              </w:rPr>
              <w:t>1.753</w:t>
            </w:r>
          </w:p>
        </w:tc>
      </w:tr>
      <w:tr w:rsidR="007164C4" w:rsidRPr="007B4B95" w14:paraId="27906DF6" w14:textId="77777777" w:rsidTr="00D20E59">
        <w:trPr>
          <w:gridAfter w:val="2"/>
          <w:wAfter w:w="844" w:type="dxa"/>
          <w:trHeight w:val="165"/>
        </w:trPr>
        <w:tc>
          <w:tcPr>
            <w:tcW w:w="2127" w:type="dxa"/>
            <w:gridSpan w:val="2"/>
            <w:tcBorders>
              <w:top w:val="nil"/>
              <w:left w:val="nil"/>
              <w:bottom w:val="nil"/>
              <w:right w:val="nil"/>
            </w:tcBorders>
          </w:tcPr>
          <w:p w14:paraId="30E359A8" w14:textId="30D8BD87" w:rsidR="007164C4" w:rsidRPr="007B4B95" w:rsidRDefault="007164C4" w:rsidP="000D4D5C">
            <w:pPr>
              <w:widowControl w:val="0"/>
              <w:spacing w:line="240" w:lineRule="auto"/>
              <w:jc w:val="left"/>
              <w:rPr>
                <w:rFonts w:cs="TimesLTStd-Roman"/>
                <w:iCs/>
                <w:color w:val="000000"/>
                <w:sz w:val="20"/>
                <w:szCs w:val="16"/>
              </w:rPr>
            </w:pPr>
            <w:r w:rsidRPr="007B4B95">
              <w:rPr>
                <w:rFonts w:cs="TimesLTStd-Roman"/>
                <w:iCs/>
                <w:color w:val="000000"/>
                <w:sz w:val="20"/>
                <w:szCs w:val="16"/>
              </w:rPr>
              <w:t>R-squared</w:t>
            </w:r>
          </w:p>
        </w:tc>
        <w:tc>
          <w:tcPr>
            <w:tcW w:w="1701" w:type="dxa"/>
            <w:gridSpan w:val="2"/>
            <w:tcBorders>
              <w:top w:val="nil"/>
              <w:left w:val="nil"/>
              <w:bottom w:val="nil"/>
              <w:right w:val="nil"/>
            </w:tcBorders>
          </w:tcPr>
          <w:p w14:paraId="1CF3616B" w14:textId="77777777" w:rsidR="007164C4" w:rsidRPr="007B4B95" w:rsidRDefault="007164C4" w:rsidP="000D4D5C">
            <w:pPr>
              <w:widowControl w:val="0"/>
              <w:spacing w:line="240" w:lineRule="auto"/>
              <w:jc w:val="left"/>
              <w:rPr>
                <w:rFonts w:cs="TimesLTStd-Roman"/>
                <w:iCs/>
                <w:color w:val="000000"/>
                <w:sz w:val="20"/>
                <w:szCs w:val="16"/>
              </w:rPr>
            </w:pPr>
            <w:r w:rsidRPr="007B4B95">
              <w:rPr>
                <w:rFonts w:cs="TimesLTStd-Roman"/>
                <w:iCs/>
                <w:color w:val="000000"/>
                <w:sz w:val="20"/>
                <w:szCs w:val="16"/>
              </w:rPr>
              <w:t>0.103</w:t>
            </w:r>
          </w:p>
        </w:tc>
        <w:tc>
          <w:tcPr>
            <w:tcW w:w="2693" w:type="dxa"/>
            <w:gridSpan w:val="4"/>
            <w:tcBorders>
              <w:top w:val="nil"/>
              <w:left w:val="nil"/>
              <w:bottom w:val="nil"/>
              <w:right w:val="nil"/>
            </w:tcBorders>
          </w:tcPr>
          <w:p w14:paraId="3FED021D" w14:textId="05EBB8B7" w:rsidR="007164C4" w:rsidRPr="007B4B95" w:rsidRDefault="007164C4" w:rsidP="000D4D5C">
            <w:pPr>
              <w:widowControl w:val="0"/>
              <w:spacing w:line="240" w:lineRule="auto"/>
              <w:jc w:val="left"/>
              <w:rPr>
                <w:rFonts w:cs="TimesLTStd-Roman"/>
                <w:iCs/>
                <w:color w:val="000000"/>
                <w:sz w:val="20"/>
                <w:szCs w:val="16"/>
              </w:rPr>
            </w:pPr>
            <w:r w:rsidRPr="007B4B95">
              <w:rPr>
                <w:rFonts w:cs="TimesLTStd-Roman"/>
                <w:iCs/>
                <w:color w:val="000000"/>
                <w:sz w:val="20"/>
                <w:szCs w:val="16"/>
              </w:rPr>
              <w:t xml:space="preserve">Number of </w:t>
            </w:r>
            <w:proofErr w:type="spellStart"/>
            <w:r w:rsidRPr="007B4B95">
              <w:rPr>
                <w:rFonts w:cs="TimesLTStd-Roman"/>
                <w:iCs/>
                <w:color w:val="000000"/>
                <w:sz w:val="20"/>
                <w:szCs w:val="16"/>
              </w:rPr>
              <w:t>obs</w:t>
            </w:r>
            <w:proofErr w:type="spellEnd"/>
          </w:p>
        </w:tc>
        <w:tc>
          <w:tcPr>
            <w:tcW w:w="2904" w:type="dxa"/>
            <w:gridSpan w:val="2"/>
            <w:tcBorders>
              <w:top w:val="nil"/>
              <w:left w:val="nil"/>
              <w:bottom w:val="nil"/>
              <w:right w:val="nil"/>
            </w:tcBorders>
          </w:tcPr>
          <w:p w14:paraId="0276EDE0" w14:textId="77777777" w:rsidR="007164C4" w:rsidRPr="007B4B95" w:rsidRDefault="007164C4" w:rsidP="000D4D5C">
            <w:pPr>
              <w:widowControl w:val="0"/>
              <w:spacing w:line="240" w:lineRule="auto"/>
              <w:jc w:val="left"/>
              <w:rPr>
                <w:rFonts w:cs="TimesLTStd-Roman"/>
                <w:iCs/>
                <w:color w:val="000000"/>
                <w:sz w:val="20"/>
                <w:szCs w:val="16"/>
              </w:rPr>
            </w:pPr>
            <w:r w:rsidRPr="007B4B95">
              <w:rPr>
                <w:rFonts w:cs="TimesLTStd-Roman"/>
                <w:iCs/>
                <w:color w:val="000000"/>
                <w:sz w:val="20"/>
                <w:szCs w:val="16"/>
              </w:rPr>
              <w:t>6960</w:t>
            </w:r>
          </w:p>
        </w:tc>
      </w:tr>
      <w:tr w:rsidR="007164C4" w:rsidRPr="007B4B95" w14:paraId="57C7B8D9" w14:textId="77777777" w:rsidTr="00D20E59">
        <w:trPr>
          <w:gridAfter w:val="2"/>
          <w:wAfter w:w="844" w:type="dxa"/>
          <w:trHeight w:val="165"/>
        </w:trPr>
        <w:tc>
          <w:tcPr>
            <w:tcW w:w="2127" w:type="dxa"/>
            <w:gridSpan w:val="2"/>
            <w:tcBorders>
              <w:top w:val="nil"/>
              <w:left w:val="nil"/>
              <w:bottom w:val="nil"/>
              <w:right w:val="nil"/>
            </w:tcBorders>
          </w:tcPr>
          <w:p w14:paraId="6AD74A10" w14:textId="3F1A01B3" w:rsidR="007164C4" w:rsidRPr="007B4B95" w:rsidRDefault="007164C4" w:rsidP="000D4D5C">
            <w:pPr>
              <w:widowControl w:val="0"/>
              <w:spacing w:line="240" w:lineRule="auto"/>
              <w:jc w:val="left"/>
              <w:rPr>
                <w:rFonts w:cs="TimesLTStd-Roman"/>
                <w:iCs/>
                <w:color w:val="000000"/>
                <w:sz w:val="20"/>
                <w:szCs w:val="16"/>
              </w:rPr>
            </w:pPr>
            <w:r w:rsidRPr="007B4B95">
              <w:rPr>
                <w:rFonts w:cs="TimesLTStd-Roman"/>
                <w:iCs/>
                <w:color w:val="000000"/>
                <w:sz w:val="20"/>
                <w:szCs w:val="16"/>
              </w:rPr>
              <w:t>F-test</w:t>
            </w:r>
          </w:p>
        </w:tc>
        <w:tc>
          <w:tcPr>
            <w:tcW w:w="1701" w:type="dxa"/>
            <w:gridSpan w:val="2"/>
            <w:tcBorders>
              <w:top w:val="nil"/>
              <w:left w:val="nil"/>
              <w:bottom w:val="nil"/>
              <w:right w:val="nil"/>
            </w:tcBorders>
          </w:tcPr>
          <w:p w14:paraId="60413488" w14:textId="77777777" w:rsidR="007164C4" w:rsidRPr="007B4B95" w:rsidRDefault="007164C4" w:rsidP="000D4D5C">
            <w:pPr>
              <w:widowControl w:val="0"/>
              <w:spacing w:line="240" w:lineRule="auto"/>
              <w:jc w:val="left"/>
              <w:rPr>
                <w:rFonts w:cs="TimesLTStd-Roman"/>
                <w:iCs/>
                <w:color w:val="000000"/>
                <w:sz w:val="20"/>
                <w:szCs w:val="16"/>
              </w:rPr>
            </w:pPr>
            <w:r w:rsidRPr="007B4B95">
              <w:rPr>
                <w:rFonts w:cs="TimesLTStd-Roman"/>
                <w:iCs/>
                <w:color w:val="000000"/>
                <w:sz w:val="20"/>
                <w:szCs w:val="16"/>
              </w:rPr>
              <w:t>72.404</w:t>
            </w:r>
          </w:p>
        </w:tc>
        <w:tc>
          <w:tcPr>
            <w:tcW w:w="2693" w:type="dxa"/>
            <w:gridSpan w:val="4"/>
            <w:tcBorders>
              <w:top w:val="nil"/>
              <w:left w:val="nil"/>
              <w:bottom w:val="nil"/>
              <w:right w:val="nil"/>
            </w:tcBorders>
          </w:tcPr>
          <w:p w14:paraId="408934D3" w14:textId="63BFF2DD" w:rsidR="007164C4" w:rsidRPr="007B4B95" w:rsidRDefault="007164C4" w:rsidP="000D4D5C">
            <w:pPr>
              <w:widowControl w:val="0"/>
              <w:spacing w:line="240" w:lineRule="auto"/>
              <w:jc w:val="left"/>
              <w:rPr>
                <w:rFonts w:cs="TimesLTStd-Roman"/>
                <w:iCs/>
                <w:color w:val="000000"/>
                <w:sz w:val="20"/>
                <w:szCs w:val="16"/>
              </w:rPr>
            </w:pPr>
            <w:r w:rsidRPr="007B4B95">
              <w:rPr>
                <w:rFonts w:cs="TimesLTStd-Roman"/>
                <w:iCs/>
                <w:color w:val="000000"/>
                <w:sz w:val="20"/>
                <w:szCs w:val="16"/>
              </w:rPr>
              <w:t>Prob &gt; F</w:t>
            </w:r>
          </w:p>
        </w:tc>
        <w:tc>
          <w:tcPr>
            <w:tcW w:w="2904" w:type="dxa"/>
            <w:gridSpan w:val="2"/>
            <w:tcBorders>
              <w:top w:val="nil"/>
              <w:left w:val="nil"/>
              <w:bottom w:val="nil"/>
              <w:right w:val="nil"/>
            </w:tcBorders>
          </w:tcPr>
          <w:p w14:paraId="6ABC604F" w14:textId="77777777" w:rsidR="007164C4" w:rsidRPr="007B4B95" w:rsidRDefault="007164C4" w:rsidP="000D4D5C">
            <w:pPr>
              <w:widowControl w:val="0"/>
              <w:spacing w:line="240" w:lineRule="auto"/>
              <w:jc w:val="left"/>
              <w:rPr>
                <w:rFonts w:cs="TimesLTStd-Roman"/>
                <w:iCs/>
                <w:color w:val="000000"/>
                <w:sz w:val="20"/>
                <w:szCs w:val="16"/>
              </w:rPr>
            </w:pPr>
            <w:r w:rsidRPr="007B4B95">
              <w:rPr>
                <w:rFonts w:cs="TimesLTStd-Roman"/>
                <w:iCs/>
                <w:color w:val="000000"/>
                <w:sz w:val="20"/>
                <w:szCs w:val="16"/>
              </w:rPr>
              <w:t>0.000</w:t>
            </w:r>
          </w:p>
        </w:tc>
      </w:tr>
      <w:tr w:rsidR="007164C4" w:rsidRPr="007B4B95" w14:paraId="1DF6B881" w14:textId="77777777" w:rsidTr="00D20E59">
        <w:trPr>
          <w:gridAfter w:val="2"/>
          <w:wAfter w:w="844" w:type="dxa"/>
          <w:trHeight w:val="176"/>
        </w:trPr>
        <w:tc>
          <w:tcPr>
            <w:tcW w:w="2127" w:type="dxa"/>
            <w:gridSpan w:val="2"/>
            <w:tcBorders>
              <w:top w:val="nil"/>
              <w:left w:val="nil"/>
              <w:bottom w:val="nil"/>
              <w:right w:val="nil"/>
            </w:tcBorders>
          </w:tcPr>
          <w:p w14:paraId="240B4A3B" w14:textId="77777777" w:rsidR="007164C4" w:rsidRPr="007B4B95" w:rsidRDefault="007164C4" w:rsidP="000D4D5C">
            <w:pPr>
              <w:widowControl w:val="0"/>
              <w:spacing w:line="240" w:lineRule="auto"/>
              <w:jc w:val="left"/>
              <w:rPr>
                <w:rFonts w:cs="TimesLTStd-Roman"/>
                <w:iCs/>
                <w:color w:val="000000"/>
                <w:sz w:val="20"/>
                <w:szCs w:val="16"/>
              </w:rPr>
            </w:pPr>
            <w:r w:rsidRPr="007B4B95">
              <w:rPr>
                <w:rFonts w:cs="TimesLTStd-Roman"/>
                <w:iCs/>
                <w:color w:val="000000"/>
                <w:sz w:val="20"/>
                <w:szCs w:val="16"/>
              </w:rPr>
              <w:t>Akaike crit. (AIC)</w:t>
            </w:r>
          </w:p>
        </w:tc>
        <w:tc>
          <w:tcPr>
            <w:tcW w:w="1701" w:type="dxa"/>
            <w:gridSpan w:val="2"/>
            <w:tcBorders>
              <w:top w:val="nil"/>
              <w:left w:val="nil"/>
              <w:bottom w:val="nil"/>
              <w:right w:val="nil"/>
            </w:tcBorders>
          </w:tcPr>
          <w:p w14:paraId="602B7467" w14:textId="77777777" w:rsidR="007164C4" w:rsidRPr="007B4B95" w:rsidRDefault="007164C4" w:rsidP="000D4D5C">
            <w:pPr>
              <w:widowControl w:val="0"/>
              <w:spacing w:line="240" w:lineRule="auto"/>
              <w:jc w:val="left"/>
              <w:rPr>
                <w:rFonts w:cs="TimesLTStd-Roman"/>
                <w:iCs/>
                <w:color w:val="000000"/>
                <w:sz w:val="20"/>
                <w:szCs w:val="16"/>
              </w:rPr>
            </w:pPr>
            <w:r w:rsidRPr="007B4B95">
              <w:rPr>
                <w:rFonts w:cs="TimesLTStd-Roman"/>
                <w:iCs/>
                <w:color w:val="000000"/>
                <w:sz w:val="20"/>
                <w:szCs w:val="16"/>
              </w:rPr>
              <w:t>26830.783</w:t>
            </w:r>
          </w:p>
        </w:tc>
        <w:tc>
          <w:tcPr>
            <w:tcW w:w="2693" w:type="dxa"/>
            <w:gridSpan w:val="4"/>
            <w:tcBorders>
              <w:top w:val="nil"/>
              <w:left w:val="nil"/>
              <w:bottom w:val="nil"/>
              <w:right w:val="nil"/>
            </w:tcBorders>
          </w:tcPr>
          <w:p w14:paraId="7E1D6B61" w14:textId="77777777" w:rsidR="007164C4" w:rsidRPr="007B4B95" w:rsidRDefault="007164C4" w:rsidP="000D4D5C">
            <w:pPr>
              <w:widowControl w:val="0"/>
              <w:spacing w:line="240" w:lineRule="auto"/>
              <w:jc w:val="left"/>
              <w:rPr>
                <w:rFonts w:cs="TimesLTStd-Roman"/>
                <w:iCs/>
                <w:color w:val="000000"/>
                <w:sz w:val="20"/>
                <w:szCs w:val="16"/>
              </w:rPr>
            </w:pPr>
            <w:r w:rsidRPr="007B4B95">
              <w:rPr>
                <w:rFonts w:cs="TimesLTStd-Roman"/>
                <w:iCs/>
                <w:color w:val="000000"/>
                <w:sz w:val="20"/>
                <w:szCs w:val="16"/>
              </w:rPr>
              <w:t>Bayesian crit. (BIC)</w:t>
            </w:r>
          </w:p>
        </w:tc>
        <w:tc>
          <w:tcPr>
            <w:tcW w:w="2904" w:type="dxa"/>
            <w:gridSpan w:val="2"/>
            <w:tcBorders>
              <w:top w:val="nil"/>
              <w:left w:val="nil"/>
              <w:bottom w:val="nil"/>
              <w:right w:val="nil"/>
            </w:tcBorders>
          </w:tcPr>
          <w:p w14:paraId="49AD71E2" w14:textId="77777777" w:rsidR="007164C4" w:rsidRPr="007B4B95" w:rsidRDefault="007164C4" w:rsidP="000D4D5C">
            <w:pPr>
              <w:widowControl w:val="0"/>
              <w:spacing w:line="240" w:lineRule="auto"/>
              <w:jc w:val="left"/>
              <w:rPr>
                <w:rFonts w:cs="TimesLTStd-Roman"/>
                <w:iCs/>
                <w:color w:val="000000"/>
                <w:sz w:val="20"/>
                <w:szCs w:val="16"/>
              </w:rPr>
            </w:pPr>
            <w:r w:rsidRPr="007B4B95">
              <w:rPr>
                <w:rFonts w:cs="TimesLTStd-Roman"/>
                <w:iCs/>
                <w:color w:val="000000"/>
                <w:sz w:val="20"/>
                <w:szCs w:val="16"/>
              </w:rPr>
              <w:t>26912.959</w:t>
            </w:r>
          </w:p>
        </w:tc>
      </w:tr>
      <w:tr w:rsidR="007164C4" w14:paraId="2F21713F" w14:textId="77777777" w:rsidTr="000D4D5C">
        <w:trPr>
          <w:trHeight w:val="165"/>
        </w:trPr>
        <w:tc>
          <w:tcPr>
            <w:tcW w:w="10269" w:type="dxa"/>
            <w:gridSpan w:val="12"/>
            <w:tcBorders>
              <w:top w:val="single" w:sz="6" w:space="0" w:color="auto"/>
              <w:left w:val="nil"/>
              <w:bottom w:val="nil"/>
              <w:right w:val="nil"/>
            </w:tcBorders>
          </w:tcPr>
          <w:p w14:paraId="1D10F8B1" w14:textId="0CB8D3AB" w:rsidR="007164C4" w:rsidRPr="00F1238D" w:rsidRDefault="007164C4" w:rsidP="00506BFF">
            <w:pPr>
              <w:widowControl w:val="0"/>
              <w:autoSpaceDE w:val="0"/>
              <w:autoSpaceDN w:val="0"/>
              <w:adjustRightInd w:val="0"/>
              <w:spacing w:line="240" w:lineRule="auto"/>
              <w:rPr>
                <w:rFonts w:cstheme="minorHAnsi"/>
                <w:sz w:val="20"/>
                <w:szCs w:val="20"/>
                <w:lang w:val="en-US"/>
              </w:rPr>
            </w:pPr>
            <w:r w:rsidRPr="00F1238D">
              <w:rPr>
                <w:rFonts w:cstheme="minorHAnsi"/>
                <w:i/>
                <w:iCs/>
                <w:sz w:val="20"/>
                <w:szCs w:val="20"/>
                <w:lang w:val="en-US"/>
              </w:rPr>
              <w:t>*** p&lt;.01, ** p&lt;.05</w:t>
            </w:r>
          </w:p>
        </w:tc>
      </w:tr>
    </w:tbl>
    <w:p w14:paraId="0BD67F17" w14:textId="77777777" w:rsidR="00CE40EA" w:rsidRDefault="00CE40EA">
      <w:pPr>
        <w:spacing w:line="240" w:lineRule="auto"/>
        <w:ind w:firstLine="0"/>
        <w:jc w:val="left"/>
      </w:pPr>
    </w:p>
    <w:p w14:paraId="3D41EA39" w14:textId="77777777" w:rsidR="00CE40EA" w:rsidRDefault="00CE40EA">
      <w:pPr>
        <w:spacing w:line="240" w:lineRule="auto"/>
        <w:ind w:firstLine="0"/>
        <w:jc w:val="left"/>
      </w:pPr>
    </w:p>
    <w:p w14:paraId="2D055A04" w14:textId="6DEFE1A5" w:rsidR="007164C4" w:rsidRDefault="007164C4">
      <w:pPr>
        <w:spacing w:line="240" w:lineRule="auto"/>
        <w:ind w:firstLine="0"/>
        <w:jc w:val="left"/>
      </w:pPr>
      <w:r>
        <w:br w:type="page"/>
      </w:r>
    </w:p>
    <w:p w14:paraId="3381B3DD" w14:textId="0B67A00F" w:rsidR="00CE40EA" w:rsidRPr="00CF48D9" w:rsidRDefault="00CE40EA" w:rsidP="00CE40EA">
      <w:pPr>
        <w:pStyle w:val="Heading2"/>
      </w:pPr>
      <w:bookmarkStart w:id="124" w:name="_Toc122697378"/>
      <w:r w:rsidRPr="0057041A">
        <w:lastRenderedPageBreak/>
        <w:t xml:space="preserve">Table </w:t>
      </w:r>
      <w:r w:rsidR="00D65D51">
        <w:t>8</w:t>
      </w:r>
      <w:bookmarkEnd w:id="124"/>
    </w:p>
    <w:p w14:paraId="4F49416C" w14:textId="77777777" w:rsidR="00D20E59" w:rsidRDefault="00D20E59" w:rsidP="00D20E59">
      <w:pPr>
        <w:pStyle w:val="Caption"/>
        <w:jc w:val="left"/>
        <w:rPr>
          <w:lang w:val="en-GB"/>
        </w:rPr>
      </w:pPr>
    </w:p>
    <w:p w14:paraId="796020D6" w14:textId="7EE9CA0A" w:rsidR="00D20E59" w:rsidRDefault="00D20E59" w:rsidP="00D20E59">
      <w:pPr>
        <w:pStyle w:val="Caption"/>
        <w:jc w:val="left"/>
      </w:pPr>
      <w:r w:rsidRPr="00BC2E42">
        <w:rPr>
          <w:lang w:val="en-GB"/>
        </w:rPr>
        <w:t xml:space="preserve">Table </w:t>
      </w:r>
      <w:r w:rsidR="00D65D51">
        <w:rPr>
          <w:lang w:val="en-GB"/>
        </w:rPr>
        <w:t>8</w:t>
      </w:r>
      <w:proofErr w:type="gramStart"/>
      <w:r>
        <w:rPr>
          <w:lang w:val="en-GB"/>
        </w:rPr>
        <w:t>.</w:t>
      </w:r>
      <w:r w:rsidRPr="00072E3C">
        <w:t xml:space="preserve"> </w:t>
      </w:r>
      <w:r w:rsidR="004724D3" w:rsidRPr="004724D3">
        <w:t>:</w:t>
      </w:r>
      <w:proofErr w:type="gramEnd"/>
      <w:r w:rsidR="004724D3" w:rsidRPr="004724D3">
        <w:t xml:space="preserve"> : Panel regression – for Core and Periphery countries (CDS</w:t>
      </w:r>
      <w:r w:rsidR="004724D3">
        <w:t>)</w:t>
      </w:r>
    </w:p>
    <w:tbl>
      <w:tblPr>
        <w:tblW w:w="0" w:type="auto"/>
        <w:tblLayout w:type="fixed"/>
        <w:tblCellMar>
          <w:left w:w="75" w:type="dxa"/>
          <w:right w:w="75" w:type="dxa"/>
        </w:tblCellMar>
        <w:tblLook w:val="0000" w:firstRow="0" w:lastRow="0" w:firstColumn="0" w:lastColumn="0" w:noHBand="0" w:noVBand="0"/>
      </w:tblPr>
      <w:tblGrid>
        <w:gridCol w:w="3099"/>
        <w:gridCol w:w="2160"/>
        <w:gridCol w:w="2880"/>
      </w:tblGrid>
      <w:tr w:rsidR="0062731B" w14:paraId="0E89F812" w14:textId="77777777" w:rsidTr="00D20E59">
        <w:tc>
          <w:tcPr>
            <w:tcW w:w="3099" w:type="dxa"/>
            <w:tcBorders>
              <w:top w:val="single" w:sz="6" w:space="0" w:color="auto"/>
              <w:left w:val="nil"/>
              <w:bottom w:val="nil"/>
              <w:right w:val="nil"/>
            </w:tcBorders>
          </w:tcPr>
          <w:p w14:paraId="6AF21013" w14:textId="77777777" w:rsidR="0062731B" w:rsidRPr="00CE40EA" w:rsidRDefault="0062731B" w:rsidP="00506BFF">
            <w:pPr>
              <w:widowControl w:val="0"/>
              <w:autoSpaceDE w:val="0"/>
              <w:autoSpaceDN w:val="0"/>
              <w:adjustRightInd w:val="0"/>
              <w:spacing w:line="240" w:lineRule="auto"/>
              <w:rPr>
                <w:rFonts w:cstheme="minorHAnsi"/>
                <w:sz w:val="20"/>
                <w:szCs w:val="20"/>
              </w:rPr>
            </w:pPr>
          </w:p>
        </w:tc>
        <w:tc>
          <w:tcPr>
            <w:tcW w:w="2160" w:type="dxa"/>
            <w:tcBorders>
              <w:top w:val="single" w:sz="6" w:space="0" w:color="auto"/>
              <w:left w:val="nil"/>
              <w:bottom w:val="nil"/>
              <w:right w:val="nil"/>
            </w:tcBorders>
          </w:tcPr>
          <w:p w14:paraId="635FA4E8"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(1)</w:t>
            </w:r>
          </w:p>
        </w:tc>
        <w:tc>
          <w:tcPr>
            <w:tcW w:w="2880" w:type="dxa"/>
            <w:tcBorders>
              <w:top w:val="single" w:sz="6" w:space="0" w:color="auto"/>
              <w:left w:val="nil"/>
              <w:bottom w:val="nil"/>
              <w:right w:val="nil"/>
            </w:tcBorders>
          </w:tcPr>
          <w:p w14:paraId="674649CC"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(2)</w:t>
            </w:r>
          </w:p>
        </w:tc>
      </w:tr>
      <w:tr w:rsidR="0062731B" w14:paraId="5473B623" w14:textId="77777777" w:rsidTr="00D20E59">
        <w:tc>
          <w:tcPr>
            <w:tcW w:w="3099" w:type="dxa"/>
            <w:tcBorders>
              <w:top w:val="nil"/>
              <w:left w:val="nil"/>
              <w:bottom w:val="single" w:sz="6" w:space="0" w:color="auto"/>
              <w:right w:val="nil"/>
            </w:tcBorders>
          </w:tcPr>
          <w:p w14:paraId="5DFE7FA9" w14:textId="77777777" w:rsidR="0062731B" w:rsidRPr="00CE40EA" w:rsidRDefault="0062731B" w:rsidP="00506BFF">
            <w:pPr>
              <w:widowControl w:val="0"/>
              <w:autoSpaceDE w:val="0"/>
              <w:autoSpaceDN w:val="0"/>
              <w:adjustRightInd w:val="0"/>
              <w:spacing w:line="240" w:lineRule="auto"/>
              <w:rPr>
                <w:rFonts w:cstheme="minorHAnsi"/>
                <w:sz w:val="20"/>
                <w:szCs w:val="20"/>
              </w:rPr>
            </w:pPr>
            <w:r w:rsidRPr="00CE40EA">
              <w:rPr>
                <w:rFonts w:cstheme="minorHAnsi"/>
                <w:sz w:val="20"/>
                <w:szCs w:val="20"/>
              </w:rPr>
              <w:t>VARIABLES</w:t>
            </w:r>
          </w:p>
        </w:tc>
        <w:tc>
          <w:tcPr>
            <w:tcW w:w="2160" w:type="dxa"/>
            <w:tcBorders>
              <w:top w:val="nil"/>
              <w:left w:val="nil"/>
              <w:bottom w:val="single" w:sz="6" w:space="0" w:color="auto"/>
              <w:right w:val="nil"/>
            </w:tcBorders>
          </w:tcPr>
          <w:p w14:paraId="3BE159C3" w14:textId="77777777" w:rsidR="004724D3" w:rsidRDefault="008D5F46" w:rsidP="00506BFF">
            <w:pPr>
              <w:widowControl w:val="0"/>
              <w:autoSpaceDE w:val="0"/>
              <w:autoSpaceDN w:val="0"/>
              <w:adjustRightInd w:val="0"/>
              <w:spacing w:line="240" w:lineRule="auto"/>
              <w:jc w:val="center"/>
              <w:rPr>
                <w:rFonts w:cstheme="minorHAnsi"/>
                <w:sz w:val="20"/>
                <w:szCs w:val="20"/>
              </w:rPr>
            </w:pPr>
            <w:r>
              <w:rPr>
                <w:rFonts w:cstheme="minorHAnsi"/>
                <w:sz w:val="20"/>
                <w:szCs w:val="20"/>
              </w:rPr>
              <w:t>Core</w:t>
            </w:r>
          </w:p>
          <w:p w14:paraId="07746E49" w14:textId="7BF9DEB2" w:rsidR="0062731B" w:rsidRPr="00CE40EA" w:rsidRDefault="008D5F46" w:rsidP="00506BFF">
            <w:pPr>
              <w:widowControl w:val="0"/>
              <w:autoSpaceDE w:val="0"/>
              <w:autoSpaceDN w:val="0"/>
              <w:adjustRightInd w:val="0"/>
              <w:spacing w:line="240" w:lineRule="auto"/>
              <w:jc w:val="center"/>
              <w:rPr>
                <w:rFonts w:cstheme="minorHAnsi"/>
                <w:sz w:val="20"/>
                <w:szCs w:val="20"/>
              </w:rPr>
            </w:pPr>
            <w:r>
              <w:rPr>
                <w:rFonts w:cstheme="minorHAnsi"/>
                <w:sz w:val="20"/>
                <w:szCs w:val="20"/>
              </w:rPr>
              <w:t xml:space="preserve"> countries</w:t>
            </w:r>
          </w:p>
        </w:tc>
        <w:tc>
          <w:tcPr>
            <w:tcW w:w="2880" w:type="dxa"/>
            <w:tcBorders>
              <w:top w:val="nil"/>
              <w:left w:val="nil"/>
              <w:bottom w:val="single" w:sz="6" w:space="0" w:color="auto"/>
              <w:right w:val="nil"/>
            </w:tcBorders>
          </w:tcPr>
          <w:p w14:paraId="5CFE867B" w14:textId="77777777" w:rsidR="004724D3" w:rsidRDefault="008D5F46" w:rsidP="00506BFF">
            <w:pPr>
              <w:widowControl w:val="0"/>
              <w:autoSpaceDE w:val="0"/>
              <w:autoSpaceDN w:val="0"/>
              <w:adjustRightInd w:val="0"/>
              <w:spacing w:line="240" w:lineRule="auto"/>
              <w:jc w:val="center"/>
              <w:rPr>
                <w:rFonts w:cstheme="minorHAnsi"/>
                <w:sz w:val="20"/>
                <w:szCs w:val="20"/>
              </w:rPr>
            </w:pPr>
            <w:r>
              <w:rPr>
                <w:rFonts w:cstheme="minorHAnsi"/>
                <w:sz w:val="20"/>
                <w:szCs w:val="20"/>
              </w:rPr>
              <w:t>Periphery</w:t>
            </w:r>
          </w:p>
          <w:p w14:paraId="18B78B9D" w14:textId="7EDF70FD" w:rsidR="0062731B" w:rsidRPr="00CE40EA" w:rsidRDefault="008D5F46" w:rsidP="00506BFF">
            <w:pPr>
              <w:widowControl w:val="0"/>
              <w:autoSpaceDE w:val="0"/>
              <w:autoSpaceDN w:val="0"/>
              <w:adjustRightInd w:val="0"/>
              <w:spacing w:line="240" w:lineRule="auto"/>
              <w:jc w:val="center"/>
              <w:rPr>
                <w:rFonts w:cstheme="minorHAnsi"/>
                <w:sz w:val="20"/>
                <w:szCs w:val="20"/>
              </w:rPr>
            </w:pPr>
            <w:r>
              <w:rPr>
                <w:rFonts w:cstheme="minorHAnsi"/>
                <w:sz w:val="20"/>
                <w:szCs w:val="20"/>
              </w:rPr>
              <w:t>countries</w:t>
            </w:r>
          </w:p>
        </w:tc>
      </w:tr>
      <w:tr w:rsidR="0062731B" w14:paraId="320C9C0B" w14:textId="77777777" w:rsidTr="00D20E59">
        <w:tc>
          <w:tcPr>
            <w:tcW w:w="3099" w:type="dxa"/>
            <w:tcBorders>
              <w:top w:val="nil"/>
              <w:left w:val="nil"/>
              <w:bottom w:val="nil"/>
              <w:right w:val="nil"/>
            </w:tcBorders>
          </w:tcPr>
          <w:p w14:paraId="761F4E14" w14:textId="77777777" w:rsidR="0062731B" w:rsidRPr="00CE40EA" w:rsidRDefault="0062731B" w:rsidP="00506BFF">
            <w:pPr>
              <w:widowControl w:val="0"/>
              <w:autoSpaceDE w:val="0"/>
              <w:autoSpaceDN w:val="0"/>
              <w:adjustRightInd w:val="0"/>
              <w:spacing w:line="240" w:lineRule="auto"/>
              <w:rPr>
                <w:rFonts w:cstheme="minorHAnsi"/>
                <w:sz w:val="20"/>
                <w:szCs w:val="20"/>
              </w:rPr>
            </w:pPr>
          </w:p>
        </w:tc>
        <w:tc>
          <w:tcPr>
            <w:tcW w:w="2160" w:type="dxa"/>
            <w:tcBorders>
              <w:top w:val="nil"/>
              <w:left w:val="nil"/>
              <w:bottom w:val="nil"/>
              <w:right w:val="nil"/>
            </w:tcBorders>
          </w:tcPr>
          <w:p w14:paraId="2A034EA7"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p>
        </w:tc>
        <w:tc>
          <w:tcPr>
            <w:tcW w:w="2880" w:type="dxa"/>
            <w:tcBorders>
              <w:top w:val="nil"/>
              <w:left w:val="nil"/>
              <w:bottom w:val="nil"/>
              <w:right w:val="nil"/>
            </w:tcBorders>
          </w:tcPr>
          <w:p w14:paraId="5BED1A08"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p>
        </w:tc>
      </w:tr>
      <w:tr w:rsidR="0062731B" w14:paraId="428F92E9" w14:textId="77777777" w:rsidTr="00D20E59">
        <w:tc>
          <w:tcPr>
            <w:tcW w:w="3099" w:type="dxa"/>
            <w:tcBorders>
              <w:top w:val="nil"/>
              <w:left w:val="nil"/>
              <w:bottom w:val="nil"/>
              <w:right w:val="nil"/>
            </w:tcBorders>
          </w:tcPr>
          <w:p w14:paraId="28CB247E" w14:textId="77777777" w:rsidR="0062731B" w:rsidRPr="00CE40EA" w:rsidRDefault="0062731B" w:rsidP="00506BFF">
            <w:pPr>
              <w:widowControl w:val="0"/>
              <w:autoSpaceDE w:val="0"/>
              <w:autoSpaceDN w:val="0"/>
              <w:adjustRightInd w:val="0"/>
              <w:spacing w:line="240" w:lineRule="auto"/>
              <w:rPr>
                <w:rFonts w:cstheme="minorHAnsi"/>
                <w:sz w:val="20"/>
                <w:szCs w:val="20"/>
              </w:rPr>
            </w:pPr>
            <w:proofErr w:type="spellStart"/>
            <w:r w:rsidRPr="00CE40EA">
              <w:rPr>
                <w:rFonts w:cstheme="minorHAnsi"/>
                <w:sz w:val="20"/>
                <w:szCs w:val="20"/>
              </w:rPr>
              <w:t>dummy_special</w:t>
            </w:r>
            <w:proofErr w:type="spellEnd"/>
          </w:p>
        </w:tc>
        <w:tc>
          <w:tcPr>
            <w:tcW w:w="2160" w:type="dxa"/>
            <w:tcBorders>
              <w:top w:val="nil"/>
              <w:left w:val="nil"/>
              <w:bottom w:val="nil"/>
              <w:right w:val="nil"/>
            </w:tcBorders>
          </w:tcPr>
          <w:p w14:paraId="1443CF17" w14:textId="67CB1110"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0.352</w:t>
            </w:r>
          </w:p>
        </w:tc>
        <w:tc>
          <w:tcPr>
            <w:tcW w:w="2880" w:type="dxa"/>
            <w:tcBorders>
              <w:top w:val="nil"/>
              <w:left w:val="nil"/>
              <w:bottom w:val="nil"/>
              <w:right w:val="nil"/>
            </w:tcBorders>
          </w:tcPr>
          <w:p w14:paraId="086C6C9E"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-2.859***</w:t>
            </w:r>
          </w:p>
        </w:tc>
      </w:tr>
      <w:tr w:rsidR="00D20E59" w14:paraId="5A219D7F" w14:textId="77777777" w:rsidTr="00D20E59">
        <w:trPr>
          <w:gridAfter w:val="2"/>
          <w:wAfter w:w="5040" w:type="dxa"/>
        </w:trPr>
        <w:tc>
          <w:tcPr>
            <w:tcW w:w="3099" w:type="dxa"/>
            <w:tcBorders>
              <w:top w:val="nil"/>
              <w:left w:val="nil"/>
              <w:bottom w:val="nil"/>
              <w:right w:val="nil"/>
            </w:tcBorders>
          </w:tcPr>
          <w:p w14:paraId="1903C040" w14:textId="77777777" w:rsidR="00D20E59" w:rsidRPr="00CE40EA" w:rsidRDefault="00D20E59" w:rsidP="00506BFF">
            <w:pPr>
              <w:widowControl w:val="0"/>
              <w:autoSpaceDE w:val="0"/>
              <w:autoSpaceDN w:val="0"/>
              <w:adjustRightInd w:val="0"/>
              <w:spacing w:line="240" w:lineRule="auto"/>
              <w:rPr>
                <w:rFonts w:cstheme="minorHAnsi"/>
                <w:sz w:val="20"/>
                <w:szCs w:val="20"/>
              </w:rPr>
            </w:pPr>
          </w:p>
        </w:tc>
      </w:tr>
      <w:tr w:rsidR="0062731B" w14:paraId="7EEEAA97" w14:textId="77777777" w:rsidTr="00D20E59">
        <w:tc>
          <w:tcPr>
            <w:tcW w:w="3099" w:type="dxa"/>
            <w:tcBorders>
              <w:top w:val="nil"/>
              <w:left w:val="nil"/>
              <w:bottom w:val="nil"/>
              <w:right w:val="nil"/>
            </w:tcBorders>
          </w:tcPr>
          <w:p w14:paraId="56A3EDF9" w14:textId="77777777" w:rsidR="0062731B" w:rsidRPr="00CE40EA" w:rsidRDefault="0062731B" w:rsidP="00506BFF">
            <w:pPr>
              <w:widowControl w:val="0"/>
              <w:autoSpaceDE w:val="0"/>
              <w:autoSpaceDN w:val="0"/>
              <w:adjustRightInd w:val="0"/>
              <w:spacing w:line="240" w:lineRule="auto"/>
              <w:rPr>
                <w:rFonts w:cstheme="minorHAnsi"/>
                <w:sz w:val="20"/>
                <w:szCs w:val="20"/>
              </w:rPr>
            </w:pPr>
            <w:proofErr w:type="spellStart"/>
            <w:r w:rsidRPr="00CE40EA">
              <w:rPr>
                <w:rFonts w:cstheme="minorHAnsi"/>
                <w:sz w:val="20"/>
                <w:szCs w:val="20"/>
              </w:rPr>
              <w:t>dummy_special_d</w:t>
            </w:r>
            <w:proofErr w:type="spellEnd"/>
          </w:p>
        </w:tc>
        <w:tc>
          <w:tcPr>
            <w:tcW w:w="2160" w:type="dxa"/>
            <w:tcBorders>
              <w:top w:val="nil"/>
              <w:left w:val="nil"/>
              <w:bottom w:val="nil"/>
              <w:right w:val="nil"/>
            </w:tcBorders>
          </w:tcPr>
          <w:p w14:paraId="69ED4551"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0.0197</w:t>
            </w:r>
          </w:p>
        </w:tc>
        <w:tc>
          <w:tcPr>
            <w:tcW w:w="2880" w:type="dxa"/>
            <w:tcBorders>
              <w:top w:val="nil"/>
              <w:left w:val="nil"/>
              <w:bottom w:val="nil"/>
              <w:right w:val="nil"/>
            </w:tcBorders>
          </w:tcPr>
          <w:p w14:paraId="4E8928CA"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0.231</w:t>
            </w:r>
          </w:p>
        </w:tc>
      </w:tr>
      <w:tr w:rsidR="00D20E59" w14:paraId="3A9F08E1" w14:textId="77777777" w:rsidTr="00D20E59">
        <w:trPr>
          <w:gridAfter w:val="2"/>
          <w:wAfter w:w="5040" w:type="dxa"/>
        </w:trPr>
        <w:tc>
          <w:tcPr>
            <w:tcW w:w="3099" w:type="dxa"/>
            <w:tcBorders>
              <w:top w:val="nil"/>
              <w:left w:val="nil"/>
              <w:bottom w:val="nil"/>
              <w:right w:val="nil"/>
            </w:tcBorders>
          </w:tcPr>
          <w:p w14:paraId="25136190" w14:textId="77777777" w:rsidR="00D20E59" w:rsidRPr="00CE40EA" w:rsidRDefault="00D20E59" w:rsidP="00506BFF">
            <w:pPr>
              <w:widowControl w:val="0"/>
              <w:autoSpaceDE w:val="0"/>
              <w:autoSpaceDN w:val="0"/>
              <w:adjustRightInd w:val="0"/>
              <w:spacing w:line="240" w:lineRule="auto"/>
              <w:rPr>
                <w:rFonts w:cstheme="minorHAnsi"/>
                <w:sz w:val="20"/>
                <w:szCs w:val="20"/>
              </w:rPr>
            </w:pPr>
          </w:p>
        </w:tc>
      </w:tr>
      <w:tr w:rsidR="0062731B" w14:paraId="79B5F211" w14:textId="77777777" w:rsidTr="00D20E59">
        <w:tc>
          <w:tcPr>
            <w:tcW w:w="3099" w:type="dxa"/>
            <w:tcBorders>
              <w:top w:val="nil"/>
              <w:left w:val="nil"/>
              <w:bottom w:val="nil"/>
              <w:right w:val="nil"/>
            </w:tcBorders>
          </w:tcPr>
          <w:p w14:paraId="02247383" w14:textId="77777777" w:rsidR="0062731B" w:rsidRPr="00CE40EA" w:rsidRDefault="0062731B" w:rsidP="00506BFF">
            <w:pPr>
              <w:widowControl w:val="0"/>
              <w:autoSpaceDE w:val="0"/>
              <w:autoSpaceDN w:val="0"/>
              <w:adjustRightInd w:val="0"/>
              <w:spacing w:line="240" w:lineRule="auto"/>
              <w:rPr>
                <w:rFonts w:cstheme="minorHAnsi"/>
                <w:sz w:val="20"/>
                <w:szCs w:val="20"/>
              </w:rPr>
            </w:pPr>
            <w:r w:rsidRPr="00CE40EA">
              <w:rPr>
                <w:rFonts w:cstheme="minorHAnsi"/>
                <w:sz w:val="20"/>
                <w:szCs w:val="20"/>
              </w:rPr>
              <w:t>dummy_special_d2</w:t>
            </w:r>
          </w:p>
        </w:tc>
        <w:tc>
          <w:tcPr>
            <w:tcW w:w="2160" w:type="dxa"/>
            <w:tcBorders>
              <w:top w:val="nil"/>
              <w:left w:val="nil"/>
              <w:bottom w:val="nil"/>
              <w:right w:val="nil"/>
            </w:tcBorders>
          </w:tcPr>
          <w:p w14:paraId="4B701EEA"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0.360***</w:t>
            </w:r>
          </w:p>
        </w:tc>
        <w:tc>
          <w:tcPr>
            <w:tcW w:w="2880" w:type="dxa"/>
            <w:tcBorders>
              <w:top w:val="nil"/>
              <w:left w:val="nil"/>
              <w:bottom w:val="nil"/>
              <w:right w:val="nil"/>
            </w:tcBorders>
          </w:tcPr>
          <w:p w14:paraId="275EC4F0"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0.937*</w:t>
            </w:r>
          </w:p>
        </w:tc>
      </w:tr>
      <w:tr w:rsidR="00D20E59" w14:paraId="67A5CBF2" w14:textId="77777777" w:rsidTr="00D20E59">
        <w:trPr>
          <w:gridAfter w:val="2"/>
          <w:wAfter w:w="5040" w:type="dxa"/>
        </w:trPr>
        <w:tc>
          <w:tcPr>
            <w:tcW w:w="3099" w:type="dxa"/>
            <w:tcBorders>
              <w:top w:val="nil"/>
              <w:left w:val="nil"/>
              <w:bottom w:val="nil"/>
              <w:right w:val="nil"/>
            </w:tcBorders>
          </w:tcPr>
          <w:p w14:paraId="54146FEF" w14:textId="77777777" w:rsidR="00D20E59" w:rsidRPr="00CE40EA" w:rsidRDefault="00D20E59" w:rsidP="00506BFF">
            <w:pPr>
              <w:widowControl w:val="0"/>
              <w:autoSpaceDE w:val="0"/>
              <w:autoSpaceDN w:val="0"/>
              <w:adjustRightInd w:val="0"/>
              <w:spacing w:line="240" w:lineRule="auto"/>
              <w:rPr>
                <w:rFonts w:cstheme="minorHAnsi"/>
                <w:sz w:val="20"/>
                <w:szCs w:val="20"/>
              </w:rPr>
            </w:pPr>
          </w:p>
        </w:tc>
      </w:tr>
      <w:tr w:rsidR="0062731B" w14:paraId="0D767B22" w14:textId="77777777" w:rsidTr="00D20E59">
        <w:tc>
          <w:tcPr>
            <w:tcW w:w="3099" w:type="dxa"/>
            <w:tcBorders>
              <w:top w:val="nil"/>
              <w:left w:val="nil"/>
              <w:bottom w:val="nil"/>
              <w:right w:val="nil"/>
            </w:tcBorders>
          </w:tcPr>
          <w:p w14:paraId="5E8DF15B" w14:textId="77777777" w:rsidR="0062731B" w:rsidRPr="00CE40EA" w:rsidRDefault="0062731B" w:rsidP="00506BFF">
            <w:pPr>
              <w:widowControl w:val="0"/>
              <w:autoSpaceDE w:val="0"/>
              <w:autoSpaceDN w:val="0"/>
              <w:adjustRightInd w:val="0"/>
              <w:spacing w:line="240" w:lineRule="auto"/>
              <w:rPr>
                <w:rFonts w:cstheme="minorHAnsi"/>
                <w:sz w:val="20"/>
                <w:szCs w:val="20"/>
              </w:rPr>
            </w:pPr>
            <w:proofErr w:type="spellStart"/>
            <w:r w:rsidRPr="00CE40EA">
              <w:rPr>
                <w:rFonts w:cstheme="minorHAnsi"/>
                <w:sz w:val="20"/>
                <w:szCs w:val="20"/>
              </w:rPr>
              <w:t>lag_cds_fd</w:t>
            </w:r>
            <w:proofErr w:type="spellEnd"/>
            <w:r w:rsidRPr="00CE40EA">
              <w:rPr>
                <w:rFonts w:cstheme="minorHAnsi"/>
                <w:sz w:val="20"/>
                <w:szCs w:val="20"/>
              </w:rPr>
              <w:t>_</w:t>
            </w:r>
          </w:p>
        </w:tc>
        <w:tc>
          <w:tcPr>
            <w:tcW w:w="2160" w:type="dxa"/>
            <w:tcBorders>
              <w:top w:val="nil"/>
              <w:left w:val="nil"/>
              <w:bottom w:val="nil"/>
              <w:right w:val="nil"/>
            </w:tcBorders>
          </w:tcPr>
          <w:p w14:paraId="06712639"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-0.179***</w:t>
            </w:r>
          </w:p>
        </w:tc>
        <w:tc>
          <w:tcPr>
            <w:tcW w:w="2880" w:type="dxa"/>
            <w:tcBorders>
              <w:top w:val="nil"/>
              <w:left w:val="nil"/>
              <w:bottom w:val="nil"/>
              <w:right w:val="nil"/>
            </w:tcBorders>
          </w:tcPr>
          <w:p w14:paraId="3DD41D58"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-0.0904***</w:t>
            </w:r>
          </w:p>
        </w:tc>
      </w:tr>
      <w:tr w:rsidR="00D20E59" w14:paraId="4E099A17" w14:textId="77777777" w:rsidTr="00D20E59">
        <w:trPr>
          <w:gridAfter w:val="2"/>
          <w:wAfter w:w="5040" w:type="dxa"/>
        </w:trPr>
        <w:tc>
          <w:tcPr>
            <w:tcW w:w="3099" w:type="dxa"/>
            <w:tcBorders>
              <w:top w:val="nil"/>
              <w:left w:val="nil"/>
              <w:bottom w:val="nil"/>
              <w:right w:val="nil"/>
            </w:tcBorders>
          </w:tcPr>
          <w:p w14:paraId="155E89BE" w14:textId="77777777" w:rsidR="00D20E59" w:rsidRPr="00CE40EA" w:rsidRDefault="00D20E59" w:rsidP="00506BFF">
            <w:pPr>
              <w:widowControl w:val="0"/>
              <w:autoSpaceDE w:val="0"/>
              <w:autoSpaceDN w:val="0"/>
              <w:adjustRightInd w:val="0"/>
              <w:spacing w:line="240" w:lineRule="auto"/>
              <w:rPr>
                <w:rFonts w:cstheme="minorHAnsi"/>
                <w:sz w:val="20"/>
                <w:szCs w:val="20"/>
              </w:rPr>
            </w:pPr>
          </w:p>
        </w:tc>
      </w:tr>
      <w:tr w:rsidR="0062731B" w14:paraId="79C7187E" w14:textId="77777777" w:rsidTr="00D20E59">
        <w:tc>
          <w:tcPr>
            <w:tcW w:w="3099" w:type="dxa"/>
            <w:tcBorders>
              <w:top w:val="nil"/>
              <w:left w:val="nil"/>
              <w:bottom w:val="nil"/>
              <w:right w:val="nil"/>
            </w:tcBorders>
          </w:tcPr>
          <w:p w14:paraId="61694C34" w14:textId="77777777" w:rsidR="0062731B" w:rsidRPr="00CE40EA" w:rsidRDefault="0062731B" w:rsidP="00506BFF">
            <w:pPr>
              <w:widowControl w:val="0"/>
              <w:autoSpaceDE w:val="0"/>
              <w:autoSpaceDN w:val="0"/>
              <w:adjustRightInd w:val="0"/>
              <w:spacing w:line="240" w:lineRule="auto"/>
              <w:rPr>
                <w:rFonts w:cstheme="minorHAnsi"/>
                <w:sz w:val="20"/>
                <w:szCs w:val="20"/>
              </w:rPr>
            </w:pPr>
            <w:proofErr w:type="spellStart"/>
            <w:r w:rsidRPr="00CE40EA">
              <w:rPr>
                <w:rFonts w:cstheme="minorHAnsi"/>
                <w:sz w:val="20"/>
                <w:szCs w:val="20"/>
              </w:rPr>
              <w:t>stock_fd</w:t>
            </w:r>
            <w:proofErr w:type="spellEnd"/>
            <w:r w:rsidRPr="00CE40EA">
              <w:rPr>
                <w:rFonts w:cstheme="minorHAnsi"/>
                <w:sz w:val="20"/>
                <w:szCs w:val="20"/>
              </w:rPr>
              <w:t>_</w:t>
            </w:r>
          </w:p>
        </w:tc>
        <w:tc>
          <w:tcPr>
            <w:tcW w:w="2160" w:type="dxa"/>
            <w:tcBorders>
              <w:top w:val="nil"/>
              <w:left w:val="nil"/>
              <w:bottom w:val="nil"/>
              <w:right w:val="nil"/>
            </w:tcBorders>
          </w:tcPr>
          <w:p w14:paraId="1F9D5DA7"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0.000179</w:t>
            </w:r>
          </w:p>
        </w:tc>
        <w:tc>
          <w:tcPr>
            <w:tcW w:w="2880" w:type="dxa"/>
            <w:tcBorders>
              <w:top w:val="nil"/>
              <w:left w:val="nil"/>
              <w:bottom w:val="nil"/>
              <w:right w:val="nil"/>
            </w:tcBorders>
          </w:tcPr>
          <w:p w14:paraId="731EA5AF"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-0.000756**</w:t>
            </w:r>
          </w:p>
        </w:tc>
      </w:tr>
      <w:tr w:rsidR="00D20E59" w14:paraId="32C9C039" w14:textId="77777777" w:rsidTr="00D20E59">
        <w:trPr>
          <w:gridAfter w:val="2"/>
          <w:wAfter w:w="5040" w:type="dxa"/>
        </w:trPr>
        <w:tc>
          <w:tcPr>
            <w:tcW w:w="3099" w:type="dxa"/>
            <w:tcBorders>
              <w:top w:val="nil"/>
              <w:left w:val="nil"/>
              <w:bottom w:val="nil"/>
              <w:right w:val="nil"/>
            </w:tcBorders>
          </w:tcPr>
          <w:p w14:paraId="66038598" w14:textId="77777777" w:rsidR="00D20E59" w:rsidRPr="00CE40EA" w:rsidRDefault="00D20E59" w:rsidP="00506BFF">
            <w:pPr>
              <w:widowControl w:val="0"/>
              <w:autoSpaceDE w:val="0"/>
              <w:autoSpaceDN w:val="0"/>
              <w:adjustRightInd w:val="0"/>
              <w:spacing w:line="240" w:lineRule="auto"/>
              <w:rPr>
                <w:rFonts w:cstheme="minorHAnsi"/>
                <w:sz w:val="20"/>
                <w:szCs w:val="20"/>
              </w:rPr>
            </w:pPr>
          </w:p>
        </w:tc>
      </w:tr>
      <w:tr w:rsidR="0062731B" w14:paraId="162D057D" w14:textId="77777777" w:rsidTr="00D20E59">
        <w:tc>
          <w:tcPr>
            <w:tcW w:w="3099" w:type="dxa"/>
            <w:tcBorders>
              <w:top w:val="nil"/>
              <w:left w:val="nil"/>
              <w:bottom w:val="nil"/>
              <w:right w:val="nil"/>
            </w:tcBorders>
          </w:tcPr>
          <w:p w14:paraId="00E015A4" w14:textId="77777777" w:rsidR="0062731B" w:rsidRPr="00CE40EA" w:rsidRDefault="0062731B" w:rsidP="00506BFF">
            <w:pPr>
              <w:widowControl w:val="0"/>
              <w:autoSpaceDE w:val="0"/>
              <w:autoSpaceDN w:val="0"/>
              <w:adjustRightInd w:val="0"/>
              <w:spacing w:line="240" w:lineRule="auto"/>
              <w:rPr>
                <w:rFonts w:cstheme="minorHAnsi"/>
                <w:sz w:val="20"/>
                <w:szCs w:val="20"/>
              </w:rPr>
            </w:pPr>
            <w:proofErr w:type="spellStart"/>
            <w:r w:rsidRPr="00CE40EA">
              <w:rPr>
                <w:rFonts w:cstheme="minorHAnsi"/>
                <w:sz w:val="20"/>
                <w:szCs w:val="20"/>
              </w:rPr>
              <w:t>vstoxx_fd</w:t>
            </w:r>
            <w:proofErr w:type="spellEnd"/>
          </w:p>
        </w:tc>
        <w:tc>
          <w:tcPr>
            <w:tcW w:w="2160" w:type="dxa"/>
            <w:tcBorders>
              <w:top w:val="nil"/>
              <w:left w:val="nil"/>
              <w:bottom w:val="nil"/>
              <w:right w:val="nil"/>
            </w:tcBorders>
          </w:tcPr>
          <w:p w14:paraId="2FAADA45"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0.0169*</w:t>
            </w:r>
          </w:p>
        </w:tc>
        <w:tc>
          <w:tcPr>
            <w:tcW w:w="2880" w:type="dxa"/>
            <w:tcBorders>
              <w:top w:val="nil"/>
              <w:left w:val="nil"/>
              <w:bottom w:val="nil"/>
              <w:right w:val="nil"/>
            </w:tcBorders>
          </w:tcPr>
          <w:p w14:paraId="48844A8E"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0.0855**</w:t>
            </w:r>
          </w:p>
        </w:tc>
      </w:tr>
      <w:tr w:rsidR="00D20E59" w14:paraId="2B824070" w14:textId="77777777" w:rsidTr="00D20E59">
        <w:trPr>
          <w:gridAfter w:val="2"/>
          <w:wAfter w:w="5040" w:type="dxa"/>
        </w:trPr>
        <w:tc>
          <w:tcPr>
            <w:tcW w:w="3099" w:type="dxa"/>
            <w:tcBorders>
              <w:top w:val="nil"/>
              <w:left w:val="nil"/>
              <w:bottom w:val="nil"/>
              <w:right w:val="nil"/>
            </w:tcBorders>
          </w:tcPr>
          <w:p w14:paraId="58384AC0" w14:textId="77777777" w:rsidR="00D20E59" w:rsidRPr="00CE40EA" w:rsidRDefault="00D20E59" w:rsidP="00506BFF">
            <w:pPr>
              <w:widowControl w:val="0"/>
              <w:autoSpaceDE w:val="0"/>
              <w:autoSpaceDN w:val="0"/>
              <w:adjustRightInd w:val="0"/>
              <w:spacing w:line="240" w:lineRule="auto"/>
              <w:rPr>
                <w:rFonts w:cstheme="minorHAnsi"/>
                <w:sz w:val="20"/>
                <w:szCs w:val="20"/>
              </w:rPr>
            </w:pPr>
          </w:p>
        </w:tc>
      </w:tr>
      <w:tr w:rsidR="0062731B" w14:paraId="37299834" w14:textId="77777777" w:rsidTr="00D20E59">
        <w:tc>
          <w:tcPr>
            <w:tcW w:w="3099" w:type="dxa"/>
            <w:tcBorders>
              <w:top w:val="nil"/>
              <w:left w:val="nil"/>
              <w:bottom w:val="nil"/>
              <w:right w:val="nil"/>
            </w:tcBorders>
          </w:tcPr>
          <w:p w14:paraId="3EEEDF88" w14:textId="77777777" w:rsidR="0062731B" w:rsidRPr="00CE40EA" w:rsidRDefault="0062731B" w:rsidP="00506BFF">
            <w:pPr>
              <w:widowControl w:val="0"/>
              <w:autoSpaceDE w:val="0"/>
              <w:autoSpaceDN w:val="0"/>
              <w:adjustRightInd w:val="0"/>
              <w:spacing w:line="240" w:lineRule="auto"/>
              <w:rPr>
                <w:rFonts w:cstheme="minorHAnsi"/>
                <w:sz w:val="20"/>
                <w:szCs w:val="20"/>
              </w:rPr>
            </w:pPr>
            <w:proofErr w:type="spellStart"/>
            <w:r w:rsidRPr="00CE40EA">
              <w:rPr>
                <w:rFonts w:cstheme="minorHAnsi"/>
                <w:sz w:val="20"/>
                <w:szCs w:val="20"/>
              </w:rPr>
              <w:t>itraxx_n_fd</w:t>
            </w:r>
            <w:proofErr w:type="spellEnd"/>
          </w:p>
        </w:tc>
        <w:tc>
          <w:tcPr>
            <w:tcW w:w="2160" w:type="dxa"/>
            <w:tcBorders>
              <w:top w:val="nil"/>
              <w:left w:val="nil"/>
              <w:bottom w:val="nil"/>
              <w:right w:val="nil"/>
            </w:tcBorders>
          </w:tcPr>
          <w:p w14:paraId="6D022BE3"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0.0473***</w:t>
            </w:r>
          </w:p>
        </w:tc>
        <w:tc>
          <w:tcPr>
            <w:tcW w:w="2880" w:type="dxa"/>
            <w:tcBorders>
              <w:top w:val="nil"/>
              <w:left w:val="nil"/>
              <w:bottom w:val="nil"/>
              <w:right w:val="nil"/>
            </w:tcBorders>
          </w:tcPr>
          <w:p w14:paraId="075A883F"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0.0848***</w:t>
            </w:r>
          </w:p>
        </w:tc>
      </w:tr>
      <w:tr w:rsidR="00D20E59" w14:paraId="6A1E3E13" w14:textId="77777777" w:rsidTr="00D20E59">
        <w:trPr>
          <w:gridAfter w:val="2"/>
          <w:wAfter w:w="5040" w:type="dxa"/>
        </w:trPr>
        <w:tc>
          <w:tcPr>
            <w:tcW w:w="3099" w:type="dxa"/>
            <w:tcBorders>
              <w:top w:val="nil"/>
              <w:left w:val="nil"/>
              <w:bottom w:val="nil"/>
              <w:right w:val="nil"/>
            </w:tcBorders>
          </w:tcPr>
          <w:p w14:paraId="51C0C906" w14:textId="77777777" w:rsidR="00D20E59" w:rsidRPr="00CE40EA" w:rsidRDefault="00D20E59" w:rsidP="00506BFF">
            <w:pPr>
              <w:widowControl w:val="0"/>
              <w:autoSpaceDE w:val="0"/>
              <w:autoSpaceDN w:val="0"/>
              <w:adjustRightInd w:val="0"/>
              <w:spacing w:line="240" w:lineRule="auto"/>
              <w:rPr>
                <w:rFonts w:cstheme="minorHAnsi"/>
                <w:sz w:val="20"/>
                <w:szCs w:val="20"/>
              </w:rPr>
            </w:pPr>
          </w:p>
        </w:tc>
      </w:tr>
      <w:tr w:rsidR="0062731B" w14:paraId="56D355E9" w14:textId="77777777" w:rsidTr="00D20E59">
        <w:tc>
          <w:tcPr>
            <w:tcW w:w="3099" w:type="dxa"/>
            <w:tcBorders>
              <w:top w:val="nil"/>
              <w:left w:val="nil"/>
              <w:bottom w:val="nil"/>
              <w:right w:val="nil"/>
            </w:tcBorders>
          </w:tcPr>
          <w:p w14:paraId="25403E23" w14:textId="77777777" w:rsidR="0062731B" w:rsidRPr="00CE40EA" w:rsidRDefault="0062731B" w:rsidP="00506BFF">
            <w:pPr>
              <w:widowControl w:val="0"/>
              <w:autoSpaceDE w:val="0"/>
              <w:autoSpaceDN w:val="0"/>
              <w:adjustRightInd w:val="0"/>
              <w:spacing w:line="240" w:lineRule="auto"/>
              <w:rPr>
                <w:rFonts w:cstheme="minorHAnsi"/>
                <w:sz w:val="20"/>
                <w:szCs w:val="20"/>
              </w:rPr>
            </w:pPr>
            <w:proofErr w:type="spellStart"/>
            <w:r w:rsidRPr="00CE40EA">
              <w:rPr>
                <w:rFonts w:cstheme="minorHAnsi"/>
                <w:sz w:val="20"/>
                <w:szCs w:val="20"/>
              </w:rPr>
              <w:t>tsm_fd</w:t>
            </w:r>
            <w:proofErr w:type="spellEnd"/>
          </w:p>
        </w:tc>
        <w:tc>
          <w:tcPr>
            <w:tcW w:w="2160" w:type="dxa"/>
            <w:tcBorders>
              <w:top w:val="nil"/>
              <w:left w:val="nil"/>
              <w:bottom w:val="nil"/>
              <w:right w:val="nil"/>
            </w:tcBorders>
          </w:tcPr>
          <w:p w14:paraId="2C9C9963"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-0.00102</w:t>
            </w:r>
          </w:p>
        </w:tc>
        <w:tc>
          <w:tcPr>
            <w:tcW w:w="2880" w:type="dxa"/>
            <w:tcBorders>
              <w:top w:val="nil"/>
              <w:left w:val="nil"/>
              <w:bottom w:val="nil"/>
              <w:right w:val="nil"/>
            </w:tcBorders>
          </w:tcPr>
          <w:p w14:paraId="0EB5282F"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-0.00523</w:t>
            </w:r>
          </w:p>
        </w:tc>
      </w:tr>
      <w:tr w:rsidR="00D20E59" w14:paraId="23201975" w14:textId="77777777" w:rsidTr="00D20E59">
        <w:trPr>
          <w:gridAfter w:val="2"/>
          <w:wAfter w:w="5040" w:type="dxa"/>
        </w:trPr>
        <w:tc>
          <w:tcPr>
            <w:tcW w:w="3099" w:type="dxa"/>
            <w:tcBorders>
              <w:top w:val="nil"/>
              <w:left w:val="nil"/>
              <w:bottom w:val="nil"/>
              <w:right w:val="nil"/>
            </w:tcBorders>
          </w:tcPr>
          <w:p w14:paraId="0493A663" w14:textId="77777777" w:rsidR="00D20E59" w:rsidRPr="00CE40EA" w:rsidRDefault="00D20E59" w:rsidP="00506BFF">
            <w:pPr>
              <w:widowControl w:val="0"/>
              <w:autoSpaceDE w:val="0"/>
              <w:autoSpaceDN w:val="0"/>
              <w:adjustRightInd w:val="0"/>
              <w:spacing w:line="240" w:lineRule="auto"/>
              <w:rPr>
                <w:rFonts w:cstheme="minorHAnsi"/>
                <w:sz w:val="20"/>
                <w:szCs w:val="20"/>
              </w:rPr>
            </w:pPr>
          </w:p>
        </w:tc>
      </w:tr>
      <w:tr w:rsidR="0062731B" w14:paraId="68DA1FA7" w14:textId="77777777" w:rsidTr="00D20E59">
        <w:tc>
          <w:tcPr>
            <w:tcW w:w="3099" w:type="dxa"/>
            <w:tcBorders>
              <w:top w:val="nil"/>
              <w:left w:val="nil"/>
              <w:bottom w:val="nil"/>
              <w:right w:val="nil"/>
            </w:tcBorders>
          </w:tcPr>
          <w:p w14:paraId="217D655D" w14:textId="77777777" w:rsidR="0062731B" w:rsidRPr="00CE40EA" w:rsidRDefault="0062731B" w:rsidP="00506BFF">
            <w:pPr>
              <w:widowControl w:val="0"/>
              <w:autoSpaceDE w:val="0"/>
              <w:autoSpaceDN w:val="0"/>
              <w:adjustRightInd w:val="0"/>
              <w:spacing w:line="240" w:lineRule="auto"/>
              <w:rPr>
                <w:rFonts w:cstheme="minorHAnsi"/>
                <w:sz w:val="20"/>
                <w:szCs w:val="20"/>
              </w:rPr>
            </w:pPr>
            <w:proofErr w:type="spellStart"/>
            <w:r w:rsidRPr="00CE40EA">
              <w:rPr>
                <w:rFonts w:cstheme="minorHAnsi"/>
                <w:sz w:val="20"/>
                <w:szCs w:val="20"/>
              </w:rPr>
              <w:t>cesi_fd</w:t>
            </w:r>
            <w:proofErr w:type="spellEnd"/>
          </w:p>
        </w:tc>
        <w:tc>
          <w:tcPr>
            <w:tcW w:w="2160" w:type="dxa"/>
            <w:tcBorders>
              <w:top w:val="nil"/>
              <w:left w:val="nil"/>
              <w:bottom w:val="nil"/>
              <w:right w:val="nil"/>
            </w:tcBorders>
          </w:tcPr>
          <w:p w14:paraId="62A65BAD"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0.00309***</w:t>
            </w:r>
          </w:p>
        </w:tc>
        <w:tc>
          <w:tcPr>
            <w:tcW w:w="2880" w:type="dxa"/>
            <w:tcBorders>
              <w:top w:val="nil"/>
              <w:left w:val="nil"/>
              <w:bottom w:val="nil"/>
              <w:right w:val="nil"/>
            </w:tcBorders>
          </w:tcPr>
          <w:p w14:paraId="2317F336"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0.0101**</w:t>
            </w:r>
          </w:p>
        </w:tc>
      </w:tr>
      <w:tr w:rsidR="00D20E59" w14:paraId="365D0215" w14:textId="77777777" w:rsidTr="00D20E59">
        <w:trPr>
          <w:gridAfter w:val="2"/>
          <w:wAfter w:w="5040" w:type="dxa"/>
        </w:trPr>
        <w:tc>
          <w:tcPr>
            <w:tcW w:w="3099" w:type="dxa"/>
            <w:tcBorders>
              <w:top w:val="nil"/>
              <w:left w:val="nil"/>
              <w:bottom w:val="nil"/>
              <w:right w:val="nil"/>
            </w:tcBorders>
          </w:tcPr>
          <w:p w14:paraId="12FD3CFC" w14:textId="77777777" w:rsidR="00D20E59" w:rsidRPr="00CE40EA" w:rsidRDefault="00D20E59" w:rsidP="00506BFF">
            <w:pPr>
              <w:widowControl w:val="0"/>
              <w:autoSpaceDE w:val="0"/>
              <w:autoSpaceDN w:val="0"/>
              <w:adjustRightInd w:val="0"/>
              <w:spacing w:line="240" w:lineRule="auto"/>
              <w:rPr>
                <w:rFonts w:cstheme="minorHAnsi"/>
                <w:sz w:val="20"/>
                <w:szCs w:val="20"/>
              </w:rPr>
            </w:pPr>
          </w:p>
        </w:tc>
      </w:tr>
      <w:tr w:rsidR="0062731B" w14:paraId="4A7ADEED" w14:textId="77777777" w:rsidTr="00D20E59">
        <w:tc>
          <w:tcPr>
            <w:tcW w:w="3099" w:type="dxa"/>
            <w:tcBorders>
              <w:top w:val="nil"/>
              <w:left w:val="nil"/>
              <w:bottom w:val="nil"/>
              <w:right w:val="nil"/>
            </w:tcBorders>
          </w:tcPr>
          <w:p w14:paraId="2925A34A" w14:textId="77777777" w:rsidR="0062731B" w:rsidRPr="00CE40EA" w:rsidRDefault="0062731B" w:rsidP="00506BFF">
            <w:pPr>
              <w:widowControl w:val="0"/>
              <w:autoSpaceDE w:val="0"/>
              <w:autoSpaceDN w:val="0"/>
              <w:adjustRightInd w:val="0"/>
              <w:spacing w:line="240" w:lineRule="auto"/>
              <w:rPr>
                <w:rFonts w:cstheme="minorHAnsi"/>
                <w:sz w:val="20"/>
                <w:szCs w:val="20"/>
              </w:rPr>
            </w:pPr>
            <w:proofErr w:type="spellStart"/>
            <w:r w:rsidRPr="00CE40EA">
              <w:rPr>
                <w:rFonts w:cstheme="minorHAnsi"/>
                <w:sz w:val="20"/>
                <w:szCs w:val="20"/>
              </w:rPr>
              <w:t>yield_fd</w:t>
            </w:r>
            <w:proofErr w:type="spellEnd"/>
            <w:r w:rsidRPr="00CE40EA">
              <w:rPr>
                <w:rFonts w:cstheme="minorHAnsi"/>
                <w:sz w:val="20"/>
                <w:szCs w:val="20"/>
              </w:rPr>
              <w:t>_</w:t>
            </w:r>
          </w:p>
        </w:tc>
        <w:tc>
          <w:tcPr>
            <w:tcW w:w="2160" w:type="dxa"/>
            <w:tcBorders>
              <w:top w:val="nil"/>
              <w:left w:val="nil"/>
              <w:bottom w:val="nil"/>
              <w:right w:val="nil"/>
            </w:tcBorders>
          </w:tcPr>
          <w:p w14:paraId="23F6288C"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0.432*</w:t>
            </w:r>
          </w:p>
        </w:tc>
        <w:tc>
          <w:tcPr>
            <w:tcW w:w="2880" w:type="dxa"/>
            <w:tcBorders>
              <w:top w:val="nil"/>
              <w:left w:val="nil"/>
              <w:bottom w:val="nil"/>
              <w:right w:val="nil"/>
            </w:tcBorders>
          </w:tcPr>
          <w:p w14:paraId="357E5475"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10.11***</w:t>
            </w:r>
          </w:p>
        </w:tc>
      </w:tr>
      <w:tr w:rsidR="00D20E59" w14:paraId="08247B17" w14:textId="77777777" w:rsidTr="00D20E59">
        <w:trPr>
          <w:gridAfter w:val="2"/>
          <w:wAfter w:w="5040" w:type="dxa"/>
        </w:trPr>
        <w:tc>
          <w:tcPr>
            <w:tcW w:w="3099" w:type="dxa"/>
            <w:tcBorders>
              <w:top w:val="nil"/>
              <w:left w:val="nil"/>
              <w:bottom w:val="nil"/>
              <w:right w:val="nil"/>
            </w:tcBorders>
          </w:tcPr>
          <w:p w14:paraId="66C6FC71" w14:textId="77777777" w:rsidR="00D20E59" w:rsidRPr="00CE40EA" w:rsidRDefault="00D20E59" w:rsidP="00506BFF">
            <w:pPr>
              <w:widowControl w:val="0"/>
              <w:autoSpaceDE w:val="0"/>
              <w:autoSpaceDN w:val="0"/>
              <w:adjustRightInd w:val="0"/>
              <w:spacing w:line="240" w:lineRule="auto"/>
              <w:rPr>
                <w:rFonts w:cstheme="minorHAnsi"/>
                <w:sz w:val="20"/>
                <w:szCs w:val="20"/>
              </w:rPr>
            </w:pPr>
          </w:p>
        </w:tc>
      </w:tr>
      <w:tr w:rsidR="0062731B" w14:paraId="7FA8B636" w14:textId="77777777" w:rsidTr="00D20E59">
        <w:tc>
          <w:tcPr>
            <w:tcW w:w="3099" w:type="dxa"/>
            <w:tcBorders>
              <w:top w:val="nil"/>
              <w:left w:val="nil"/>
              <w:bottom w:val="nil"/>
              <w:right w:val="nil"/>
            </w:tcBorders>
          </w:tcPr>
          <w:p w14:paraId="7A92D49B" w14:textId="77777777" w:rsidR="0062731B" w:rsidRPr="00CE40EA" w:rsidRDefault="0062731B" w:rsidP="00506BFF">
            <w:pPr>
              <w:widowControl w:val="0"/>
              <w:autoSpaceDE w:val="0"/>
              <w:autoSpaceDN w:val="0"/>
              <w:adjustRightInd w:val="0"/>
              <w:spacing w:line="240" w:lineRule="auto"/>
              <w:rPr>
                <w:rFonts w:cstheme="minorHAnsi"/>
                <w:sz w:val="20"/>
                <w:szCs w:val="20"/>
              </w:rPr>
            </w:pPr>
            <w:proofErr w:type="spellStart"/>
            <w:r w:rsidRPr="00CE40EA">
              <w:rPr>
                <w:rFonts w:cstheme="minorHAnsi"/>
                <w:sz w:val="20"/>
                <w:szCs w:val="20"/>
              </w:rPr>
              <w:t>lag_yield_fd</w:t>
            </w:r>
            <w:proofErr w:type="spellEnd"/>
            <w:r w:rsidRPr="00CE40EA">
              <w:rPr>
                <w:rFonts w:cstheme="minorHAnsi"/>
                <w:sz w:val="20"/>
                <w:szCs w:val="20"/>
              </w:rPr>
              <w:t>_</w:t>
            </w:r>
          </w:p>
        </w:tc>
        <w:tc>
          <w:tcPr>
            <w:tcW w:w="2160" w:type="dxa"/>
            <w:tcBorders>
              <w:top w:val="nil"/>
              <w:left w:val="nil"/>
              <w:bottom w:val="nil"/>
              <w:right w:val="nil"/>
            </w:tcBorders>
          </w:tcPr>
          <w:p w14:paraId="6DF3386E"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0.751***</w:t>
            </w:r>
          </w:p>
        </w:tc>
        <w:tc>
          <w:tcPr>
            <w:tcW w:w="2880" w:type="dxa"/>
            <w:tcBorders>
              <w:top w:val="nil"/>
              <w:left w:val="nil"/>
              <w:bottom w:val="nil"/>
              <w:right w:val="nil"/>
            </w:tcBorders>
          </w:tcPr>
          <w:p w14:paraId="26C8C7E0"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9.016***</w:t>
            </w:r>
          </w:p>
        </w:tc>
      </w:tr>
      <w:tr w:rsidR="00D20E59" w14:paraId="214E0662" w14:textId="77777777" w:rsidTr="00D20E59">
        <w:trPr>
          <w:gridAfter w:val="2"/>
          <w:wAfter w:w="5040" w:type="dxa"/>
        </w:trPr>
        <w:tc>
          <w:tcPr>
            <w:tcW w:w="3099" w:type="dxa"/>
            <w:tcBorders>
              <w:top w:val="nil"/>
              <w:left w:val="nil"/>
              <w:bottom w:val="nil"/>
              <w:right w:val="nil"/>
            </w:tcBorders>
          </w:tcPr>
          <w:p w14:paraId="06632DA8" w14:textId="77777777" w:rsidR="00D20E59" w:rsidRPr="00CE40EA" w:rsidRDefault="00D20E59" w:rsidP="00506BFF">
            <w:pPr>
              <w:widowControl w:val="0"/>
              <w:autoSpaceDE w:val="0"/>
              <w:autoSpaceDN w:val="0"/>
              <w:adjustRightInd w:val="0"/>
              <w:spacing w:line="240" w:lineRule="auto"/>
              <w:rPr>
                <w:rFonts w:cstheme="minorHAnsi"/>
                <w:sz w:val="20"/>
                <w:szCs w:val="20"/>
              </w:rPr>
            </w:pPr>
          </w:p>
        </w:tc>
      </w:tr>
      <w:tr w:rsidR="0062731B" w14:paraId="092C4554" w14:textId="77777777" w:rsidTr="00D20E59">
        <w:tc>
          <w:tcPr>
            <w:tcW w:w="3099" w:type="dxa"/>
            <w:tcBorders>
              <w:top w:val="nil"/>
              <w:left w:val="nil"/>
              <w:bottom w:val="nil"/>
              <w:right w:val="nil"/>
            </w:tcBorders>
          </w:tcPr>
          <w:p w14:paraId="4957AA54" w14:textId="77777777" w:rsidR="0062731B" w:rsidRPr="00CE40EA" w:rsidRDefault="0062731B" w:rsidP="00506BFF">
            <w:pPr>
              <w:widowControl w:val="0"/>
              <w:autoSpaceDE w:val="0"/>
              <w:autoSpaceDN w:val="0"/>
              <w:adjustRightInd w:val="0"/>
              <w:spacing w:line="240" w:lineRule="auto"/>
              <w:rPr>
                <w:rFonts w:cstheme="minorHAnsi"/>
                <w:sz w:val="20"/>
                <w:szCs w:val="20"/>
              </w:rPr>
            </w:pPr>
            <w:r w:rsidRPr="00CE40EA">
              <w:rPr>
                <w:rFonts w:cstheme="minorHAnsi"/>
                <w:sz w:val="20"/>
                <w:szCs w:val="20"/>
              </w:rPr>
              <w:t>Constant</w:t>
            </w:r>
          </w:p>
        </w:tc>
        <w:tc>
          <w:tcPr>
            <w:tcW w:w="2160" w:type="dxa"/>
            <w:tcBorders>
              <w:top w:val="nil"/>
              <w:left w:val="nil"/>
              <w:bottom w:val="nil"/>
              <w:right w:val="nil"/>
            </w:tcBorders>
          </w:tcPr>
          <w:p w14:paraId="432E325B"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-0.00252</w:t>
            </w:r>
          </w:p>
        </w:tc>
        <w:tc>
          <w:tcPr>
            <w:tcW w:w="2880" w:type="dxa"/>
            <w:tcBorders>
              <w:top w:val="nil"/>
              <w:left w:val="nil"/>
              <w:bottom w:val="nil"/>
              <w:right w:val="nil"/>
            </w:tcBorders>
          </w:tcPr>
          <w:p w14:paraId="5E4E9EBB"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-0.0906</w:t>
            </w:r>
          </w:p>
        </w:tc>
      </w:tr>
      <w:tr w:rsidR="00D20E59" w14:paraId="7186FA22" w14:textId="77777777" w:rsidTr="00D20E59">
        <w:trPr>
          <w:gridAfter w:val="2"/>
          <w:wAfter w:w="5040" w:type="dxa"/>
        </w:trPr>
        <w:tc>
          <w:tcPr>
            <w:tcW w:w="3099" w:type="dxa"/>
            <w:tcBorders>
              <w:top w:val="nil"/>
              <w:left w:val="nil"/>
              <w:bottom w:val="nil"/>
              <w:right w:val="nil"/>
            </w:tcBorders>
          </w:tcPr>
          <w:p w14:paraId="026C4F62" w14:textId="77777777" w:rsidR="00D20E59" w:rsidRPr="00CE40EA" w:rsidRDefault="00D20E59" w:rsidP="00506BFF">
            <w:pPr>
              <w:widowControl w:val="0"/>
              <w:autoSpaceDE w:val="0"/>
              <w:autoSpaceDN w:val="0"/>
              <w:adjustRightInd w:val="0"/>
              <w:spacing w:line="240" w:lineRule="auto"/>
              <w:rPr>
                <w:rFonts w:cstheme="minorHAnsi"/>
                <w:sz w:val="20"/>
                <w:szCs w:val="20"/>
              </w:rPr>
            </w:pPr>
          </w:p>
        </w:tc>
      </w:tr>
      <w:tr w:rsidR="0062731B" w14:paraId="1893037C" w14:textId="77777777" w:rsidTr="00D20E59">
        <w:tc>
          <w:tcPr>
            <w:tcW w:w="3099" w:type="dxa"/>
            <w:tcBorders>
              <w:top w:val="nil"/>
              <w:left w:val="nil"/>
              <w:bottom w:val="nil"/>
              <w:right w:val="nil"/>
            </w:tcBorders>
          </w:tcPr>
          <w:p w14:paraId="6236DC2A" w14:textId="77777777" w:rsidR="0062731B" w:rsidRPr="00CE40EA" w:rsidRDefault="0062731B" w:rsidP="00506BFF">
            <w:pPr>
              <w:widowControl w:val="0"/>
              <w:autoSpaceDE w:val="0"/>
              <w:autoSpaceDN w:val="0"/>
              <w:adjustRightInd w:val="0"/>
              <w:spacing w:line="240" w:lineRule="auto"/>
              <w:rPr>
                <w:rFonts w:cstheme="minorHAnsi"/>
                <w:sz w:val="20"/>
                <w:szCs w:val="20"/>
              </w:rPr>
            </w:pPr>
          </w:p>
        </w:tc>
        <w:tc>
          <w:tcPr>
            <w:tcW w:w="2160" w:type="dxa"/>
            <w:tcBorders>
              <w:top w:val="nil"/>
              <w:left w:val="nil"/>
              <w:bottom w:val="nil"/>
              <w:right w:val="nil"/>
            </w:tcBorders>
          </w:tcPr>
          <w:p w14:paraId="6DA93429"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p>
        </w:tc>
        <w:tc>
          <w:tcPr>
            <w:tcW w:w="2880" w:type="dxa"/>
            <w:tcBorders>
              <w:top w:val="nil"/>
              <w:left w:val="nil"/>
              <w:bottom w:val="nil"/>
              <w:right w:val="nil"/>
            </w:tcBorders>
          </w:tcPr>
          <w:p w14:paraId="0F43013C"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p>
        </w:tc>
      </w:tr>
      <w:tr w:rsidR="0062731B" w14:paraId="1C67FAB7" w14:textId="77777777" w:rsidTr="00D20E59">
        <w:tc>
          <w:tcPr>
            <w:tcW w:w="3099" w:type="dxa"/>
            <w:tcBorders>
              <w:top w:val="nil"/>
              <w:left w:val="nil"/>
              <w:bottom w:val="nil"/>
              <w:right w:val="nil"/>
            </w:tcBorders>
          </w:tcPr>
          <w:p w14:paraId="5AF977B9" w14:textId="77777777" w:rsidR="0062731B" w:rsidRPr="00CE40EA" w:rsidRDefault="0062731B" w:rsidP="00506BFF">
            <w:pPr>
              <w:widowControl w:val="0"/>
              <w:autoSpaceDE w:val="0"/>
              <w:autoSpaceDN w:val="0"/>
              <w:adjustRightInd w:val="0"/>
              <w:spacing w:line="240" w:lineRule="auto"/>
              <w:rPr>
                <w:rFonts w:cstheme="minorHAnsi"/>
                <w:sz w:val="20"/>
                <w:szCs w:val="20"/>
              </w:rPr>
            </w:pPr>
            <w:r w:rsidRPr="00CE40EA">
              <w:rPr>
                <w:rFonts w:cstheme="minorHAnsi"/>
                <w:sz w:val="20"/>
                <w:szCs w:val="20"/>
              </w:rPr>
              <w:t>Observations</w:t>
            </w:r>
          </w:p>
        </w:tc>
        <w:tc>
          <w:tcPr>
            <w:tcW w:w="2160" w:type="dxa"/>
            <w:tcBorders>
              <w:top w:val="nil"/>
              <w:left w:val="nil"/>
              <w:bottom w:val="nil"/>
              <w:right w:val="nil"/>
            </w:tcBorders>
          </w:tcPr>
          <w:p w14:paraId="2F72DF95"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4,872</w:t>
            </w:r>
          </w:p>
        </w:tc>
        <w:tc>
          <w:tcPr>
            <w:tcW w:w="2880" w:type="dxa"/>
            <w:tcBorders>
              <w:top w:val="nil"/>
              <w:left w:val="nil"/>
              <w:bottom w:val="nil"/>
              <w:right w:val="nil"/>
            </w:tcBorders>
          </w:tcPr>
          <w:p w14:paraId="64F815C4"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2,088</w:t>
            </w:r>
          </w:p>
        </w:tc>
      </w:tr>
      <w:tr w:rsidR="0062731B" w14:paraId="32A68B90" w14:textId="77777777" w:rsidTr="00D20E59">
        <w:tc>
          <w:tcPr>
            <w:tcW w:w="3099" w:type="dxa"/>
            <w:tcBorders>
              <w:top w:val="nil"/>
              <w:left w:val="nil"/>
              <w:bottom w:val="nil"/>
              <w:right w:val="nil"/>
            </w:tcBorders>
          </w:tcPr>
          <w:p w14:paraId="5C09F148" w14:textId="77777777" w:rsidR="0062731B" w:rsidRPr="00CE40EA" w:rsidRDefault="0062731B" w:rsidP="00506BFF">
            <w:pPr>
              <w:widowControl w:val="0"/>
              <w:autoSpaceDE w:val="0"/>
              <w:autoSpaceDN w:val="0"/>
              <w:adjustRightInd w:val="0"/>
              <w:spacing w:line="240" w:lineRule="auto"/>
              <w:rPr>
                <w:rFonts w:cstheme="minorHAnsi"/>
                <w:sz w:val="20"/>
                <w:szCs w:val="20"/>
              </w:rPr>
            </w:pPr>
            <w:r w:rsidRPr="00CE40EA">
              <w:rPr>
                <w:rFonts w:cstheme="minorHAnsi"/>
                <w:sz w:val="20"/>
                <w:szCs w:val="20"/>
              </w:rPr>
              <w:t>R-squared</w:t>
            </w:r>
          </w:p>
        </w:tc>
        <w:tc>
          <w:tcPr>
            <w:tcW w:w="2160" w:type="dxa"/>
            <w:tcBorders>
              <w:top w:val="nil"/>
              <w:left w:val="nil"/>
              <w:bottom w:val="nil"/>
              <w:right w:val="nil"/>
            </w:tcBorders>
          </w:tcPr>
          <w:p w14:paraId="047A36D8"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0.079</w:t>
            </w:r>
          </w:p>
        </w:tc>
        <w:tc>
          <w:tcPr>
            <w:tcW w:w="2880" w:type="dxa"/>
            <w:tcBorders>
              <w:top w:val="nil"/>
              <w:left w:val="nil"/>
              <w:bottom w:val="nil"/>
              <w:right w:val="nil"/>
            </w:tcBorders>
          </w:tcPr>
          <w:p w14:paraId="5F96AE38"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0.202</w:t>
            </w:r>
          </w:p>
        </w:tc>
      </w:tr>
      <w:tr w:rsidR="0062731B" w14:paraId="0C5E8D33" w14:textId="77777777" w:rsidTr="00D20E59">
        <w:tblPrEx>
          <w:tblBorders>
            <w:bottom w:val="single" w:sz="6" w:space="0" w:color="auto"/>
          </w:tblBorders>
        </w:tblPrEx>
        <w:tc>
          <w:tcPr>
            <w:tcW w:w="3099" w:type="dxa"/>
            <w:tcBorders>
              <w:top w:val="nil"/>
              <w:left w:val="nil"/>
              <w:bottom w:val="single" w:sz="6" w:space="0" w:color="auto"/>
              <w:right w:val="nil"/>
            </w:tcBorders>
          </w:tcPr>
          <w:p w14:paraId="3A44D866" w14:textId="77777777" w:rsidR="0062731B" w:rsidRPr="00CE40EA" w:rsidRDefault="0062731B" w:rsidP="00506BFF">
            <w:pPr>
              <w:widowControl w:val="0"/>
              <w:autoSpaceDE w:val="0"/>
              <w:autoSpaceDN w:val="0"/>
              <w:adjustRightInd w:val="0"/>
              <w:spacing w:line="240" w:lineRule="auto"/>
              <w:rPr>
                <w:rFonts w:cstheme="minorHAnsi"/>
                <w:sz w:val="20"/>
                <w:szCs w:val="20"/>
              </w:rPr>
            </w:pPr>
            <w:r w:rsidRPr="00CE40EA">
              <w:rPr>
                <w:rFonts w:cstheme="minorHAnsi"/>
                <w:sz w:val="20"/>
                <w:szCs w:val="20"/>
              </w:rPr>
              <w:t xml:space="preserve">Number of </w:t>
            </w:r>
            <w:proofErr w:type="spellStart"/>
            <w:r w:rsidRPr="00CE40EA">
              <w:rPr>
                <w:rFonts w:cstheme="minorHAnsi"/>
                <w:sz w:val="20"/>
                <w:szCs w:val="20"/>
              </w:rPr>
              <w:t>Country_ID</w:t>
            </w:r>
            <w:proofErr w:type="spellEnd"/>
          </w:p>
        </w:tc>
        <w:tc>
          <w:tcPr>
            <w:tcW w:w="2160" w:type="dxa"/>
            <w:tcBorders>
              <w:top w:val="nil"/>
              <w:left w:val="nil"/>
              <w:bottom w:val="single" w:sz="6" w:space="0" w:color="auto"/>
              <w:right w:val="nil"/>
            </w:tcBorders>
          </w:tcPr>
          <w:p w14:paraId="7E2E86A9"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7</w:t>
            </w:r>
          </w:p>
        </w:tc>
        <w:tc>
          <w:tcPr>
            <w:tcW w:w="2880" w:type="dxa"/>
            <w:tcBorders>
              <w:top w:val="nil"/>
              <w:left w:val="nil"/>
              <w:bottom w:val="single" w:sz="6" w:space="0" w:color="auto"/>
              <w:right w:val="nil"/>
            </w:tcBorders>
          </w:tcPr>
          <w:p w14:paraId="59F0F7C8" w14:textId="77777777" w:rsidR="0062731B" w:rsidRPr="00CE40EA" w:rsidRDefault="0062731B" w:rsidP="00506BFF">
            <w:pPr>
              <w:widowControl w:val="0"/>
              <w:autoSpaceDE w:val="0"/>
              <w:autoSpaceDN w:val="0"/>
              <w:adjustRightInd w:val="0"/>
              <w:spacing w:line="240" w:lineRule="auto"/>
              <w:jc w:val="center"/>
              <w:rPr>
                <w:rFonts w:cstheme="minorHAnsi"/>
                <w:sz w:val="20"/>
                <w:szCs w:val="20"/>
              </w:rPr>
            </w:pPr>
            <w:r w:rsidRPr="00CE40EA">
              <w:rPr>
                <w:rFonts w:cstheme="minorHAnsi"/>
                <w:sz w:val="20"/>
                <w:szCs w:val="20"/>
              </w:rPr>
              <w:t>3</w:t>
            </w:r>
          </w:p>
        </w:tc>
      </w:tr>
    </w:tbl>
    <w:p w14:paraId="2E2FC107" w14:textId="026B3258" w:rsidR="0062731B" w:rsidRPr="00E752A6" w:rsidRDefault="0062731B" w:rsidP="00D20E59">
      <w:pPr>
        <w:widowControl w:val="0"/>
        <w:autoSpaceDE w:val="0"/>
        <w:autoSpaceDN w:val="0"/>
        <w:adjustRightInd w:val="0"/>
        <w:spacing w:line="240" w:lineRule="auto"/>
        <w:rPr>
          <w:rFonts w:cstheme="minorHAnsi"/>
          <w:sz w:val="20"/>
          <w:szCs w:val="20"/>
        </w:rPr>
      </w:pPr>
      <w:r w:rsidRPr="00E752A6">
        <w:rPr>
          <w:rFonts w:cstheme="minorHAnsi"/>
          <w:sz w:val="20"/>
          <w:szCs w:val="20"/>
        </w:rPr>
        <w:t>*** p&lt;0.01, ** p&lt;0.05</w:t>
      </w:r>
    </w:p>
    <w:p w14:paraId="009C3599" w14:textId="77777777" w:rsidR="00231312" w:rsidRDefault="00231312">
      <w:pPr>
        <w:spacing w:line="240" w:lineRule="auto"/>
        <w:ind w:firstLine="0"/>
        <w:jc w:val="left"/>
      </w:pPr>
    </w:p>
    <w:p w14:paraId="1B39D947" w14:textId="77777777" w:rsidR="00231312" w:rsidRDefault="00231312">
      <w:pPr>
        <w:spacing w:line="240" w:lineRule="auto"/>
        <w:ind w:firstLine="0"/>
        <w:jc w:val="left"/>
      </w:pPr>
    </w:p>
    <w:p w14:paraId="68C6A804" w14:textId="77777777" w:rsidR="00231312" w:rsidRDefault="00231312">
      <w:pPr>
        <w:spacing w:line="240" w:lineRule="auto"/>
        <w:ind w:firstLine="0"/>
        <w:jc w:val="left"/>
      </w:pPr>
    </w:p>
    <w:p w14:paraId="36A27047" w14:textId="208749DA" w:rsidR="00231312" w:rsidRDefault="00231312">
      <w:pPr>
        <w:spacing w:line="240" w:lineRule="auto"/>
        <w:ind w:firstLine="0"/>
        <w:jc w:val="left"/>
      </w:pPr>
    </w:p>
    <w:p w14:paraId="0128F043" w14:textId="2EB0BB87" w:rsidR="00CF48D9" w:rsidRDefault="00CF48D9">
      <w:pPr>
        <w:spacing w:line="240" w:lineRule="auto"/>
        <w:ind w:firstLine="0"/>
        <w:jc w:val="left"/>
      </w:pPr>
    </w:p>
    <w:p w14:paraId="4D16F442" w14:textId="04A571BE" w:rsidR="00CF48D9" w:rsidRDefault="00CF48D9">
      <w:pPr>
        <w:spacing w:line="240" w:lineRule="auto"/>
        <w:ind w:firstLine="0"/>
        <w:jc w:val="left"/>
      </w:pPr>
    </w:p>
    <w:p w14:paraId="5A093514" w14:textId="2E461CCE" w:rsidR="00CF48D9" w:rsidRDefault="00CF48D9">
      <w:pPr>
        <w:spacing w:line="240" w:lineRule="auto"/>
        <w:ind w:firstLine="0"/>
        <w:jc w:val="left"/>
      </w:pPr>
    </w:p>
    <w:p w14:paraId="52CBCAD3" w14:textId="6F30DF22" w:rsidR="00CF48D9" w:rsidRDefault="00CF48D9">
      <w:pPr>
        <w:spacing w:line="240" w:lineRule="auto"/>
        <w:ind w:firstLine="0"/>
        <w:jc w:val="left"/>
      </w:pPr>
    </w:p>
    <w:p w14:paraId="40ED1D6D" w14:textId="638EC506" w:rsidR="00CF48D9" w:rsidRDefault="00CF48D9">
      <w:pPr>
        <w:spacing w:line="240" w:lineRule="auto"/>
        <w:ind w:firstLine="0"/>
        <w:jc w:val="left"/>
      </w:pPr>
    </w:p>
    <w:p w14:paraId="77295CA1" w14:textId="08D38A72" w:rsidR="00CF48D9" w:rsidRDefault="00CF48D9">
      <w:pPr>
        <w:spacing w:line="240" w:lineRule="auto"/>
        <w:ind w:firstLine="0"/>
        <w:jc w:val="left"/>
      </w:pPr>
    </w:p>
    <w:p w14:paraId="3672F7EE" w14:textId="739E27FF" w:rsidR="00CF48D9" w:rsidRDefault="00CF48D9">
      <w:pPr>
        <w:spacing w:line="240" w:lineRule="auto"/>
        <w:ind w:firstLine="0"/>
        <w:jc w:val="left"/>
      </w:pPr>
    </w:p>
    <w:p w14:paraId="157146DE" w14:textId="35B87569" w:rsidR="00CF48D9" w:rsidRDefault="00CF48D9">
      <w:pPr>
        <w:spacing w:line="240" w:lineRule="auto"/>
        <w:ind w:firstLine="0"/>
        <w:jc w:val="left"/>
      </w:pPr>
    </w:p>
    <w:p w14:paraId="70DC5815" w14:textId="77777777" w:rsidR="004724D3" w:rsidRDefault="004724D3" w:rsidP="009D6410">
      <w:pPr>
        <w:widowControl w:val="0"/>
        <w:autoSpaceDE w:val="0"/>
        <w:autoSpaceDN w:val="0"/>
        <w:adjustRightInd w:val="0"/>
        <w:spacing w:line="240" w:lineRule="auto"/>
        <w:ind w:firstLine="0"/>
        <w:rPr>
          <w:rFonts w:asciiTheme="majorHAnsi" w:hAnsiTheme="majorHAnsi" w:cstheme="majorHAnsi"/>
          <w:sz w:val="16"/>
          <w:szCs w:val="16"/>
        </w:rPr>
        <w:sectPr w:rsidR="004724D3" w:rsidSect="000C091F">
          <w:pgSz w:w="12240" w:h="15840"/>
          <w:pgMar w:top="1417" w:right="1417" w:bottom="1417" w:left="1417" w:header="720" w:footer="720" w:gutter="0"/>
          <w:cols w:space="708"/>
          <w:formProt w:val="0"/>
          <w:titlePg/>
          <w:docGrid w:linePitch="326"/>
        </w:sectPr>
      </w:pPr>
    </w:p>
    <w:tbl>
      <w:tblPr>
        <w:tblpPr w:leftFromText="180" w:rightFromText="180" w:horzAnchor="margin" w:tblpXSpec="center" w:tblpY="825"/>
        <w:tblW w:w="15376" w:type="dxa"/>
        <w:tblLayout w:type="fixed"/>
        <w:tblCellMar>
          <w:left w:w="75" w:type="dxa"/>
          <w:right w:w="75" w:type="dxa"/>
        </w:tblCellMar>
        <w:tblLook w:val="0000" w:firstRow="0" w:lastRow="0" w:firstColumn="0" w:lastColumn="0" w:noHBand="0" w:noVBand="0"/>
      </w:tblPr>
      <w:tblGrid>
        <w:gridCol w:w="1702"/>
        <w:gridCol w:w="1087"/>
        <w:gridCol w:w="1473"/>
        <w:gridCol w:w="1339"/>
        <w:gridCol w:w="1473"/>
        <w:gridCol w:w="1339"/>
        <w:gridCol w:w="1473"/>
        <w:gridCol w:w="1339"/>
        <w:gridCol w:w="1339"/>
        <w:gridCol w:w="1339"/>
        <w:gridCol w:w="1473"/>
      </w:tblGrid>
      <w:tr w:rsidR="00CF48D9" w:rsidRPr="00CF48D9" w14:paraId="6C328CCD" w14:textId="77777777" w:rsidTr="008E0221">
        <w:tblPrEx>
          <w:tblCellMar>
            <w:top w:w="0" w:type="dxa"/>
            <w:bottom w:w="0" w:type="dxa"/>
          </w:tblCellMar>
        </w:tblPrEx>
        <w:trPr>
          <w:trHeight w:val="263"/>
        </w:trPr>
        <w:tc>
          <w:tcPr>
            <w:tcW w:w="1702" w:type="dxa"/>
            <w:tcBorders>
              <w:top w:val="single" w:sz="6" w:space="0" w:color="auto"/>
              <w:left w:val="nil"/>
              <w:bottom w:val="nil"/>
              <w:right w:val="nil"/>
            </w:tcBorders>
          </w:tcPr>
          <w:p w14:paraId="64650432" w14:textId="0A91BD72"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eastAsia="en-NL"/>
              </w:rPr>
            </w:pPr>
            <w:r>
              <w:rPr>
                <w:rFonts w:ascii="Calibri" w:eastAsia="Times New Roman" w:hAnsi="Calibri" w:cs="Calibri"/>
                <w:sz w:val="20"/>
                <w:szCs w:val="20"/>
                <w:lang w:eastAsia="en-NL"/>
              </w:rPr>
              <w:lastRenderedPageBreak/>
              <w:t>CDS</w:t>
            </w:r>
          </w:p>
        </w:tc>
        <w:tc>
          <w:tcPr>
            <w:tcW w:w="1087" w:type="dxa"/>
            <w:tcBorders>
              <w:top w:val="single" w:sz="6" w:space="0" w:color="auto"/>
              <w:left w:val="nil"/>
              <w:bottom w:val="nil"/>
              <w:right w:val="nil"/>
            </w:tcBorders>
          </w:tcPr>
          <w:p w14:paraId="125EEB2D"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(1)</w:t>
            </w:r>
          </w:p>
        </w:tc>
        <w:tc>
          <w:tcPr>
            <w:tcW w:w="1473" w:type="dxa"/>
            <w:tcBorders>
              <w:top w:val="single" w:sz="6" w:space="0" w:color="auto"/>
              <w:left w:val="nil"/>
              <w:bottom w:val="nil"/>
              <w:right w:val="nil"/>
            </w:tcBorders>
          </w:tcPr>
          <w:p w14:paraId="5E70DE3C"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(2)</w:t>
            </w:r>
          </w:p>
        </w:tc>
        <w:tc>
          <w:tcPr>
            <w:tcW w:w="1339" w:type="dxa"/>
            <w:tcBorders>
              <w:top w:val="single" w:sz="6" w:space="0" w:color="auto"/>
              <w:left w:val="nil"/>
              <w:bottom w:val="nil"/>
              <w:right w:val="nil"/>
            </w:tcBorders>
          </w:tcPr>
          <w:p w14:paraId="2B0A892D"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(3)</w:t>
            </w:r>
          </w:p>
        </w:tc>
        <w:tc>
          <w:tcPr>
            <w:tcW w:w="1473" w:type="dxa"/>
            <w:tcBorders>
              <w:top w:val="single" w:sz="6" w:space="0" w:color="auto"/>
              <w:left w:val="nil"/>
              <w:bottom w:val="nil"/>
              <w:right w:val="nil"/>
            </w:tcBorders>
          </w:tcPr>
          <w:p w14:paraId="4E3D53F8"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(4)</w:t>
            </w:r>
          </w:p>
        </w:tc>
        <w:tc>
          <w:tcPr>
            <w:tcW w:w="1339" w:type="dxa"/>
            <w:tcBorders>
              <w:top w:val="single" w:sz="6" w:space="0" w:color="auto"/>
              <w:left w:val="nil"/>
              <w:bottom w:val="nil"/>
              <w:right w:val="nil"/>
            </w:tcBorders>
          </w:tcPr>
          <w:p w14:paraId="21CB3C05"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(5)</w:t>
            </w:r>
          </w:p>
        </w:tc>
        <w:tc>
          <w:tcPr>
            <w:tcW w:w="1473" w:type="dxa"/>
            <w:tcBorders>
              <w:top w:val="single" w:sz="6" w:space="0" w:color="auto"/>
              <w:left w:val="nil"/>
              <w:bottom w:val="nil"/>
              <w:right w:val="nil"/>
            </w:tcBorders>
          </w:tcPr>
          <w:p w14:paraId="0CCA4703"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(6)</w:t>
            </w:r>
          </w:p>
        </w:tc>
        <w:tc>
          <w:tcPr>
            <w:tcW w:w="1339" w:type="dxa"/>
            <w:tcBorders>
              <w:top w:val="single" w:sz="6" w:space="0" w:color="auto"/>
              <w:left w:val="nil"/>
              <w:bottom w:val="nil"/>
              <w:right w:val="nil"/>
            </w:tcBorders>
          </w:tcPr>
          <w:p w14:paraId="47130499"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(7)</w:t>
            </w:r>
          </w:p>
        </w:tc>
        <w:tc>
          <w:tcPr>
            <w:tcW w:w="1339" w:type="dxa"/>
            <w:tcBorders>
              <w:top w:val="single" w:sz="6" w:space="0" w:color="auto"/>
              <w:left w:val="nil"/>
              <w:bottom w:val="nil"/>
              <w:right w:val="nil"/>
            </w:tcBorders>
          </w:tcPr>
          <w:p w14:paraId="3FA43880"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(8)</w:t>
            </w:r>
          </w:p>
        </w:tc>
        <w:tc>
          <w:tcPr>
            <w:tcW w:w="1339" w:type="dxa"/>
            <w:tcBorders>
              <w:top w:val="single" w:sz="6" w:space="0" w:color="auto"/>
              <w:left w:val="nil"/>
              <w:bottom w:val="nil"/>
              <w:right w:val="nil"/>
            </w:tcBorders>
          </w:tcPr>
          <w:p w14:paraId="1A1854F4"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(9)</w:t>
            </w:r>
          </w:p>
        </w:tc>
        <w:tc>
          <w:tcPr>
            <w:tcW w:w="1473" w:type="dxa"/>
            <w:tcBorders>
              <w:top w:val="single" w:sz="6" w:space="0" w:color="auto"/>
              <w:left w:val="nil"/>
              <w:bottom w:val="nil"/>
              <w:right w:val="nil"/>
            </w:tcBorders>
          </w:tcPr>
          <w:p w14:paraId="327FCEF0"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(10)</w:t>
            </w:r>
          </w:p>
        </w:tc>
      </w:tr>
      <w:tr w:rsidR="00CF48D9" w:rsidRPr="00CF48D9" w14:paraId="0CDFDB49" w14:textId="77777777" w:rsidTr="008E0221">
        <w:tblPrEx>
          <w:tblCellMar>
            <w:top w:w="0" w:type="dxa"/>
            <w:bottom w:w="0" w:type="dxa"/>
          </w:tblCellMar>
        </w:tblPrEx>
        <w:trPr>
          <w:trHeight w:val="280"/>
        </w:trPr>
        <w:tc>
          <w:tcPr>
            <w:tcW w:w="1702" w:type="dxa"/>
            <w:tcBorders>
              <w:top w:val="nil"/>
              <w:left w:val="nil"/>
              <w:bottom w:val="single" w:sz="6" w:space="0" w:color="auto"/>
              <w:right w:val="nil"/>
            </w:tcBorders>
          </w:tcPr>
          <w:p w14:paraId="6A50767A"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VARIABLES</w:t>
            </w:r>
          </w:p>
        </w:tc>
        <w:tc>
          <w:tcPr>
            <w:tcW w:w="1087" w:type="dxa"/>
            <w:tcBorders>
              <w:top w:val="nil"/>
              <w:left w:val="nil"/>
              <w:bottom w:val="single" w:sz="6" w:space="0" w:color="auto"/>
              <w:right w:val="nil"/>
            </w:tcBorders>
          </w:tcPr>
          <w:p w14:paraId="2BDE16A4"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ger</w:t>
            </w:r>
          </w:p>
        </w:tc>
        <w:tc>
          <w:tcPr>
            <w:tcW w:w="1473" w:type="dxa"/>
            <w:tcBorders>
              <w:top w:val="nil"/>
              <w:left w:val="nil"/>
              <w:bottom w:val="single" w:sz="6" w:space="0" w:color="auto"/>
              <w:right w:val="nil"/>
            </w:tcBorders>
          </w:tcPr>
          <w:p w14:paraId="02174FC6"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roofErr w:type="spellStart"/>
            <w:r w:rsidRPr="00CF48D9">
              <w:rPr>
                <w:rFonts w:ascii="Calibri" w:eastAsia="Times New Roman" w:hAnsi="Calibri" w:cs="Calibri"/>
                <w:sz w:val="20"/>
                <w:szCs w:val="20"/>
                <w:lang w:val="en-NL" w:eastAsia="en-NL"/>
              </w:rPr>
              <w:t>nl</w:t>
            </w:r>
            <w:proofErr w:type="spellEnd"/>
          </w:p>
        </w:tc>
        <w:tc>
          <w:tcPr>
            <w:tcW w:w="1339" w:type="dxa"/>
            <w:tcBorders>
              <w:top w:val="nil"/>
              <w:left w:val="nil"/>
              <w:bottom w:val="single" w:sz="6" w:space="0" w:color="auto"/>
              <w:right w:val="nil"/>
            </w:tcBorders>
          </w:tcPr>
          <w:p w14:paraId="535C0943"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roofErr w:type="spellStart"/>
            <w:r w:rsidRPr="00CF48D9">
              <w:rPr>
                <w:rFonts w:ascii="Calibri" w:eastAsia="Times New Roman" w:hAnsi="Calibri" w:cs="Calibri"/>
                <w:sz w:val="20"/>
                <w:szCs w:val="20"/>
                <w:lang w:val="en-NL" w:eastAsia="en-NL"/>
              </w:rPr>
              <w:t>fr</w:t>
            </w:r>
            <w:proofErr w:type="spellEnd"/>
          </w:p>
        </w:tc>
        <w:tc>
          <w:tcPr>
            <w:tcW w:w="1473" w:type="dxa"/>
            <w:tcBorders>
              <w:top w:val="nil"/>
              <w:left w:val="nil"/>
              <w:bottom w:val="single" w:sz="6" w:space="0" w:color="auto"/>
              <w:right w:val="nil"/>
            </w:tcBorders>
          </w:tcPr>
          <w:p w14:paraId="0CDC413D"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fi</w:t>
            </w:r>
          </w:p>
        </w:tc>
        <w:tc>
          <w:tcPr>
            <w:tcW w:w="1339" w:type="dxa"/>
            <w:tcBorders>
              <w:top w:val="nil"/>
              <w:left w:val="nil"/>
              <w:bottom w:val="single" w:sz="6" w:space="0" w:color="auto"/>
              <w:right w:val="nil"/>
            </w:tcBorders>
          </w:tcPr>
          <w:p w14:paraId="78BF68DE"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au</w:t>
            </w:r>
          </w:p>
        </w:tc>
        <w:tc>
          <w:tcPr>
            <w:tcW w:w="1473" w:type="dxa"/>
            <w:tcBorders>
              <w:top w:val="nil"/>
              <w:left w:val="nil"/>
              <w:bottom w:val="single" w:sz="6" w:space="0" w:color="auto"/>
              <w:right w:val="nil"/>
            </w:tcBorders>
          </w:tcPr>
          <w:p w14:paraId="62271730"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roofErr w:type="spellStart"/>
            <w:r w:rsidRPr="00CF48D9">
              <w:rPr>
                <w:rFonts w:ascii="Calibri" w:eastAsia="Times New Roman" w:hAnsi="Calibri" w:cs="Calibri"/>
                <w:sz w:val="20"/>
                <w:szCs w:val="20"/>
                <w:lang w:val="en-NL" w:eastAsia="en-NL"/>
              </w:rPr>
              <w:t>ir</w:t>
            </w:r>
            <w:proofErr w:type="spellEnd"/>
          </w:p>
        </w:tc>
        <w:tc>
          <w:tcPr>
            <w:tcW w:w="1339" w:type="dxa"/>
            <w:tcBorders>
              <w:top w:val="nil"/>
              <w:left w:val="nil"/>
              <w:bottom w:val="single" w:sz="6" w:space="0" w:color="auto"/>
              <w:right w:val="nil"/>
            </w:tcBorders>
          </w:tcPr>
          <w:p w14:paraId="10B18719"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bel</w:t>
            </w:r>
          </w:p>
        </w:tc>
        <w:tc>
          <w:tcPr>
            <w:tcW w:w="1339" w:type="dxa"/>
            <w:tcBorders>
              <w:top w:val="nil"/>
              <w:left w:val="nil"/>
              <w:bottom w:val="single" w:sz="6" w:space="0" w:color="auto"/>
              <w:right w:val="nil"/>
            </w:tcBorders>
          </w:tcPr>
          <w:p w14:paraId="05988AD3"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roofErr w:type="spellStart"/>
            <w:r w:rsidRPr="00CF48D9">
              <w:rPr>
                <w:rFonts w:ascii="Calibri" w:eastAsia="Times New Roman" w:hAnsi="Calibri" w:cs="Calibri"/>
                <w:sz w:val="20"/>
                <w:szCs w:val="20"/>
                <w:lang w:val="en-NL" w:eastAsia="en-NL"/>
              </w:rPr>
              <w:t>por</w:t>
            </w:r>
            <w:proofErr w:type="spellEnd"/>
          </w:p>
        </w:tc>
        <w:tc>
          <w:tcPr>
            <w:tcW w:w="1339" w:type="dxa"/>
            <w:tcBorders>
              <w:top w:val="nil"/>
              <w:left w:val="nil"/>
              <w:bottom w:val="single" w:sz="6" w:space="0" w:color="auto"/>
              <w:right w:val="nil"/>
            </w:tcBorders>
          </w:tcPr>
          <w:p w14:paraId="481271BB"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es</w:t>
            </w:r>
          </w:p>
        </w:tc>
        <w:tc>
          <w:tcPr>
            <w:tcW w:w="1473" w:type="dxa"/>
            <w:tcBorders>
              <w:top w:val="nil"/>
              <w:left w:val="nil"/>
              <w:bottom w:val="single" w:sz="6" w:space="0" w:color="auto"/>
              <w:right w:val="nil"/>
            </w:tcBorders>
          </w:tcPr>
          <w:p w14:paraId="06A1EBCD"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it</w:t>
            </w:r>
          </w:p>
        </w:tc>
      </w:tr>
      <w:tr w:rsidR="00CF48D9" w:rsidRPr="00CF48D9" w14:paraId="1F2F0398" w14:textId="77777777" w:rsidTr="008E0221">
        <w:tblPrEx>
          <w:tblCellMar>
            <w:top w:w="0" w:type="dxa"/>
            <w:bottom w:w="0" w:type="dxa"/>
          </w:tblCellMar>
        </w:tblPrEx>
        <w:trPr>
          <w:trHeight w:val="263"/>
        </w:trPr>
        <w:tc>
          <w:tcPr>
            <w:tcW w:w="1702" w:type="dxa"/>
            <w:tcBorders>
              <w:top w:val="nil"/>
              <w:left w:val="nil"/>
              <w:bottom w:val="nil"/>
              <w:right w:val="nil"/>
            </w:tcBorders>
          </w:tcPr>
          <w:p w14:paraId="02EC41C3"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
        </w:tc>
        <w:tc>
          <w:tcPr>
            <w:tcW w:w="1087" w:type="dxa"/>
            <w:tcBorders>
              <w:top w:val="nil"/>
              <w:left w:val="nil"/>
              <w:bottom w:val="nil"/>
              <w:right w:val="nil"/>
            </w:tcBorders>
          </w:tcPr>
          <w:p w14:paraId="3CA378D5"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
        </w:tc>
        <w:tc>
          <w:tcPr>
            <w:tcW w:w="1473" w:type="dxa"/>
            <w:tcBorders>
              <w:top w:val="nil"/>
              <w:left w:val="nil"/>
              <w:bottom w:val="nil"/>
              <w:right w:val="nil"/>
            </w:tcBorders>
          </w:tcPr>
          <w:p w14:paraId="665F568D"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
        </w:tc>
        <w:tc>
          <w:tcPr>
            <w:tcW w:w="1339" w:type="dxa"/>
            <w:tcBorders>
              <w:top w:val="nil"/>
              <w:left w:val="nil"/>
              <w:bottom w:val="nil"/>
              <w:right w:val="nil"/>
            </w:tcBorders>
          </w:tcPr>
          <w:p w14:paraId="72884187"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
        </w:tc>
        <w:tc>
          <w:tcPr>
            <w:tcW w:w="1473" w:type="dxa"/>
            <w:tcBorders>
              <w:top w:val="nil"/>
              <w:left w:val="nil"/>
              <w:bottom w:val="nil"/>
              <w:right w:val="nil"/>
            </w:tcBorders>
          </w:tcPr>
          <w:p w14:paraId="7046BDDE"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
        </w:tc>
        <w:tc>
          <w:tcPr>
            <w:tcW w:w="1339" w:type="dxa"/>
            <w:tcBorders>
              <w:top w:val="nil"/>
              <w:left w:val="nil"/>
              <w:bottom w:val="nil"/>
              <w:right w:val="nil"/>
            </w:tcBorders>
          </w:tcPr>
          <w:p w14:paraId="64EEE827"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
        </w:tc>
        <w:tc>
          <w:tcPr>
            <w:tcW w:w="1473" w:type="dxa"/>
            <w:tcBorders>
              <w:top w:val="nil"/>
              <w:left w:val="nil"/>
              <w:bottom w:val="nil"/>
              <w:right w:val="nil"/>
            </w:tcBorders>
          </w:tcPr>
          <w:p w14:paraId="3C4D1FC5"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
        </w:tc>
        <w:tc>
          <w:tcPr>
            <w:tcW w:w="1339" w:type="dxa"/>
            <w:tcBorders>
              <w:top w:val="nil"/>
              <w:left w:val="nil"/>
              <w:bottom w:val="nil"/>
              <w:right w:val="nil"/>
            </w:tcBorders>
          </w:tcPr>
          <w:p w14:paraId="75C8AF37"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
        </w:tc>
        <w:tc>
          <w:tcPr>
            <w:tcW w:w="1339" w:type="dxa"/>
            <w:tcBorders>
              <w:top w:val="nil"/>
              <w:left w:val="nil"/>
              <w:bottom w:val="nil"/>
              <w:right w:val="nil"/>
            </w:tcBorders>
          </w:tcPr>
          <w:p w14:paraId="2EF6CB57"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
        </w:tc>
        <w:tc>
          <w:tcPr>
            <w:tcW w:w="1339" w:type="dxa"/>
            <w:tcBorders>
              <w:top w:val="nil"/>
              <w:left w:val="nil"/>
              <w:bottom w:val="nil"/>
              <w:right w:val="nil"/>
            </w:tcBorders>
          </w:tcPr>
          <w:p w14:paraId="4CE393E8"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
        </w:tc>
        <w:tc>
          <w:tcPr>
            <w:tcW w:w="1473" w:type="dxa"/>
            <w:tcBorders>
              <w:top w:val="nil"/>
              <w:left w:val="nil"/>
              <w:bottom w:val="nil"/>
              <w:right w:val="nil"/>
            </w:tcBorders>
          </w:tcPr>
          <w:p w14:paraId="51AE1A2D"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
        </w:tc>
      </w:tr>
      <w:tr w:rsidR="00CF48D9" w:rsidRPr="00CF48D9" w14:paraId="4E4590B7" w14:textId="77777777" w:rsidTr="008E0221">
        <w:tblPrEx>
          <w:tblCellMar>
            <w:top w:w="0" w:type="dxa"/>
            <w:bottom w:w="0" w:type="dxa"/>
          </w:tblCellMar>
        </w:tblPrEx>
        <w:trPr>
          <w:trHeight w:val="263"/>
        </w:trPr>
        <w:tc>
          <w:tcPr>
            <w:tcW w:w="1702" w:type="dxa"/>
            <w:tcBorders>
              <w:top w:val="nil"/>
              <w:left w:val="nil"/>
              <w:bottom w:val="nil"/>
              <w:right w:val="nil"/>
            </w:tcBorders>
          </w:tcPr>
          <w:p w14:paraId="69A9B07D"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roofErr w:type="spellStart"/>
            <w:r w:rsidRPr="00CF48D9">
              <w:rPr>
                <w:rFonts w:ascii="Calibri" w:eastAsia="Times New Roman" w:hAnsi="Calibri" w:cs="Calibri"/>
                <w:sz w:val="20"/>
                <w:szCs w:val="20"/>
                <w:lang w:val="en-NL" w:eastAsia="en-NL"/>
              </w:rPr>
              <w:t>dummy_special</w:t>
            </w:r>
            <w:proofErr w:type="spellEnd"/>
          </w:p>
        </w:tc>
        <w:tc>
          <w:tcPr>
            <w:tcW w:w="1087" w:type="dxa"/>
            <w:tcBorders>
              <w:top w:val="nil"/>
              <w:left w:val="nil"/>
              <w:bottom w:val="nil"/>
              <w:right w:val="nil"/>
            </w:tcBorders>
          </w:tcPr>
          <w:p w14:paraId="2DE4962F"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0.00888</w:t>
            </w:r>
          </w:p>
        </w:tc>
        <w:tc>
          <w:tcPr>
            <w:tcW w:w="1473" w:type="dxa"/>
            <w:tcBorders>
              <w:top w:val="nil"/>
              <w:left w:val="nil"/>
              <w:bottom w:val="nil"/>
              <w:right w:val="nil"/>
            </w:tcBorders>
          </w:tcPr>
          <w:p w14:paraId="35625CB2"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0.647**</w:t>
            </w:r>
          </w:p>
        </w:tc>
        <w:tc>
          <w:tcPr>
            <w:tcW w:w="1339" w:type="dxa"/>
            <w:tcBorders>
              <w:top w:val="nil"/>
              <w:left w:val="nil"/>
              <w:bottom w:val="nil"/>
              <w:right w:val="nil"/>
            </w:tcBorders>
          </w:tcPr>
          <w:p w14:paraId="198AE76B"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0.0396</w:t>
            </w:r>
          </w:p>
        </w:tc>
        <w:tc>
          <w:tcPr>
            <w:tcW w:w="1473" w:type="dxa"/>
            <w:tcBorders>
              <w:top w:val="nil"/>
              <w:left w:val="nil"/>
              <w:bottom w:val="nil"/>
              <w:right w:val="nil"/>
            </w:tcBorders>
          </w:tcPr>
          <w:p w14:paraId="00DCA3AE"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0.255</w:t>
            </w:r>
          </w:p>
        </w:tc>
        <w:tc>
          <w:tcPr>
            <w:tcW w:w="1339" w:type="dxa"/>
            <w:tcBorders>
              <w:top w:val="nil"/>
              <w:left w:val="nil"/>
              <w:bottom w:val="nil"/>
              <w:right w:val="nil"/>
            </w:tcBorders>
          </w:tcPr>
          <w:p w14:paraId="2B7FF958"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0.0796</w:t>
            </w:r>
          </w:p>
        </w:tc>
        <w:tc>
          <w:tcPr>
            <w:tcW w:w="1473" w:type="dxa"/>
            <w:tcBorders>
              <w:top w:val="nil"/>
              <w:left w:val="nil"/>
              <w:bottom w:val="nil"/>
              <w:right w:val="nil"/>
            </w:tcBorders>
          </w:tcPr>
          <w:p w14:paraId="678D621C"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0.924**</w:t>
            </w:r>
          </w:p>
        </w:tc>
        <w:tc>
          <w:tcPr>
            <w:tcW w:w="1339" w:type="dxa"/>
            <w:tcBorders>
              <w:top w:val="nil"/>
              <w:left w:val="nil"/>
              <w:bottom w:val="nil"/>
              <w:right w:val="nil"/>
            </w:tcBorders>
          </w:tcPr>
          <w:p w14:paraId="35F9B9E8"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0.276</w:t>
            </w:r>
          </w:p>
        </w:tc>
        <w:tc>
          <w:tcPr>
            <w:tcW w:w="1339" w:type="dxa"/>
            <w:tcBorders>
              <w:top w:val="nil"/>
              <w:left w:val="nil"/>
              <w:bottom w:val="nil"/>
              <w:right w:val="nil"/>
            </w:tcBorders>
          </w:tcPr>
          <w:p w14:paraId="485DC077"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0.629</w:t>
            </w:r>
          </w:p>
        </w:tc>
        <w:tc>
          <w:tcPr>
            <w:tcW w:w="1339" w:type="dxa"/>
            <w:tcBorders>
              <w:top w:val="nil"/>
              <w:left w:val="nil"/>
              <w:bottom w:val="nil"/>
              <w:right w:val="nil"/>
            </w:tcBorders>
          </w:tcPr>
          <w:p w14:paraId="4FAD5E23"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0.216</w:t>
            </w:r>
          </w:p>
        </w:tc>
        <w:tc>
          <w:tcPr>
            <w:tcW w:w="1473" w:type="dxa"/>
            <w:tcBorders>
              <w:top w:val="nil"/>
              <w:left w:val="nil"/>
              <w:bottom w:val="nil"/>
              <w:right w:val="nil"/>
            </w:tcBorders>
          </w:tcPr>
          <w:p w14:paraId="49013470"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-8.885***</w:t>
            </w:r>
          </w:p>
        </w:tc>
      </w:tr>
      <w:tr w:rsidR="00CF48D9" w:rsidRPr="00CF48D9" w14:paraId="38880DC8" w14:textId="77777777" w:rsidTr="008E0221">
        <w:tblPrEx>
          <w:tblCellMar>
            <w:top w:w="0" w:type="dxa"/>
            <w:bottom w:w="0" w:type="dxa"/>
          </w:tblCellMar>
        </w:tblPrEx>
        <w:trPr>
          <w:trHeight w:val="263"/>
        </w:trPr>
        <w:tc>
          <w:tcPr>
            <w:tcW w:w="1702" w:type="dxa"/>
            <w:tcBorders>
              <w:top w:val="nil"/>
              <w:left w:val="nil"/>
              <w:bottom w:val="nil"/>
              <w:right w:val="nil"/>
            </w:tcBorders>
          </w:tcPr>
          <w:p w14:paraId="5DCDA920"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roofErr w:type="spellStart"/>
            <w:r w:rsidRPr="00CF48D9">
              <w:rPr>
                <w:rFonts w:ascii="Calibri" w:eastAsia="Times New Roman" w:hAnsi="Calibri" w:cs="Calibri"/>
                <w:sz w:val="20"/>
                <w:szCs w:val="20"/>
                <w:lang w:val="en-NL" w:eastAsia="en-NL"/>
              </w:rPr>
              <w:t>dummy_special_d</w:t>
            </w:r>
            <w:proofErr w:type="spellEnd"/>
          </w:p>
        </w:tc>
        <w:tc>
          <w:tcPr>
            <w:tcW w:w="1087" w:type="dxa"/>
            <w:tcBorders>
              <w:top w:val="nil"/>
              <w:left w:val="nil"/>
              <w:bottom w:val="nil"/>
              <w:right w:val="nil"/>
            </w:tcBorders>
          </w:tcPr>
          <w:p w14:paraId="35DE1900"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0.334*</w:t>
            </w:r>
          </w:p>
        </w:tc>
        <w:tc>
          <w:tcPr>
            <w:tcW w:w="1473" w:type="dxa"/>
            <w:tcBorders>
              <w:top w:val="nil"/>
              <w:left w:val="nil"/>
              <w:bottom w:val="nil"/>
              <w:right w:val="nil"/>
            </w:tcBorders>
          </w:tcPr>
          <w:p w14:paraId="2471EFD1"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-0.141</w:t>
            </w:r>
          </w:p>
        </w:tc>
        <w:tc>
          <w:tcPr>
            <w:tcW w:w="1339" w:type="dxa"/>
            <w:tcBorders>
              <w:top w:val="nil"/>
              <w:left w:val="nil"/>
              <w:bottom w:val="nil"/>
              <w:right w:val="nil"/>
            </w:tcBorders>
          </w:tcPr>
          <w:p w14:paraId="4209DE19"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-0.571</w:t>
            </w:r>
          </w:p>
        </w:tc>
        <w:tc>
          <w:tcPr>
            <w:tcW w:w="1473" w:type="dxa"/>
            <w:tcBorders>
              <w:top w:val="nil"/>
              <w:left w:val="nil"/>
              <w:bottom w:val="nil"/>
              <w:right w:val="nil"/>
            </w:tcBorders>
          </w:tcPr>
          <w:p w14:paraId="0F9A2F44"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0.389</w:t>
            </w:r>
          </w:p>
        </w:tc>
        <w:tc>
          <w:tcPr>
            <w:tcW w:w="1339" w:type="dxa"/>
            <w:tcBorders>
              <w:top w:val="nil"/>
              <w:left w:val="nil"/>
              <w:bottom w:val="nil"/>
              <w:right w:val="nil"/>
            </w:tcBorders>
          </w:tcPr>
          <w:p w14:paraId="2913F070"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0.347</w:t>
            </w:r>
          </w:p>
        </w:tc>
        <w:tc>
          <w:tcPr>
            <w:tcW w:w="1473" w:type="dxa"/>
            <w:tcBorders>
              <w:top w:val="nil"/>
              <w:left w:val="nil"/>
              <w:bottom w:val="nil"/>
              <w:right w:val="nil"/>
            </w:tcBorders>
          </w:tcPr>
          <w:p w14:paraId="7CFBBD05"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-0.933**</w:t>
            </w:r>
          </w:p>
        </w:tc>
        <w:tc>
          <w:tcPr>
            <w:tcW w:w="1339" w:type="dxa"/>
            <w:tcBorders>
              <w:top w:val="nil"/>
              <w:left w:val="nil"/>
              <w:bottom w:val="nil"/>
              <w:right w:val="nil"/>
            </w:tcBorders>
          </w:tcPr>
          <w:p w14:paraId="608F5BD4"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0.582</w:t>
            </w:r>
          </w:p>
        </w:tc>
        <w:tc>
          <w:tcPr>
            <w:tcW w:w="1339" w:type="dxa"/>
            <w:tcBorders>
              <w:top w:val="nil"/>
              <w:left w:val="nil"/>
              <w:bottom w:val="nil"/>
              <w:right w:val="nil"/>
            </w:tcBorders>
          </w:tcPr>
          <w:p w14:paraId="76C2CD52"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-1.705***</w:t>
            </w:r>
          </w:p>
        </w:tc>
        <w:tc>
          <w:tcPr>
            <w:tcW w:w="1339" w:type="dxa"/>
            <w:tcBorders>
              <w:top w:val="nil"/>
              <w:left w:val="nil"/>
              <w:bottom w:val="nil"/>
              <w:right w:val="nil"/>
            </w:tcBorders>
          </w:tcPr>
          <w:p w14:paraId="2A4BC5EA"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0.229</w:t>
            </w:r>
          </w:p>
        </w:tc>
        <w:tc>
          <w:tcPr>
            <w:tcW w:w="1473" w:type="dxa"/>
            <w:tcBorders>
              <w:top w:val="nil"/>
              <w:left w:val="nil"/>
              <w:bottom w:val="nil"/>
              <w:right w:val="nil"/>
            </w:tcBorders>
          </w:tcPr>
          <w:p w14:paraId="37F4770D"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2.087</w:t>
            </w:r>
          </w:p>
        </w:tc>
      </w:tr>
      <w:tr w:rsidR="00CF48D9" w:rsidRPr="00CF48D9" w14:paraId="4522BD7F" w14:textId="77777777" w:rsidTr="008E0221">
        <w:tblPrEx>
          <w:tblCellMar>
            <w:top w:w="0" w:type="dxa"/>
            <w:bottom w:w="0" w:type="dxa"/>
          </w:tblCellMar>
        </w:tblPrEx>
        <w:trPr>
          <w:trHeight w:val="280"/>
        </w:trPr>
        <w:tc>
          <w:tcPr>
            <w:tcW w:w="1702" w:type="dxa"/>
            <w:tcBorders>
              <w:top w:val="nil"/>
              <w:left w:val="nil"/>
              <w:bottom w:val="nil"/>
              <w:right w:val="nil"/>
            </w:tcBorders>
          </w:tcPr>
          <w:p w14:paraId="56858640"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dummy_special_d2</w:t>
            </w:r>
          </w:p>
        </w:tc>
        <w:tc>
          <w:tcPr>
            <w:tcW w:w="1087" w:type="dxa"/>
            <w:tcBorders>
              <w:top w:val="nil"/>
              <w:left w:val="nil"/>
              <w:bottom w:val="nil"/>
              <w:right w:val="nil"/>
            </w:tcBorders>
          </w:tcPr>
          <w:p w14:paraId="5B7C21DC"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0.321*</w:t>
            </w:r>
          </w:p>
        </w:tc>
        <w:tc>
          <w:tcPr>
            <w:tcW w:w="1473" w:type="dxa"/>
            <w:tcBorders>
              <w:top w:val="nil"/>
              <w:left w:val="nil"/>
              <w:bottom w:val="nil"/>
              <w:right w:val="nil"/>
            </w:tcBorders>
          </w:tcPr>
          <w:p w14:paraId="442BE23E"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0.412</w:t>
            </w:r>
          </w:p>
        </w:tc>
        <w:tc>
          <w:tcPr>
            <w:tcW w:w="1339" w:type="dxa"/>
            <w:tcBorders>
              <w:top w:val="nil"/>
              <w:left w:val="nil"/>
              <w:bottom w:val="nil"/>
              <w:right w:val="nil"/>
            </w:tcBorders>
          </w:tcPr>
          <w:p w14:paraId="62933EE3"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1.194***</w:t>
            </w:r>
          </w:p>
        </w:tc>
        <w:tc>
          <w:tcPr>
            <w:tcW w:w="1473" w:type="dxa"/>
            <w:tcBorders>
              <w:top w:val="nil"/>
              <w:left w:val="nil"/>
              <w:bottom w:val="nil"/>
              <w:right w:val="nil"/>
            </w:tcBorders>
          </w:tcPr>
          <w:p w14:paraId="45E0668D"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-0.121</w:t>
            </w:r>
          </w:p>
        </w:tc>
        <w:tc>
          <w:tcPr>
            <w:tcW w:w="1339" w:type="dxa"/>
            <w:tcBorders>
              <w:top w:val="nil"/>
              <w:left w:val="nil"/>
              <w:bottom w:val="nil"/>
              <w:right w:val="nil"/>
            </w:tcBorders>
          </w:tcPr>
          <w:p w14:paraId="4CCB1221"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-0.387</w:t>
            </w:r>
          </w:p>
        </w:tc>
        <w:tc>
          <w:tcPr>
            <w:tcW w:w="1473" w:type="dxa"/>
            <w:tcBorders>
              <w:top w:val="nil"/>
              <w:left w:val="nil"/>
              <w:bottom w:val="nil"/>
              <w:right w:val="nil"/>
            </w:tcBorders>
          </w:tcPr>
          <w:p w14:paraId="25834CD6"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0.884**</w:t>
            </w:r>
          </w:p>
        </w:tc>
        <w:tc>
          <w:tcPr>
            <w:tcW w:w="1339" w:type="dxa"/>
            <w:tcBorders>
              <w:top w:val="nil"/>
              <w:left w:val="nil"/>
              <w:bottom w:val="nil"/>
              <w:right w:val="nil"/>
            </w:tcBorders>
          </w:tcPr>
          <w:p w14:paraId="39278735"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0.507</w:t>
            </w:r>
          </w:p>
        </w:tc>
        <w:tc>
          <w:tcPr>
            <w:tcW w:w="1339" w:type="dxa"/>
            <w:tcBorders>
              <w:top w:val="nil"/>
              <w:left w:val="nil"/>
              <w:bottom w:val="nil"/>
              <w:right w:val="nil"/>
            </w:tcBorders>
          </w:tcPr>
          <w:p w14:paraId="3C7AD173"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1.783***</w:t>
            </w:r>
          </w:p>
        </w:tc>
        <w:tc>
          <w:tcPr>
            <w:tcW w:w="1339" w:type="dxa"/>
            <w:tcBorders>
              <w:top w:val="nil"/>
              <w:left w:val="nil"/>
              <w:bottom w:val="nil"/>
              <w:right w:val="nil"/>
            </w:tcBorders>
          </w:tcPr>
          <w:p w14:paraId="4EC1F069"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2.081***</w:t>
            </w:r>
          </w:p>
        </w:tc>
        <w:tc>
          <w:tcPr>
            <w:tcW w:w="1473" w:type="dxa"/>
            <w:tcBorders>
              <w:top w:val="nil"/>
              <w:left w:val="nil"/>
              <w:bottom w:val="nil"/>
              <w:right w:val="nil"/>
            </w:tcBorders>
          </w:tcPr>
          <w:p w14:paraId="0130B880"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0.595</w:t>
            </w:r>
          </w:p>
        </w:tc>
      </w:tr>
      <w:tr w:rsidR="00CF48D9" w:rsidRPr="00CF48D9" w14:paraId="10EBF104" w14:textId="77777777" w:rsidTr="008E0221">
        <w:tblPrEx>
          <w:tblCellMar>
            <w:top w:w="0" w:type="dxa"/>
            <w:bottom w:w="0" w:type="dxa"/>
          </w:tblCellMar>
        </w:tblPrEx>
        <w:trPr>
          <w:trHeight w:val="263"/>
        </w:trPr>
        <w:tc>
          <w:tcPr>
            <w:tcW w:w="1702" w:type="dxa"/>
            <w:tcBorders>
              <w:top w:val="nil"/>
              <w:left w:val="nil"/>
              <w:bottom w:val="nil"/>
              <w:right w:val="nil"/>
            </w:tcBorders>
          </w:tcPr>
          <w:p w14:paraId="60CC976A"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roofErr w:type="spellStart"/>
            <w:r w:rsidRPr="00CF48D9">
              <w:rPr>
                <w:rFonts w:ascii="Calibri" w:eastAsia="Times New Roman" w:hAnsi="Calibri" w:cs="Calibri"/>
                <w:sz w:val="20"/>
                <w:szCs w:val="20"/>
                <w:lang w:val="en-NL" w:eastAsia="en-NL"/>
              </w:rPr>
              <w:t>lag_cds_fd</w:t>
            </w:r>
            <w:proofErr w:type="spellEnd"/>
            <w:r w:rsidRPr="00CF48D9">
              <w:rPr>
                <w:rFonts w:ascii="Calibri" w:eastAsia="Times New Roman" w:hAnsi="Calibri" w:cs="Calibri"/>
                <w:sz w:val="20"/>
                <w:szCs w:val="20"/>
                <w:lang w:val="en-NL" w:eastAsia="en-NL"/>
              </w:rPr>
              <w:t>_</w:t>
            </w:r>
          </w:p>
        </w:tc>
        <w:tc>
          <w:tcPr>
            <w:tcW w:w="1087" w:type="dxa"/>
            <w:tcBorders>
              <w:top w:val="nil"/>
              <w:left w:val="nil"/>
              <w:bottom w:val="nil"/>
              <w:right w:val="nil"/>
            </w:tcBorders>
          </w:tcPr>
          <w:p w14:paraId="23D9A07D"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-0.0499</w:t>
            </w:r>
          </w:p>
        </w:tc>
        <w:tc>
          <w:tcPr>
            <w:tcW w:w="1473" w:type="dxa"/>
            <w:tcBorders>
              <w:top w:val="nil"/>
              <w:left w:val="nil"/>
              <w:bottom w:val="nil"/>
              <w:right w:val="nil"/>
            </w:tcBorders>
          </w:tcPr>
          <w:p w14:paraId="6EEEB339"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-0.175***</w:t>
            </w:r>
          </w:p>
        </w:tc>
        <w:tc>
          <w:tcPr>
            <w:tcW w:w="1339" w:type="dxa"/>
            <w:tcBorders>
              <w:top w:val="nil"/>
              <w:left w:val="nil"/>
              <w:bottom w:val="nil"/>
              <w:right w:val="nil"/>
            </w:tcBorders>
          </w:tcPr>
          <w:p w14:paraId="565E8D6A"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-0.183***</w:t>
            </w:r>
          </w:p>
        </w:tc>
        <w:tc>
          <w:tcPr>
            <w:tcW w:w="1473" w:type="dxa"/>
            <w:tcBorders>
              <w:top w:val="nil"/>
              <w:left w:val="nil"/>
              <w:bottom w:val="nil"/>
              <w:right w:val="nil"/>
            </w:tcBorders>
          </w:tcPr>
          <w:p w14:paraId="0463F128"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-0.124***</w:t>
            </w:r>
          </w:p>
        </w:tc>
        <w:tc>
          <w:tcPr>
            <w:tcW w:w="1339" w:type="dxa"/>
            <w:tcBorders>
              <w:top w:val="nil"/>
              <w:left w:val="nil"/>
              <w:bottom w:val="nil"/>
              <w:right w:val="nil"/>
            </w:tcBorders>
          </w:tcPr>
          <w:p w14:paraId="09273040"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-0.281***</w:t>
            </w:r>
          </w:p>
        </w:tc>
        <w:tc>
          <w:tcPr>
            <w:tcW w:w="1473" w:type="dxa"/>
            <w:tcBorders>
              <w:top w:val="nil"/>
              <w:left w:val="nil"/>
              <w:bottom w:val="nil"/>
              <w:right w:val="nil"/>
            </w:tcBorders>
          </w:tcPr>
          <w:p w14:paraId="3F72BAE0"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0.0693*</w:t>
            </w:r>
          </w:p>
        </w:tc>
        <w:tc>
          <w:tcPr>
            <w:tcW w:w="1339" w:type="dxa"/>
            <w:tcBorders>
              <w:top w:val="nil"/>
              <w:left w:val="nil"/>
              <w:bottom w:val="nil"/>
              <w:right w:val="nil"/>
            </w:tcBorders>
          </w:tcPr>
          <w:p w14:paraId="2F7802FC"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-0.297***</w:t>
            </w:r>
          </w:p>
        </w:tc>
        <w:tc>
          <w:tcPr>
            <w:tcW w:w="1339" w:type="dxa"/>
            <w:tcBorders>
              <w:top w:val="nil"/>
              <w:left w:val="nil"/>
              <w:bottom w:val="nil"/>
              <w:right w:val="nil"/>
            </w:tcBorders>
          </w:tcPr>
          <w:p w14:paraId="2A174EB2"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0.116***</w:t>
            </w:r>
          </w:p>
        </w:tc>
        <w:tc>
          <w:tcPr>
            <w:tcW w:w="1339" w:type="dxa"/>
            <w:tcBorders>
              <w:top w:val="nil"/>
              <w:left w:val="nil"/>
              <w:bottom w:val="nil"/>
              <w:right w:val="nil"/>
            </w:tcBorders>
          </w:tcPr>
          <w:p w14:paraId="5B32D1A3"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-0.208***</w:t>
            </w:r>
          </w:p>
        </w:tc>
        <w:tc>
          <w:tcPr>
            <w:tcW w:w="1473" w:type="dxa"/>
            <w:tcBorders>
              <w:top w:val="nil"/>
              <w:left w:val="nil"/>
              <w:bottom w:val="nil"/>
              <w:right w:val="nil"/>
            </w:tcBorders>
          </w:tcPr>
          <w:p w14:paraId="47A1454A"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-0.0722*</w:t>
            </w:r>
          </w:p>
        </w:tc>
      </w:tr>
      <w:tr w:rsidR="00CF48D9" w:rsidRPr="00CF48D9" w14:paraId="6625CA23" w14:textId="77777777" w:rsidTr="008E0221">
        <w:tblPrEx>
          <w:tblCellMar>
            <w:top w:w="0" w:type="dxa"/>
            <w:bottom w:w="0" w:type="dxa"/>
          </w:tblCellMar>
        </w:tblPrEx>
        <w:trPr>
          <w:trHeight w:val="263"/>
        </w:trPr>
        <w:tc>
          <w:tcPr>
            <w:tcW w:w="1702" w:type="dxa"/>
            <w:tcBorders>
              <w:top w:val="nil"/>
              <w:left w:val="nil"/>
              <w:bottom w:val="nil"/>
              <w:right w:val="nil"/>
            </w:tcBorders>
          </w:tcPr>
          <w:p w14:paraId="4689E4B8"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roofErr w:type="spellStart"/>
            <w:r w:rsidRPr="00CF48D9">
              <w:rPr>
                <w:rFonts w:ascii="Calibri" w:eastAsia="Times New Roman" w:hAnsi="Calibri" w:cs="Calibri"/>
                <w:sz w:val="20"/>
                <w:szCs w:val="20"/>
                <w:lang w:val="en-NL" w:eastAsia="en-NL"/>
              </w:rPr>
              <w:t>stock_fd</w:t>
            </w:r>
            <w:proofErr w:type="spellEnd"/>
            <w:r w:rsidRPr="00CF48D9">
              <w:rPr>
                <w:rFonts w:ascii="Calibri" w:eastAsia="Times New Roman" w:hAnsi="Calibri" w:cs="Calibri"/>
                <w:sz w:val="20"/>
                <w:szCs w:val="20"/>
                <w:lang w:val="en-NL" w:eastAsia="en-NL"/>
              </w:rPr>
              <w:t>_</w:t>
            </w:r>
          </w:p>
        </w:tc>
        <w:tc>
          <w:tcPr>
            <w:tcW w:w="1087" w:type="dxa"/>
            <w:tcBorders>
              <w:top w:val="nil"/>
              <w:left w:val="nil"/>
              <w:bottom w:val="nil"/>
              <w:right w:val="nil"/>
            </w:tcBorders>
          </w:tcPr>
          <w:p w14:paraId="33183E83"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0.000346</w:t>
            </w:r>
          </w:p>
        </w:tc>
        <w:tc>
          <w:tcPr>
            <w:tcW w:w="1473" w:type="dxa"/>
            <w:tcBorders>
              <w:top w:val="nil"/>
              <w:left w:val="nil"/>
              <w:bottom w:val="nil"/>
              <w:right w:val="nil"/>
            </w:tcBorders>
          </w:tcPr>
          <w:p w14:paraId="4422EEFF"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0.0131*</w:t>
            </w:r>
          </w:p>
        </w:tc>
        <w:tc>
          <w:tcPr>
            <w:tcW w:w="1339" w:type="dxa"/>
            <w:tcBorders>
              <w:top w:val="nil"/>
              <w:left w:val="nil"/>
              <w:bottom w:val="nil"/>
              <w:right w:val="nil"/>
            </w:tcBorders>
          </w:tcPr>
          <w:p w14:paraId="0B378A73"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0.000756</w:t>
            </w:r>
          </w:p>
        </w:tc>
        <w:tc>
          <w:tcPr>
            <w:tcW w:w="1473" w:type="dxa"/>
            <w:tcBorders>
              <w:top w:val="nil"/>
              <w:left w:val="nil"/>
              <w:bottom w:val="nil"/>
              <w:right w:val="nil"/>
            </w:tcBorders>
          </w:tcPr>
          <w:p w14:paraId="6CC72123"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-0.000582</w:t>
            </w:r>
          </w:p>
        </w:tc>
        <w:tc>
          <w:tcPr>
            <w:tcW w:w="1339" w:type="dxa"/>
            <w:tcBorders>
              <w:top w:val="nil"/>
              <w:left w:val="nil"/>
              <w:bottom w:val="nil"/>
              <w:right w:val="nil"/>
            </w:tcBorders>
          </w:tcPr>
          <w:p w14:paraId="2E4F20DF"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-0.000562</w:t>
            </w:r>
          </w:p>
        </w:tc>
        <w:tc>
          <w:tcPr>
            <w:tcW w:w="1473" w:type="dxa"/>
            <w:tcBorders>
              <w:top w:val="nil"/>
              <w:left w:val="nil"/>
              <w:bottom w:val="nil"/>
              <w:right w:val="nil"/>
            </w:tcBorders>
          </w:tcPr>
          <w:p w14:paraId="2CACC6E2"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0.000258</w:t>
            </w:r>
          </w:p>
        </w:tc>
        <w:tc>
          <w:tcPr>
            <w:tcW w:w="1339" w:type="dxa"/>
            <w:tcBorders>
              <w:top w:val="nil"/>
              <w:left w:val="nil"/>
              <w:bottom w:val="nil"/>
              <w:right w:val="nil"/>
            </w:tcBorders>
          </w:tcPr>
          <w:p w14:paraId="7B568498"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0.000267</w:t>
            </w:r>
          </w:p>
        </w:tc>
        <w:tc>
          <w:tcPr>
            <w:tcW w:w="1339" w:type="dxa"/>
            <w:tcBorders>
              <w:top w:val="nil"/>
              <w:left w:val="nil"/>
              <w:bottom w:val="nil"/>
              <w:right w:val="nil"/>
            </w:tcBorders>
          </w:tcPr>
          <w:p w14:paraId="4129B9C6"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0.000739</w:t>
            </w:r>
          </w:p>
        </w:tc>
        <w:tc>
          <w:tcPr>
            <w:tcW w:w="1339" w:type="dxa"/>
            <w:tcBorders>
              <w:top w:val="nil"/>
              <w:left w:val="nil"/>
              <w:bottom w:val="nil"/>
              <w:right w:val="nil"/>
            </w:tcBorders>
          </w:tcPr>
          <w:p w14:paraId="78C8B2D3"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0.000736</w:t>
            </w:r>
          </w:p>
        </w:tc>
        <w:tc>
          <w:tcPr>
            <w:tcW w:w="1473" w:type="dxa"/>
            <w:tcBorders>
              <w:top w:val="nil"/>
              <w:left w:val="nil"/>
              <w:bottom w:val="nil"/>
              <w:right w:val="nil"/>
            </w:tcBorders>
          </w:tcPr>
          <w:p w14:paraId="468136F2"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-0.00165*</w:t>
            </w:r>
          </w:p>
        </w:tc>
      </w:tr>
      <w:tr w:rsidR="00CF48D9" w:rsidRPr="00CF48D9" w14:paraId="059A5CAD" w14:textId="77777777" w:rsidTr="008E0221">
        <w:tblPrEx>
          <w:tblCellMar>
            <w:top w:w="0" w:type="dxa"/>
            <w:bottom w:w="0" w:type="dxa"/>
          </w:tblCellMar>
        </w:tblPrEx>
        <w:trPr>
          <w:trHeight w:val="263"/>
        </w:trPr>
        <w:tc>
          <w:tcPr>
            <w:tcW w:w="1702" w:type="dxa"/>
            <w:tcBorders>
              <w:top w:val="nil"/>
              <w:left w:val="nil"/>
              <w:bottom w:val="nil"/>
              <w:right w:val="nil"/>
            </w:tcBorders>
          </w:tcPr>
          <w:p w14:paraId="52C893F4"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roofErr w:type="spellStart"/>
            <w:r w:rsidRPr="00CF48D9">
              <w:rPr>
                <w:rFonts w:ascii="Calibri" w:eastAsia="Times New Roman" w:hAnsi="Calibri" w:cs="Calibri"/>
                <w:sz w:val="20"/>
                <w:szCs w:val="20"/>
                <w:lang w:val="en-NL" w:eastAsia="en-NL"/>
              </w:rPr>
              <w:t>vstoxx_fd</w:t>
            </w:r>
            <w:proofErr w:type="spellEnd"/>
          </w:p>
        </w:tc>
        <w:tc>
          <w:tcPr>
            <w:tcW w:w="1087" w:type="dxa"/>
            <w:tcBorders>
              <w:top w:val="nil"/>
              <w:left w:val="nil"/>
              <w:bottom w:val="nil"/>
              <w:right w:val="nil"/>
            </w:tcBorders>
          </w:tcPr>
          <w:p w14:paraId="73E0DF6A"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-0.00414</w:t>
            </w:r>
          </w:p>
        </w:tc>
        <w:tc>
          <w:tcPr>
            <w:tcW w:w="1473" w:type="dxa"/>
            <w:tcBorders>
              <w:top w:val="nil"/>
              <w:left w:val="nil"/>
              <w:bottom w:val="nil"/>
              <w:right w:val="nil"/>
            </w:tcBorders>
          </w:tcPr>
          <w:p w14:paraId="14E7D54E"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-0.0112</w:t>
            </w:r>
          </w:p>
        </w:tc>
        <w:tc>
          <w:tcPr>
            <w:tcW w:w="1339" w:type="dxa"/>
            <w:tcBorders>
              <w:top w:val="nil"/>
              <w:left w:val="nil"/>
              <w:bottom w:val="nil"/>
              <w:right w:val="nil"/>
            </w:tcBorders>
          </w:tcPr>
          <w:p w14:paraId="1CEEC51D"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0.0578**</w:t>
            </w:r>
          </w:p>
        </w:tc>
        <w:tc>
          <w:tcPr>
            <w:tcW w:w="1473" w:type="dxa"/>
            <w:tcBorders>
              <w:top w:val="nil"/>
              <w:left w:val="nil"/>
              <w:bottom w:val="nil"/>
              <w:right w:val="nil"/>
            </w:tcBorders>
          </w:tcPr>
          <w:p w14:paraId="0F0CB0B8"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-0.0284</w:t>
            </w:r>
          </w:p>
        </w:tc>
        <w:tc>
          <w:tcPr>
            <w:tcW w:w="1339" w:type="dxa"/>
            <w:tcBorders>
              <w:top w:val="nil"/>
              <w:left w:val="nil"/>
              <w:bottom w:val="nil"/>
              <w:right w:val="nil"/>
            </w:tcBorders>
          </w:tcPr>
          <w:p w14:paraId="74E44BBF"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0.0119</w:t>
            </w:r>
          </w:p>
        </w:tc>
        <w:tc>
          <w:tcPr>
            <w:tcW w:w="1473" w:type="dxa"/>
            <w:tcBorders>
              <w:top w:val="nil"/>
              <w:left w:val="nil"/>
              <w:bottom w:val="nil"/>
              <w:right w:val="nil"/>
            </w:tcBorders>
          </w:tcPr>
          <w:p w14:paraId="753AD479"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0.00820</w:t>
            </w:r>
          </w:p>
        </w:tc>
        <w:tc>
          <w:tcPr>
            <w:tcW w:w="1339" w:type="dxa"/>
            <w:tcBorders>
              <w:top w:val="nil"/>
              <w:left w:val="nil"/>
              <w:bottom w:val="nil"/>
              <w:right w:val="nil"/>
            </w:tcBorders>
          </w:tcPr>
          <w:p w14:paraId="6CF609FC"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0.0584*</w:t>
            </w:r>
          </w:p>
        </w:tc>
        <w:tc>
          <w:tcPr>
            <w:tcW w:w="1339" w:type="dxa"/>
            <w:tcBorders>
              <w:top w:val="nil"/>
              <w:left w:val="nil"/>
              <w:bottom w:val="nil"/>
              <w:right w:val="nil"/>
            </w:tcBorders>
          </w:tcPr>
          <w:p w14:paraId="35E9F545"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-0.0396</w:t>
            </w:r>
          </w:p>
        </w:tc>
        <w:tc>
          <w:tcPr>
            <w:tcW w:w="1339" w:type="dxa"/>
            <w:tcBorders>
              <w:top w:val="nil"/>
              <w:left w:val="nil"/>
              <w:bottom w:val="nil"/>
              <w:right w:val="nil"/>
            </w:tcBorders>
          </w:tcPr>
          <w:p w14:paraId="6B73211F"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-0.0254</w:t>
            </w:r>
          </w:p>
        </w:tc>
        <w:tc>
          <w:tcPr>
            <w:tcW w:w="1473" w:type="dxa"/>
            <w:tcBorders>
              <w:top w:val="nil"/>
              <w:left w:val="nil"/>
              <w:bottom w:val="nil"/>
              <w:right w:val="nil"/>
            </w:tcBorders>
          </w:tcPr>
          <w:p w14:paraId="3ACA7FEC"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0.299***</w:t>
            </w:r>
          </w:p>
        </w:tc>
      </w:tr>
      <w:tr w:rsidR="00CF48D9" w:rsidRPr="00CF48D9" w14:paraId="7CE41BCC" w14:textId="77777777" w:rsidTr="008E0221">
        <w:tblPrEx>
          <w:tblCellMar>
            <w:top w:w="0" w:type="dxa"/>
            <w:bottom w:w="0" w:type="dxa"/>
          </w:tblCellMar>
        </w:tblPrEx>
        <w:trPr>
          <w:trHeight w:val="280"/>
        </w:trPr>
        <w:tc>
          <w:tcPr>
            <w:tcW w:w="1702" w:type="dxa"/>
            <w:tcBorders>
              <w:top w:val="nil"/>
              <w:left w:val="nil"/>
              <w:bottom w:val="nil"/>
              <w:right w:val="nil"/>
            </w:tcBorders>
          </w:tcPr>
          <w:p w14:paraId="0DE20775"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roofErr w:type="spellStart"/>
            <w:r w:rsidRPr="00CF48D9">
              <w:rPr>
                <w:rFonts w:ascii="Calibri" w:eastAsia="Times New Roman" w:hAnsi="Calibri" w:cs="Calibri"/>
                <w:sz w:val="20"/>
                <w:szCs w:val="20"/>
                <w:lang w:val="en-NL" w:eastAsia="en-NL"/>
              </w:rPr>
              <w:t>itraxx_n_fd</w:t>
            </w:r>
            <w:proofErr w:type="spellEnd"/>
          </w:p>
        </w:tc>
        <w:tc>
          <w:tcPr>
            <w:tcW w:w="1087" w:type="dxa"/>
            <w:tcBorders>
              <w:top w:val="nil"/>
              <w:left w:val="nil"/>
              <w:bottom w:val="nil"/>
              <w:right w:val="nil"/>
            </w:tcBorders>
          </w:tcPr>
          <w:p w14:paraId="3344C63B"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0.0164*</w:t>
            </w:r>
          </w:p>
        </w:tc>
        <w:tc>
          <w:tcPr>
            <w:tcW w:w="1473" w:type="dxa"/>
            <w:tcBorders>
              <w:top w:val="nil"/>
              <w:left w:val="nil"/>
              <w:bottom w:val="nil"/>
              <w:right w:val="nil"/>
            </w:tcBorders>
          </w:tcPr>
          <w:p w14:paraId="70759E25"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0.0297**</w:t>
            </w:r>
          </w:p>
        </w:tc>
        <w:tc>
          <w:tcPr>
            <w:tcW w:w="1339" w:type="dxa"/>
            <w:tcBorders>
              <w:top w:val="nil"/>
              <w:left w:val="nil"/>
              <w:bottom w:val="nil"/>
              <w:right w:val="nil"/>
            </w:tcBorders>
          </w:tcPr>
          <w:p w14:paraId="6B40F40A"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0.0664***</w:t>
            </w:r>
          </w:p>
        </w:tc>
        <w:tc>
          <w:tcPr>
            <w:tcW w:w="1473" w:type="dxa"/>
            <w:tcBorders>
              <w:top w:val="nil"/>
              <w:left w:val="nil"/>
              <w:bottom w:val="nil"/>
              <w:right w:val="nil"/>
            </w:tcBorders>
          </w:tcPr>
          <w:p w14:paraId="35DF148D"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0.0401***</w:t>
            </w:r>
          </w:p>
        </w:tc>
        <w:tc>
          <w:tcPr>
            <w:tcW w:w="1339" w:type="dxa"/>
            <w:tcBorders>
              <w:top w:val="nil"/>
              <w:left w:val="nil"/>
              <w:bottom w:val="nil"/>
              <w:right w:val="nil"/>
            </w:tcBorders>
          </w:tcPr>
          <w:p w14:paraId="4A2434DF"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0.0498***</w:t>
            </w:r>
          </w:p>
        </w:tc>
        <w:tc>
          <w:tcPr>
            <w:tcW w:w="1473" w:type="dxa"/>
            <w:tcBorders>
              <w:top w:val="nil"/>
              <w:left w:val="nil"/>
              <w:bottom w:val="nil"/>
              <w:right w:val="nil"/>
            </w:tcBorders>
          </w:tcPr>
          <w:p w14:paraId="6A0D2C12"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0.0934***</w:t>
            </w:r>
          </w:p>
        </w:tc>
        <w:tc>
          <w:tcPr>
            <w:tcW w:w="1339" w:type="dxa"/>
            <w:tcBorders>
              <w:top w:val="nil"/>
              <w:left w:val="nil"/>
              <w:bottom w:val="nil"/>
              <w:right w:val="nil"/>
            </w:tcBorders>
          </w:tcPr>
          <w:p w14:paraId="16609F4F"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0.0601***</w:t>
            </w:r>
          </w:p>
        </w:tc>
        <w:tc>
          <w:tcPr>
            <w:tcW w:w="1339" w:type="dxa"/>
            <w:tcBorders>
              <w:top w:val="nil"/>
              <w:left w:val="nil"/>
              <w:bottom w:val="nil"/>
              <w:right w:val="nil"/>
            </w:tcBorders>
          </w:tcPr>
          <w:p w14:paraId="13CC5B57"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0.208***</w:t>
            </w:r>
          </w:p>
        </w:tc>
        <w:tc>
          <w:tcPr>
            <w:tcW w:w="1339" w:type="dxa"/>
            <w:tcBorders>
              <w:top w:val="nil"/>
              <w:left w:val="nil"/>
              <w:bottom w:val="nil"/>
              <w:right w:val="nil"/>
            </w:tcBorders>
          </w:tcPr>
          <w:p w14:paraId="21D8D094"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0.139***</w:t>
            </w:r>
          </w:p>
        </w:tc>
        <w:tc>
          <w:tcPr>
            <w:tcW w:w="1473" w:type="dxa"/>
            <w:tcBorders>
              <w:top w:val="nil"/>
              <w:left w:val="nil"/>
              <w:bottom w:val="nil"/>
              <w:right w:val="nil"/>
            </w:tcBorders>
          </w:tcPr>
          <w:p w14:paraId="15C68B8B"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0.111*</w:t>
            </w:r>
          </w:p>
        </w:tc>
      </w:tr>
      <w:tr w:rsidR="00CF48D9" w:rsidRPr="00CF48D9" w14:paraId="6DBC1999" w14:textId="77777777" w:rsidTr="008E0221">
        <w:tblPrEx>
          <w:tblCellMar>
            <w:top w:w="0" w:type="dxa"/>
            <w:bottom w:w="0" w:type="dxa"/>
          </w:tblCellMar>
        </w:tblPrEx>
        <w:trPr>
          <w:trHeight w:val="263"/>
        </w:trPr>
        <w:tc>
          <w:tcPr>
            <w:tcW w:w="1702" w:type="dxa"/>
            <w:tcBorders>
              <w:top w:val="nil"/>
              <w:left w:val="nil"/>
              <w:bottom w:val="nil"/>
              <w:right w:val="nil"/>
            </w:tcBorders>
          </w:tcPr>
          <w:p w14:paraId="560B6C2D"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roofErr w:type="spellStart"/>
            <w:r w:rsidRPr="00CF48D9">
              <w:rPr>
                <w:rFonts w:ascii="Calibri" w:eastAsia="Times New Roman" w:hAnsi="Calibri" w:cs="Calibri"/>
                <w:sz w:val="20"/>
                <w:szCs w:val="20"/>
                <w:lang w:val="en-NL" w:eastAsia="en-NL"/>
              </w:rPr>
              <w:t>tsm_fd</w:t>
            </w:r>
            <w:proofErr w:type="spellEnd"/>
          </w:p>
        </w:tc>
        <w:tc>
          <w:tcPr>
            <w:tcW w:w="1087" w:type="dxa"/>
            <w:tcBorders>
              <w:top w:val="nil"/>
              <w:left w:val="nil"/>
              <w:bottom w:val="nil"/>
              <w:right w:val="nil"/>
            </w:tcBorders>
          </w:tcPr>
          <w:p w14:paraId="0F41D8FC"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-0.00401**</w:t>
            </w:r>
          </w:p>
        </w:tc>
        <w:tc>
          <w:tcPr>
            <w:tcW w:w="1473" w:type="dxa"/>
            <w:tcBorders>
              <w:top w:val="nil"/>
              <w:left w:val="nil"/>
              <w:bottom w:val="nil"/>
              <w:right w:val="nil"/>
            </w:tcBorders>
          </w:tcPr>
          <w:p w14:paraId="6C2DFED5"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-0.00664**</w:t>
            </w:r>
          </w:p>
        </w:tc>
        <w:tc>
          <w:tcPr>
            <w:tcW w:w="1339" w:type="dxa"/>
            <w:tcBorders>
              <w:top w:val="nil"/>
              <w:left w:val="nil"/>
              <w:bottom w:val="nil"/>
              <w:right w:val="nil"/>
            </w:tcBorders>
          </w:tcPr>
          <w:p w14:paraId="3B960F90"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-0.00107</w:t>
            </w:r>
          </w:p>
        </w:tc>
        <w:tc>
          <w:tcPr>
            <w:tcW w:w="1473" w:type="dxa"/>
            <w:tcBorders>
              <w:top w:val="nil"/>
              <w:left w:val="nil"/>
              <w:bottom w:val="nil"/>
              <w:right w:val="nil"/>
            </w:tcBorders>
          </w:tcPr>
          <w:p w14:paraId="06DFED98"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-0.000665</w:t>
            </w:r>
          </w:p>
        </w:tc>
        <w:tc>
          <w:tcPr>
            <w:tcW w:w="1339" w:type="dxa"/>
            <w:tcBorders>
              <w:top w:val="nil"/>
              <w:left w:val="nil"/>
              <w:bottom w:val="nil"/>
              <w:right w:val="nil"/>
            </w:tcBorders>
          </w:tcPr>
          <w:p w14:paraId="57AA915F"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0.00195</w:t>
            </w:r>
          </w:p>
        </w:tc>
        <w:tc>
          <w:tcPr>
            <w:tcW w:w="1473" w:type="dxa"/>
            <w:tcBorders>
              <w:top w:val="nil"/>
              <w:left w:val="nil"/>
              <w:bottom w:val="nil"/>
              <w:right w:val="nil"/>
            </w:tcBorders>
          </w:tcPr>
          <w:p w14:paraId="4597C958"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0.000967</w:t>
            </w:r>
          </w:p>
        </w:tc>
        <w:tc>
          <w:tcPr>
            <w:tcW w:w="1339" w:type="dxa"/>
            <w:tcBorders>
              <w:top w:val="nil"/>
              <w:left w:val="nil"/>
              <w:bottom w:val="nil"/>
              <w:right w:val="nil"/>
            </w:tcBorders>
          </w:tcPr>
          <w:p w14:paraId="6B141B05"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0.00176</w:t>
            </w:r>
          </w:p>
        </w:tc>
        <w:tc>
          <w:tcPr>
            <w:tcW w:w="1339" w:type="dxa"/>
            <w:tcBorders>
              <w:top w:val="nil"/>
              <w:left w:val="nil"/>
              <w:bottom w:val="nil"/>
              <w:right w:val="nil"/>
            </w:tcBorders>
          </w:tcPr>
          <w:p w14:paraId="7D5D77CA"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-0.0108**</w:t>
            </w:r>
          </w:p>
        </w:tc>
        <w:tc>
          <w:tcPr>
            <w:tcW w:w="1339" w:type="dxa"/>
            <w:tcBorders>
              <w:top w:val="nil"/>
              <w:left w:val="nil"/>
              <w:bottom w:val="nil"/>
              <w:right w:val="nil"/>
            </w:tcBorders>
          </w:tcPr>
          <w:p w14:paraId="05C96CA8"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-0.0122*</w:t>
            </w:r>
          </w:p>
        </w:tc>
        <w:tc>
          <w:tcPr>
            <w:tcW w:w="1473" w:type="dxa"/>
            <w:tcBorders>
              <w:top w:val="nil"/>
              <w:left w:val="nil"/>
              <w:bottom w:val="nil"/>
              <w:right w:val="nil"/>
            </w:tcBorders>
          </w:tcPr>
          <w:p w14:paraId="1B5A2EA4"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0.0143</w:t>
            </w:r>
          </w:p>
        </w:tc>
      </w:tr>
      <w:tr w:rsidR="00CF48D9" w:rsidRPr="00CF48D9" w14:paraId="3C9721A8" w14:textId="77777777" w:rsidTr="008E0221">
        <w:tblPrEx>
          <w:tblCellMar>
            <w:top w:w="0" w:type="dxa"/>
            <w:bottom w:w="0" w:type="dxa"/>
          </w:tblCellMar>
        </w:tblPrEx>
        <w:trPr>
          <w:trHeight w:val="263"/>
        </w:trPr>
        <w:tc>
          <w:tcPr>
            <w:tcW w:w="1702" w:type="dxa"/>
            <w:tcBorders>
              <w:top w:val="nil"/>
              <w:left w:val="nil"/>
              <w:bottom w:val="nil"/>
              <w:right w:val="nil"/>
            </w:tcBorders>
          </w:tcPr>
          <w:p w14:paraId="642F027C"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roofErr w:type="spellStart"/>
            <w:r w:rsidRPr="00CF48D9">
              <w:rPr>
                <w:rFonts w:ascii="Calibri" w:eastAsia="Times New Roman" w:hAnsi="Calibri" w:cs="Calibri"/>
                <w:sz w:val="20"/>
                <w:szCs w:val="20"/>
                <w:lang w:val="en-NL" w:eastAsia="en-NL"/>
              </w:rPr>
              <w:t>cesi_fd</w:t>
            </w:r>
            <w:proofErr w:type="spellEnd"/>
          </w:p>
        </w:tc>
        <w:tc>
          <w:tcPr>
            <w:tcW w:w="1087" w:type="dxa"/>
            <w:tcBorders>
              <w:top w:val="nil"/>
              <w:left w:val="nil"/>
              <w:bottom w:val="nil"/>
              <w:right w:val="nil"/>
            </w:tcBorders>
          </w:tcPr>
          <w:p w14:paraId="7A7F2B48"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-0.00146</w:t>
            </w:r>
          </w:p>
        </w:tc>
        <w:tc>
          <w:tcPr>
            <w:tcW w:w="1473" w:type="dxa"/>
            <w:tcBorders>
              <w:top w:val="nil"/>
              <w:left w:val="nil"/>
              <w:bottom w:val="nil"/>
              <w:right w:val="nil"/>
            </w:tcBorders>
          </w:tcPr>
          <w:p w14:paraId="7BAC59FF"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0.000404</w:t>
            </w:r>
          </w:p>
        </w:tc>
        <w:tc>
          <w:tcPr>
            <w:tcW w:w="1339" w:type="dxa"/>
            <w:tcBorders>
              <w:top w:val="nil"/>
              <w:left w:val="nil"/>
              <w:bottom w:val="nil"/>
              <w:right w:val="nil"/>
            </w:tcBorders>
          </w:tcPr>
          <w:p w14:paraId="1E057AC2"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0.00621**</w:t>
            </w:r>
          </w:p>
        </w:tc>
        <w:tc>
          <w:tcPr>
            <w:tcW w:w="1473" w:type="dxa"/>
            <w:tcBorders>
              <w:top w:val="nil"/>
              <w:left w:val="nil"/>
              <w:bottom w:val="nil"/>
              <w:right w:val="nil"/>
            </w:tcBorders>
          </w:tcPr>
          <w:p w14:paraId="53432656"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0.00311</w:t>
            </w:r>
          </w:p>
        </w:tc>
        <w:tc>
          <w:tcPr>
            <w:tcW w:w="1339" w:type="dxa"/>
            <w:tcBorders>
              <w:top w:val="nil"/>
              <w:left w:val="nil"/>
              <w:bottom w:val="nil"/>
              <w:right w:val="nil"/>
            </w:tcBorders>
          </w:tcPr>
          <w:p w14:paraId="5222A47B"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0.000215</w:t>
            </w:r>
          </w:p>
        </w:tc>
        <w:tc>
          <w:tcPr>
            <w:tcW w:w="1473" w:type="dxa"/>
            <w:tcBorders>
              <w:top w:val="nil"/>
              <w:left w:val="nil"/>
              <w:bottom w:val="nil"/>
              <w:right w:val="nil"/>
            </w:tcBorders>
          </w:tcPr>
          <w:p w14:paraId="160CEA76"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0.00548*</w:t>
            </w:r>
          </w:p>
        </w:tc>
        <w:tc>
          <w:tcPr>
            <w:tcW w:w="1339" w:type="dxa"/>
            <w:tcBorders>
              <w:top w:val="nil"/>
              <w:left w:val="nil"/>
              <w:bottom w:val="nil"/>
              <w:right w:val="nil"/>
            </w:tcBorders>
          </w:tcPr>
          <w:p w14:paraId="088B7A4D"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0.00893**</w:t>
            </w:r>
          </w:p>
        </w:tc>
        <w:tc>
          <w:tcPr>
            <w:tcW w:w="1339" w:type="dxa"/>
            <w:tcBorders>
              <w:top w:val="nil"/>
              <w:left w:val="nil"/>
              <w:bottom w:val="nil"/>
              <w:right w:val="nil"/>
            </w:tcBorders>
          </w:tcPr>
          <w:p w14:paraId="69DF8FBF"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0.00273</w:t>
            </w:r>
          </w:p>
        </w:tc>
        <w:tc>
          <w:tcPr>
            <w:tcW w:w="1339" w:type="dxa"/>
            <w:tcBorders>
              <w:top w:val="nil"/>
              <w:left w:val="nil"/>
              <w:bottom w:val="nil"/>
              <w:right w:val="nil"/>
            </w:tcBorders>
          </w:tcPr>
          <w:p w14:paraId="409A7FEF"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0.0225***</w:t>
            </w:r>
          </w:p>
        </w:tc>
        <w:tc>
          <w:tcPr>
            <w:tcW w:w="1473" w:type="dxa"/>
            <w:tcBorders>
              <w:top w:val="nil"/>
              <w:left w:val="nil"/>
              <w:bottom w:val="nil"/>
              <w:right w:val="nil"/>
            </w:tcBorders>
          </w:tcPr>
          <w:p w14:paraId="022ABCBC"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0.0140</w:t>
            </w:r>
          </w:p>
        </w:tc>
      </w:tr>
      <w:tr w:rsidR="00CF48D9" w:rsidRPr="00CF48D9" w14:paraId="1AFFCF7D" w14:textId="77777777" w:rsidTr="008E0221">
        <w:tblPrEx>
          <w:tblCellMar>
            <w:top w:w="0" w:type="dxa"/>
            <w:bottom w:w="0" w:type="dxa"/>
          </w:tblCellMar>
        </w:tblPrEx>
        <w:trPr>
          <w:trHeight w:val="280"/>
        </w:trPr>
        <w:tc>
          <w:tcPr>
            <w:tcW w:w="1702" w:type="dxa"/>
            <w:tcBorders>
              <w:top w:val="nil"/>
              <w:left w:val="nil"/>
              <w:bottom w:val="nil"/>
              <w:right w:val="nil"/>
            </w:tcBorders>
          </w:tcPr>
          <w:p w14:paraId="0CF30E11"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roofErr w:type="spellStart"/>
            <w:r w:rsidRPr="00CF48D9">
              <w:rPr>
                <w:rFonts w:ascii="Calibri" w:eastAsia="Times New Roman" w:hAnsi="Calibri" w:cs="Calibri"/>
                <w:sz w:val="20"/>
                <w:szCs w:val="20"/>
                <w:lang w:val="en-NL" w:eastAsia="en-NL"/>
              </w:rPr>
              <w:t>lag_yield_fd</w:t>
            </w:r>
            <w:proofErr w:type="spellEnd"/>
            <w:r w:rsidRPr="00CF48D9">
              <w:rPr>
                <w:rFonts w:ascii="Calibri" w:eastAsia="Times New Roman" w:hAnsi="Calibri" w:cs="Calibri"/>
                <w:sz w:val="20"/>
                <w:szCs w:val="20"/>
                <w:lang w:val="en-NL" w:eastAsia="en-NL"/>
              </w:rPr>
              <w:t>_</w:t>
            </w:r>
          </w:p>
        </w:tc>
        <w:tc>
          <w:tcPr>
            <w:tcW w:w="1087" w:type="dxa"/>
            <w:tcBorders>
              <w:top w:val="nil"/>
              <w:left w:val="nil"/>
              <w:bottom w:val="nil"/>
              <w:right w:val="nil"/>
            </w:tcBorders>
          </w:tcPr>
          <w:p w14:paraId="636F5919"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0.961**</w:t>
            </w:r>
          </w:p>
        </w:tc>
        <w:tc>
          <w:tcPr>
            <w:tcW w:w="1473" w:type="dxa"/>
            <w:tcBorders>
              <w:top w:val="nil"/>
              <w:left w:val="nil"/>
              <w:bottom w:val="nil"/>
              <w:right w:val="nil"/>
            </w:tcBorders>
          </w:tcPr>
          <w:p w14:paraId="41B9F364"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0.435</w:t>
            </w:r>
          </w:p>
        </w:tc>
        <w:tc>
          <w:tcPr>
            <w:tcW w:w="1339" w:type="dxa"/>
            <w:tcBorders>
              <w:top w:val="nil"/>
              <w:left w:val="nil"/>
              <w:bottom w:val="nil"/>
              <w:right w:val="nil"/>
            </w:tcBorders>
          </w:tcPr>
          <w:p w14:paraId="15BB1EF8"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0.303</w:t>
            </w:r>
          </w:p>
        </w:tc>
        <w:tc>
          <w:tcPr>
            <w:tcW w:w="1473" w:type="dxa"/>
            <w:tcBorders>
              <w:top w:val="nil"/>
              <w:left w:val="nil"/>
              <w:bottom w:val="nil"/>
              <w:right w:val="nil"/>
            </w:tcBorders>
          </w:tcPr>
          <w:p w14:paraId="469FC930"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0.229</w:t>
            </w:r>
          </w:p>
        </w:tc>
        <w:tc>
          <w:tcPr>
            <w:tcW w:w="1339" w:type="dxa"/>
            <w:tcBorders>
              <w:top w:val="nil"/>
              <w:left w:val="nil"/>
              <w:bottom w:val="nil"/>
              <w:right w:val="nil"/>
            </w:tcBorders>
          </w:tcPr>
          <w:p w14:paraId="7AF62002"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0.635</w:t>
            </w:r>
          </w:p>
        </w:tc>
        <w:tc>
          <w:tcPr>
            <w:tcW w:w="1473" w:type="dxa"/>
            <w:tcBorders>
              <w:top w:val="nil"/>
              <w:left w:val="nil"/>
              <w:bottom w:val="nil"/>
              <w:right w:val="nil"/>
            </w:tcBorders>
          </w:tcPr>
          <w:p w14:paraId="4F36EA4E"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1.919***</w:t>
            </w:r>
          </w:p>
        </w:tc>
        <w:tc>
          <w:tcPr>
            <w:tcW w:w="1339" w:type="dxa"/>
            <w:tcBorders>
              <w:top w:val="nil"/>
              <w:left w:val="nil"/>
              <w:bottom w:val="nil"/>
              <w:right w:val="nil"/>
            </w:tcBorders>
          </w:tcPr>
          <w:p w14:paraId="08C79CAA"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0.734</w:t>
            </w:r>
          </w:p>
        </w:tc>
        <w:tc>
          <w:tcPr>
            <w:tcW w:w="1339" w:type="dxa"/>
            <w:tcBorders>
              <w:top w:val="nil"/>
              <w:left w:val="nil"/>
              <w:bottom w:val="nil"/>
              <w:right w:val="nil"/>
            </w:tcBorders>
          </w:tcPr>
          <w:p w14:paraId="6CD1CF91"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2.151*</w:t>
            </w:r>
          </w:p>
        </w:tc>
        <w:tc>
          <w:tcPr>
            <w:tcW w:w="1339" w:type="dxa"/>
            <w:tcBorders>
              <w:top w:val="nil"/>
              <w:left w:val="nil"/>
              <w:bottom w:val="nil"/>
              <w:right w:val="nil"/>
            </w:tcBorders>
          </w:tcPr>
          <w:p w14:paraId="4814D527"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9.482***</w:t>
            </w:r>
          </w:p>
        </w:tc>
        <w:tc>
          <w:tcPr>
            <w:tcW w:w="1473" w:type="dxa"/>
            <w:tcBorders>
              <w:top w:val="nil"/>
              <w:left w:val="nil"/>
              <w:bottom w:val="nil"/>
              <w:right w:val="nil"/>
            </w:tcBorders>
          </w:tcPr>
          <w:p w14:paraId="62420D29"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13.64***</w:t>
            </w:r>
          </w:p>
        </w:tc>
      </w:tr>
      <w:tr w:rsidR="00CF48D9" w:rsidRPr="00CF48D9" w14:paraId="50DA8982" w14:textId="77777777" w:rsidTr="008E0221">
        <w:tblPrEx>
          <w:tblCellMar>
            <w:top w:w="0" w:type="dxa"/>
            <w:bottom w:w="0" w:type="dxa"/>
          </w:tblCellMar>
        </w:tblPrEx>
        <w:trPr>
          <w:trHeight w:val="263"/>
        </w:trPr>
        <w:tc>
          <w:tcPr>
            <w:tcW w:w="1702" w:type="dxa"/>
            <w:tcBorders>
              <w:top w:val="nil"/>
              <w:left w:val="nil"/>
              <w:bottom w:val="nil"/>
              <w:right w:val="nil"/>
            </w:tcBorders>
          </w:tcPr>
          <w:p w14:paraId="62C7AFF8"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Constant</w:t>
            </w:r>
          </w:p>
        </w:tc>
        <w:tc>
          <w:tcPr>
            <w:tcW w:w="1087" w:type="dxa"/>
            <w:tcBorders>
              <w:top w:val="nil"/>
              <w:left w:val="nil"/>
              <w:bottom w:val="nil"/>
              <w:right w:val="nil"/>
            </w:tcBorders>
          </w:tcPr>
          <w:p w14:paraId="21B6BAD3"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-0.00141</w:t>
            </w:r>
          </w:p>
        </w:tc>
        <w:tc>
          <w:tcPr>
            <w:tcW w:w="1473" w:type="dxa"/>
            <w:tcBorders>
              <w:top w:val="nil"/>
              <w:left w:val="nil"/>
              <w:bottom w:val="nil"/>
              <w:right w:val="nil"/>
            </w:tcBorders>
          </w:tcPr>
          <w:p w14:paraId="7A2A028C"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-0.00468</w:t>
            </w:r>
          </w:p>
        </w:tc>
        <w:tc>
          <w:tcPr>
            <w:tcW w:w="1339" w:type="dxa"/>
            <w:tcBorders>
              <w:top w:val="nil"/>
              <w:left w:val="nil"/>
              <w:bottom w:val="nil"/>
              <w:right w:val="nil"/>
            </w:tcBorders>
          </w:tcPr>
          <w:p w14:paraId="38B0A328"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-0.00344</w:t>
            </w:r>
          </w:p>
        </w:tc>
        <w:tc>
          <w:tcPr>
            <w:tcW w:w="1473" w:type="dxa"/>
            <w:tcBorders>
              <w:top w:val="nil"/>
              <w:left w:val="nil"/>
              <w:bottom w:val="nil"/>
              <w:right w:val="nil"/>
            </w:tcBorders>
          </w:tcPr>
          <w:p w14:paraId="6B6FF764"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0.0134</w:t>
            </w:r>
          </w:p>
        </w:tc>
        <w:tc>
          <w:tcPr>
            <w:tcW w:w="1339" w:type="dxa"/>
            <w:tcBorders>
              <w:top w:val="nil"/>
              <w:left w:val="nil"/>
              <w:bottom w:val="nil"/>
              <w:right w:val="nil"/>
            </w:tcBorders>
          </w:tcPr>
          <w:p w14:paraId="4172AA91"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0.00468</w:t>
            </w:r>
          </w:p>
        </w:tc>
        <w:tc>
          <w:tcPr>
            <w:tcW w:w="1473" w:type="dxa"/>
            <w:tcBorders>
              <w:top w:val="nil"/>
              <w:left w:val="nil"/>
              <w:bottom w:val="nil"/>
              <w:right w:val="nil"/>
            </w:tcBorders>
          </w:tcPr>
          <w:p w14:paraId="67066499"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-0.0151</w:t>
            </w:r>
          </w:p>
        </w:tc>
        <w:tc>
          <w:tcPr>
            <w:tcW w:w="1339" w:type="dxa"/>
            <w:tcBorders>
              <w:top w:val="nil"/>
              <w:left w:val="nil"/>
              <w:bottom w:val="nil"/>
              <w:right w:val="nil"/>
            </w:tcBorders>
          </w:tcPr>
          <w:p w14:paraId="7B4E3F4F"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-0.00288</w:t>
            </w:r>
          </w:p>
        </w:tc>
        <w:tc>
          <w:tcPr>
            <w:tcW w:w="1339" w:type="dxa"/>
            <w:tcBorders>
              <w:top w:val="nil"/>
              <w:left w:val="nil"/>
              <w:bottom w:val="nil"/>
              <w:right w:val="nil"/>
            </w:tcBorders>
          </w:tcPr>
          <w:p w14:paraId="03DFB1F7"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-0.0266</w:t>
            </w:r>
          </w:p>
        </w:tc>
        <w:tc>
          <w:tcPr>
            <w:tcW w:w="1339" w:type="dxa"/>
            <w:tcBorders>
              <w:top w:val="nil"/>
              <w:left w:val="nil"/>
              <w:bottom w:val="nil"/>
              <w:right w:val="nil"/>
            </w:tcBorders>
          </w:tcPr>
          <w:p w14:paraId="37BAF260"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-0.0734</w:t>
            </w:r>
          </w:p>
        </w:tc>
        <w:tc>
          <w:tcPr>
            <w:tcW w:w="1473" w:type="dxa"/>
            <w:tcBorders>
              <w:top w:val="nil"/>
              <w:left w:val="nil"/>
              <w:bottom w:val="nil"/>
              <w:right w:val="nil"/>
            </w:tcBorders>
          </w:tcPr>
          <w:p w14:paraId="19F115B5"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-0.0748</w:t>
            </w:r>
          </w:p>
        </w:tc>
      </w:tr>
      <w:tr w:rsidR="00CF48D9" w:rsidRPr="00CF48D9" w14:paraId="4E4BD725" w14:textId="77777777" w:rsidTr="008E0221">
        <w:tblPrEx>
          <w:tblCellMar>
            <w:top w:w="0" w:type="dxa"/>
            <w:bottom w:w="0" w:type="dxa"/>
          </w:tblCellMar>
        </w:tblPrEx>
        <w:trPr>
          <w:gridAfter w:val="10"/>
          <w:wAfter w:w="13674" w:type="dxa"/>
          <w:trHeight w:val="263"/>
        </w:trPr>
        <w:tc>
          <w:tcPr>
            <w:tcW w:w="1702" w:type="dxa"/>
            <w:tcBorders>
              <w:top w:val="nil"/>
              <w:left w:val="nil"/>
              <w:bottom w:val="nil"/>
              <w:right w:val="nil"/>
            </w:tcBorders>
          </w:tcPr>
          <w:p w14:paraId="6ADA2860"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
        </w:tc>
      </w:tr>
      <w:tr w:rsidR="00CF48D9" w:rsidRPr="00CF48D9" w14:paraId="2B4BBC1C" w14:textId="77777777" w:rsidTr="008E0221">
        <w:tblPrEx>
          <w:tblBorders>
            <w:bottom w:val="single" w:sz="6" w:space="0" w:color="auto"/>
          </w:tblBorders>
          <w:tblCellMar>
            <w:top w:w="0" w:type="dxa"/>
            <w:bottom w:w="0" w:type="dxa"/>
          </w:tblCellMar>
        </w:tblPrEx>
        <w:trPr>
          <w:trHeight w:val="263"/>
        </w:trPr>
        <w:tc>
          <w:tcPr>
            <w:tcW w:w="1702" w:type="dxa"/>
            <w:tcBorders>
              <w:top w:val="nil"/>
              <w:left w:val="nil"/>
              <w:bottom w:val="single" w:sz="6" w:space="0" w:color="auto"/>
              <w:right w:val="nil"/>
            </w:tcBorders>
          </w:tcPr>
          <w:p w14:paraId="4E89926A"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R-squared</w:t>
            </w:r>
          </w:p>
        </w:tc>
        <w:tc>
          <w:tcPr>
            <w:tcW w:w="1087" w:type="dxa"/>
            <w:tcBorders>
              <w:top w:val="nil"/>
              <w:left w:val="nil"/>
              <w:bottom w:val="single" w:sz="6" w:space="0" w:color="auto"/>
              <w:right w:val="nil"/>
            </w:tcBorders>
          </w:tcPr>
          <w:p w14:paraId="0EC2BC89"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0.052</w:t>
            </w:r>
          </w:p>
        </w:tc>
        <w:tc>
          <w:tcPr>
            <w:tcW w:w="1473" w:type="dxa"/>
            <w:tcBorders>
              <w:top w:val="nil"/>
              <w:left w:val="nil"/>
              <w:bottom w:val="single" w:sz="6" w:space="0" w:color="auto"/>
              <w:right w:val="nil"/>
            </w:tcBorders>
          </w:tcPr>
          <w:p w14:paraId="5FC786F2"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0.081</w:t>
            </w:r>
          </w:p>
        </w:tc>
        <w:tc>
          <w:tcPr>
            <w:tcW w:w="1339" w:type="dxa"/>
            <w:tcBorders>
              <w:top w:val="nil"/>
              <w:left w:val="nil"/>
              <w:bottom w:val="single" w:sz="6" w:space="0" w:color="auto"/>
              <w:right w:val="nil"/>
            </w:tcBorders>
          </w:tcPr>
          <w:p w14:paraId="0490CE14"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0.149</w:t>
            </w:r>
          </w:p>
        </w:tc>
        <w:tc>
          <w:tcPr>
            <w:tcW w:w="1473" w:type="dxa"/>
            <w:tcBorders>
              <w:top w:val="nil"/>
              <w:left w:val="nil"/>
              <w:bottom w:val="single" w:sz="6" w:space="0" w:color="auto"/>
              <w:right w:val="nil"/>
            </w:tcBorders>
          </w:tcPr>
          <w:p w14:paraId="423E98C7"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0.056</w:t>
            </w:r>
          </w:p>
        </w:tc>
        <w:tc>
          <w:tcPr>
            <w:tcW w:w="1339" w:type="dxa"/>
            <w:tcBorders>
              <w:top w:val="nil"/>
              <w:left w:val="nil"/>
              <w:bottom w:val="single" w:sz="6" w:space="0" w:color="auto"/>
              <w:right w:val="nil"/>
            </w:tcBorders>
          </w:tcPr>
          <w:p w14:paraId="7677D704"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0.101</w:t>
            </w:r>
          </w:p>
        </w:tc>
        <w:tc>
          <w:tcPr>
            <w:tcW w:w="1473" w:type="dxa"/>
            <w:tcBorders>
              <w:top w:val="nil"/>
              <w:left w:val="nil"/>
              <w:bottom w:val="single" w:sz="6" w:space="0" w:color="auto"/>
              <w:right w:val="nil"/>
            </w:tcBorders>
          </w:tcPr>
          <w:p w14:paraId="6E80B4A7"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0.124</w:t>
            </w:r>
          </w:p>
        </w:tc>
        <w:tc>
          <w:tcPr>
            <w:tcW w:w="1339" w:type="dxa"/>
            <w:tcBorders>
              <w:top w:val="nil"/>
              <w:left w:val="nil"/>
              <w:bottom w:val="single" w:sz="6" w:space="0" w:color="auto"/>
              <w:right w:val="nil"/>
            </w:tcBorders>
          </w:tcPr>
          <w:p w14:paraId="5A9F62C7"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0.146</w:t>
            </w:r>
          </w:p>
        </w:tc>
        <w:tc>
          <w:tcPr>
            <w:tcW w:w="1339" w:type="dxa"/>
            <w:tcBorders>
              <w:top w:val="nil"/>
              <w:left w:val="nil"/>
              <w:bottom w:val="single" w:sz="6" w:space="0" w:color="auto"/>
              <w:right w:val="nil"/>
            </w:tcBorders>
          </w:tcPr>
          <w:p w14:paraId="2F9D4CBA"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0.216</w:t>
            </w:r>
          </w:p>
        </w:tc>
        <w:tc>
          <w:tcPr>
            <w:tcW w:w="1339" w:type="dxa"/>
            <w:tcBorders>
              <w:top w:val="nil"/>
              <w:left w:val="nil"/>
              <w:bottom w:val="single" w:sz="6" w:space="0" w:color="auto"/>
              <w:right w:val="nil"/>
            </w:tcBorders>
          </w:tcPr>
          <w:p w14:paraId="40954CA5"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0.174</w:t>
            </w:r>
          </w:p>
        </w:tc>
        <w:tc>
          <w:tcPr>
            <w:tcW w:w="1473" w:type="dxa"/>
            <w:tcBorders>
              <w:top w:val="nil"/>
              <w:left w:val="nil"/>
              <w:bottom w:val="single" w:sz="6" w:space="0" w:color="auto"/>
              <w:right w:val="nil"/>
            </w:tcBorders>
          </w:tcPr>
          <w:p w14:paraId="3AAA1DF3" w14:textId="77777777" w:rsidR="00CF48D9" w:rsidRPr="00CF48D9" w:rsidRDefault="00CF48D9" w:rsidP="008E0221">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0.224</w:t>
            </w:r>
          </w:p>
        </w:tc>
      </w:tr>
    </w:tbl>
    <w:p w14:paraId="531FDD2E" w14:textId="0BA6645F" w:rsidR="00CF48D9" w:rsidRPr="003C2AF2" w:rsidRDefault="00CF48D9" w:rsidP="00CF48D9">
      <w:pPr>
        <w:pStyle w:val="Heading2"/>
      </w:pPr>
      <w:bookmarkStart w:id="125" w:name="_Toc122697379"/>
      <w:r>
        <w:t xml:space="preserve">Table </w:t>
      </w:r>
      <w:r w:rsidR="00D65D51">
        <w:t>9</w:t>
      </w:r>
      <w:bookmarkEnd w:id="125"/>
    </w:p>
    <w:p w14:paraId="21B9DA40" w14:textId="0C7E5E68" w:rsidR="00CF48D9" w:rsidRPr="00CF48D9" w:rsidRDefault="00CF48D9" w:rsidP="00CF48D9">
      <w:pPr>
        <w:pStyle w:val="Caption"/>
        <w:jc w:val="left"/>
        <w:rPr>
          <w:lang w:val="en-GB"/>
        </w:rPr>
      </w:pPr>
      <w:r w:rsidRPr="00BC2E42">
        <w:rPr>
          <w:lang w:val="en-GB"/>
        </w:rPr>
        <w:t xml:space="preserve">Table </w:t>
      </w:r>
      <w:r w:rsidR="00D65D51">
        <w:rPr>
          <w:lang w:val="en-GB"/>
        </w:rPr>
        <w:t>9</w:t>
      </w:r>
      <w:r>
        <w:rPr>
          <w:lang w:val="en-GB"/>
        </w:rPr>
        <w:t>.</w:t>
      </w:r>
      <w:r w:rsidRPr="00072E3C">
        <w:t xml:space="preserve"> </w:t>
      </w:r>
      <w:r w:rsidRPr="005B73CB">
        <w:rPr>
          <w:lang w:val="en-GB"/>
        </w:rPr>
        <w:t>Country-specific regression</w:t>
      </w:r>
      <w:r>
        <w:rPr>
          <w:lang w:val="en-GB"/>
        </w:rPr>
        <w:t>s</w:t>
      </w:r>
      <w:r w:rsidRPr="005B73CB">
        <w:rPr>
          <w:lang w:val="en-GB"/>
        </w:rPr>
        <w:t xml:space="preserve"> – Sovereign bond yiel</w:t>
      </w:r>
      <w:r>
        <w:rPr>
          <w:lang w:val="en-GB"/>
        </w:rPr>
        <w:t>d</w:t>
      </w:r>
    </w:p>
    <w:p w14:paraId="71F68F28" w14:textId="77777777" w:rsidR="00CF48D9" w:rsidRPr="00CF48D9" w:rsidRDefault="00CF48D9" w:rsidP="00CF48D9">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p>
    <w:p w14:paraId="52120D1D" w14:textId="77777777" w:rsidR="00CF48D9" w:rsidRPr="00CF48D9" w:rsidRDefault="00CF48D9" w:rsidP="00CF48D9">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val="en-NL" w:eastAsia="en-NL"/>
        </w:rPr>
      </w:pPr>
      <w:r w:rsidRPr="00CF48D9">
        <w:rPr>
          <w:rFonts w:ascii="Calibri" w:eastAsia="Times New Roman" w:hAnsi="Calibri" w:cs="Calibri"/>
          <w:sz w:val="20"/>
          <w:szCs w:val="20"/>
          <w:lang w:val="en-NL" w:eastAsia="en-NL"/>
        </w:rPr>
        <w:t>Standard errors in parentheses</w:t>
      </w:r>
    </w:p>
    <w:p w14:paraId="198DED7A" w14:textId="77777777" w:rsidR="00CF48D9" w:rsidRPr="00CF48D9" w:rsidRDefault="00CF48D9" w:rsidP="00CF48D9">
      <w:pPr>
        <w:widowControl w:val="0"/>
        <w:suppressAutoHyphens w:val="0"/>
        <w:autoSpaceDE w:val="0"/>
        <w:autoSpaceDN w:val="0"/>
        <w:adjustRightInd w:val="0"/>
        <w:spacing w:line="240" w:lineRule="auto"/>
        <w:ind w:firstLine="0"/>
        <w:jc w:val="left"/>
        <w:rPr>
          <w:rFonts w:ascii="Calibri" w:eastAsia="Times New Roman" w:hAnsi="Calibri" w:cs="Calibri"/>
          <w:sz w:val="20"/>
          <w:szCs w:val="20"/>
          <w:lang w:eastAsia="en-NL"/>
        </w:rPr>
      </w:pPr>
      <w:r w:rsidRPr="00CF48D9">
        <w:rPr>
          <w:rFonts w:ascii="Calibri" w:eastAsia="Times New Roman" w:hAnsi="Calibri" w:cs="Calibri"/>
          <w:sz w:val="20"/>
          <w:szCs w:val="20"/>
          <w:lang w:val="en-NL" w:eastAsia="en-NL"/>
        </w:rPr>
        <w:t xml:space="preserve">*** p&lt;0.01, ** p&lt;0.05, </w:t>
      </w:r>
      <w:r w:rsidRPr="00CF48D9">
        <w:rPr>
          <w:rFonts w:ascii="Calibri" w:eastAsia="Times New Roman" w:hAnsi="Calibri" w:cs="Calibri"/>
          <w:sz w:val="20"/>
          <w:szCs w:val="20"/>
          <w:lang w:eastAsia="en-NL"/>
        </w:rPr>
        <w:t>Observations: 696</w:t>
      </w:r>
    </w:p>
    <w:p w14:paraId="74DC0FEC" w14:textId="77777777" w:rsidR="00CF48D9" w:rsidRDefault="00CF48D9" w:rsidP="00CF48D9">
      <w:pPr>
        <w:spacing w:line="240" w:lineRule="auto"/>
        <w:ind w:firstLine="0"/>
        <w:jc w:val="left"/>
      </w:pPr>
    </w:p>
    <w:p w14:paraId="395BD030" w14:textId="77777777" w:rsidR="00CF48D9" w:rsidRDefault="00CF48D9" w:rsidP="00CF48D9">
      <w:pPr>
        <w:spacing w:line="240" w:lineRule="auto"/>
        <w:ind w:firstLine="0"/>
        <w:jc w:val="left"/>
      </w:pPr>
      <w:r>
        <w:br w:type="page"/>
      </w:r>
    </w:p>
    <w:p w14:paraId="502C0FAB" w14:textId="77777777" w:rsidR="004724D3" w:rsidRDefault="004724D3" w:rsidP="007164C4">
      <w:pPr>
        <w:widowControl w:val="0"/>
        <w:autoSpaceDE w:val="0"/>
        <w:autoSpaceDN w:val="0"/>
        <w:adjustRightInd w:val="0"/>
        <w:spacing w:line="240" w:lineRule="auto"/>
        <w:rPr>
          <w:rFonts w:asciiTheme="majorHAnsi" w:hAnsiTheme="majorHAnsi" w:cstheme="majorHAnsi"/>
          <w:sz w:val="16"/>
          <w:szCs w:val="16"/>
        </w:rPr>
        <w:sectPr w:rsidR="004724D3" w:rsidSect="000C091F">
          <w:pgSz w:w="15840" w:h="12240" w:orient="landscape"/>
          <w:pgMar w:top="1418" w:right="1418" w:bottom="1418" w:left="1418" w:header="720" w:footer="720" w:gutter="0"/>
          <w:cols w:space="708"/>
          <w:formProt w:val="0"/>
          <w:titlePg/>
          <w:docGrid w:linePitch="326"/>
        </w:sectPr>
      </w:pPr>
    </w:p>
    <w:p w14:paraId="5A795911" w14:textId="74C4B46A" w:rsidR="00FE5DEA" w:rsidRPr="003C2AF2" w:rsidRDefault="00FE5DEA" w:rsidP="00CF48D9">
      <w:pPr>
        <w:pStyle w:val="Heading2"/>
      </w:pPr>
      <w:bookmarkStart w:id="126" w:name="_Toc122697380"/>
      <w:r>
        <w:lastRenderedPageBreak/>
        <w:t xml:space="preserve">Table </w:t>
      </w:r>
      <w:r w:rsidR="00D65D51">
        <w:t>10</w:t>
      </w:r>
      <w:bookmarkEnd w:id="126"/>
    </w:p>
    <w:p w14:paraId="1EEA46A6" w14:textId="6F7DC339" w:rsidR="005312DE" w:rsidRDefault="005312DE" w:rsidP="005312DE">
      <w:pPr>
        <w:pStyle w:val="Caption"/>
        <w:jc w:val="left"/>
      </w:pPr>
      <w:r w:rsidRPr="00BC2E42">
        <w:rPr>
          <w:lang w:val="en-GB"/>
        </w:rPr>
        <w:t xml:space="preserve">Table </w:t>
      </w:r>
      <w:r w:rsidR="00D65D51">
        <w:rPr>
          <w:lang w:val="en-GB"/>
        </w:rPr>
        <w:t>10</w:t>
      </w:r>
      <w:r>
        <w:rPr>
          <w:lang w:val="en-GB"/>
        </w:rPr>
        <w:t>.</w:t>
      </w:r>
      <w:r w:rsidRPr="00072E3C">
        <w:t xml:space="preserve"> </w:t>
      </w:r>
      <w:r w:rsidRPr="0057041A">
        <w:t xml:space="preserve">Descriptive </w:t>
      </w:r>
      <w:proofErr w:type="gramStart"/>
      <w:r w:rsidRPr="0057041A">
        <w:t xml:space="preserve">statistics </w:t>
      </w:r>
      <w:r>
        <w:t xml:space="preserve"> -</w:t>
      </w:r>
      <w:proofErr w:type="gramEnd"/>
      <w:r>
        <w:t xml:space="preserve"> Sovereign Bond Yields</w:t>
      </w:r>
    </w:p>
    <w:p w14:paraId="4BABF531" w14:textId="77777777" w:rsidR="005312DE" w:rsidRDefault="005312DE" w:rsidP="00FE5DEA">
      <w:pPr>
        <w:spacing w:line="240" w:lineRule="auto"/>
        <w:ind w:firstLine="0"/>
        <w:jc w:val="left"/>
        <w:rPr>
          <w:b/>
          <w:bCs/>
        </w:rPr>
      </w:pPr>
    </w:p>
    <w:tbl>
      <w:tblPr>
        <w:tblW w:w="0" w:type="auto"/>
        <w:tblLayout w:type="fixed"/>
        <w:tblLook w:val="0000" w:firstRow="0" w:lastRow="0" w:firstColumn="0" w:lastColumn="0" w:noHBand="0" w:noVBand="0"/>
      </w:tblPr>
      <w:tblGrid>
        <w:gridCol w:w="1985"/>
        <w:gridCol w:w="1323"/>
        <w:gridCol w:w="1400"/>
        <w:gridCol w:w="1400"/>
        <w:gridCol w:w="1400"/>
        <w:gridCol w:w="1400"/>
      </w:tblGrid>
      <w:tr w:rsidR="00FE5DEA" w:rsidRPr="000E2024" w14:paraId="789A5AC3" w14:textId="77777777" w:rsidTr="00894E3A">
        <w:tc>
          <w:tcPr>
            <w:tcW w:w="1985" w:type="dxa"/>
            <w:tcBorders>
              <w:top w:val="single" w:sz="4" w:space="0" w:color="auto"/>
              <w:left w:val="nil"/>
              <w:bottom w:val="single" w:sz="10" w:space="0" w:color="auto"/>
              <w:right w:val="nil"/>
            </w:tcBorders>
          </w:tcPr>
          <w:p w14:paraId="7C5AD610" w14:textId="77777777" w:rsidR="00FE5DEA" w:rsidRPr="00CA3C75" w:rsidRDefault="00FE5DEA" w:rsidP="00894E3A">
            <w:pPr>
              <w:widowControl w:val="0"/>
              <w:autoSpaceDE w:val="0"/>
              <w:autoSpaceDN w:val="0"/>
              <w:adjustRightInd w:val="0"/>
              <w:spacing w:line="240" w:lineRule="auto"/>
              <w:rPr>
                <w:rFonts w:cstheme="minorHAnsi"/>
                <w:b/>
                <w:bCs/>
                <w:sz w:val="20"/>
                <w:szCs w:val="20"/>
              </w:rPr>
            </w:pPr>
            <w:r w:rsidRPr="00CA3C75">
              <w:rPr>
                <w:rFonts w:cstheme="minorHAnsi"/>
                <w:b/>
                <w:bCs/>
                <w:sz w:val="20"/>
                <w:szCs w:val="20"/>
              </w:rPr>
              <w:t>Variable</w:t>
            </w:r>
          </w:p>
        </w:tc>
        <w:tc>
          <w:tcPr>
            <w:tcW w:w="1323" w:type="dxa"/>
            <w:tcBorders>
              <w:top w:val="single" w:sz="4" w:space="0" w:color="auto"/>
              <w:left w:val="nil"/>
              <w:bottom w:val="single" w:sz="10" w:space="0" w:color="auto"/>
              <w:right w:val="nil"/>
            </w:tcBorders>
          </w:tcPr>
          <w:p w14:paraId="43D30B70" w14:textId="77777777" w:rsidR="00FE5DEA" w:rsidRPr="00CA3C75" w:rsidRDefault="00FE5DEA" w:rsidP="00894E3A">
            <w:pPr>
              <w:widowControl w:val="0"/>
              <w:autoSpaceDE w:val="0"/>
              <w:autoSpaceDN w:val="0"/>
              <w:adjustRightInd w:val="0"/>
              <w:spacing w:line="240" w:lineRule="auto"/>
              <w:jc w:val="right"/>
              <w:rPr>
                <w:rFonts w:cstheme="minorHAnsi"/>
                <w:b/>
                <w:bCs/>
                <w:sz w:val="20"/>
                <w:szCs w:val="20"/>
              </w:rPr>
            </w:pPr>
            <w:r w:rsidRPr="00CA3C75">
              <w:rPr>
                <w:rFonts w:cstheme="minorHAnsi"/>
                <w:b/>
                <w:bCs/>
                <w:sz w:val="20"/>
                <w:szCs w:val="20"/>
              </w:rPr>
              <w:t xml:space="preserve"> </w:t>
            </w:r>
            <w:proofErr w:type="spellStart"/>
            <w:r w:rsidRPr="00CA3C75">
              <w:rPr>
                <w:rFonts w:cstheme="minorHAnsi"/>
                <w:b/>
                <w:bCs/>
                <w:sz w:val="20"/>
                <w:szCs w:val="20"/>
              </w:rPr>
              <w:t>Obs</w:t>
            </w:r>
            <w:proofErr w:type="spellEnd"/>
          </w:p>
        </w:tc>
        <w:tc>
          <w:tcPr>
            <w:tcW w:w="1400" w:type="dxa"/>
            <w:tcBorders>
              <w:top w:val="single" w:sz="4" w:space="0" w:color="auto"/>
              <w:left w:val="nil"/>
              <w:bottom w:val="single" w:sz="10" w:space="0" w:color="auto"/>
              <w:right w:val="nil"/>
            </w:tcBorders>
          </w:tcPr>
          <w:p w14:paraId="126AA99F" w14:textId="77777777" w:rsidR="00FE5DEA" w:rsidRPr="00CA3C75" w:rsidRDefault="00FE5DEA" w:rsidP="00894E3A">
            <w:pPr>
              <w:widowControl w:val="0"/>
              <w:autoSpaceDE w:val="0"/>
              <w:autoSpaceDN w:val="0"/>
              <w:adjustRightInd w:val="0"/>
              <w:spacing w:line="240" w:lineRule="auto"/>
              <w:jc w:val="right"/>
              <w:rPr>
                <w:rFonts w:cstheme="minorHAnsi"/>
                <w:b/>
                <w:bCs/>
                <w:sz w:val="20"/>
                <w:szCs w:val="20"/>
              </w:rPr>
            </w:pPr>
            <w:r w:rsidRPr="00CA3C75">
              <w:rPr>
                <w:rFonts w:cstheme="minorHAnsi"/>
                <w:b/>
                <w:bCs/>
                <w:sz w:val="20"/>
                <w:szCs w:val="20"/>
              </w:rPr>
              <w:t xml:space="preserve"> Mean</w:t>
            </w:r>
          </w:p>
        </w:tc>
        <w:tc>
          <w:tcPr>
            <w:tcW w:w="1400" w:type="dxa"/>
            <w:tcBorders>
              <w:top w:val="single" w:sz="4" w:space="0" w:color="auto"/>
              <w:left w:val="nil"/>
              <w:bottom w:val="single" w:sz="10" w:space="0" w:color="auto"/>
              <w:right w:val="nil"/>
            </w:tcBorders>
          </w:tcPr>
          <w:p w14:paraId="20F9FBC0" w14:textId="77777777" w:rsidR="00FE5DEA" w:rsidRPr="00CA3C75" w:rsidRDefault="00FE5DEA" w:rsidP="00894E3A">
            <w:pPr>
              <w:widowControl w:val="0"/>
              <w:autoSpaceDE w:val="0"/>
              <w:autoSpaceDN w:val="0"/>
              <w:adjustRightInd w:val="0"/>
              <w:spacing w:line="240" w:lineRule="auto"/>
              <w:jc w:val="right"/>
              <w:rPr>
                <w:rFonts w:cstheme="minorHAnsi"/>
                <w:b/>
                <w:bCs/>
                <w:sz w:val="20"/>
                <w:szCs w:val="20"/>
              </w:rPr>
            </w:pPr>
            <w:r w:rsidRPr="00CA3C75">
              <w:rPr>
                <w:rFonts w:cstheme="minorHAnsi"/>
                <w:b/>
                <w:bCs/>
                <w:sz w:val="20"/>
                <w:szCs w:val="20"/>
              </w:rPr>
              <w:t xml:space="preserve"> Std. Dev.</w:t>
            </w:r>
          </w:p>
        </w:tc>
        <w:tc>
          <w:tcPr>
            <w:tcW w:w="1400" w:type="dxa"/>
            <w:tcBorders>
              <w:top w:val="single" w:sz="4" w:space="0" w:color="auto"/>
              <w:left w:val="nil"/>
              <w:bottom w:val="single" w:sz="10" w:space="0" w:color="auto"/>
              <w:right w:val="nil"/>
            </w:tcBorders>
          </w:tcPr>
          <w:p w14:paraId="313BB710" w14:textId="77777777" w:rsidR="00FE5DEA" w:rsidRPr="00CA3C75" w:rsidRDefault="00FE5DEA" w:rsidP="00894E3A">
            <w:pPr>
              <w:widowControl w:val="0"/>
              <w:autoSpaceDE w:val="0"/>
              <w:autoSpaceDN w:val="0"/>
              <w:adjustRightInd w:val="0"/>
              <w:spacing w:line="240" w:lineRule="auto"/>
              <w:jc w:val="right"/>
              <w:rPr>
                <w:rFonts w:cstheme="minorHAnsi"/>
                <w:b/>
                <w:bCs/>
                <w:sz w:val="20"/>
                <w:szCs w:val="20"/>
              </w:rPr>
            </w:pPr>
            <w:r w:rsidRPr="00CA3C75">
              <w:rPr>
                <w:rFonts w:cstheme="minorHAnsi"/>
                <w:b/>
                <w:bCs/>
                <w:sz w:val="20"/>
                <w:szCs w:val="20"/>
              </w:rPr>
              <w:t xml:space="preserve"> Min</w:t>
            </w:r>
          </w:p>
        </w:tc>
        <w:tc>
          <w:tcPr>
            <w:tcW w:w="1400" w:type="dxa"/>
            <w:tcBorders>
              <w:top w:val="single" w:sz="4" w:space="0" w:color="auto"/>
              <w:left w:val="nil"/>
              <w:bottom w:val="single" w:sz="10" w:space="0" w:color="auto"/>
              <w:right w:val="nil"/>
            </w:tcBorders>
          </w:tcPr>
          <w:p w14:paraId="5AEAB122" w14:textId="77777777" w:rsidR="00FE5DEA" w:rsidRPr="00CA3C75" w:rsidRDefault="00FE5DEA" w:rsidP="00894E3A">
            <w:pPr>
              <w:widowControl w:val="0"/>
              <w:autoSpaceDE w:val="0"/>
              <w:autoSpaceDN w:val="0"/>
              <w:adjustRightInd w:val="0"/>
              <w:spacing w:line="240" w:lineRule="auto"/>
              <w:jc w:val="right"/>
              <w:rPr>
                <w:rFonts w:cstheme="minorHAnsi"/>
                <w:b/>
                <w:bCs/>
                <w:sz w:val="20"/>
                <w:szCs w:val="20"/>
              </w:rPr>
            </w:pPr>
            <w:r w:rsidRPr="00CA3C75">
              <w:rPr>
                <w:rFonts w:cstheme="minorHAnsi"/>
                <w:b/>
                <w:bCs/>
                <w:sz w:val="20"/>
                <w:szCs w:val="20"/>
              </w:rPr>
              <w:t xml:space="preserve"> Max</w:t>
            </w:r>
          </w:p>
        </w:tc>
      </w:tr>
      <w:tr w:rsidR="00FE5DEA" w:rsidRPr="000E2024" w14:paraId="40EC94F1" w14:textId="77777777" w:rsidTr="00894E3A">
        <w:tc>
          <w:tcPr>
            <w:tcW w:w="1985" w:type="dxa"/>
            <w:tcBorders>
              <w:top w:val="nil"/>
              <w:left w:val="nil"/>
              <w:bottom w:val="nil"/>
              <w:right w:val="nil"/>
            </w:tcBorders>
          </w:tcPr>
          <w:p w14:paraId="5498DCE1" w14:textId="77777777" w:rsidR="00FE5DEA" w:rsidRPr="000E2024" w:rsidRDefault="00FE5DEA" w:rsidP="00894E3A">
            <w:pPr>
              <w:widowControl w:val="0"/>
              <w:autoSpaceDE w:val="0"/>
              <w:autoSpaceDN w:val="0"/>
              <w:adjustRightInd w:val="0"/>
              <w:spacing w:line="240" w:lineRule="auto"/>
              <w:rPr>
                <w:rFonts w:cstheme="minorHAnsi"/>
                <w:sz w:val="20"/>
                <w:szCs w:val="20"/>
              </w:rPr>
            </w:pPr>
            <w:r w:rsidRPr="000E2024">
              <w:rPr>
                <w:rFonts w:cstheme="minorHAnsi"/>
                <w:sz w:val="20"/>
                <w:szCs w:val="20"/>
              </w:rPr>
              <w:t xml:space="preserve"> yield </w:t>
            </w:r>
            <w:proofErr w:type="spellStart"/>
            <w:r w:rsidRPr="000E2024">
              <w:rPr>
                <w:rFonts w:cstheme="minorHAnsi"/>
                <w:sz w:val="20"/>
                <w:szCs w:val="20"/>
              </w:rPr>
              <w:t>fd</w:t>
            </w:r>
            <w:proofErr w:type="spellEnd"/>
            <w:r w:rsidRPr="000E2024">
              <w:rPr>
                <w:rFonts w:cstheme="minorHAnsi"/>
                <w:sz w:val="20"/>
                <w:szCs w:val="20"/>
              </w:rPr>
              <w:t xml:space="preserve"> </w:t>
            </w:r>
          </w:p>
        </w:tc>
        <w:tc>
          <w:tcPr>
            <w:tcW w:w="1323" w:type="dxa"/>
            <w:tcBorders>
              <w:top w:val="nil"/>
              <w:left w:val="nil"/>
              <w:bottom w:val="nil"/>
              <w:right w:val="nil"/>
            </w:tcBorders>
          </w:tcPr>
          <w:p w14:paraId="075E8F44"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6970</w:t>
            </w:r>
          </w:p>
        </w:tc>
        <w:tc>
          <w:tcPr>
            <w:tcW w:w="1400" w:type="dxa"/>
            <w:tcBorders>
              <w:top w:val="nil"/>
              <w:left w:val="nil"/>
              <w:bottom w:val="nil"/>
              <w:right w:val="nil"/>
            </w:tcBorders>
          </w:tcPr>
          <w:p w14:paraId="51AAC9EA"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.004</w:t>
            </w:r>
          </w:p>
        </w:tc>
        <w:tc>
          <w:tcPr>
            <w:tcW w:w="1400" w:type="dxa"/>
            <w:tcBorders>
              <w:top w:val="nil"/>
              <w:left w:val="nil"/>
              <w:bottom w:val="nil"/>
              <w:right w:val="nil"/>
            </w:tcBorders>
          </w:tcPr>
          <w:p w14:paraId="20110847"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.057</w:t>
            </w:r>
          </w:p>
        </w:tc>
        <w:tc>
          <w:tcPr>
            <w:tcW w:w="1400" w:type="dxa"/>
            <w:tcBorders>
              <w:top w:val="nil"/>
              <w:left w:val="nil"/>
              <w:bottom w:val="nil"/>
              <w:right w:val="nil"/>
            </w:tcBorders>
          </w:tcPr>
          <w:p w14:paraId="48773F58"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-.567</w:t>
            </w:r>
          </w:p>
        </w:tc>
        <w:tc>
          <w:tcPr>
            <w:tcW w:w="1400" w:type="dxa"/>
            <w:tcBorders>
              <w:top w:val="nil"/>
              <w:left w:val="nil"/>
              <w:bottom w:val="nil"/>
              <w:right w:val="nil"/>
            </w:tcBorders>
          </w:tcPr>
          <w:p w14:paraId="21C5EB9C"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.63</w:t>
            </w:r>
          </w:p>
        </w:tc>
      </w:tr>
      <w:tr w:rsidR="00FE5DEA" w:rsidRPr="000E2024" w14:paraId="0A7EDDB8" w14:textId="77777777" w:rsidTr="00894E3A">
        <w:tc>
          <w:tcPr>
            <w:tcW w:w="1985" w:type="dxa"/>
            <w:tcBorders>
              <w:top w:val="nil"/>
              <w:left w:val="nil"/>
              <w:bottom w:val="nil"/>
              <w:right w:val="nil"/>
            </w:tcBorders>
          </w:tcPr>
          <w:p w14:paraId="4F1AB026" w14:textId="77777777" w:rsidR="00FE5DEA" w:rsidRPr="000E2024" w:rsidRDefault="00FE5DEA" w:rsidP="00894E3A">
            <w:pPr>
              <w:widowControl w:val="0"/>
              <w:autoSpaceDE w:val="0"/>
              <w:autoSpaceDN w:val="0"/>
              <w:adjustRightInd w:val="0"/>
              <w:spacing w:line="240" w:lineRule="auto"/>
              <w:rPr>
                <w:rFonts w:cstheme="minorHAnsi"/>
                <w:sz w:val="20"/>
                <w:szCs w:val="20"/>
              </w:rPr>
            </w:pPr>
            <w:r w:rsidRPr="000E2024">
              <w:rPr>
                <w:rFonts w:cstheme="minorHAnsi"/>
                <w:sz w:val="20"/>
                <w:szCs w:val="20"/>
              </w:rPr>
              <w:t xml:space="preserve"> dummy special</w:t>
            </w:r>
          </w:p>
        </w:tc>
        <w:tc>
          <w:tcPr>
            <w:tcW w:w="1323" w:type="dxa"/>
            <w:tcBorders>
              <w:top w:val="nil"/>
              <w:left w:val="nil"/>
              <w:bottom w:val="nil"/>
              <w:right w:val="nil"/>
            </w:tcBorders>
          </w:tcPr>
          <w:p w14:paraId="4DE49066"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6980</w:t>
            </w:r>
          </w:p>
        </w:tc>
        <w:tc>
          <w:tcPr>
            <w:tcW w:w="1400" w:type="dxa"/>
            <w:tcBorders>
              <w:top w:val="nil"/>
              <w:left w:val="nil"/>
              <w:bottom w:val="nil"/>
              <w:right w:val="nil"/>
            </w:tcBorders>
          </w:tcPr>
          <w:p w14:paraId="548476CA"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.011</w:t>
            </w:r>
          </w:p>
        </w:tc>
        <w:tc>
          <w:tcPr>
            <w:tcW w:w="1400" w:type="dxa"/>
            <w:tcBorders>
              <w:top w:val="nil"/>
              <w:left w:val="nil"/>
              <w:bottom w:val="nil"/>
              <w:right w:val="nil"/>
            </w:tcBorders>
          </w:tcPr>
          <w:p w14:paraId="78CE0623"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.106</w:t>
            </w:r>
          </w:p>
        </w:tc>
        <w:tc>
          <w:tcPr>
            <w:tcW w:w="1400" w:type="dxa"/>
            <w:tcBorders>
              <w:top w:val="nil"/>
              <w:left w:val="nil"/>
              <w:bottom w:val="nil"/>
              <w:right w:val="nil"/>
            </w:tcBorders>
          </w:tcPr>
          <w:p w14:paraId="12CE55FE"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0</w:t>
            </w:r>
          </w:p>
        </w:tc>
        <w:tc>
          <w:tcPr>
            <w:tcW w:w="1400" w:type="dxa"/>
            <w:tcBorders>
              <w:top w:val="nil"/>
              <w:left w:val="nil"/>
              <w:bottom w:val="nil"/>
              <w:right w:val="nil"/>
            </w:tcBorders>
          </w:tcPr>
          <w:p w14:paraId="10C5ACB2"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1</w:t>
            </w:r>
          </w:p>
        </w:tc>
      </w:tr>
      <w:tr w:rsidR="00FE5DEA" w:rsidRPr="000E2024" w14:paraId="5A9087E5" w14:textId="77777777" w:rsidTr="00894E3A">
        <w:tc>
          <w:tcPr>
            <w:tcW w:w="1985" w:type="dxa"/>
            <w:tcBorders>
              <w:top w:val="nil"/>
              <w:left w:val="nil"/>
              <w:bottom w:val="nil"/>
              <w:right w:val="nil"/>
            </w:tcBorders>
          </w:tcPr>
          <w:p w14:paraId="400C8009" w14:textId="77777777" w:rsidR="00FE5DEA" w:rsidRPr="000E2024" w:rsidRDefault="00FE5DEA" w:rsidP="00894E3A">
            <w:pPr>
              <w:widowControl w:val="0"/>
              <w:autoSpaceDE w:val="0"/>
              <w:autoSpaceDN w:val="0"/>
              <w:adjustRightInd w:val="0"/>
              <w:spacing w:line="240" w:lineRule="auto"/>
              <w:rPr>
                <w:rFonts w:cstheme="minorHAnsi"/>
                <w:sz w:val="20"/>
                <w:szCs w:val="20"/>
              </w:rPr>
            </w:pPr>
            <w:r w:rsidRPr="000E2024">
              <w:rPr>
                <w:rFonts w:cstheme="minorHAnsi"/>
                <w:sz w:val="20"/>
                <w:szCs w:val="20"/>
              </w:rPr>
              <w:t xml:space="preserve"> dummy special d</w:t>
            </w:r>
          </w:p>
        </w:tc>
        <w:tc>
          <w:tcPr>
            <w:tcW w:w="1323" w:type="dxa"/>
            <w:tcBorders>
              <w:top w:val="nil"/>
              <w:left w:val="nil"/>
              <w:bottom w:val="nil"/>
              <w:right w:val="nil"/>
            </w:tcBorders>
          </w:tcPr>
          <w:p w14:paraId="3A98A8D8"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6980</w:t>
            </w:r>
          </w:p>
        </w:tc>
        <w:tc>
          <w:tcPr>
            <w:tcW w:w="1400" w:type="dxa"/>
            <w:tcBorders>
              <w:top w:val="nil"/>
              <w:left w:val="nil"/>
              <w:bottom w:val="nil"/>
              <w:right w:val="nil"/>
            </w:tcBorders>
          </w:tcPr>
          <w:p w14:paraId="0D923C91"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.011</w:t>
            </w:r>
          </w:p>
        </w:tc>
        <w:tc>
          <w:tcPr>
            <w:tcW w:w="1400" w:type="dxa"/>
            <w:tcBorders>
              <w:top w:val="nil"/>
              <w:left w:val="nil"/>
              <w:bottom w:val="nil"/>
              <w:right w:val="nil"/>
            </w:tcBorders>
          </w:tcPr>
          <w:p w14:paraId="3E2A2ED6"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.106</w:t>
            </w:r>
          </w:p>
        </w:tc>
        <w:tc>
          <w:tcPr>
            <w:tcW w:w="1400" w:type="dxa"/>
            <w:tcBorders>
              <w:top w:val="nil"/>
              <w:left w:val="nil"/>
              <w:bottom w:val="nil"/>
              <w:right w:val="nil"/>
            </w:tcBorders>
          </w:tcPr>
          <w:p w14:paraId="7353AF5D"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0</w:t>
            </w:r>
          </w:p>
        </w:tc>
        <w:tc>
          <w:tcPr>
            <w:tcW w:w="1400" w:type="dxa"/>
            <w:tcBorders>
              <w:top w:val="nil"/>
              <w:left w:val="nil"/>
              <w:bottom w:val="nil"/>
              <w:right w:val="nil"/>
            </w:tcBorders>
          </w:tcPr>
          <w:p w14:paraId="6C7B8B01"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1</w:t>
            </w:r>
          </w:p>
        </w:tc>
      </w:tr>
      <w:tr w:rsidR="00FE5DEA" w:rsidRPr="000E2024" w14:paraId="16ED6F15" w14:textId="77777777" w:rsidTr="00894E3A">
        <w:tc>
          <w:tcPr>
            <w:tcW w:w="1985" w:type="dxa"/>
            <w:tcBorders>
              <w:top w:val="nil"/>
              <w:left w:val="nil"/>
              <w:bottom w:val="nil"/>
              <w:right w:val="nil"/>
            </w:tcBorders>
          </w:tcPr>
          <w:p w14:paraId="75BA30A2" w14:textId="77777777" w:rsidR="00FE5DEA" w:rsidRPr="000E2024" w:rsidRDefault="00FE5DEA" w:rsidP="00894E3A">
            <w:pPr>
              <w:widowControl w:val="0"/>
              <w:autoSpaceDE w:val="0"/>
              <w:autoSpaceDN w:val="0"/>
              <w:adjustRightInd w:val="0"/>
              <w:spacing w:line="240" w:lineRule="auto"/>
              <w:rPr>
                <w:rFonts w:cstheme="minorHAnsi"/>
                <w:sz w:val="20"/>
                <w:szCs w:val="20"/>
              </w:rPr>
            </w:pPr>
            <w:r w:rsidRPr="000E2024">
              <w:rPr>
                <w:rFonts w:cstheme="minorHAnsi"/>
                <w:sz w:val="20"/>
                <w:szCs w:val="20"/>
              </w:rPr>
              <w:t xml:space="preserve"> dummy special d2</w:t>
            </w:r>
          </w:p>
        </w:tc>
        <w:tc>
          <w:tcPr>
            <w:tcW w:w="1323" w:type="dxa"/>
            <w:tcBorders>
              <w:top w:val="nil"/>
              <w:left w:val="nil"/>
              <w:bottom w:val="nil"/>
              <w:right w:val="nil"/>
            </w:tcBorders>
          </w:tcPr>
          <w:p w14:paraId="02E8ABE5"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6980</w:t>
            </w:r>
          </w:p>
        </w:tc>
        <w:tc>
          <w:tcPr>
            <w:tcW w:w="1400" w:type="dxa"/>
            <w:tcBorders>
              <w:top w:val="nil"/>
              <w:left w:val="nil"/>
              <w:bottom w:val="nil"/>
              <w:right w:val="nil"/>
            </w:tcBorders>
          </w:tcPr>
          <w:p w14:paraId="3317192E"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.011</w:t>
            </w:r>
          </w:p>
        </w:tc>
        <w:tc>
          <w:tcPr>
            <w:tcW w:w="1400" w:type="dxa"/>
            <w:tcBorders>
              <w:top w:val="nil"/>
              <w:left w:val="nil"/>
              <w:bottom w:val="nil"/>
              <w:right w:val="nil"/>
            </w:tcBorders>
          </w:tcPr>
          <w:p w14:paraId="182DBAE7"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.106</w:t>
            </w:r>
          </w:p>
        </w:tc>
        <w:tc>
          <w:tcPr>
            <w:tcW w:w="1400" w:type="dxa"/>
            <w:tcBorders>
              <w:top w:val="nil"/>
              <w:left w:val="nil"/>
              <w:bottom w:val="nil"/>
              <w:right w:val="nil"/>
            </w:tcBorders>
          </w:tcPr>
          <w:p w14:paraId="2D67FB72"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0</w:t>
            </w:r>
          </w:p>
        </w:tc>
        <w:tc>
          <w:tcPr>
            <w:tcW w:w="1400" w:type="dxa"/>
            <w:tcBorders>
              <w:top w:val="nil"/>
              <w:left w:val="nil"/>
              <w:bottom w:val="nil"/>
              <w:right w:val="nil"/>
            </w:tcBorders>
          </w:tcPr>
          <w:p w14:paraId="092621DA"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1</w:t>
            </w:r>
          </w:p>
        </w:tc>
      </w:tr>
      <w:tr w:rsidR="00FE5DEA" w:rsidRPr="000E2024" w14:paraId="4D919978" w14:textId="77777777" w:rsidTr="00894E3A">
        <w:tc>
          <w:tcPr>
            <w:tcW w:w="1985" w:type="dxa"/>
            <w:tcBorders>
              <w:top w:val="nil"/>
              <w:left w:val="nil"/>
              <w:bottom w:val="nil"/>
              <w:right w:val="nil"/>
            </w:tcBorders>
          </w:tcPr>
          <w:p w14:paraId="2DCB25AA" w14:textId="77777777" w:rsidR="00FE5DEA" w:rsidRPr="000E2024" w:rsidRDefault="00FE5DEA" w:rsidP="00894E3A">
            <w:pPr>
              <w:widowControl w:val="0"/>
              <w:autoSpaceDE w:val="0"/>
              <w:autoSpaceDN w:val="0"/>
              <w:adjustRightInd w:val="0"/>
              <w:spacing w:line="240" w:lineRule="auto"/>
              <w:rPr>
                <w:rFonts w:cstheme="minorHAnsi"/>
                <w:sz w:val="20"/>
                <w:szCs w:val="20"/>
              </w:rPr>
            </w:pPr>
            <w:r w:rsidRPr="000E2024">
              <w:rPr>
                <w:rFonts w:cstheme="minorHAnsi"/>
                <w:sz w:val="20"/>
                <w:szCs w:val="20"/>
              </w:rPr>
              <w:t xml:space="preserve"> lag yield </w:t>
            </w:r>
            <w:proofErr w:type="spellStart"/>
            <w:r w:rsidRPr="000E2024">
              <w:rPr>
                <w:rFonts w:cstheme="minorHAnsi"/>
                <w:sz w:val="20"/>
                <w:szCs w:val="20"/>
              </w:rPr>
              <w:t>fd</w:t>
            </w:r>
            <w:proofErr w:type="spellEnd"/>
            <w:r w:rsidRPr="000E2024">
              <w:rPr>
                <w:rFonts w:cstheme="minorHAnsi"/>
                <w:sz w:val="20"/>
                <w:szCs w:val="20"/>
              </w:rPr>
              <w:t xml:space="preserve"> </w:t>
            </w:r>
          </w:p>
        </w:tc>
        <w:tc>
          <w:tcPr>
            <w:tcW w:w="1323" w:type="dxa"/>
            <w:tcBorders>
              <w:top w:val="nil"/>
              <w:left w:val="nil"/>
              <w:bottom w:val="nil"/>
              <w:right w:val="nil"/>
            </w:tcBorders>
          </w:tcPr>
          <w:p w14:paraId="6570A49A"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6960</w:t>
            </w:r>
          </w:p>
        </w:tc>
        <w:tc>
          <w:tcPr>
            <w:tcW w:w="1400" w:type="dxa"/>
            <w:tcBorders>
              <w:top w:val="nil"/>
              <w:left w:val="nil"/>
              <w:bottom w:val="nil"/>
              <w:right w:val="nil"/>
            </w:tcBorders>
          </w:tcPr>
          <w:p w14:paraId="2D678A7A"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.004</w:t>
            </w:r>
          </w:p>
        </w:tc>
        <w:tc>
          <w:tcPr>
            <w:tcW w:w="1400" w:type="dxa"/>
            <w:tcBorders>
              <w:top w:val="nil"/>
              <w:left w:val="nil"/>
              <w:bottom w:val="nil"/>
              <w:right w:val="nil"/>
            </w:tcBorders>
          </w:tcPr>
          <w:p w14:paraId="78383EB0"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.057</w:t>
            </w:r>
          </w:p>
        </w:tc>
        <w:tc>
          <w:tcPr>
            <w:tcW w:w="1400" w:type="dxa"/>
            <w:tcBorders>
              <w:top w:val="nil"/>
              <w:left w:val="nil"/>
              <w:bottom w:val="nil"/>
              <w:right w:val="nil"/>
            </w:tcBorders>
          </w:tcPr>
          <w:p w14:paraId="20C9D402"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-.567</w:t>
            </w:r>
          </w:p>
        </w:tc>
        <w:tc>
          <w:tcPr>
            <w:tcW w:w="1400" w:type="dxa"/>
            <w:tcBorders>
              <w:top w:val="nil"/>
              <w:left w:val="nil"/>
              <w:bottom w:val="nil"/>
              <w:right w:val="nil"/>
            </w:tcBorders>
          </w:tcPr>
          <w:p w14:paraId="79D7241E"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.63</w:t>
            </w:r>
          </w:p>
        </w:tc>
      </w:tr>
      <w:tr w:rsidR="00FE5DEA" w:rsidRPr="000E2024" w14:paraId="467AAF01" w14:textId="77777777" w:rsidTr="00894E3A">
        <w:tc>
          <w:tcPr>
            <w:tcW w:w="1985" w:type="dxa"/>
            <w:tcBorders>
              <w:top w:val="nil"/>
              <w:left w:val="nil"/>
              <w:bottom w:val="nil"/>
              <w:right w:val="nil"/>
            </w:tcBorders>
          </w:tcPr>
          <w:p w14:paraId="65B9731F" w14:textId="77777777" w:rsidR="00FE5DEA" w:rsidRPr="000E2024" w:rsidRDefault="00FE5DEA" w:rsidP="00894E3A">
            <w:pPr>
              <w:widowControl w:val="0"/>
              <w:autoSpaceDE w:val="0"/>
              <w:autoSpaceDN w:val="0"/>
              <w:adjustRightInd w:val="0"/>
              <w:spacing w:line="240" w:lineRule="auto"/>
              <w:rPr>
                <w:rFonts w:cstheme="minorHAnsi"/>
                <w:sz w:val="20"/>
                <w:szCs w:val="20"/>
              </w:rPr>
            </w:pPr>
            <w:r w:rsidRPr="000E2024">
              <w:rPr>
                <w:rFonts w:cstheme="minorHAnsi"/>
                <w:sz w:val="20"/>
                <w:szCs w:val="20"/>
              </w:rPr>
              <w:t xml:space="preserve"> stock </w:t>
            </w:r>
            <w:proofErr w:type="spellStart"/>
            <w:r w:rsidRPr="000E2024">
              <w:rPr>
                <w:rFonts w:cstheme="minorHAnsi"/>
                <w:sz w:val="20"/>
                <w:szCs w:val="20"/>
              </w:rPr>
              <w:t>fd</w:t>
            </w:r>
            <w:proofErr w:type="spellEnd"/>
            <w:r w:rsidRPr="000E2024">
              <w:rPr>
                <w:rFonts w:cstheme="minorHAnsi"/>
                <w:sz w:val="20"/>
                <w:szCs w:val="20"/>
              </w:rPr>
              <w:t xml:space="preserve"> </w:t>
            </w:r>
          </w:p>
        </w:tc>
        <w:tc>
          <w:tcPr>
            <w:tcW w:w="1323" w:type="dxa"/>
            <w:tcBorders>
              <w:top w:val="nil"/>
              <w:left w:val="nil"/>
              <w:bottom w:val="nil"/>
              <w:right w:val="nil"/>
            </w:tcBorders>
          </w:tcPr>
          <w:p w14:paraId="168266FF"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6970</w:t>
            </w:r>
          </w:p>
        </w:tc>
        <w:tc>
          <w:tcPr>
            <w:tcW w:w="1400" w:type="dxa"/>
            <w:tcBorders>
              <w:top w:val="nil"/>
              <w:left w:val="nil"/>
              <w:bottom w:val="nil"/>
              <w:right w:val="nil"/>
            </w:tcBorders>
          </w:tcPr>
          <w:p w14:paraId="23B60C58"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.805</w:t>
            </w:r>
          </w:p>
        </w:tc>
        <w:tc>
          <w:tcPr>
            <w:tcW w:w="1400" w:type="dxa"/>
            <w:tcBorders>
              <w:top w:val="nil"/>
              <w:left w:val="nil"/>
              <w:bottom w:val="nil"/>
              <w:right w:val="nil"/>
            </w:tcBorders>
          </w:tcPr>
          <w:p w14:paraId="1A045F4B"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148.733</w:t>
            </w:r>
          </w:p>
        </w:tc>
        <w:tc>
          <w:tcPr>
            <w:tcW w:w="1400" w:type="dxa"/>
            <w:tcBorders>
              <w:top w:val="nil"/>
              <w:left w:val="nil"/>
              <w:bottom w:val="nil"/>
              <w:right w:val="nil"/>
            </w:tcBorders>
          </w:tcPr>
          <w:p w14:paraId="34C87320"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-3034.2</w:t>
            </w:r>
          </w:p>
        </w:tc>
        <w:tc>
          <w:tcPr>
            <w:tcW w:w="1400" w:type="dxa"/>
            <w:tcBorders>
              <w:top w:val="nil"/>
              <w:left w:val="nil"/>
              <w:bottom w:val="nil"/>
              <w:right w:val="nil"/>
            </w:tcBorders>
          </w:tcPr>
          <w:p w14:paraId="08F552EB"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1551.36</w:t>
            </w:r>
          </w:p>
        </w:tc>
      </w:tr>
      <w:tr w:rsidR="00FE5DEA" w:rsidRPr="000E2024" w14:paraId="552A2193" w14:textId="77777777" w:rsidTr="00894E3A">
        <w:tc>
          <w:tcPr>
            <w:tcW w:w="1985" w:type="dxa"/>
            <w:tcBorders>
              <w:top w:val="nil"/>
              <w:left w:val="nil"/>
              <w:bottom w:val="nil"/>
              <w:right w:val="nil"/>
            </w:tcBorders>
          </w:tcPr>
          <w:p w14:paraId="6B988497" w14:textId="77777777" w:rsidR="00FE5DEA" w:rsidRPr="000E2024" w:rsidRDefault="00FE5DEA" w:rsidP="00894E3A">
            <w:pPr>
              <w:widowControl w:val="0"/>
              <w:autoSpaceDE w:val="0"/>
              <w:autoSpaceDN w:val="0"/>
              <w:adjustRightInd w:val="0"/>
              <w:spacing w:line="240" w:lineRule="auto"/>
              <w:rPr>
                <w:rFonts w:cstheme="minorHAnsi"/>
                <w:sz w:val="20"/>
                <w:szCs w:val="20"/>
              </w:rPr>
            </w:pPr>
            <w:r w:rsidRPr="000E2024">
              <w:rPr>
                <w:rFonts w:cstheme="minorHAnsi"/>
                <w:sz w:val="20"/>
                <w:szCs w:val="20"/>
              </w:rPr>
              <w:t xml:space="preserve"> </w:t>
            </w:r>
            <w:proofErr w:type="spellStart"/>
            <w:r w:rsidRPr="000E2024">
              <w:rPr>
                <w:rFonts w:cstheme="minorHAnsi"/>
                <w:sz w:val="20"/>
                <w:szCs w:val="20"/>
              </w:rPr>
              <w:t>vstoxx</w:t>
            </w:r>
            <w:proofErr w:type="spellEnd"/>
            <w:r w:rsidRPr="000E2024">
              <w:rPr>
                <w:rFonts w:cstheme="minorHAnsi"/>
                <w:sz w:val="20"/>
                <w:szCs w:val="20"/>
              </w:rPr>
              <w:t xml:space="preserve"> </w:t>
            </w:r>
            <w:proofErr w:type="spellStart"/>
            <w:r w:rsidRPr="000E2024">
              <w:rPr>
                <w:rFonts w:cstheme="minorHAnsi"/>
                <w:sz w:val="20"/>
                <w:szCs w:val="20"/>
              </w:rPr>
              <w:t>fd</w:t>
            </w:r>
            <w:proofErr w:type="spellEnd"/>
          </w:p>
        </w:tc>
        <w:tc>
          <w:tcPr>
            <w:tcW w:w="1323" w:type="dxa"/>
            <w:tcBorders>
              <w:top w:val="nil"/>
              <w:left w:val="nil"/>
              <w:bottom w:val="nil"/>
              <w:right w:val="nil"/>
            </w:tcBorders>
          </w:tcPr>
          <w:p w14:paraId="55237CC8"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6970</w:t>
            </w:r>
          </w:p>
        </w:tc>
        <w:tc>
          <w:tcPr>
            <w:tcW w:w="1400" w:type="dxa"/>
            <w:tcBorders>
              <w:top w:val="nil"/>
              <w:left w:val="nil"/>
              <w:bottom w:val="nil"/>
              <w:right w:val="nil"/>
            </w:tcBorders>
          </w:tcPr>
          <w:p w14:paraId="4D76DC19"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-.025</w:t>
            </w:r>
          </w:p>
        </w:tc>
        <w:tc>
          <w:tcPr>
            <w:tcW w:w="1400" w:type="dxa"/>
            <w:tcBorders>
              <w:top w:val="nil"/>
              <w:left w:val="nil"/>
              <w:bottom w:val="nil"/>
              <w:right w:val="nil"/>
            </w:tcBorders>
          </w:tcPr>
          <w:p w14:paraId="63E683F2"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2.404</w:t>
            </w:r>
          </w:p>
        </w:tc>
        <w:tc>
          <w:tcPr>
            <w:tcW w:w="1400" w:type="dxa"/>
            <w:tcBorders>
              <w:top w:val="nil"/>
              <w:left w:val="nil"/>
              <w:bottom w:val="nil"/>
              <w:right w:val="nil"/>
            </w:tcBorders>
          </w:tcPr>
          <w:p w14:paraId="1D60C517"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-11.9</w:t>
            </w:r>
          </w:p>
        </w:tc>
        <w:tc>
          <w:tcPr>
            <w:tcW w:w="1400" w:type="dxa"/>
            <w:tcBorders>
              <w:top w:val="nil"/>
              <w:left w:val="nil"/>
              <w:bottom w:val="nil"/>
              <w:right w:val="nil"/>
            </w:tcBorders>
          </w:tcPr>
          <w:p w14:paraId="2475C598"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17.76</w:t>
            </w:r>
          </w:p>
        </w:tc>
      </w:tr>
      <w:tr w:rsidR="00FE5DEA" w:rsidRPr="000E2024" w14:paraId="48E04E8E" w14:textId="77777777" w:rsidTr="00894E3A">
        <w:tc>
          <w:tcPr>
            <w:tcW w:w="1985" w:type="dxa"/>
            <w:tcBorders>
              <w:top w:val="nil"/>
              <w:left w:val="nil"/>
              <w:bottom w:val="nil"/>
              <w:right w:val="nil"/>
            </w:tcBorders>
          </w:tcPr>
          <w:p w14:paraId="4C56D793" w14:textId="77777777" w:rsidR="00FE5DEA" w:rsidRPr="000E2024" w:rsidRDefault="00FE5DEA" w:rsidP="00894E3A">
            <w:pPr>
              <w:widowControl w:val="0"/>
              <w:autoSpaceDE w:val="0"/>
              <w:autoSpaceDN w:val="0"/>
              <w:adjustRightInd w:val="0"/>
              <w:spacing w:line="240" w:lineRule="auto"/>
              <w:rPr>
                <w:rFonts w:cstheme="minorHAnsi"/>
                <w:sz w:val="20"/>
                <w:szCs w:val="20"/>
              </w:rPr>
            </w:pPr>
            <w:r w:rsidRPr="000E2024">
              <w:rPr>
                <w:rFonts w:cstheme="minorHAnsi"/>
                <w:sz w:val="20"/>
                <w:szCs w:val="20"/>
              </w:rPr>
              <w:t xml:space="preserve"> </w:t>
            </w:r>
            <w:proofErr w:type="spellStart"/>
            <w:r w:rsidRPr="000E2024">
              <w:rPr>
                <w:rFonts w:cstheme="minorHAnsi"/>
                <w:sz w:val="20"/>
                <w:szCs w:val="20"/>
              </w:rPr>
              <w:t>itraxx</w:t>
            </w:r>
            <w:proofErr w:type="spellEnd"/>
            <w:r w:rsidRPr="000E2024">
              <w:rPr>
                <w:rFonts w:cstheme="minorHAnsi"/>
                <w:sz w:val="20"/>
                <w:szCs w:val="20"/>
              </w:rPr>
              <w:t xml:space="preserve"> n </w:t>
            </w:r>
            <w:proofErr w:type="spellStart"/>
            <w:r w:rsidRPr="000E2024">
              <w:rPr>
                <w:rFonts w:cstheme="minorHAnsi"/>
                <w:sz w:val="20"/>
                <w:szCs w:val="20"/>
              </w:rPr>
              <w:t>fd</w:t>
            </w:r>
            <w:proofErr w:type="spellEnd"/>
          </w:p>
        </w:tc>
        <w:tc>
          <w:tcPr>
            <w:tcW w:w="1323" w:type="dxa"/>
            <w:tcBorders>
              <w:top w:val="nil"/>
              <w:left w:val="nil"/>
              <w:bottom w:val="nil"/>
              <w:right w:val="nil"/>
            </w:tcBorders>
          </w:tcPr>
          <w:p w14:paraId="3A98EDB5"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6980</w:t>
            </w:r>
          </w:p>
        </w:tc>
        <w:tc>
          <w:tcPr>
            <w:tcW w:w="1400" w:type="dxa"/>
            <w:tcBorders>
              <w:top w:val="nil"/>
              <w:left w:val="nil"/>
              <w:bottom w:val="nil"/>
              <w:right w:val="nil"/>
            </w:tcBorders>
          </w:tcPr>
          <w:p w14:paraId="17E4014A"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.066</w:t>
            </w:r>
          </w:p>
        </w:tc>
        <w:tc>
          <w:tcPr>
            <w:tcW w:w="1400" w:type="dxa"/>
            <w:tcBorders>
              <w:top w:val="nil"/>
              <w:left w:val="nil"/>
              <w:bottom w:val="nil"/>
              <w:right w:val="nil"/>
            </w:tcBorders>
          </w:tcPr>
          <w:p w14:paraId="211220C4"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3.14</w:t>
            </w:r>
          </w:p>
        </w:tc>
        <w:tc>
          <w:tcPr>
            <w:tcW w:w="1400" w:type="dxa"/>
            <w:tcBorders>
              <w:top w:val="nil"/>
              <w:left w:val="nil"/>
              <w:bottom w:val="nil"/>
              <w:right w:val="nil"/>
            </w:tcBorders>
          </w:tcPr>
          <w:p w14:paraId="4F7FD179"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-18.19</w:t>
            </w:r>
          </w:p>
        </w:tc>
        <w:tc>
          <w:tcPr>
            <w:tcW w:w="1400" w:type="dxa"/>
            <w:tcBorders>
              <w:top w:val="nil"/>
              <w:left w:val="nil"/>
              <w:bottom w:val="nil"/>
              <w:right w:val="nil"/>
            </w:tcBorders>
          </w:tcPr>
          <w:p w14:paraId="7593F9BA"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24.2</w:t>
            </w:r>
          </w:p>
        </w:tc>
      </w:tr>
      <w:tr w:rsidR="00FE5DEA" w:rsidRPr="000E2024" w14:paraId="516B2B2E" w14:textId="77777777" w:rsidTr="00894E3A">
        <w:tc>
          <w:tcPr>
            <w:tcW w:w="1985" w:type="dxa"/>
            <w:tcBorders>
              <w:top w:val="nil"/>
              <w:left w:val="nil"/>
              <w:bottom w:val="nil"/>
              <w:right w:val="nil"/>
            </w:tcBorders>
          </w:tcPr>
          <w:p w14:paraId="60326C55" w14:textId="77777777" w:rsidR="00FE5DEA" w:rsidRPr="000E2024" w:rsidRDefault="00FE5DEA" w:rsidP="00894E3A">
            <w:pPr>
              <w:widowControl w:val="0"/>
              <w:autoSpaceDE w:val="0"/>
              <w:autoSpaceDN w:val="0"/>
              <w:adjustRightInd w:val="0"/>
              <w:spacing w:line="240" w:lineRule="auto"/>
              <w:rPr>
                <w:rFonts w:cstheme="minorHAnsi"/>
                <w:sz w:val="20"/>
                <w:szCs w:val="20"/>
              </w:rPr>
            </w:pPr>
            <w:r w:rsidRPr="000E2024">
              <w:rPr>
                <w:rFonts w:cstheme="minorHAnsi"/>
                <w:sz w:val="20"/>
                <w:szCs w:val="20"/>
              </w:rPr>
              <w:t xml:space="preserve"> </w:t>
            </w:r>
            <w:proofErr w:type="spellStart"/>
            <w:r w:rsidRPr="000E2024">
              <w:rPr>
                <w:rFonts w:cstheme="minorHAnsi"/>
                <w:sz w:val="20"/>
                <w:szCs w:val="20"/>
              </w:rPr>
              <w:t>tsm</w:t>
            </w:r>
            <w:proofErr w:type="spellEnd"/>
            <w:r w:rsidRPr="000E2024">
              <w:rPr>
                <w:rFonts w:cstheme="minorHAnsi"/>
                <w:sz w:val="20"/>
                <w:szCs w:val="20"/>
              </w:rPr>
              <w:t xml:space="preserve"> </w:t>
            </w:r>
            <w:proofErr w:type="spellStart"/>
            <w:r w:rsidRPr="000E2024">
              <w:rPr>
                <w:rFonts w:cstheme="minorHAnsi"/>
                <w:sz w:val="20"/>
                <w:szCs w:val="20"/>
              </w:rPr>
              <w:t>fd</w:t>
            </w:r>
            <w:proofErr w:type="spellEnd"/>
          </w:p>
        </w:tc>
        <w:tc>
          <w:tcPr>
            <w:tcW w:w="1323" w:type="dxa"/>
            <w:tcBorders>
              <w:top w:val="nil"/>
              <w:left w:val="nil"/>
              <w:bottom w:val="nil"/>
              <w:right w:val="nil"/>
            </w:tcBorders>
          </w:tcPr>
          <w:p w14:paraId="0972F56A"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6980</w:t>
            </w:r>
          </w:p>
        </w:tc>
        <w:tc>
          <w:tcPr>
            <w:tcW w:w="1400" w:type="dxa"/>
            <w:tcBorders>
              <w:top w:val="nil"/>
              <w:left w:val="nil"/>
              <w:bottom w:val="nil"/>
              <w:right w:val="nil"/>
            </w:tcBorders>
          </w:tcPr>
          <w:p w14:paraId="1A3D92A4"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-.055</w:t>
            </w:r>
          </w:p>
        </w:tc>
        <w:tc>
          <w:tcPr>
            <w:tcW w:w="1400" w:type="dxa"/>
            <w:tcBorders>
              <w:top w:val="nil"/>
              <w:left w:val="nil"/>
              <w:bottom w:val="nil"/>
              <w:right w:val="nil"/>
            </w:tcBorders>
          </w:tcPr>
          <w:p w14:paraId="472F5AB8"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25.559</w:t>
            </w:r>
          </w:p>
        </w:tc>
        <w:tc>
          <w:tcPr>
            <w:tcW w:w="1400" w:type="dxa"/>
            <w:tcBorders>
              <w:top w:val="nil"/>
              <w:left w:val="nil"/>
              <w:bottom w:val="nil"/>
              <w:right w:val="nil"/>
            </w:tcBorders>
          </w:tcPr>
          <w:p w14:paraId="7EB82712"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-187.04</w:t>
            </w:r>
          </w:p>
        </w:tc>
        <w:tc>
          <w:tcPr>
            <w:tcW w:w="1400" w:type="dxa"/>
            <w:tcBorders>
              <w:top w:val="nil"/>
              <w:left w:val="nil"/>
              <w:bottom w:val="nil"/>
              <w:right w:val="nil"/>
            </w:tcBorders>
          </w:tcPr>
          <w:p w14:paraId="79BFE2C2"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114.34</w:t>
            </w:r>
          </w:p>
        </w:tc>
      </w:tr>
      <w:tr w:rsidR="00FE5DEA" w:rsidRPr="000E2024" w14:paraId="557510A4" w14:textId="77777777" w:rsidTr="00894E3A">
        <w:tc>
          <w:tcPr>
            <w:tcW w:w="1985" w:type="dxa"/>
            <w:tcBorders>
              <w:top w:val="nil"/>
              <w:left w:val="nil"/>
              <w:bottom w:val="nil"/>
              <w:right w:val="nil"/>
            </w:tcBorders>
          </w:tcPr>
          <w:p w14:paraId="1764638C" w14:textId="77777777" w:rsidR="00FE5DEA" w:rsidRPr="000E2024" w:rsidRDefault="00FE5DEA" w:rsidP="00894E3A">
            <w:pPr>
              <w:widowControl w:val="0"/>
              <w:autoSpaceDE w:val="0"/>
              <w:autoSpaceDN w:val="0"/>
              <w:adjustRightInd w:val="0"/>
              <w:spacing w:line="240" w:lineRule="auto"/>
              <w:rPr>
                <w:rFonts w:cstheme="minorHAnsi"/>
                <w:sz w:val="20"/>
                <w:szCs w:val="20"/>
              </w:rPr>
            </w:pPr>
            <w:r w:rsidRPr="000E2024">
              <w:rPr>
                <w:rFonts w:cstheme="minorHAnsi"/>
                <w:sz w:val="20"/>
                <w:szCs w:val="20"/>
              </w:rPr>
              <w:t xml:space="preserve"> </w:t>
            </w:r>
            <w:proofErr w:type="spellStart"/>
            <w:r w:rsidRPr="000E2024">
              <w:rPr>
                <w:rFonts w:cstheme="minorHAnsi"/>
                <w:sz w:val="20"/>
                <w:szCs w:val="20"/>
              </w:rPr>
              <w:t>cesi</w:t>
            </w:r>
            <w:proofErr w:type="spellEnd"/>
            <w:r w:rsidRPr="000E2024">
              <w:rPr>
                <w:rFonts w:cstheme="minorHAnsi"/>
                <w:sz w:val="20"/>
                <w:szCs w:val="20"/>
              </w:rPr>
              <w:t xml:space="preserve"> </w:t>
            </w:r>
            <w:proofErr w:type="spellStart"/>
            <w:r w:rsidRPr="000E2024">
              <w:rPr>
                <w:rFonts w:cstheme="minorHAnsi"/>
                <w:sz w:val="20"/>
                <w:szCs w:val="20"/>
              </w:rPr>
              <w:t>fd</w:t>
            </w:r>
            <w:proofErr w:type="spellEnd"/>
          </w:p>
        </w:tc>
        <w:tc>
          <w:tcPr>
            <w:tcW w:w="1323" w:type="dxa"/>
            <w:tcBorders>
              <w:top w:val="nil"/>
              <w:left w:val="nil"/>
              <w:bottom w:val="nil"/>
              <w:right w:val="nil"/>
            </w:tcBorders>
          </w:tcPr>
          <w:p w14:paraId="014BB18D"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6970</w:t>
            </w:r>
          </w:p>
        </w:tc>
        <w:tc>
          <w:tcPr>
            <w:tcW w:w="1400" w:type="dxa"/>
            <w:tcBorders>
              <w:top w:val="nil"/>
              <w:left w:val="nil"/>
              <w:bottom w:val="nil"/>
              <w:right w:val="nil"/>
            </w:tcBorders>
          </w:tcPr>
          <w:p w14:paraId="4FE730D5"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.025</w:t>
            </w:r>
          </w:p>
        </w:tc>
        <w:tc>
          <w:tcPr>
            <w:tcW w:w="1400" w:type="dxa"/>
            <w:tcBorders>
              <w:top w:val="nil"/>
              <w:left w:val="nil"/>
              <w:bottom w:val="nil"/>
              <w:right w:val="nil"/>
            </w:tcBorders>
          </w:tcPr>
          <w:p w14:paraId="73494793"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12.356</w:t>
            </w:r>
          </w:p>
        </w:tc>
        <w:tc>
          <w:tcPr>
            <w:tcW w:w="1400" w:type="dxa"/>
            <w:tcBorders>
              <w:top w:val="nil"/>
              <w:left w:val="nil"/>
              <w:bottom w:val="nil"/>
              <w:right w:val="nil"/>
            </w:tcBorders>
          </w:tcPr>
          <w:p w14:paraId="5D4BC2CB"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-170.3</w:t>
            </w:r>
          </w:p>
        </w:tc>
        <w:tc>
          <w:tcPr>
            <w:tcW w:w="1400" w:type="dxa"/>
            <w:tcBorders>
              <w:top w:val="nil"/>
              <w:left w:val="nil"/>
              <w:bottom w:val="nil"/>
              <w:right w:val="nil"/>
            </w:tcBorders>
          </w:tcPr>
          <w:p w14:paraId="3E7CD145"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89.9</w:t>
            </w:r>
          </w:p>
        </w:tc>
      </w:tr>
      <w:tr w:rsidR="00FE5DEA" w:rsidRPr="000E2024" w14:paraId="3A3BFA40" w14:textId="77777777" w:rsidTr="00894E3A">
        <w:tc>
          <w:tcPr>
            <w:tcW w:w="1985" w:type="dxa"/>
            <w:tcBorders>
              <w:top w:val="nil"/>
              <w:left w:val="nil"/>
              <w:bottom w:val="nil"/>
              <w:right w:val="nil"/>
            </w:tcBorders>
          </w:tcPr>
          <w:p w14:paraId="070C55D9" w14:textId="77777777" w:rsidR="00FE5DEA" w:rsidRPr="000E2024" w:rsidRDefault="00FE5DEA" w:rsidP="00894E3A">
            <w:pPr>
              <w:widowControl w:val="0"/>
              <w:autoSpaceDE w:val="0"/>
              <w:autoSpaceDN w:val="0"/>
              <w:adjustRightInd w:val="0"/>
              <w:spacing w:line="240" w:lineRule="auto"/>
              <w:rPr>
                <w:rFonts w:cstheme="minorHAnsi"/>
                <w:sz w:val="20"/>
                <w:szCs w:val="20"/>
              </w:rPr>
            </w:pPr>
            <w:r w:rsidRPr="000E2024">
              <w:rPr>
                <w:rFonts w:cstheme="minorHAnsi"/>
                <w:sz w:val="20"/>
                <w:szCs w:val="20"/>
              </w:rPr>
              <w:t xml:space="preserve"> </w:t>
            </w:r>
            <w:proofErr w:type="spellStart"/>
            <w:r w:rsidRPr="000E2024">
              <w:rPr>
                <w:rFonts w:cstheme="minorHAnsi"/>
                <w:sz w:val="20"/>
                <w:szCs w:val="20"/>
              </w:rPr>
              <w:t>vix</w:t>
            </w:r>
            <w:proofErr w:type="spellEnd"/>
            <w:r w:rsidRPr="000E2024">
              <w:rPr>
                <w:rFonts w:cstheme="minorHAnsi"/>
                <w:sz w:val="20"/>
                <w:szCs w:val="20"/>
              </w:rPr>
              <w:t xml:space="preserve"> </w:t>
            </w:r>
            <w:proofErr w:type="spellStart"/>
            <w:r w:rsidRPr="000E2024">
              <w:rPr>
                <w:rFonts w:cstheme="minorHAnsi"/>
                <w:sz w:val="20"/>
                <w:szCs w:val="20"/>
              </w:rPr>
              <w:t>fd</w:t>
            </w:r>
            <w:proofErr w:type="spellEnd"/>
          </w:p>
        </w:tc>
        <w:tc>
          <w:tcPr>
            <w:tcW w:w="1323" w:type="dxa"/>
            <w:tcBorders>
              <w:top w:val="nil"/>
              <w:left w:val="nil"/>
              <w:bottom w:val="nil"/>
              <w:right w:val="nil"/>
            </w:tcBorders>
          </w:tcPr>
          <w:p w14:paraId="7F461961"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6970</w:t>
            </w:r>
          </w:p>
        </w:tc>
        <w:tc>
          <w:tcPr>
            <w:tcW w:w="1400" w:type="dxa"/>
            <w:tcBorders>
              <w:top w:val="nil"/>
              <w:left w:val="nil"/>
              <w:bottom w:val="nil"/>
              <w:right w:val="nil"/>
            </w:tcBorders>
          </w:tcPr>
          <w:p w14:paraId="3F489D3E"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-.021</w:t>
            </w:r>
          </w:p>
        </w:tc>
        <w:tc>
          <w:tcPr>
            <w:tcW w:w="1400" w:type="dxa"/>
            <w:tcBorders>
              <w:top w:val="nil"/>
              <w:left w:val="nil"/>
              <w:bottom w:val="nil"/>
              <w:right w:val="nil"/>
            </w:tcBorders>
          </w:tcPr>
          <w:p w14:paraId="5FC528DD"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2.623</w:t>
            </w:r>
          </w:p>
        </w:tc>
        <w:tc>
          <w:tcPr>
            <w:tcW w:w="1400" w:type="dxa"/>
            <w:tcBorders>
              <w:top w:val="nil"/>
              <w:left w:val="nil"/>
              <w:bottom w:val="nil"/>
              <w:right w:val="nil"/>
            </w:tcBorders>
          </w:tcPr>
          <w:p w14:paraId="29BDA238"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-17.64</w:t>
            </w:r>
          </w:p>
        </w:tc>
        <w:tc>
          <w:tcPr>
            <w:tcW w:w="1400" w:type="dxa"/>
            <w:tcBorders>
              <w:top w:val="nil"/>
              <w:left w:val="nil"/>
              <w:bottom w:val="nil"/>
              <w:right w:val="nil"/>
            </w:tcBorders>
          </w:tcPr>
          <w:p w14:paraId="6B050274"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24.86</w:t>
            </w:r>
          </w:p>
        </w:tc>
      </w:tr>
      <w:tr w:rsidR="00FE5DEA" w:rsidRPr="000E2024" w14:paraId="08C1509E" w14:textId="77777777" w:rsidTr="00894E3A">
        <w:tc>
          <w:tcPr>
            <w:tcW w:w="1985" w:type="dxa"/>
            <w:tcBorders>
              <w:top w:val="nil"/>
              <w:left w:val="nil"/>
              <w:bottom w:val="nil"/>
              <w:right w:val="nil"/>
            </w:tcBorders>
          </w:tcPr>
          <w:p w14:paraId="29FC487C" w14:textId="77777777" w:rsidR="00FE5DEA" w:rsidRPr="000E2024" w:rsidRDefault="00FE5DEA" w:rsidP="00894E3A">
            <w:pPr>
              <w:widowControl w:val="0"/>
              <w:autoSpaceDE w:val="0"/>
              <w:autoSpaceDN w:val="0"/>
              <w:adjustRightInd w:val="0"/>
              <w:spacing w:line="240" w:lineRule="auto"/>
              <w:rPr>
                <w:rFonts w:cstheme="minorHAnsi"/>
                <w:sz w:val="20"/>
                <w:szCs w:val="20"/>
              </w:rPr>
            </w:pPr>
            <w:r w:rsidRPr="000E2024">
              <w:rPr>
                <w:rFonts w:cstheme="minorHAnsi"/>
                <w:sz w:val="20"/>
                <w:szCs w:val="20"/>
              </w:rPr>
              <w:t xml:space="preserve"> </w:t>
            </w:r>
            <w:proofErr w:type="spellStart"/>
            <w:r w:rsidRPr="000E2024">
              <w:rPr>
                <w:rFonts w:cstheme="minorHAnsi"/>
                <w:sz w:val="20"/>
                <w:szCs w:val="20"/>
              </w:rPr>
              <w:t>cds</w:t>
            </w:r>
            <w:proofErr w:type="spellEnd"/>
            <w:r w:rsidRPr="000E2024">
              <w:rPr>
                <w:rFonts w:cstheme="minorHAnsi"/>
                <w:sz w:val="20"/>
                <w:szCs w:val="20"/>
              </w:rPr>
              <w:t xml:space="preserve"> </w:t>
            </w:r>
            <w:proofErr w:type="spellStart"/>
            <w:r w:rsidRPr="000E2024">
              <w:rPr>
                <w:rFonts w:cstheme="minorHAnsi"/>
                <w:sz w:val="20"/>
                <w:szCs w:val="20"/>
              </w:rPr>
              <w:t>fd</w:t>
            </w:r>
            <w:proofErr w:type="spellEnd"/>
            <w:r w:rsidRPr="000E2024">
              <w:rPr>
                <w:rFonts w:cstheme="minorHAnsi"/>
                <w:sz w:val="20"/>
                <w:szCs w:val="20"/>
              </w:rPr>
              <w:t xml:space="preserve"> </w:t>
            </w:r>
          </w:p>
        </w:tc>
        <w:tc>
          <w:tcPr>
            <w:tcW w:w="1323" w:type="dxa"/>
            <w:tcBorders>
              <w:top w:val="nil"/>
              <w:left w:val="nil"/>
              <w:bottom w:val="nil"/>
              <w:right w:val="nil"/>
            </w:tcBorders>
          </w:tcPr>
          <w:p w14:paraId="4E7591B7"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6970</w:t>
            </w:r>
          </w:p>
        </w:tc>
        <w:tc>
          <w:tcPr>
            <w:tcW w:w="1400" w:type="dxa"/>
            <w:tcBorders>
              <w:top w:val="nil"/>
              <w:left w:val="nil"/>
              <w:bottom w:val="nil"/>
              <w:right w:val="nil"/>
            </w:tcBorders>
          </w:tcPr>
          <w:p w14:paraId="0F63FD10"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.002</w:t>
            </w:r>
          </w:p>
        </w:tc>
        <w:tc>
          <w:tcPr>
            <w:tcW w:w="1400" w:type="dxa"/>
            <w:tcBorders>
              <w:top w:val="nil"/>
              <w:left w:val="nil"/>
              <w:bottom w:val="nil"/>
              <w:right w:val="nil"/>
            </w:tcBorders>
          </w:tcPr>
          <w:p w14:paraId="09F011A7"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1.756</w:t>
            </w:r>
          </w:p>
        </w:tc>
        <w:tc>
          <w:tcPr>
            <w:tcW w:w="1400" w:type="dxa"/>
            <w:tcBorders>
              <w:top w:val="nil"/>
              <w:left w:val="nil"/>
              <w:bottom w:val="nil"/>
              <w:right w:val="nil"/>
            </w:tcBorders>
          </w:tcPr>
          <w:p w14:paraId="59E1E80B"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-53.5</w:t>
            </w:r>
          </w:p>
        </w:tc>
        <w:tc>
          <w:tcPr>
            <w:tcW w:w="1400" w:type="dxa"/>
            <w:tcBorders>
              <w:top w:val="nil"/>
              <w:left w:val="nil"/>
              <w:bottom w:val="nil"/>
              <w:right w:val="nil"/>
            </w:tcBorders>
          </w:tcPr>
          <w:p w14:paraId="4A8FC690"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38.78</w:t>
            </w:r>
          </w:p>
        </w:tc>
      </w:tr>
      <w:tr w:rsidR="00FE5DEA" w:rsidRPr="000E2024" w14:paraId="6EEF96D0" w14:textId="77777777" w:rsidTr="00894E3A">
        <w:tc>
          <w:tcPr>
            <w:tcW w:w="1985" w:type="dxa"/>
            <w:tcBorders>
              <w:top w:val="nil"/>
              <w:left w:val="nil"/>
              <w:bottom w:val="nil"/>
              <w:right w:val="nil"/>
            </w:tcBorders>
          </w:tcPr>
          <w:p w14:paraId="7B3E69C1" w14:textId="77777777" w:rsidR="00FE5DEA" w:rsidRPr="000E2024" w:rsidRDefault="00FE5DEA" w:rsidP="00894E3A">
            <w:pPr>
              <w:widowControl w:val="0"/>
              <w:autoSpaceDE w:val="0"/>
              <w:autoSpaceDN w:val="0"/>
              <w:adjustRightInd w:val="0"/>
              <w:spacing w:line="240" w:lineRule="auto"/>
              <w:rPr>
                <w:rFonts w:cstheme="minorHAnsi"/>
                <w:sz w:val="20"/>
                <w:szCs w:val="20"/>
              </w:rPr>
            </w:pPr>
            <w:r w:rsidRPr="000E2024">
              <w:rPr>
                <w:rFonts w:cstheme="minorHAnsi"/>
                <w:sz w:val="20"/>
                <w:szCs w:val="20"/>
              </w:rPr>
              <w:t xml:space="preserve"> lag </w:t>
            </w:r>
            <w:proofErr w:type="spellStart"/>
            <w:r w:rsidRPr="000E2024">
              <w:rPr>
                <w:rFonts w:cstheme="minorHAnsi"/>
                <w:sz w:val="20"/>
                <w:szCs w:val="20"/>
              </w:rPr>
              <w:t>cds</w:t>
            </w:r>
            <w:proofErr w:type="spellEnd"/>
            <w:r w:rsidRPr="000E2024">
              <w:rPr>
                <w:rFonts w:cstheme="minorHAnsi"/>
                <w:sz w:val="20"/>
                <w:szCs w:val="20"/>
              </w:rPr>
              <w:t xml:space="preserve"> </w:t>
            </w:r>
            <w:proofErr w:type="spellStart"/>
            <w:r w:rsidRPr="000E2024">
              <w:rPr>
                <w:rFonts w:cstheme="minorHAnsi"/>
                <w:sz w:val="20"/>
                <w:szCs w:val="20"/>
              </w:rPr>
              <w:t>fd</w:t>
            </w:r>
            <w:proofErr w:type="spellEnd"/>
            <w:r w:rsidRPr="000E2024">
              <w:rPr>
                <w:rFonts w:cstheme="minorHAnsi"/>
                <w:sz w:val="20"/>
                <w:szCs w:val="20"/>
              </w:rPr>
              <w:t xml:space="preserve"> </w:t>
            </w:r>
          </w:p>
        </w:tc>
        <w:tc>
          <w:tcPr>
            <w:tcW w:w="1323" w:type="dxa"/>
            <w:tcBorders>
              <w:top w:val="nil"/>
              <w:left w:val="nil"/>
              <w:bottom w:val="nil"/>
              <w:right w:val="nil"/>
            </w:tcBorders>
          </w:tcPr>
          <w:p w14:paraId="246BFF56"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6960</w:t>
            </w:r>
          </w:p>
        </w:tc>
        <w:tc>
          <w:tcPr>
            <w:tcW w:w="1400" w:type="dxa"/>
            <w:tcBorders>
              <w:top w:val="nil"/>
              <w:left w:val="nil"/>
              <w:bottom w:val="nil"/>
              <w:right w:val="nil"/>
            </w:tcBorders>
          </w:tcPr>
          <w:p w14:paraId="5E2F4136"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.002</w:t>
            </w:r>
          </w:p>
        </w:tc>
        <w:tc>
          <w:tcPr>
            <w:tcW w:w="1400" w:type="dxa"/>
            <w:tcBorders>
              <w:top w:val="nil"/>
              <w:left w:val="nil"/>
              <w:bottom w:val="nil"/>
              <w:right w:val="nil"/>
            </w:tcBorders>
          </w:tcPr>
          <w:p w14:paraId="55E58C95"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1.758</w:t>
            </w:r>
          </w:p>
        </w:tc>
        <w:tc>
          <w:tcPr>
            <w:tcW w:w="1400" w:type="dxa"/>
            <w:tcBorders>
              <w:top w:val="nil"/>
              <w:left w:val="nil"/>
              <w:bottom w:val="nil"/>
              <w:right w:val="nil"/>
            </w:tcBorders>
          </w:tcPr>
          <w:p w14:paraId="624F1368"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-53.5</w:t>
            </w:r>
          </w:p>
        </w:tc>
        <w:tc>
          <w:tcPr>
            <w:tcW w:w="1400" w:type="dxa"/>
            <w:tcBorders>
              <w:top w:val="nil"/>
              <w:left w:val="nil"/>
              <w:bottom w:val="nil"/>
              <w:right w:val="nil"/>
            </w:tcBorders>
          </w:tcPr>
          <w:p w14:paraId="0EA87079" w14:textId="77777777" w:rsidR="00FE5DEA" w:rsidRPr="000E2024" w:rsidRDefault="00FE5DEA" w:rsidP="00894E3A">
            <w:pPr>
              <w:widowControl w:val="0"/>
              <w:autoSpaceDE w:val="0"/>
              <w:autoSpaceDN w:val="0"/>
              <w:adjustRightInd w:val="0"/>
              <w:spacing w:line="240" w:lineRule="auto"/>
              <w:jc w:val="right"/>
              <w:rPr>
                <w:rFonts w:cstheme="minorHAnsi"/>
                <w:sz w:val="20"/>
                <w:szCs w:val="20"/>
              </w:rPr>
            </w:pPr>
            <w:r w:rsidRPr="000E2024">
              <w:rPr>
                <w:rFonts w:cstheme="minorHAnsi"/>
                <w:sz w:val="20"/>
                <w:szCs w:val="20"/>
              </w:rPr>
              <w:t>38.78</w:t>
            </w:r>
          </w:p>
        </w:tc>
      </w:tr>
      <w:tr w:rsidR="00FE5DEA" w:rsidRPr="004724D3" w14:paraId="6E083ACF" w14:textId="77777777" w:rsidTr="00894E3A">
        <w:tc>
          <w:tcPr>
            <w:tcW w:w="8908" w:type="dxa"/>
            <w:gridSpan w:val="6"/>
            <w:tcBorders>
              <w:top w:val="single" w:sz="6" w:space="0" w:color="auto"/>
              <w:left w:val="nil"/>
              <w:bottom w:val="nil"/>
              <w:right w:val="nil"/>
            </w:tcBorders>
          </w:tcPr>
          <w:p w14:paraId="7879A6FD" w14:textId="77777777" w:rsidR="00FE5DEA" w:rsidRPr="004724D3" w:rsidRDefault="00FE5DEA" w:rsidP="00894E3A">
            <w:pPr>
              <w:widowControl w:val="0"/>
              <w:autoSpaceDE w:val="0"/>
              <w:autoSpaceDN w:val="0"/>
              <w:adjustRightInd w:val="0"/>
              <w:spacing w:line="240" w:lineRule="auto"/>
              <w:rPr>
                <w:rFonts w:cstheme="minorHAnsi"/>
                <w:lang w:val="en-US"/>
              </w:rPr>
            </w:pPr>
          </w:p>
        </w:tc>
      </w:tr>
    </w:tbl>
    <w:p w14:paraId="4CC4FDA0" w14:textId="77777777" w:rsidR="00FE5DEA" w:rsidRPr="007164C4" w:rsidRDefault="00FE5DEA" w:rsidP="00FE5DEA">
      <w:pPr>
        <w:pStyle w:val="Heading2"/>
        <w:numPr>
          <w:ilvl w:val="0"/>
          <w:numId w:val="0"/>
        </w:numPr>
      </w:pPr>
      <w:r>
        <w:br w:type="page"/>
      </w:r>
    </w:p>
    <w:p w14:paraId="7DF4C0B6" w14:textId="1F7ADF0A" w:rsidR="00143258" w:rsidRPr="0064134A" w:rsidRDefault="00CA3591" w:rsidP="0064134A">
      <w:pPr>
        <w:pStyle w:val="Heading1"/>
      </w:pPr>
      <w:bookmarkStart w:id="127" w:name="_Toc122697381"/>
      <w:r w:rsidRPr="0064134A">
        <w:lastRenderedPageBreak/>
        <w:t>References</w:t>
      </w:r>
      <w:bookmarkEnd w:id="127"/>
    </w:p>
    <w:p w14:paraId="4716A865" w14:textId="77777777" w:rsidR="00B12A30" w:rsidRDefault="00B12A30" w:rsidP="00B12A30">
      <w:pPr>
        <w:ind w:left="360"/>
        <w:rPr>
          <w:rFonts w:cstheme="minorHAnsi"/>
          <w:lang w:val="en-US"/>
        </w:rPr>
      </w:pPr>
      <w:r w:rsidRPr="00D56690">
        <w:rPr>
          <w:rFonts w:cstheme="minorHAnsi"/>
          <w:lang w:val="en-US"/>
        </w:rPr>
        <w:t xml:space="preserve">Afonso, A., </w:t>
      </w:r>
      <w:proofErr w:type="spellStart"/>
      <w:r w:rsidRPr="00D56690">
        <w:rPr>
          <w:rFonts w:cstheme="minorHAnsi"/>
          <w:lang w:val="en-US"/>
        </w:rPr>
        <w:t>Jalles</w:t>
      </w:r>
      <w:proofErr w:type="spellEnd"/>
      <w:r w:rsidRPr="00D56690">
        <w:rPr>
          <w:rFonts w:cstheme="minorHAnsi"/>
          <w:lang w:val="en-US"/>
        </w:rPr>
        <w:t xml:space="preserve">, J. T., &amp; </w:t>
      </w:r>
      <w:proofErr w:type="spellStart"/>
      <w:r w:rsidRPr="00D56690">
        <w:rPr>
          <w:rFonts w:cstheme="minorHAnsi"/>
          <w:lang w:val="en-US"/>
        </w:rPr>
        <w:t>Kazemi</w:t>
      </w:r>
      <w:proofErr w:type="spellEnd"/>
      <w:r w:rsidRPr="00D56690">
        <w:rPr>
          <w:rFonts w:cstheme="minorHAnsi"/>
          <w:lang w:val="en-US"/>
        </w:rPr>
        <w:t xml:space="preserve">, M. (2020). The effects of macroeconomic, </w:t>
      </w:r>
      <w:proofErr w:type="gramStart"/>
      <w:r w:rsidRPr="00D56690">
        <w:rPr>
          <w:rFonts w:cstheme="minorHAnsi"/>
          <w:lang w:val="en-US"/>
        </w:rPr>
        <w:t>fiscal</w:t>
      </w:r>
      <w:proofErr w:type="gramEnd"/>
      <w:r w:rsidRPr="00D56690">
        <w:rPr>
          <w:rFonts w:cstheme="minorHAnsi"/>
          <w:lang w:val="en-US"/>
        </w:rPr>
        <w:t xml:space="preserve"> and monetary policy announcements on sovereign bond spreads. International Review of Law and Economics, 63, 105924.</w:t>
      </w:r>
    </w:p>
    <w:p w14:paraId="4B46F518" w14:textId="77777777" w:rsidR="00B12A30" w:rsidRPr="00D56690" w:rsidRDefault="00B12A30" w:rsidP="00B12A30">
      <w:pPr>
        <w:rPr>
          <w:rFonts w:cstheme="minorHAnsi"/>
          <w:lang w:val="en-US"/>
        </w:rPr>
      </w:pPr>
    </w:p>
    <w:p w14:paraId="7C3581B7" w14:textId="4F0B9FE8" w:rsidR="00B12A30" w:rsidRDefault="00B12A30" w:rsidP="00B12A30">
      <w:pPr>
        <w:ind w:left="360"/>
        <w:rPr>
          <w:rFonts w:cstheme="minorHAnsi"/>
          <w:lang w:val="en-US"/>
        </w:rPr>
      </w:pPr>
      <w:r w:rsidRPr="00E065E2">
        <w:rPr>
          <w:rFonts w:cstheme="minorHAnsi"/>
          <w:lang w:val="en-US"/>
        </w:rPr>
        <w:t xml:space="preserve">Aguilar, P., Arce, Ó., Hurtado, S., Martínez-Martín, J., </w:t>
      </w:r>
      <w:proofErr w:type="spellStart"/>
      <w:r w:rsidRPr="00E065E2">
        <w:rPr>
          <w:rFonts w:cstheme="minorHAnsi"/>
          <w:lang w:val="en-US"/>
        </w:rPr>
        <w:t>Nuño</w:t>
      </w:r>
      <w:proofErr w:type="spellEnd"/>
      <w:r w:rsidRPr="00E065E2">
        <w:rPr>
          <w:rFonts w:cstheme="minorHAnsi"/>
          <w:lang w:val="en-US"/>
        </w:rPr>
        <w:t xml:space="preserve">, G., &amp; Thomas, C. (2020). The ECB monetary policy response to the </w:t>
      </w:r>
      <w:r w:rsidR="004C51EF">
        <w:rPr>
          <w:rFonts w:cstheme="minorHAnsi"/>
          <w:lang w:val="en-US"/>
        </w:rPr>
        <w:t>COVID-19</w:t>
      </w:r>
      <w:r w:rsidRPr="00E065E2">
        <w:rPr>
          <w:rFonts w:cstheme="minorHAnsi"/>
          <w:lang w:val="en-US"/>
        </w:rPr>
        <w:t xml:space="preserve"> crisis.</w:t>
      </w:r>
    </w:p>
    <w:p w14:paraId="2BBE4E2E" w14:textId="77777777" w:rsidR="00B12A30" w:rsidRPr="00E065E2" w:rsidRDefault="00B12A30" w:rsidP="00B12A30">
      <w:pPr>
        <w:ind w:left="360"/>
        <w:rPr>
          <w:rFonts w:cstheme="minorHAnsi"/>
          <w:lang w:val="en-US"/>
        </w:rPr>
      </w:pPr>
    </w:p>
    <w:p w14:paraId="3ECA0890" w14:textId="77777777" w:rsidR="00B12A30" w:rsidRDefault="00B12A30" w:rsidP="00B12A30">
      <w:pPr>
        <w:ind w:left="360"/>
        <w:rPr>
          <w:rFonts w:cstheme="minorHAnsi"/>
          <w:lang w:val="en-US"/>
        </w:rPr>
      </w:pPr>
      <w:proofErr w:type="spellStart"/>
      <w:r w:rsidRPr="00D56690">
        <w:rPr>
          <w:rFonts w:cstheme="minorHAnsi"/>
          <w:lang w:val="en-US"/>
        </w:rPr>
        <w:t>Altavilla</w:t>
      </w:r>
      <w:proofErr w:type="spellEnd"/>
      <w:r w:rsidRPr="00D56690">
        <w:rPr>
          <w:rFonts w:cstheme="minorHAnsi"/>
          <w:lang w:val="en-US"/>
        </w:rPr>
        <w:t xml:space="preserve">, C., </w:t>
      </w:r>
      <w:proofErr w:type="spellStart"/>
      <w:r w:rsidRPr="00D56690">
        <w:rPr>
          <w:rFonts w:cstheme="minorHAnsi"/>
          <w:lang w:val="en-US"/>
        </w:rPr>
        <w:t>Carboni</w:t>
      </w:r>
      <w:proofErr w:type="spellEnd"/>
      <w:r w:rsidRPr="00D56690">
        <w:rPr>
          <w:rFonts w:cstheme="minorHAnsi"/>
          <w:lang w:val="en-US"/>
        </w:rPr>
        <w:t>, G., &amp; Motto, R. (2015). A</w:t>
      </w:r>
      <w:r w:rsidRPr="00E065E2">
        <w:rPr>
          <w:rFonts w:cstheme="minorHAnsi"/>
          <w:lang w:val="en-US"/>
        </w:rPr>
        <w:t>s</w:t>
      </w:r>
      <w:r w:rsidRPr="00D56690">
        <w:rPr>
          <w:rFonts w:cstheme="minorHAnsi"/>
          <w:lang w:val="en-US"/>
        </w:rPr>
        <w:t xml:space="preserve">set purchase </w:t>
      </w:r>
      <w:proofErr w:type="spellStart"/>
      <w:r w:rsidRPr="00D56690">
        <w:rPr>
          <w:rFonts w:cstheme="minorHAnsi"/>
          <w:lang w:val="en-US"/>
        </w:rPr>
        <w:t>programmes</w:t>
      </w:r>
      <w:proofErr w:type="spellEnd"/>
      <w:r w:rsidRPr="00D56690">
        <w:rPr>
          <w:rFonts w:cstheme="minorHAnsi"/>
          <w:lang w:val="en-US"/>
        </w:rPr>
        <w:t xml:space="preserve"> and financial markets: lessons from the euro area.</w:t>
      </w:r>
    </w:p>
    <w:p w14:paraId="67B74B96" w14:textId="77777777" w:rsidR="00B12A30" w:rsidRPr="00E065E2" w:rsidRDefault="00B12A30" w:rsidP="00B12A30">
      <w:pPr>
        <w:ind w:left="360"/>
        <w:rPr>
          <w:rFonts w:cstheme="minorHAnsi"/>
          <w:lang w:val="en-US"/>
        </w:rPr>
      </w:pPr>
    </w:p>
    <w:p w14:paraId="7DDB9A12" w14:textId="77777777" w:rsidR="00B12A30" w:rsidRDefault="00B12A30" w:rsidP="00B12A30">
      <w:pPr>
        <w:ind w:left="360"/>
        <w:rPr>
          <w:rFonts w:cstheme="minorHAnsi"/>
          <w:lang w:val="en-US"/>
        </w:rPr>
      </w:pPr>
      <w:proofErr w:type="spellStart"/>
      <w:r w:rsidRPr="00E065E2">
        <w:rPr>
          <w:rFonts w:cstheme="minorHAnsi"/>
          <w:lang w:val="en-US"/>
        </w:rPr>
        <w:t>Burriel</w:t>
      </w:r>
      <w:proofErr w:type="spellEnd"/>
      <w:r w:rsidRPr="00E065E2">
        <w:rPr>
          <w:rFonts w:cstheme="minorHAnsi"/>
          <w:lang w:val="en-US"/>
        </w:rPr>
        <w:t xml:space="preserve">, P., &amp; </w:t>
      </w:r>
      <w:proofErr w:type="spellStart"/>
      <w:r w:rsidRPr="00E065E2">
        <w:rPr>
          <w:rFonts w:cstheme="minorHAnsi"/>
          <w:lang w:val="en-US"/>
        </w:rPr>
        <w:t>Galesi</w:t>
      </w:r>
      <w:proofErr w:type="spellEnd"/>
      <w:r w:rsidRPr="00E065E2">
        <w:rPr>
          <w:rFonts w:cstheme="minorHAnsi"/>
          <w:lang w:val="en-US"/>
        </w:rPr>
        <w:t>, A. (2018). Uncovering the heterogeneous effects of ECB unconventional monetary policies across euro area countries. European Economic Review, 101, 210-229.</w:t>
      </w:r>
    </w:p>
    <w:p w14:paraId="6CB2A9E9" w14:textId="77777777" w:rsidR="00B12A30" w:rsidRPr="00E065E2" w:rsidRDefault="00B12A30" w:rsidP="00B12A30">
      <w:pPr>
        <w:ind w:left="360"/>
        <w:rPr>
          <w:rFonts w:cstheme="minorHAnsi"/>
          <w:lang w:val="en-US"/>
        </w:rPr>
      </w:pPr>
    </w:p>
    <w:p w14:paraId="1D2D35C6" w14:textId="77777777" w:rsidR="00B12A30" w:rsidRDefault="00B12A30" w:rsidP="00B12A30">
      <w:pPr>
        <w:ind w:left="360"/>
        <w:rPr>
          <w:rFonts w:cstheme="minorHAnsi"/>
          <w:lang w:val="en-US"/>
        </w:rPr>
      </w:pPr>
      <w:r w:rsidRPr="00E065E2">
        <w:rPr>
          <w:rFonts w:cstheme="minorHAnsi"/>
          <w:lang w:val="en-US"/>
        </w:rPr>
        <w:t>Ciccarelli, M., Garcia, J. A., &amp; Montes-</w:t>
      </w:r>
      <w:proofErr w:type="spellStart"/>
      <w:r w:rsidRPr="00E065E2">
        <w:rPr>
          <w:rFonts w:cstheme="minorHAnsi"/>
          <w:lang w:val="en-US"/>
        </w:rPr>
        <w:t>Galdón</w:t>
      </w:r>
      <w:proofErr w:type="spellEnd"/>
      <w:r w:rsidRPr="00E065E2">
        <w:rPr>
          <w:rFonts w:cstheme="minorHAnsi"/>
          <w:lang w:val="en-US"/>
        </w:rPr>
        <w:t>, C. (2017). Unconventional monetary policy and the anchoring of inflation expectations.</w:t>
      </w:r>
    </w:p>
    <w:p w14:paraId="6A74B695" w14:textId="77777777" w:rsidR="00B12A30" w:rsidRPr="00E065E2" w:rsidRDefault="00B12A30" w:rsidP="00B12A30">
      <w:pPr>
        <w:ind w:left="360"/>
        <w:rPr>
          <w:rFonts w:cstheme="minorHAnsi"/>
          <w:lang w:val="en-US"/>
        </w:rPr>
      </w:pPr>
    </w:p>
    <w:p w14:paraId="1A8D612D" w14:textId="77777777" w:rsidR="00B12A30" w:rsidRDefault="00B12A30" w:rsidP="00B12A30">
      <w:pPr>
        <w:ind w:left="360"/>
        <w:rPr>
          <w:rFonts w:cstheme="minorHAnsi"/>
          <w:lang w:val="en-US"/>
        </w:rPr>
      </w:pPr>
      <w:r w:rsidRPr="00E065E2">
        <w:rPr>
          <w:rFonts w:cstheme="minorHAnsi"/>
          <w:lang w:val="en-US"/>
        </w:rPr>
        <w:t xml:space="preserve">Codogno, L., </w:t>
      </w:r>
      <w:proofErr w:type="spellStart"/>
      <w:r w:rsidRPr="00E065E2">
        <w:rPr>
          <w:rFonts w:cstheme="minorHAnsi"/>
          <w:lang w:val="en-US"/>
        </w:rPr>
        <w:t>Favero</w:t>
      </w:r>
      <w:proofErr w:type="spellEnd"/>
      <w:r w:rsidRPr="00E065E2">
        <w:rPr>
          <w:rFonts w:cstheme="minorHAnsi"/>
          <w:lang w:val="en-US"/>
        </w:rPr>
        <w:t xml:space="preserve">, C., &amp; </w:t>
      </w:r>
      <w:proofErr w:type="spellStart"/>
      <w:r w:rsidRPr="00E065E2">
        <w:rPr>
          <w:rFonts w:cstheme="minorHAnsi"/>
          <w:lang w:val="en-US"/>
        </w:rPr>
        <w:t>Missale</w:t>
      </w:r>
      <w:proofErr w:type="spellEnd"/>
      <w:r w:rsidRPr="00E065E2">
        <w:rPr>
          <w:rFonts w:cstheme="minorHAnsi"/>
          <w:lang w:val="en-US"/>
        </w:rPr>
        <w:t>, A. (2003). Yield spreads on EMU government bonds. Economic Policy, 18(37), 503-532.</w:t>
      </w:r>
    </w:p>
    <w:p w14:paraId="3CD5B62B" w14:textId="77777777" w:rsidR="00B12A30" w:rsidRPr="00E065E2" w:rsidRDefault="00B12A30" w:rsidP="00B12A30">
      <w:pPr>
        <w:ind w:left="360"/>
        <w:rPr>
          <w:rFonts w:cstheme="minorHAnsi"/>
          <w:lang w:val="en-US"/>
        </w:rPr>
      </w:pPr>
    </w:p>
    <w:p w14:paraId="6DBA59A6" w14:textId="77777777" w:rsidR="00B12A30" w:rsidRDefault="00B12A30" w:rsidP="00B12A30">
      <w:pPr>
        <w:ind w:left="360"/>
        <w:rPr>
          <w:rFonts w:cstheme="minorHAnsi"/>
          <w:lang w:val="en-US"/>
        </w:rPr>
      </w:pPr>
      <w:proofErr w:type="spellStart"/>
      <w:r w:rsidRPr="00D56690">
        <w:rPr>
          <w:rFonts w:cstheme="minorHAnsi"/>
          <w:lang w:val="en-US"/>
        </w:rPr>
        <w:t>d’Amico</w:t>
      </w:r>
      <w:proofErr w:type="spellEnd"/>
      <w:r w:rsidRPr="00D56690">
        <w:rPr>
          <w:rFonts w:cstheme="minorHAnsi"/>
          <w:lang w:val="en-US"/>
        </w:rPr>
        <w:t>, S., English, W., López‐</w:t>
      </w:r>
      <w:proofErr w:type="spellStart"/>
      <w:r w:rsidRPr="00D56690">
        <w:rPr>
          <w:rFonts w:cstheme="minorHAnsi"/>
          <w:lang w:val="en-US"/>
        </w:rPr>
        <w:t>Salido</w:t>
      </w:r>
      <w:proofErr w:type="spellEnd"/>
      <w:r w:rsidRPr="00D56690">
        <w:rPr>
          <w:rFonts w:cstheme="minorHAnsi"/>
          <w:lang w:val="en-US"/>
        </w:rPr>
        <w:t xml:space="preserve">, D., &amp; Nelson, E. (2012). The Federal Reserve's large‐scale asset purchase </w:t>
      </w:r>
      <w:proofErr w:type="spellStart"/>
      <w:r w:rsidRPr="00D56690">
        <w:rPr>
          <w:rFonts w:cstheme="minorHAnsi"/>
          <w:lang w:val="en-US"/>
        </w:rPr>
        <w:t>programmes</w:t>
      </w:r>
      <w:proofErr w:type="spellEnd"/>
      <w:r w:rsidRPr="00D56690">
        <w:rPr>
          <w:rFonts w:cstheme="minorHAnsi"/>
          <w:lang w:val="en-US"/>
        </w:rPr>
        <w:t>: rationale and effects. The Economic Journal, 122(564), F415-F446.</w:t>
      </w:r>
    </w:p>
    <w:p w14:paraId="210E20D4" w14:textId="77777777" w:rsidR="00B12A30" w:rsidRPr="00E065E2" w:rsidRDefault="00B12A30" w:rsidP="00B12A30">
      <w:pPr>
        <w:ind w:left="360"/>
        <w:rPr>
          <w:rFonts w:cstheme="minorHAnsi"/>
          <w:lang w:val="en-US"/>
        </w:rPr>
      </w:pPr>
    </w:p>
    <w:p w14:paraId="360E31AB" w14:textId="77777777" w:rsidR="00B12A30" w:rsidRDefault="00B12A30" w:rsidP="00B12A30">
      <w:pPr>
        <w:ind w:left="360"/>
        <w:rPr>
          <w:rFonts w:cstheme="minorHAnsi"/>
          <w:lang w:val="en-US"/>
        </w:rPr>
      </w:pPr>
      <w:r w:rsidRPr="00E065E2">
        <w:rPr>
          <w:rFonts w:cstheme="minorHAnsi"/>
          <w:lang w:val="en-US"/>
        </w:rPr>
        <w:t xml:space="preserve">De </w:t>
      </w:r>
      <w:proofErr w:type="spellStart"/>
      <w:r w:rsidRPr="00E065E2">
        <w:rPr>
          <w:rFonts w:cstheme="minorHAnsi"/>
          <w:lang w:val="en-US"/>
        </w:rPr>
        <w:t>Bruyckere</w:t>
      </w:r>
      <w:proofErr w:type="spellEnd"/>
      <w:r w:rsidRPr="00E065E2">
        <w:rPr>
          <w:rFonts w:cstheme="minorHAnsi"/>
          <w:lang w:val="en-US"/>
        </w:rPr>
        <w:t xml:space="preserve">, V., Gerhardt, M., Schepens, G., &amp; Vander </w:t>
      </w:r>
      <w:proofErr w:type="spellStart"/>
      <w:r w:rsidRPr="00E065E2">
        <w:rPr>
          <w:rFonts w:cstheme="minorHAnsi"/>
          <w:lang w:val="en-US"/>
        </w:rPr>
        <w:t>Vennet</w:t>
      </w:r>
      <w:proofErr w:type="spellEnd"/>
      <w:r w:rsidRPr="00E065E2">
        <w:rPr>
          <w:rFonts w:cstheme="minorHAnsi"/>
          <w:lang w:val="en-US"/>
        </w:rPr>
        <w:t>, R. (2013). Bank/sovereign risk spillovers in the European debt crisis. Journal of Banking &amp; Finance, 37(12), 4793-4809.</w:t>
      </w:r>
    </w:p>
    <w:p w14:paraId="59943FFE" w14:textId="77777777" w:rsidR="00B12A30" w:rsidRPr="00E065E2" w:rsidRDefault="00B12A30" w:rsidP="00B12A30">
      <w:pPr>
        <w:ind w:left="360"/>
        <w:rPr>
          <w:rFonts w:cstheme="minorHAnsi"/>
          <w:lang w:val="en-US"/>
        </w:rPr>
      </w:pPr>
    </w:p>
    <w:p w14:paraId="2767C911" w14:textId="77777777" w:rsidR="00B12A30" w:rsidRPr="00D56690" w:rsidRDefault="00B12A30" w:rsidP="00B12A30">
      <w:pPr>
        <w:ind w:left="360"/>
        <w:rPr>
          <w:rFonts w:cstheme="minorHAnsi"/>
          <w:lang w:val="en-US"/>
        </w:rPr>
      </w:pPr>
      <w:proofErr w:type="spellStart"/>
      <w:r w:rsidRPr="00D56690">
        <w:rPr>
          <w:rFonts w:cstheme="minorHAnsi"/>
          <w:lang w:val="en-US"/>
        </w:rPr>
        <w:t>Eggertsson</w:t>
      </w:r>
      <w:proofErr w:type="spellEnd"/>
      <w:r w:rsidRPr="00D56690">
        <w:rPr>
          <w:rFonts w:cstheme="minorHAnsi"/>
          <w:lang w:val="en-US"/>
        </w:rPr>
        <w:t>, G. B., &amp; Woodford, M. (2003). Optimal monetary policy in a liquidity trap.</w:t>
      </w:r>
    </w:p>
    <w:p w14:paraId="53996A31" w14:textId="77777777" w:rsidR="00B12A30" w:rsidRDefault="00B12A30" w:rsidP="00B12A30">
      <w:pPr>
        <w:ind w:left="360"/>
        <w:rPr>
          <w:rFonts w:cstheme="minorHAnsi"/>
          <w:lang w:val="en-US"/>
        </w:rPr>
      </w:pPr>
      <w:proofErr w:type="spellStart"/>
      <w:r w:rsidRPr="00D56690">
        <w:rPr>
          <w:rFonts w:cstheme="minorHAnsi"/>
          <w:lang w:val="en-US"/>
        </w:rPr>
        <w:lastRenderedPageBreak/>
        <w:t>Ehrmann</w:t>
      </w:r>
      <w:proofErr w:type="spellEnd"/>
      <w:r w:rsidRPr="00D56690">
        <w:rPr>
          <w:rFonts w:cstheme="minorHAnsi"/>
          <w:lang w:val="en-US"/>
        </w:rPr>
        <w:t xml:space="preserve">, M., </w:t>
      </w:r>
      <w:proofErr w:type="spellStart"/>
      <w:r w:rsidRPr="00D56690">
        <w:rPr>
          <w:rFonts w:cstheme="minorHAnsi"/>
          <w:lang w:val="en-US"/>
        </w:rPr>
        <w:t>Fratzscher</w:t>
      </w:r>
      <w:proofErr w:type="spellEnd"/>
      <w:r w:rsidRPr="00D56690">
        <w:rPr>
          <w:rFonts w:cstheme="minorHAnsi"/>
          <w:lang w:val="en-US"/>
        </w:rPr>
        <w:t xml:space="preserve">, M., </w:t>
      </w:r>
      <w:proofErr w:type="spellStart"/>
      <w:r w:rsidRPr="00D56690">
        <w:rPr>
          <w:rFonts w:cstheme="minorHAnsi"/>
          <w:lang w:val="en-US"/>
        </w:rPr>
        <w:t>Gürkaynak</w:t>
      </w:r>
      <w:proofErr w:type="spellEnd"/>
      <w:r w:rsidRPr="00D56690">
        <w:rPr>
          <w:rFonts w:cstheme="minorHAnsi"/>
          <w:lang w:val="en-US"/>
        </w:rPr>
        <w:t>, R. S., &amp; Swanson, E. T. (2011). Convergence and anchoring of yield curves in the euro area. The Review of Economics and Statistics, 93(1), 350-364.</w:t>
      </w:r>
    </w:p>
    <w:p w14:paraId="3F8BAB8C" w14:textId="77777777" w:rsidR="00B12A30" w:rsidRPr="00D56690" w:rsidRDefault="00B12A30" w:rsidP="00B12A30">
      <w:pPr>
        <w:ind w:left="360"/>
        <w:rPr>
          <w:rFonts w:cstheme="minorHAnsi"/>
          <w:lang w:val="en-US"/>
        </w:rPr>
      </w:pPr>
    </w:p>
    <w:p w14:paraId="6C40FA37" w14:textId="77777777" w:rsidR="00B12A30" w:rsidRPr="00E065E2" w:rsidRDefault="00B12A30" w:rsidP="00B12A30">
      <w:pPr>
        <w:ind w:left="360"/>
        <w:rPr>
          <w:rFonts w:cstheme="minorHAnsi"/>
          <w:lang w:val="en-US"/>
        </w:rPr>
      </w:pPr>
      <w:proofErr w:type="spellStart"/>
      <w:r w:rsidRPr="00D56690">
        <w:rPr>
          <w:rFonts w:cstheme="minorHAnsi"/>
          <w:lang w:val="en-US"/>
        </w:rPr>
        <w:t>Falagiarda</w:t>
      </w:r>
      <w:proofErr w:type="spellEnd"/>
      <w:r w:rsidRPr="00D56690">
        <w:rPr>
          <w:rFonts w:cstheme="minorHAnsi"/>
          <w:lang w:val="en-US"/>
        </w:rPr>
        <w:t>, M., &amp; Reitz, S. (2015). Announcements of ECB unconventional programs: Implications for the sovereign spreads of stressed euro area countries. Journal of International Money and Finance, 53, 276-295.</w:t>
      </w:r>
    </w:p>
    <w:p w14:paraId="13CC0073" w14:textId="77777777" w:rsidR="00B12A30" w:rsidRDefault="00B12A30" w:rsidP="00B12A30">
      <w:pPr>
        <w:ind w:left="360"/>
        <w:rPr>
          <w:rFonts w:cstheme="minorHAnsi"/>
          <w:lang w:val="en-US"/>
        </w:rPr>
      </w:pPr>
      <w:proofErr w:type="spellStart"/>
      <w:r w:rsidRPr="00D56690">
        <w:rPr>
          <w:rFonts w:cstheme="minorHAnsi"/>
          <w:lang w:val="en-US"/>
        </w:rPr>
        <w:t>Fama</w:t>
      </w:r>
      <w:proofErr w:type="spellEnd"/>
      <w:r w:rsidRPr="00D56690">
        <w:rPr>
          <w:rFonts w:cstheme="minorHAnsi"/>
          <w:lang w:val="en-US"/>
        </w:rPr>
        <w:t>, E. F., &amp; French, K. R. (1996). Multifactor explanations of asset pricing anomalies. The journal of finance, 51(1), 55-84.</w:t>
      </w:r>
    </w:p>
    <w:p w14:paraId="143A07FB" w14:textId="77777777" w:rsidR="00B12A30" w:rsidRPr="00D56690" w:rsidRDefault="00B12A30" w:rsidP="00B12A30">
      <w:pPr>
        <w:ind w:left="360"/>
        <w:rPr>
          <w:rFonts w:cstheme="minorHAnsi"/>
          <w:lang w:val="en-US"/>
        </w:rPr>
      </w:pPr>
    </w:p>
    <w:p w14:paraId="1150F79C" w14:textId="77777777" w:rsidR="00B12A30" w:rsidRDefault="00B12A30" w:rsidP="00B12A30">
      <w:pPr>
        <w:ind w:left="360"/>
        <w:rPr>
          <w:rFonts w:cstheme="minorHAnsi"/>
          <w:lang w:val="en-US"/>
        </w:rPr>
      </w:pPr>
      <w:proofErr w:type="spellStart"/>
      <w:r w:rsidRPr="00E065E2">
        <w:rPr>
          <w:rFonts w:cstheme="minorHAnsi"/>
          <w:lang w:val="en-US"/>
        </w:rPr>
        <w:t>Fendel</w:t>
      </w:r>
      <w:proofErr w:type="spellEnd"/>
      <w:r w:rsidRPr="00E065E2">
        <w:rPr>
          <w:rFonts w:cstheme="minorHAnsi"/>
          <w:lang w:val="en-US"/>
        </w:rPr>
        <w:t>, R., &amp; Neugebauer, F. (2020). Country-specific euro area government bond yield reactions to ECB’s non-standard monetary policy program announcements. German Economic Review, 21(4), 417-474.</w:t>
      </w:r>
    </w:p>
    <w:p w14:paraId="6A37E3D3" w14:textId="77777777" w:rsidR="00B12A30" w:rsidRPr="00D56690" w:rsidRDefault="00B12A30" w:rsidP="00B12A30">
      <w:pPr>
        <w:ind w:left="360"/>
        <w:rPr>
          <w:rFonts w:cstheme="minorHAnsi"/>
          <w:lang w:val="en-US"/>
        </w:rPr>
      </w:pPr>
    </w:p>
    <w:p w14:paraId="7D2C12C7" w14:textId="534EC8AE" w:rsidR="00B12A30" w:rsidRDefault="00B12A30" w:rsidP="00B12A30">
      <w:pPr>
        <w:ind w:left="360"/>
        <w:rPr>
          <w:rFonts w:cstheme="minorHAnsi"/>
          <w:lang w:val="en-US"/>
        </w:rPr>
      </w:pPr>
      <w:proofErr w:type="spellStart"/>
      <w:r w:rsidRPr="00D56690">
        <w:rPr>
          <w:rFonts w:cstheme="minorHAnsi"/>
          <w:lang w:val="en-US"/>
        </w:rPr>
        <w:t>Fendel</w:t>
      </w:r>
      <w:proofErr w:type="spellEnd"/>
      <w:r w:rsidRPr="00D56690">
        <w:rPr>
          <w:rFonts w:cstheme="minorHAnsi"/>
          <w:lang w:val="en-US"/>
        </w:rPr>
        <w:t xml:space="preserve">, R., Neugebauer, F., &amp; Zimmermann, L. (2021). Reactions of euro area </w:t>
      </w:r>
      <w:proofErr w:type="gramStart"/>
      <w:r w:rsidRPr="00D56690">
        <w:rPr>
          <w:rFonts w:cstheme="minorHAnsi"/>
          <w:lang w:val="en-US"/>
        </w:rPr>
        <w:t>government yields</w:t>
      </w:r>
      <w:proofErr w:type="gramEnd"/>
      <w:r w:rsidRPr="00D56690">
        <w:rPr>
          <w:rFonts w:cstheme="minorHAnsi"/>
          <w:lang w:val="en-US"/>
        </w:rPr>
        <w:t xml:space="preserve"> to </w:t>
      </w:r>
      <w:r w:rsidR="004C51EF">
        <w:rPr>
          <w:rFonts w:cstheme="minorHAnsi"/>
          <w:lang w:val="en-US"/>
        </w:rPr>
        <w:t>COVID-19</w:t>
      </w:r>
      <w:r w:rsidRPr="00D56690">
        <w:rPr>
          <w:rFonts w:cstheme="minorHAnsi"/>
          <w:lang w:val="en-US"/>
        </w:rPr>
        <w:t xml:space="preserve"> related policy measure announcements by the European Commission and the European Central Bank. Finance Research Letters, 42, 101917.</w:t>
      </w:r>
    </w:p>
    <w:p w14:paraId="1ED96989" w14:textId="77777777" w:rsidR="00B12A30" w:rsidRPr="00E065E2" w:rsidRDefault="00B12A30" w:rsidP="00B12A30">
      <w:pPr>
        <w:ind w:left="360"/>
        <w:rPr>
          <w:rFonts w:cstheme="minorHAnsi"/>
          <w:lang w:val="en-US"/>
        </w:rPr>
      </w:pPr>
    </w:p>
    <w:p w14:paraId="15B26F62" w14:textId="77777777" w:rsidR="00B12A30" w:rsidRDefault="00B12A30" w:rsidP="00B12A30">
      <w:pPr>
        <w:ind w:left="360"/>
        <w:rPr>
          <w:rFonts w:cstheme="minorHAnsi"/>
          <w:lang w:val="en-US"/>
        </w:rPr>
      </w:pPr>
      <w:proofErr w:type="spellStart"/>
      <w:r w:rsidRPr="00E065E2">
        <w:rPr>
          <w:rFonts w:cstheme="minorHAnsi"/>
          <w:lang w:val="en-US"/>
        </w:rPr>
        <w:t>Fiordelisi</w:t>
      </w:r>
      <w:proofErr w:type="spellEnd"/>
      <w:r w:rsidRPr="00E065E2">
        <w:rPr>
          <w:rFonts w:cstheme="minorHAnsi"/>
          <w:lang w:val="en-US"/>
        </w:rPr>
        <w:t xml:space="preserve">, F., </w:t>
      </w:r>
      <w:proofErr w:type="spellStart"/>
      <w:r w:rsidRPr="00E065E2">
        <w:rPr>
          <w:rFonts w:cstheme="minorHAnsi"/>
          <w:lang w:val="en-US"/>
        </w:rPr>
        <w:t>Galloppo</w:t>
      </w:r>
      <w:proofErr w:type="spellEnd"/>
      <w:r w:rsidRPr="00E065E2">
        <w:rPr>
          <w:rFonts w:cstheme="minorHAnsi"/>
          <w:lang w:val="en-US"/>
        </w:rPr>
        <w:t>, G., &amp; Ricci, O. (2014). The effect of monetary policy interventions on interbank markets, equity indices and G-SIFIs during financial crisis. Journal of Financial Stability, 11, 49-61.</w:t>
      </w:r>
    </w:p>
    <w:p w14:paraId="7967C86E" w14:textId="77777777" w:rsidR="00B12A30" w:rsidRPr="00E065E2" w:rsidRDefault="00B12A30" w:rsidP="00B12A30">
      <w:pPr>
        <w:ind w:left="360"/>
        <w:rPr>
          <w:rFonts w:cstheme="minorHAnsi"/>
          <w:lang w:val="en-US"/>
        </w:rPr>
      </w:pPr>
    </w:p>
    <w:p w14:paraId="1D812F41" w14:textId="77777777" w:rsidR="00B12A30" w:rsidRPr="00D56690" w:rsidRDefault="00B12A30" w:rsidP="00B12A30">
      <w:pPr>
        <w:ind w:left="360"/>
        <w:rPr>
          <w:rFonts w:cstheme="minorHAnsi"/>
          <w:lang w:val="en-US"/>
        </w:rPr>
      </w:pPr>
      <w:r w:rsidRPr="00D56690">
        <w:rPr>
          <w:rFonts w:cstheme="minorHAnsi"/>
          <w:lang w:val="en-US"/>
        </w:rPr>
        <w:t>Gagnon, J. (2016). Quantitative easing: An underappreciated success. PIIE Policy Brief, 16.</w:t>
      </w:r>
    </w:p>
    <w:p w14:paraId="02BE4A35" w14:textId="77777777" w:rsidR="00D65D51" w:rsidRDefault="00D65D51" w:rsidP="00B12A30">
      <w:pPr>
        <w:ind w:left="360"/>
        <w:rPr>
          <w:rFonts w:cstheme="minorHAnsi"/>
          <w:lang w:val="en-US"/>
        </w:rPr>
      </w:pPr>
    </w:p>
    <w:p w14:paraId="7FFE9DDC" w14:textId="46B7582B" w:rsidR="00B12A30" w:rsidRDefault="00B12A30" w:rsidP="00B12A30">
      <w:pPr>
        <w:ind w:left="360"/>
        <w:rPr>
          <w:rFonts w:cstheme="minorHAnsi"/>
          <w:lang w:val="en-US"/>
        </w:rPr>
      </w:pPr>
      <w:r w:rsidRPr="00D56690">
        <w:rPr>
          <w:rFonts w:cstheme="minorHAnsi"/>
          <w:lang w:val="en-US"/>
        </w:rPr>
        <w:t xml:space="preserve">Gagnon, J., </w:t>
      </w:r>
      <w:proofErr w:type="spellStart"/>
      <w:r w:rsidRPr="00D56690">
        <w:rPr>
          <w:rFonts w:cstheme="minorHAnsi"/>
          <w:lang w:val="en-US"/>
        </w:rPr>
        <w:t>Raskin</w:t>
      </w:r>
      <w:proofErr w:type="spellEnd"/>
      <w:r w:rsidRPr="00D56690">
        <w:rPr>
          <w:rFonts w:cstheme="minorHAnsi"/>
          <w:lang w:val="en-US"/>
        </w:rPr>
        <w:t xml:space="preserve">, M., </w:t>
      </w:r>
      <w:proofErr w:type="spellStart"/>
      <w:r w:rsidRPr="00D56690">
        <w:rPr>
          <w:rFonts w:cstheme="minorHAnsi"/>
          <w:lang w:val="en-US"/>
        </w:rPr>
        <w:t>Remache</w:t>
      </w:r>
      <w:proofErr w:type="spellEnd"/>
      <w:r w:rsidRPr="00D56690">
        <w:rPr>
          <w:rFonts w:cstheme="minorHAnsi"/>
          <w:lang w:val="en-US"/>
        </w:rPr>
        <w:t>, J., &amp; Sack, B. (2018). The financial market effects of the Federal Reserve's large-scale asset purchases. 24th issue (Mar 2011) of the International Journal of Central Banking.</w:t>
      </w:r>
    </w:p>
    <w:p w14:paraId="65FB0B8A" w14:textId="77777777" w:rsidR="00B12A30" w:rsidRPr="00D56690" w:rsidRDefault="00B12A30" w:rsidP="00B12A30">
      <w:pPr>
        <w:ind w:left="360"/>
        <w:rPr>
          <w:rFonts w:cstheme="minorHAnsi"/>
          <w:lang w:val="en-US"/>
        </w:rPr>
      </w:pPr>
    </w:p>
    <w:p w14:paraId="6AF68878" w14:textId="77777777" w:rsidR="00B12A30" w:rsidRDefault="00B12A30" w:rsidP="00B12A30">
      <w:pPr>
        <w:ind w:left="360"/>
        <w:rPr>
          <w:rFonts w:cstheme="minorHAnsi"/>
          <w:lang w:val="en-US"/>
        </w:rPr>
      </w:pPr>
      <w:proofErr w:type="spellStart"/>
      <w:r w:rsidRPr="00D56690">
        <w:rPr>
          <w:rFonts w:cstheme="minorHAnsi"/>
          <w:lang w:val="en-US"/>
        </w:rPr>
        <w:lastRenderedPageBreak/>
        <w:t>Gambacorta</w:t>
      </w:r>
      <w:proofErr w:type="spellEnd"/>
      <w:r w:rsidRPr="00D56690">
        <w:rPr>
          <w:rFonts w:cstheme="minorHAnsi"/>
          <w:lang w:val="en-US"/>
        </w:rPr>
        <w:t xml:space="preserve">, L., Hofmann, B., &amp; </w:t>
      </w:r>
      <w:proofErr w:type="spellStart"/>
      <w:r w:rsidRPr="00D56690">
        <w:rPr>
          <w:rFonts w:cstheme="minorHAnsi"/>
          <w:lang w:val="en-US"/>
        </w:rPr>
        <w:t>Peersman</w:t>
      </w:r>
      <w:proofErr w:type="spellEnd"/>
      <w:r w:rsidRPr="00D56690">
        <w:rPr>
          <w:rFonts w:cstheme="minorHAnsi"/>
          <w:lang w:val="en-US"/>
        </w:rPr>
        <w:t>, G. (2014). The effectiveness of unconventional monetary policy at the zero lower bound: A cross‐country analysis. Journal of Money, Credit and Banking, 46(4), 615-642.</w:t>
      </w:r>
    </w:p>
    <w:p w14:paraId="0EDE4D8C" w14:textId="77777777" w:rsidR="00B12A30" w:rsidRPr="00D56690" w:rsidRDefault="00B12A30" w:rsidP="00B12A30">
      <w:pPr>
        <w:ind w:left="360"/>
        <w:rPr>
          <w:rFonts w:cstheme="minorHAnsi"/>
          <w:lang w:val="en-US"/>
        </w:rPr>
      </w:pPr>
    </w:p>
    <w:p w14:paraId="0151A158" w14:textId="77777777" w:rsidR="00B12A30" w:rsidRDefault="00B12A30" w:rsidP="00B12A30">
      <w:pPr>
        <w:ind w:left="360"/>
        <w:rPr>
          <w:rFonts w:cstheme="minorHAnsi"/>
          <w:lang w:val="en-US"/>
        </w:rPr>
      </w:pPr>
      <w:proofErr w:type="spellStart"/>
      <w:r w:rsidRPr="00D56690">
        <w:rPr>
          <w:rFonts w:cstheme="minorHAnsi"/>
          <w:lang w:val="en-US"/>
        </w:rPr>
        <w:t>Gambacorta</w:t>
      </w:r>
      <w:proofErr w:type="spellEnd"/>
      <w:r w:rsidRPr="00D56690">
        <w:rPr>
          <w:rFonts w:cstheme="minorHAnsi"/>
          <w:lang w:val="en-US"/>
        </w:rPr>
        <w:t xml:space="preserve">, L., Hofmann, B., &amp; </w:t>
      </w:r>
      <w:proofErr w:type="spellStart"/>
      <w:r w:rsidRPr="00D56690">
        <w:rPr>
          <w:rFonts w:cstheme="minorHAnsi"/>
          <w:lang w:val="en-US"/>
        </w:rPr>
        <w:t>Peersman</w:t>
      </w:r>
      <w:proofErr w:type="spellEnd"/>
      <w:r w:rsidRPr="00D56690">
        <w:rPr>
          <w:rFonts w:cstheme="minorHAnsi"/>
          <w:lang w:val="en-US"/>
        </w:rPr>
        <w:t>, G. (2014). The effectiveness of unconventional monetary policy at the zero lower bound: A cross‐country analysis. Journal of Money, Credit and Banking, 46(4), 615-642.</w:t>
      </w:r>
    </w:p>
    <w:p w14:paraId="33A76A43" w14:textId="77777777" w:rsidR="00B12A30" w:rsidRPr="00D56690" w:rsidRDefault="00B12A30" w:rsidP="00B12A30">
      <w:pPr>
        <w:ind w:left="360"/>
        <w:rPr>
          <w:rFonts w:cstheme="minorHAnsi"/>
          <w:lang w:val="en-US"/>
        </w:rPr>
      </w:pPr>
    </w:p>
    <w:p w14:paraId="38A45625" w14:textId="77777777" w:rsidR="00B12A30" w:rsidRDefault="00B12A30" w:rsidP="00B12A30">
      <w:pPr>
        <w:ind w:left="360"/>
        <w:rPr>
          <w:rFonts w:cstheme="minorHAnsi"/>
          <w:lang w:val="en-US"/>
        </w:rPr>
      </w:pPr>
      <w:proofErr w:type="spellStart"/>
      <w:r w:rsidRPr="00D56690">
        <w:rPr>
          <w:rFonts w:cstheme="minorHAnsi"/>
          <w:lang w:val="en-US"/>
        </w:rPr>
        <w:t>Gambetti</w:t>
      </w:r>
      <w:proofErr w:type="spellEnd"/>
      <w:r w:rsidRPr="00D56690">
        <w:rPr>
          <w:rFonts w:cstheme="minorHAnsi"/>
          <w:lang w:val="en-US"/>
        </w:rPr>
        <w:t xml:space="preserve">, L., &amp; </w:t>
      </w:r>
      <w:proofErr w:type="spellStart"/>
      <w:r w:rsidRPr="00D56690">
        <w:rPr>
          <w:rFonts w:cstheme="minorHAnsi"/>
          <w:lang w:val="en-US"/>
        </w:rPr>
        <w:t>Musso</w:t>
      </w:r>
      <w:proofErr w:type="spellEnd"/>
      <w:r w:rsidRPr="00D56690">
        <w:rPr>
          <w:rFonts w:cstheme="minorHAnsi"/>
          <w:lang w:val="en-US"/>
        </w:rPr>
        <w:t xml:space="preserve">, A. (2017). The macroeconomic impact of the ECB's expanded asset purchase </w:t>
      </w:r>
      <w:proofErr w:type="spellStart"/>
      <w:r w:rsidRPr="00D56690">
        <w:rPr>
          <w:rFonts w:cstheme="minorHAnsi"/>
          <w:lang w:val="en-US"/>
        </w:rPr>
        <w:t>programme</w:t>
      </w:r>
      <w:proofErr w:type="spellEnd"/>
      <w:r w:rsidRPr="00D56690">
        <w:rPr>
          <w:rFonts w:cstheme="minorHAnsi"/>
          <w:lang w:val="en-US"/>
        </w:rPr>
        <w:t xml:space="preserve"> (APP).</w:t>
      </w:r>
    </w:p>
    <w:p w14:paraId="1389AB90" w14:textId="77777777" w:rsidR="00B12A30" w:rsidRPr="00E065E2" w:rsidRDefault="00B12A30" w:rsidP="00B12A30">
      <w:pPr>
        <w:ind w:left="360"/>
        <w:rPr>
          <w:rFonts w:cstheme="minorHAnsi"/>
          <w:lang w:val="en-US"/>
        </w:rPr>
      </w:pPr>
    </w:p>
    <w:p w14:paraId="23877481" w14:textId="77777777" w:rsidR="00B12A30" w:rsidRDefault="00B12A30" w:rsidP="00B12A30">
      <w:pPr>
        <w:ind w:left="360"/>
        <w:rPr>
          <w:rFonts w:cstheme="minorHAnsi"/>
          <w:lang w:val="en-US"/>
        </w:rPr>
      </w:pPr>
      <w:proofErr w:type="spellStart"/>
      <w:r w:rsidRPr="00D56690">
        <w:rPr>
          <w:rFonts w:cstheme="minorHAnsi"/>
          <w:lang w:val="en-US"/>
        </w:rPr>
        <w:t>Gödl</w:t>
      </w:r>
      <w:proofErr w:type="spellEnd"/>
      <w:r w:rsidRPr="00D56690">
        <w:rPr>
          <w:rFonts w:cstheme="minorHAnsi"/>
          <w:lang w:val="en-US"/>
        </w:rPr>
        <w:t xml:space="preserve">, M., &amp; Kleinert, J. (2016). Interest rate spreads in the eurozone: Fundamentals or </w:t>
      </w:r>
      <w:proofErr w:type="gramStart"/>
      <w:r w:rsidRPr="00D56690">
        <w:rPr>
          <w:rFonts w:cstheme="minorHAnsi"/>
          <w:lang w:val="en-US"/>
        </w:rPr>
        <w:t>sentiments?.</w:t>
      </w:r>
      <w:proofErr w:type="gramEnd"/>
      <w:r w:rsidRPr="00D56690">
        <w:rPr>
          <w:rFonts w:cstheme="minorHAnsi"/>
          <w:lang w:val="en-US"/>
        </w:rPr>
        <w:t> Review of World Economics, 152(3), 449-475.</w:t>
      </w:r>
    </w:p>
    <w:p w14:paraId="1E8D2D64" w14:textId="77777777" w:rsidR="00B12A30" w:rsidRPr="00E065E2" w:rsidRDefault="00B12A30" w:rsidP="00B12A30">
      <w:pPr>
        <w:ind w:left="360"/>
        <w:rPr>
          <w:rFonts w:cstheme="minorHAnsi"/>
          <w:lang w:val="en-US"/>
        </w:rPr>
      </w:pPr>
    </w:p>
    <w:p w14:paraId="29131578" w14:textId="77777777" w:rsidR="00B12A30" w:rsidRDefault="00B12A30" w:rsidP="00B12A30">
      <w:pPr>
        <w:ind w:left="360"/>
        <w:rPr>
          <w:rFonts w:cstheme="minorHAnsi"/>
          <w:lang w:val="en-US"/>
        </w:rPr>
      </w:pPr>
      <w:proofErr w:type="spellStart"/>
      <w:r w:rsidRPr="00D56690">
        <w:rPr>
          <w:rFonts w:cstheme="minorHAnsi"/>
          <w:lang w:val="en-US"/>
        </w:rPr>
        <w:t>Graffin</w:t>
      </w:r>
      <w:proofErr w:type="spellEnd"/>
      <w:r w:rsidRPr="00D56690">
        <w:rPr>
          <w:rFonts w:cstheme="minorHAnsi"/>
          <w:lang w:val="en-US"/>
        </w:rPr>
        <w:t xml:space="preserve">, S. D., </w:t>
      </w:r>
      <w:proofErr w:type="spellStart"/>
      <w:r w:rsidRPr="00D56690">
        <w:rPr>
          <w:rFonts w:cstheme="minorHAnsi"/>
          <w:lang w:val="en-US"/>
        </w:rPr>
        <w:t>Haleblian</w:t>
      </w:r>
      <w:proofErr w:type="spellEnd"/>
      <w:r w:rsidRPr="00D56690">
        <w:rPr>
          <w:rFonts w:cstheme="minorHAnsi"/>
          <w:lang w:val="en-US"/>
        </w:rPr>
        <w:t>, J., &amp; Kiley, J. T. (2016). Ready, AIM, acquire: Impression offsetting and acquisitions. Academy of Management Journal, 59(1), 232-252.</w:t>
      </w:r>
    </w:p>
    <w:p w14:paraId="5C2B62A6" w14:textId="77777777" w:rsidR="00B12A30" w:rsidRPr="00D56690" w:rsidRDefault="00B12A30" w:rsidP="00B12A30">
      <w:pPr>
        <w:ind w:left="360"/>
        <w:rPr>
          <w:rFonts w:cstheme="minorHAnsi"/>
          <w:lang w:val="en-US"/>
        </w:rPr>
      </w:pPr>
    </w:p>
    <w:p w14:paraId="07747424" w14:textId="77777777" w:rsidR="00B12A30" w:rsidRDefault="00B12A30" w:rsidP="00B12A30">
      <w:pPr>
        <w:ind w:left="360"/>
        <w:rPr>
          <w:rFonts w:cstheme="minorHAnsi"/>
          <w:lang w:val="en-US"/>
        </w:rPr>
      </w:pPr>
      <w:r w:rsidRPr="00D56690">
        <w:rPr>
          <w:rFonts w:cstheme="minorHAnsi"/>
          <w:lang w:val="en-US"/>
        </w:rPr>
        <w:t xml:space="preserve">Joyce, M., Tong, M., &amp; Woods, R. (2011). The United Kingdom’s quantitative easing policy: design, </w:t>
      </w:r>
      <w:proofErr w:type="gramStart"/>
      <w:r w:rsidRPr="00D56690">
        <w:rPr>
          <w:rFonts w:cstheme="minorHAnsi"/>
          <w:lang w:val="en-US"/>
        </w:rPr>
        <w:t>operation</w:t>
      </w:r>
      <w:proofErr w:type="gramEnd"/>
      <w:r w:rsidRPr="00D56690">
        <w:rPr>
          <w:rFonts w:cstheme="minorHAnsi"/>
          <w:lang w:val="en-US"/>
        </w:rPr>
        <w:t xml:space="preserve"> and impact. Bank of England Quarterly Bulletin.</w:t>
      </w:r>
    </w:p>
    <w:p w14:paraId="199849E5" w14:textId="77777777" w:rsidR="00B12A30" w:rsidRPr="00D56690" w:rsidRDefault="00B12A30" w:rsidP="00B12A30">
      <w:pPr>
        <w:ind w:left="360"/>
        <w:rPr>
          <w:rFonts w:cstheme="minorHAnsi"/>
          <w:lang w:val="en-US"/>
        </w:rPr>
      </w:pPr>
    </w:p>
    <w:p w14:paraId="02578E3E" w14:textId="77777777" w:rsidR="00B12A30" w:rsidRDefault="00B12A30" w:rsidP="00B12A30">
      <w:pPr>
        <w:ind w:left="360"/>
        <w:rPr>
          <w:rFonts w:cstheme="minorHAnsi"/>
          <w:lang w:val="en-US"/>
        </w:rPr>
      </w:pPr>
      <w:r w:rsidRPr="00D56690">
        <w:rPr>
          <w:rFonts w:cstheme="minorHAnsi"/>
          <w:lang w:val="en-US"/>
        </w:rPr>
        <w:t xml:space="preserve">Krishnamurthy, A., &amp; </w:t>
      </w:r>
      <w:proofErr w:type="spellStart"/>
      <w:r w:rsidRPr="00D56690">
        <w:rPr>
          <w:rFonts w:cstheme="minorHAnsi"/>
          <w:lang w:val="en-US"/>
        </w:rPr>
        <w:t>Vissing</w:t>
      </w:r>
      <w:proofErr w:type="spellEnd"/>
      <w:r w:rsidRPr="00D56690">
        <w:rPr>
          <w:rFonts w:cstheme="minorHAnsi"/>
          <w:lang w:val="en-US"/>
        </w:rPr>
        <w:t>-Jorgensen, A. (2011). The effects of quantitative easing on interest rates: channels and implications for policy (No. w17555). National Bureau of Economic Research.</w:t>
      </w:r>
    </w:p>
    <w:p w14:paraId="73F88EE7" w14:textId="77777777" w:rsidR="00B12A30" w:rsidRPr="00D56690" w:rsidRDefault="00B12A30" w:rsidP="00B12A30">
      <w:pPr>
        <w:ind w:left="360"/>
        <w:rPr>
          <w:rFonts w:cstheme="minorHAnsi"/>
          <w:lang w:val="en-US"/>
        </w:rPr>
      </w:pPr>
    </w:p>
    <w:p w14:paraId="218F1E78" w14:textId="77777777" w:rsidR="00B12A30" w:rsidRDefault="00B12A30" w:rsidP="00B12A30">
      <w:pPr>
        <w:ind w:left="360"/>
        <w:rPr>
          <w:rFonts w:cstheme="minorHAnsi"/>
          <w:lang w:val="en-US"/>
        </w:rPr>
      </w:pPr>
      <w:proofErr w:type="spellStart"/>
      <w:r w:rsidRPr="00E065E2">
        <w:rPr>
          <w:rFonts w:cstheme="minorHAnsi"/>
          <w:lang w:val="en-US"/>
        </w:rPr>
        <w:t>Kuttner</w:t>
      </w:r>
      <w:proofErr w:type="spellEnd"/>
      <w:r w:rsidRPr="00E065E2">
        <w:rPr>
          <w:rFonts w:cstheme="minorHAnsi"/>
          <w:lang w:val="en-US"/>
        </w:rPr>
        <w:t>, K. N. (2001). Monetary policy surprises and interest rates: Evidence from the Fed funds futures market. Journal of monetary economics, 47(3), 523-544.</w:t>
      </w:r>
    </w:p>
    <w:p w14:paraId="0A90B764" w14:textId="77777777" w:rsidR="00B12A30" w:rsidRPr="00E065E2" w:rsidRDefault="00B12A30" w:rsidP="00B12A30">
      <w:pPr>
        <w:ind w:left="360"/>
        <w:rPr>
          <w:rFonts w:cstheme="minorHAnsi"/>
          <w:lang w:val="en-US"/>
        </w:rPr>
      </w:pPr>
    </w:p>
    <w:p w14:paraId="6CD829FA" w14:textId="5CD0DCAF" w:rsidR="00B12A30" w:rsidRDefault="00B12A30" w:rsidP="00B12A30">
      <w:pPr>
        <w:ind w:left="360"/>
        <w:rPr>
          <w:rFonts w:cstheme="minorHAnsi"/>
          <w:lang w:val="en-US"/>
        </w:rPr>
      </w:pPr>
      <w:r w:rsidRPr="00E065E2">
        <w:rPr>
          <w:rFonts w:cstheme="minorHAnsi"/>
          <w:lang w:val="en-US"/>
        </w:rPr>
        <w:lastRenderedPageBreak/>
        <w:t>Lagarde</w:t>
      </w:r>
      <w:r w:rsidR="00D65D51">
        <w:rPr>
          <w:rFonts w:cstheme="minorHAnsi"/>
          <w:lang w:val="en-US"/>
        </w:rPr>
        <w:t xml:space="preserve"> </w:t>
      </w:r>
      <w:r w:rsidRPr="00E065E2">
        <w:rPr>
          <w:rFonts w:cstheme="minorHAnsi"/>
          <w:lang w:val="en-US"/>
        </w:rPr>
        <w:t xml:space="preserve">(2020). Press conference Lagarde, European Central Bank. Available at: https://www.ecb.europa.eu/home/search/coronavirus/html/index.en.html (Accessed: October 10, 2022). </w:t>
      </w:r>
    </w:p>
    <w:p w14:paraId="3BCF53EE" w14:textId="77777777" w:rsidR="00B12A30" w:rsidRPr="00E065E2" w:rsidRDefault="00B12A30" w:rsidP="00B12A30">
      <w:pPr>
        <w:ind w:left="360"/>
        <w:rPr>
          <w:rFonts w:cstheme="minorHAnsi"/>
          <w:lang w:val="en-US"/>
        </w:rPr>
      </w:pPr>
    </w:p>
    <w:p w14:paraId="1BD3B1E5" w14:textId="77777777" w:rsidR="00B12A30" w:rsidRDefault="00B12A30" w:rsidP="00B12A30">
      <w:pPr>
        <w:ind w:left="360"/>
        <w:rPr>
          <w:rFonts w:cstheme="minorHAnsi"/>
          <w:lang w:val="en-US"/>
        </w:rPr>
      </w:pPr>
      <w:proofErr w:type="spellStart"/>
      <w:r w:rsidRPr="00E065E2">
        <w:rPr>
          <w:rFonts w:cstheme="minorHAnsi"/>
          <w:lang w:val="en-US"/>
        </w:rPr>
        <w:t>Mojon</w:t>
      </w:r>
      <w:proofErr w:type="spellEnd"/>
      <w:r w:rsidRPr="00E065E2">
        <w:rPr>
          <w:rFonts w:cstheme="minorHAnsi"/>
          <w:lang w:val="en-US"/>
        </w:rPr>
        <w:t>, B. (2000). Financial structure and the interest rate channel of ECB monetary policy. Available at SSRN 356001.</w:t>
      </w:r>
    </w:p>
    <w:p w14:paraId="235C6F44" w14:textId="77777777" w:rsidR="00B12A30" w:rsidRPr="00E065E2" w:rsidRDefault="00B12A30" w:rsidP="00B12A30">
      <w:pPr>
        <w:ind w:left="360"/>
        <w:rPr>
          <w:rFonts w:cstheme="minorHAnsi"/>
          <w:lang w:val="en-US"/>
        </w:rPr>
      </w:pPr>
    </w:p>
    <w:p w14:paraId="2C254BB6" w14:textId="77777777" w:rsidR="00B12A30" w:rsidRDefault="00B12A30" w:rsidP="00B12A30">
      <w:pPr>
        <w:ind w:left="360"/>
        <w:rPr>
          <w:rFonts w:cstheme="minorHAnsi"/>
          <w:lang w:val="en-US"/>
        </w:rPr>
      </w:pPr>
      <w:proofErr w:type="spellStart"/>
      <w:r w:rsidRPr="00E065E2">
        <w:rPr>
          <w:rFonts w:cstheme="minorHAnsi"/>
          <w:lang w:val="en-US"/>
        </w:rPr>
        <w:t>Paludkiewicz</w:t>
      </w:r>
      <w:proofErr w:type="spellEnd"/>
      <w:r w:rsidRPr="00E065E2">
        <w:rPr>
          <w:rFonts w:cstheme="minorHAnsi"/>
          <w:lang w:val="en-US"/>
        </w:rPr>
        <w:t>, K. (2021). Unconventional monetary policy, bank lending, and security holdings: the yield-induced portfolio-rebalancing channel. Journal of Financial and Quantitative Analysis, 56(2), 531-568.</w:t>
      </w:r>
    </w:p>
    <w:p w14:paraId="2DD64DF3" w14:textId="77777777" w:rsidR="00B12A30" w:rsidRPr="00E065E2" w:rsidRDefault="00B12A30" w:rsidP="00B12A30">
      <w:pPr>
        <w:ind w:left="360"/>
        <w:rPr>
          <w:rFonts w:cstheme="minorHAnsi"/>
          <w:lang w:val="en-US"/>
        </w:rPr>
      </w:pPr>
    </w:p>
    <w:p w14:paraId="11792C09" w14:textId="77777777" w:rsidR="00B12A30" w:rsidRDefault="00B12A30" w:rsidP="00B12A30">
      <w:pPr>
        <w:ind w:left="360"/>
        <w:rPr>
          <w:rFonts w:cstheme="minorHAnsi"/>
          <w:lang w:val="en-US"/>
        </w:rPr>
      </w:pPr>
      <w:proofErr w:type="spellStart"/>
      <w:r w:rsidRPr="00D56690">
        <w:rPr>
          <w:rFonts w:cstheme="minorHAnsi"/>
          <w:lang w:val="en-US"/>
        </w:rPr>
        <w:t>Pesaran</w:t>
      </w:r>
      <w:proofErr w:type="spellEnd"/>
      <w:r w:rsidRPr="00D56690">
        <w:rPr>
          <w:rFonts w:cstheme="minorHAnsi"/>
          <w:lang w:val="en-US"/>
        </w:rPr>
        <w:t xml:space="preserve">, M. H., &amp; Smith, R. (1995). Estimating long-run relationships from dynamic heterogeneous panels. Journal of </w:t>
      </w:r>
      <w:proofErr w:type="gramStart"/>
      <w:r w:rsidRPr="00D56690">
        <w:rPr>
          <w:rFonts w:cstheme="minorHAnsi"/>
          <w:lang w:val="en-US"/>
        </w:rPr>
        <w:t>econometrics</w:t>
      </w:r>
      <w:proofErr w:type="gramEnd"/>
      <w:r w:rsidRPr="00D56690">
        <w:rPr>
          <w:rFonts w:cstheme="minorHAnsi"/>
          <w:lang w:val="en-US"/>
        </w:rPr>
        <w:t>, 68(1), 79-113.</w:t>
      </w:r>
    </w:p>
    <w:p w14:paraId="709B170E" w14:textId="77777777" w:rsidR="00B12A30" w:rsidRPr="00D56690" w:rsidRDefault="00B12A30" w:rsidP="00B12A30">
      <w:pPr>
        <w:ind w:left="360"/>
        <w:rPr>
          <w:rFonts w:cstheme="minorHAnsi"/>
          <w:lang w:val="en-US"/>
        </w:rPr>
      </w:pPr>
    </w:p>
    <w:p w14:paraId="08D0605C" w14:textId="77777777" w:rsidR="00B12A30" w:rsidRPr="00E065E2" w:rsidRDefault="00B12A30" w:rsidP="00B12A30">
      <w:pPr>
        <w:ind w:left="360"/>
        <w:rPr>
          <w:rFonts w:cstheme="minorHAnsi"/>
          <w:lang w:val="en-US"/>
        </w:rPr>
      </w:pPr>
      <w:r w:rsidRPr="00E065E2">
        <w:rPr>
          <w:rFonts w:cstheme="minorHAnsi"/>
          <w:lang w:val="en-US"/>
        </w:rPr>
        <w:t>Ricci, O. (2015). The impact of monetary policy announcements on the stock price of large European banks during the financial crisis. Journal of Banking &amp; Finance, 52, 245-255.</w:t>
      </w:r>
    </w:p>
    <w:p w14:paraId="3D0D6F08" w14:textId="77777777" w:rsidR="00B12A30" w:rsidRDefault="00B12A30" w:rsidP="00B12A30">
      <w:pPr>
        <w:ind w:left="360"/>
        <w:rPr>
          <w:rFonts w:cstheme="minorHAnsi"/>
          <w:lang w:val="en-US"/>
        </w:rPr>
      </w:pPr>
      <w:r w:rsidRPr="00E065E2">
        <w:rPr>
          <w:rFonts w:cstheme="minorHAnsi"/>
          <w:lang w:val="en-US"/>
        </w:rPr>
        <w:t>Scotti, C. (2016). Surprise and uncertainty indexes: Real-time aggregation of real-activity macro-surprises. </w:t>
      </w:r>
      <w:r w:rsidRPr="00E065E2">
        <w:rPr>
          <w:rFonts w:cstheme="minorHAnsi"/>
          <w:i/>
          <w:iCs/>
          <w:lang w:val="en-US"/>
        </w:rPr>
        <w:t>Journal of Monetary Economics</w:t>
      </w:r>
      <w:r w:rsidRPr="00E065E2">
        <w:rPr>
          <w:rFonts w:cstheme="minorHAnsi"/>
          <w:lang w:val="en-US"/>
        </w:rPr>
        <w:t>, </w:t>
      </w:r>
      <w:r w:rsidRPr="00E065E2">
        <w:rPr>
          <w:rFonts w:cstheme="minorHAnsi"/>
          <w:i/>
          <w:iCs/>
          <w:lang w:val="en-US"/>
        </w:rPr>
        <w:t>82</w:t>
      </w:r>
      <w:r w:rsidRPr="00E065E2">
        <w:rPr>
          <w:rFonts w:cstheme="minorHAnsi"/>
          <w:lang w:val="en-US"/>
        </w:rPr>
        <w:t>, 1-19.</w:t>
      </w:r>
    </w:p>
    <w:p w14:paraId="476955EE" w14:textId="77777777" w:rsidR="00B12A30" w:rsidRPr="00E065E2" w:rsidRDefault="00B12A30" w:rsidP="00B12A30">
      <w:pPr>
        <w:ind w:left="360"/>
        <w:rPr>
          <w:rFonts w:cstheme="minorHAnsi"/>
          <w:lang w:val="en-US"/>
        </w:rPr>
      </w:pPr>
    </w:p>
    <w:p w14:paraId="2F126500" w14:textId="77777777" w:rsidR="00B12A30" w:rsidRPr="00E065E2" w:rsidRDefault="00B12A30" w:rsidP="00B12A30">
      <w:pPr>
        <w:ind w:left="360"/>
        <w:rPr>
          <w:rFonts w:cstheme="minorHAnsi"/>
          <w:lang w:val="en-US"/>
        </w:rPr>
      </w:pPr>
      <w:proofErr w:type="spellStart"/>
      <w:r w:rsidRPr="00D56690">
        <w:rPr>
          <w:rFonts w:cstheme="minorHAnsi"/>
          <w:lang w:val="en-US"/>
        </w:rPr>
        <w:t>Urbschat</w:t>
      </w:r>
      <w:proofErr w:type="spellEnd"/>
      <w:r w:rsidRPr="00D56690">
        <w:rPr>
          <w:rFonts w:cstheme="minorHAnsi"/>
          <w:lang w:val="en-US"/>
        </w:rPr>
        <w:t xml:space="preserve">, F., &amp; </w:t>
      </w:r>
      <w:proofErr w:type="spellStart"/>
      <w:r w:rsidRPr="00D56690">
        <w:rPr>
          <w:rFonts w:cstheme="minorHAnsi"/>
          <w:lang w:val="en-US"/>
        </w:rPr>
        <w:t>Watzka</w:t>
      </w:r>
      <w:proofErr w:type="spellEnd"/>
      <w:r w:rsidRPr="00D56690">
        <w:rPr>
          <w:rFonts w:cstheme="minorHAnsi"/>
          <w:lang w:val="en-US"/>
        </w:rPr>
        <w:t>, S. (2020). Quantitative easing in the Euro Area–An event study approach. The Quarterly review of economics and finance, 77, 14-36.</w:t>
      </w:r>
    </w:p>
    <w:p w14:paraId="3B57BBE8" w14:textId="77777777" w:rsidR="00143258" w:rsidRDefault="00143258">
      <w:pPr>
        <w:spacing w:line="276" w:lineRule="auto"/>
        <w:ind w:left="202" w:firstLine="0"/>
        <w:rPr>
          <w:rFonts w:ascii="Calibri" w:hAnsi="Calibri" w:cs="Calibri"/>
        </w:rPr>
      </w:pPr>
    </w:p>
    <w:p w14:paraId="542858F1" w14:textId="77777777" w:rsidR="002B2E7A" w:rsidRDefault="002B2E7A" w:rsidP="002B2E7A">
      <w:pPr>
        <w:spacing w:line="240" w:lineRule="auto"/>
        <w:ind w:firstLine="0"/>
        <w:jc w:val="left"/>
      </w:pPr>
    </w:p>
    <w:p w14:paraId="2AE8EF51" w14:textId="77777777" w:rsidR="002B2E7A" w:rsidRDefault="002B2E7A" w:rsidP="002B2E7A">
      <w:pPr>
        <w:spacing w:line="240" w:lineRule="auto"/>
        <w:ind w:firstLine="0"/>
        <w:jc w:val="left"/>
      </w:pPr>
    </w:p>
    <w:p w14:paraId="4531C121" w14:textId="77777777" w:rsidR="002B2E7A" w:rsidRDefault="002B2E7A" w:rsidP="002B2E7A">
      <w:pPr>
        <w:spacing w:line="240" w:lineRule="auto"/>
        <w:ind w:firstLine="0"/>
        <w:jc w:val="left"/>
      </w:pPr>
    </w:p>
    <w:p w14:paraId="20CAEC80" w14:textId="77777777" w:rsidR="002B2E7A" w:rsidRDefault="002B2E7A" w:rsidP="002B2E7A">
      <w:pPr>
        <w:spacing w:line="240" w:lineRule="auto"/>
        <w:ind w:firstLine="0"/>
        <w:jc w:val="left"/>
      </w:pPr>
    </w:p>
    <w:p w14:paraId="23DFB85A" w14:textId="77777777" w:rsidR="002B2E7A" w:rsidRDefault="002B2E7A" w:rsidP="002B2E7A">
      <w:pPr>
        <w:spacing w:line="240" w:lineRule="auto"/>
        <w:ind w:firstLine="0"/>
        <w:jc w:val="left"/>
      </w:pPr>
    </w:p>
    <w:p w14:paraId="58B023F8" w14:textId="77777777" w:rsidR="002B2E7A" w:rsidRDefault="002B2E7A" w:rsidP="002B2E7A">
      <w:pPr>
        <w:spacing w:line="240" w:lineRule="auto"/>
        <w:ind w:firstLine="0"/>
        <w:jc w:val="left"/>
      </w:pPr>
    </w:p>
    <w:p w14:paraId="7860C1AC" w14:textId="77777777" w:rsidR="002B2E7A" w:rsidRDefault="002B2E7A" w:rsidP="002B2E7A">
      <w:pPr>
        <w:spacing w:line="240" w:lineRule="auto"/>
        <w:ind w:firstLine="0"/>
        <w:jc w:val="left"/>
      </w:pPr>
    </w:p>
    <w:p w14:paraId="32F2E8DC" w14:textId="77777777" w:rsidR="002B2E7A" w:rsidRDefault="002B2E7A" w:rsidP="002B2E7A">
      <w:pPr>
        <w:spacing w:line="240" w:lineRule="auto"/>
        <w:ind w:firstLine="0"/>
        <w:jc w:val="left"/>
      </w:pPr>
    </w:p>
    <w:p w14:paraId="2BDBFFB0" w14:textId="77777777" w:rsidR="002B2E7A" w:rsidRDefault="002B2E7A" w:rsidP="002B2E7A">
      <w:pPr>
        <w:spacing w:line="240" w:lineRule="auto"/>
        <w:ind w:firstLine="0"/>
        <w:jc w:val="left"/>
      </w:pPr>
    </w:p>
    <w:p w14:paraId="31ECCC85" w14:textId="77777777" w:rsidR="002B2E7A" w:rsidRDefault="002B2E7A" w:rsidP="002B2E7A">
      <w:pPr>
        <w:spacing w:line="240" w:lineRule="auto"/>
        <w:ind w:firstLine="0"/>
        <w:jc w:val="left"/>
      </w:pPr>
    </w:p>
    <w:p w14:paraId="34C684F7" w14:textId="77777777" w:rsidR="00574A82" w:rsidRDefault="00574A82" w:rsidP="00574A82">
      <w:pPr>
        <w:spacing w:line="240" w:lineRule="auto"/>
        <w:ind w:firstLine="0"/>
        <w:jc w:val="left"/>
        <w:rPr>
          <w:b/>
          <w:bCs/>
        </w:rPr>
      </w:pPr>
    </w:p>
    <w:sectPr w:rsidR="00574A82" w:rsidSect="000C091F">
      <w:pgSz w:w="12240" w:h="15840"/>
      <w:pgMar w:top="1418" w:right="1418" w:bottom="1418" w:left="1418" w:header="720" w:footer="720" w:gutter="0"/>
      <w:cols w:space="708"/>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BBB92C" w14:textId="77777777" w:rsidR="008E34B0" w:rsidRDefault="008E34B0">
      <w:pPr>
        <w:spacing w:line="240" w:lineRule="auto"/>
      </w:pPr>
      <w:r>
        <w:separator/>
      </w:r>
    </w:p>
  </w:endnote>
  <w:endnote w:type="continuationSeparator" w:id="0">
    <w:p w14:paraId="480A4930" w14:textId="77777777" w:rsidR="008E34B0" w:rsidRDefault="008E34B0">
      <w:pPr>
        <w:spacing w:line="240" w:lineRule="auto"/>
      </w:pPr>
      <w:r>
        <w:continuationSeparator/>
      </w:r>
    </w:p>
  </w:endnote>
  <w:endnote w:type="continuationNotice" w:id="1">
    <w:p w14:paraId="0A0B04B1" w14:textId="77777777" w:rsidR="008E34B0" w:rsidRDefault="008E34B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alisto MT">
    <w:altName w:val="Calisto MT"/>
    <w:charset w:val="00"/>
    <w:family w:val="roman"/>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Lucida Grande">
    <w:altName w:val="Segoe UI"/>
    <w:charset w:val="00"/>
    <w:family w:val="auto"/>
    <w:pitch w:val="variable"/>
    <w:sig w:usb0="00000000" w:usb1="5000A1FF" w:usb2="00000000" w:usb3="00000000" w:csb0="000001BF" w:csb1="00000000"/>
  </w:font>
  <w:font w:name="Liberation Sans">
    <w:altName w:val="Arial"/>
    <w:charset w:val="00"/>
    <w:family w:val="swiss"/>
    <w:pitch w:val="variable"/>
    <w:sig w:usb0="E0000AFF" w:usb1="500078FF" w:usb2="00000021" w:usb3="00000000" w:csb0="000001BF" w:csb1="00000000"/>
  </w:font>
  <w:font w:name="Noto Sans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Times-Roman">
    <w:altName w:val="Times New Roman"/>
    <w:panose1 w:val="00000000000000000000"/>
    <w:charset w:val="4D"/>
    <w:family w:val="auto"/>
    <w:notTrueType/>
    <w:pitch w:val="default"/>
    <w:sig w:usb0="00000003" w:usb1="00000000" w:usb2="00000000" w:usb3="00000000" w:csb0="00000001" w:csb1="00000000"/>
  </w:font>
  <w:font w:name="TimesLTStd-Roman">
    <w:altName w:val="Times New Roman"/>
    <w:panose1 w:val="00000000000000000000"/>
    <w:charset w:val="4D"/>
    <w:family w:val="auto"/>
    <w:notTrueType/>
    <w:pitch w:val="default"/>
    <w:sig w:usb0="00000003" w:usb1="00000000" w:usb2="00000000" w:usb3="00000000" w:csb0="00000001" w:csb1="00000000"/>
  </w:font>
  <w:font w:name="TimesLTStd-Italic">
    <w:altName w:val="Times New Roman"/>
    <w:panose1 w:val="00000000000000000000"/>
    <w:charset w:val="4D"/>
    <w:family w:val="auto"/>
    <w:notTrueType/>
    <w:pitch w:val="default"/>
    <w:sig w:usb0="00000003" w:usb1="00000000" w:usb2="00000000" w:usb3="00000000" w:csb0="00000001" w:csb1="00000000"/>
  </w:font>
  <w:font w:name="Open Sans">
    <w:altName w:val="Open Sans"/>
    <w:charset w:val="00"/>
    <w:family w:val="swiss"/>
    <w:pitch w:val="variable"/>
    <w:sig w:usb0="E00002EF" w:usb1="4000205B" w:usb2="00000028"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3750301"/>
      <w:docPartObj>
        <w:docPartGallery w:val="Page Numbers (Bottom of Page)"/>
        <w:docPartUnique/>
      </w:docPartObj>
    </w:sdtPr>
    <w:sdtEndPr>
      <w:rPr>
        <w:noProof/>
      </w:rPr>
    </w:sdtEndPr>
    <w:sdtContent>
      <w:p w14:paraId="21C5A1E8" w14:textId="75043566" w:rsidR="00D65D51" w:rsidRDefault="00D65D5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F24DC18" w14:textId="77777777" w:rsidR="00D65D51" w:rsidRDefault="00D65D5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03504116"/>
      <w:docPartObj>
        <w:docPartGallery w:val="Page Numbers (Bottom of Page)"/>
        <w:docPartUnique/>
      </w:docPartObj>
    </w:sdtPr>
    <w:sdtEndPr>
      <w:rPr>
        <w:noProof/>
      </w:rPr>
    </w:sdtEndPr>
    <w:sdtContent>
      <w:p w14:paraId="3DE12086" w14:textId="3A3F9EE9" w:rsidR="00D65D51" w:rsidRDefault="00D65D5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1055312" w14:textId="77777777" w:rsidR="00D65D51" w:rsidRDefault="00D65D5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492684"/>
      <w:docPartObj>
        <w:docPartGallery w:val="Page Numbers (Bottom of Page)"/>
        <w:docPartUnique/>
      </w:docPartObj>
    </w:sdtPr>
    <w:sdtEndPr>
      <w:rPr>
        <w:noProof/>
      </w:rPr>
    </w:sdtEndPr>
    <w:sdtContent>
      <w:p w14:paraId="0FE191BF" w14:textId="04B07A5F" w:rsidR="00D65D51" w:rsidRDefault="00D65D5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E242ACB" w14:textId="77777777" w:rsidR="00894E3A" w:rsidRDefault="00894E3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ED62BC" w14:textId="77777777" w:rsidR="008E34B0" w:rsidRDefault="008E34B0">
      <w:pPr>
        <w:spacing w:line="240" w:lineRule="auto"/>
      </w:pPr>
      <w:r>
        <w:separator/>
      </w:r>
    </w:p>
  </w:footnote>
  <w:footnote w:type="continuationSeparator" w:id="0">
    <w:p w14:paraId="56364436" w14:textId="77777777" w:rsidR="008E34B0" w:rsidRDefault="008E34B0">
      <w:pPr>
        <w:spacing w:line="240" w:lineRule="auto"/>
      </w:pPr>
      <w:r>
        <w:continuationSeparator/>
      </w:r>
    </w:p>
  </w:footnote>
  <w:footnote w:type="continuationNotice" w:id="1">
    <w:p w14:paraId="0E6E3BB7" w14:textId="77777777" w:rsidR="008E34B0" w:rsidRDefault="008E34B0">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D6775"/>
    <w:multiLevelType w:val="hybridMultilevel"/>
    <w:tmpl w:val="9CFAA064"/>
    <w:lvl w:ilvl="0" w:tplc="703AD62A">
      <w:start w:val="6"/>
      <w:numFmt w:val="bullet"/>
      <w:lvlText w:val="-"/>
      <w:lvlJc w:val="left"/>
      <w:pPr>
        <w:ind w:left="1080" w:hanging="360"/>
      </w:pPr>
      <w:rPr>
        <w:rFonts w:ascii="Calibri" w:eastAsia="Calisto MT" w:hAnsi="Calibri" w:cs="Calibri"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 w15:restartNumberingAfterBreak="0">
    <w:nsid w:val="05B1080C"/>
    <w:multiLevelType w:val="hybridMultilevel"/>
    <w:tmpl w:val="9E36FA4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8072A14"/>
    <w:multiLevelType w:val="hybridMultilevel"/>
    <w:tmpl w:val="9E36FA4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93C03AD"/>
    <w:multiLevelType w:val="hybridMultilevel"/>
    <w:tmpl w:val="E4646C4C"/>
    <w:lvl w:ilvl="0" w:tplc="DE0C31C0">
      <w:numFmt w:val="bullet"/>
      <w:lvlText w:val="-"/>
      <w:lvlJc w:val="left"/>
      <w:pPr>
        <w:ind w:left="720" w:hanging="360"/>
      </w:pPr>
      <w:rPr>
        <w:rFonts w:ascii="Calibri" w:eastAsia="Calisto MT" w:hAnsi="Calibri" w:cs="Calibri"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1A835766"/>
    <w:multiLevelType w:val="hybridMultilevel"/>
    <w:tmpl w:val="31584C50"/>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1FB47ABC"/>
    <w:multiLevelType w:val="multilevel"/>
    <w:tmpl w:val="DA86ED1C"/>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6" w15:restartNumberingAfterBreak="0">
    <w:nsid w:val="2F7B415F"/>
    <w:multiLevelType w:val="multilevel"/>
    <w:tmpl w:val="4CF0202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2CF5D89"/>
    <w:multiLevelType w:val="multilevel"/>
    <w:tmpl w:val="14545E00"/>
    <w:lvl w:ilvl="0">
      <w:start w:val="1"/>
      <w:numFmt w:val="bullet"/>
      <w:pStyle w:val="ListBullet"/>
      <w:lvlText w:val=""/>
      <w:lvlJc w:val="left"/>
      <w:pPr>
        <w:tabs>
          <w:tab w:val="num" w:pos="0"/>
        </w:tabs>
        <w:ind w:left="562" w:hanging="360"/>
      </w:pPr>
      <w:rPr>
        <w:rFonts w:ascii="Symbol" w:hAnsi="Symbol" w:cs="Symbol" w:hint="default"/>
      </w:rPr>
    </w:lvl>
    <w:lvl w:ilvl="1">
      <w:start w:val="1"/>
      <w:numFmt w:val="bullet"/>
      <w:lvlText w:val="o"/>
      <w:lvlJc w:val="left"/>
      <w:pPr>
        <w:tabs>
          <w:tab w:val="num" w:pos="0"/>
        </w:tabs>
        <w:ind w:left="1282" w:hanging="360"/>
      </w:pPr>
      <w:rPr>
        <w:rFonts w:ascii="Courier New" w:hAnsi="Courier New" w:cs="Courier New" w:hint="default"/>
      </w:rPr>
    </w:lvl>
    <w:lvl w:ilvl="2">
      <w:start w:val="1"/>
      <w:numFmt w:val="bullet"/>
      <w:lvlText w:val=""/>
      <w:lvlJc w:val="left"/>
      <w:pPr>
        <w:tabs>
          <w:tab w:val="num" w:pos="0"/>
        </w:tabs>
        <w:ind w:left="2002" w:hanging="360"/>
      </w:pPr>
      <w:rPr>
        <w:rFonts w:ascii="Wingdings" w:hAnsi="Wingdings" w:cs="Wingdings" w:hint="default"/>
      </w:rPr>
    </w:lvl>
    <w:lvl w:ilvl="3">
      <w:start w:val="1"/>
      <w:numFmt w:val="bullet"/>
      <w:lvlText w:val=""/>
      <w:lvlJc w:val="left"/>
      <w:pPr>
        <w:tabs>
          <w:tab w:val="num" w:pos="0"/>
        </w:tabs>
        <w:ind w:left="2722" w:hanging="360"/>
      </w:pPr>
      <w:rPr>
        <w:rFonts w:ascii="Symbol" w:hAnsi="Symbol" w:cs="Symbol" w:hint="default"/>
      </w:rPr>
    </w:lvl>
    <w:lvl w:ilvl="4">
      <w:start w:val="1"/>
      <w:numFmt w:val="bullet"/>
      <w:lvlText w:val="o"/>
      <w:lvlJc w:val="left"/>
      <w:pPr>
        <w:tabs>
          <w:tab w:val="num" w:pos="0"/>
        </w:tabs>
        <w:ind w:left="3442" w:hanging="360"/>
      </w:pPr>
      <w:rPr>
        <w:rFonts w:ascii="Courier New" w:hAnsi="Courier New" w:cs="Courier New" w:hint="default"/>
      </w:rPr>
    </w:lvl>
    <w:lvl w:ilvl="5">
      <w:start w:val="1"/>
      <w:numFmt w:val="bullet"/>
      <w:lvlText w:val=""/>
      <w:lvlJc w:val="left"/>
      <w:pPr>
        <w:tabs>
          <w:tab w:val="num" w:pos="0"/>
        </w:tabs>
        <w:ind w:left="4162" w:hanging="360"/>
      </w:pPr>
      <w:rPr>
        <w:rFonts w:ascii="Wingdings" w:hAnsi="Wingdings" w:cs="Wingdings" w:hint="default"/>
      </w:rPr>
    </w:lvl>
    <w:lvl w:ilvl="6">
      <w:start w:val="1"/>
      <w:numFmt w:val="bullet"/>
      <w:lvlText w:val=""/>
      <w:lvlJc w:val="left"/>
      <w:pPr>
        <w:tabs>
          <w:tab w:val="num" w:pos="0"/>
        </w:tabs>
        <w:ind w:left="4882" w:hanging="360"/>
      </w:pPr>
      <w:rPr>
        <w:rFonts w:ascii="Symbol" w:hAnsi="Symbol" w:cs="Symbol" w:hint="default"/>
      </w:rPr>
    </w:lvl>
    <w:lvl w:ilvl="7">
      <w:start w:val="1"/>
      <w:numFmt w:val="bullet"/>
      <w:lvlText w:val="o"/>
      <w:lvlJc w:val="left"/>
      <w:pPr>
        <w:tabs>
          <w:tab w:val="num" w:pos="0"/>
        </w:tabs>
        <w:ind w:left="5602" w:hanging="360"/>
      </w:pPr>
      <w:rPr>
        <w:rFonts w:ascii="Courier New" w:hAnsi="Courier New" w:cs="Courier New" w:hint="default"/>
      </w:rPr>
    </w:lvl>
    <w:lvl w:ilvl="8">
      <w:start w:val="1"/>
      <w:numFmt w:val="bullet"/>
      <w:lvlText w:val=""/>
      <w:lvlJc w:val="left"/>
      <w:pPr>
        <w:tabs>
          <w:tab w:val="num" w:pos="0"/>
        </w:tabs>
        <w:ind w:left="6322" w:hanging="360"/>
      </w:pPr>
      <w:rPr>
        <w:rFonts w:ascii="Wingdings" w:hAnsi="Wingdings" w:cs="Wingdings" w:hint="default"/>
      </w:rPr>
    </w:lvl>
  </w:abstractNum>
  <w:abstractNum w:abstractNumId="8" w15:restartNumberingAfterBreak="0">
    <w:nsid w:val="40DE394B"/>
    <w:multiLevelType w:val="multilevel"/>
    <w:tmpl w:val="8760CFA8"/>
    <w:lvl w:ilvl="0">
      <w:start w:val="2"/>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15:restartNumberingAfterBreak="0">
    <w:nsid w:val="53150309"/>
    <w:multiLevelType w:val="multilevel"/>
    <w:tmpl w:val="2F4E191A"/>
    <w:lvl w:ilvl="0">
      <w:start w:val="1"/>
      <w:numFmt w:val="decimal"/>
      <w:pStyle w:val="ListNumber"/>
      <w:lvlText w:val="%1)"/>
      <w:lvlJc w:val="left"/>
      <w:pPr>
        <w:tabs>
          <w:tab w:val="num" w:pos="0"/>
        </w:tabs>
        <w:ind w:left="1195" w:hanging="360"/>
      </w:pPr>
    </w:lvl>
    <w:lvl w:ilvl="1">
      <w:start w:val="1"/>
      <w:numFmt w:val="lowerLetter"/>
      <w:lvlText w:val="%2."/>
      <w:lvlJc w:val="left"/>
      <w:pPr>
        <w:tabs>
          <w:tab w:val="num" w:pos="0"/>
        </w:tabs>
        <w:ind w:left="-1190" w:hanging="360"/>
      </w:pPr>
    </w:lvl>
    <w:lvl w:ilvl="2">
      <w:start w:val="1"/>
      <w:numFmt w:val="lowerRoman"/>
      <w:lvlText w:val="%3."/>
      <w:lvlJc w:val="right"/>
      <w:pPr>
        <w:tabs>
          <w:tab w:val="num" w:pos="0"/>
        </w:tabs>
        <w:ind w:left="-470" w:hanging="180"/>
      </w:pPr>
    </w:lvl>
    <w:lvl w:ilvl="3">
      <w:start w:val="1"/>
      <w:numFmt w:val="decimal"/>
      <w:lvlText w:val="%4."/>
      <w:lvlJc w:val="left"/>
      <w:pPr>
        <w:tabs>
          <w:tab w:val="num" w:pos="0"/>
        </w:tabs>
        <w:ind w:left="250" w:hanging="360"/>
      </w:pPr>
    </w:lvl>
    <w:lvl w:ilvl="4">
      <w:start w:val="1"/>
      <w:numFmt w:val="lowerLetter"/>
      <w:lvlText w:val="%5."/>
      <w:lvlJc w:val="left"/>
      <w:pPr>
        <w:tabs>
          <w:tab w:val="num" w:pos="0"/>
        </w:tabs>
        <w:ind w:left="970" w:hanging="360"/>
      </w:pPr>
    </w:lvl>
    <w:lvl w:ilvl="5">
      <w:start w:val="1"/>
      <w:numFmt w:val="lowerRoman"/>
      <w:lvlText w:val="%6."/>
      <w:lvlJc w:val="right"/>
      <w:pPr>
        <w:tabs>
          <w:tab w:val="num" w:pos="0"/>
        </w:tabs>
        <w:ind w:left="1690" w:hanging="180"/>
      </w:pPr>
    </w:lvl>
    <w:lvl w:ilvl="6">
      <w:start w:val="1"/>
      <w:numFmt w:val="decimal"/>
      <w:lvlText w:val="%7."/>
      <w:lvlJc w:val="left"/>
      <w:pPr>
        <w:tabs>
          <w:tab w:val="num" w:pos="0"/>
        </w:tabs>
        <w:ind w:left="2410" w:hanging="360"/>
      </w:pPr>
    </w:lvl>
    <w:lvl w:ilvl="7">
      <w:start w:val="1"/>
      <w:numFmt w:val="lowerLetter"/>
      <w:lvlText w:val="%8."/>
      <w:lvlJc w:val="left"/>
      <w:pPr>
        <w:tabs>
          <w:tab w:val="num" w:pos="0"/>
        </w:tabs>
        <w:ind w:left="3130" w:hanging="360"/>
      </w:pPr>
    </w:lvl>
    <w:lvl w:ilvl="8">
      <w:start w:val="1"/>
      <w:numFmt w:val="lowerRoman"/>
      <w:lvlText w:val="%9."/>
      <w:lvlJc w:val="right"/>
      <w:pPr>
        <w:tabs>
          <w:tab w:val="num" w:pos="0"/>
        </w:tabs>
        <w:ind w:left="3850" w:hanging="180"/>
      </w:pPr>
    </w:lvl>
  </w:abstractNum>
  <w:abstractNum w:abstractNumId="10" w15:restartNumberingAfterBreak="0">
    <w:nsid w:val="63C24C8F"/>
    <w:multiLevelType w:val="hybridMultilevel"/>
    <w:tmpl w:val="C214EBB4"/>
    <w:lvl w:ilvl="0" w:tplc="2000000D">
      <w:start w:val="1"/>
      <w:numFmt w:val="bullet"/>
      <w:lvlText w:val=""/>
      <w:lvlJc w:val="left"/>
      <w:pPr>
        <w:ind w:left="720" w:hanging="360"/>
      </w:pPr>
      <w:rPr>
        <w:rFonts w:ascii="Wingdings" w:hAnsi="Wingdings"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6A6C6E52"/>
    <w:multiLevelType w:val="multilevel"/>
    <w:tmpl w:val="E466DF5C"/>
    <w:lvl w:ilvl="0">
      <w:start w:val="1"/>
      <w:numFmt w:val="decimal"/>
      <w:lvlText w:val="%1"/>
      <w:lvlJc w:val="left"/>
      <w:pPr>
        <w:tabs>
          <w:tab w:val="num" w:pos="0"/>
        </w:tabs>
        <w:ind w:left="432" w:hanging="432"/>
      </w:pPr>
      <w:rPr>
        <w:rFonts w:hint="default"/>
      </w:rPr>
    </w:lvl>
    <w:lvl w:ilvl="1">
      <w:start w:val="2"/>
      <w:numFmt w:val="decimal"/>
      <w:lvlText w:val="%2%1.1"/>
      <w:lvlJc w:val="left"/>
      <w:pPr>
        <w:tabs>
          <w:tab w:val="num" w:pos="0"/>
        </w:tabs>
        <w:ind w:left="576" w:hanging="576"/>
      </w:pPr>
      <w:rPr>
        <w:rFonts w:hint="default"/>
      </w:rPr>
    </w:lvl>
    <w:lvl w:ilvl="2">
      <w:start w:val="1"/>
      <w:numFmt w:val="decimal"/>
      <w:lvlText w:val="%1.%2.%3"/>
      <w:lvlJc w:val="left"/>
      <w:pPr>
        <w:tabs>
          <w:tab w:val="num" w:pos="0"/>
        </w:tabs>
        <w:ind w:left="720" w:hanging="720"/>
      </w:pPr>
      <w:rPr>
        <w:rFonts w:hint="default"/>
      </w:rPr>
    </w:lvl>
    <w:lvl w:ilvl="3">
      <w:start w:val="1"/>
      <w:numFmt w:val="decimal"/>
      <w:lvlText w:val="%1.%2.%3.%4"/>
      <w:lvlJc w:val="left"/>
      <w:pPr>
        <w:tabs>
          <w:tab w:val="num" w:pos="0"/>
        </w:tabs>
        <w:ind w:left="864" w:hanging="864"/>
      </w:pPr>
      <w:rPr>
        <w:rFonts w:hint="default"/>
      </w:rPr>
    </w:lvl>
    <w:lvl w:ilvl="4">
      <w:start w:val="1"/>
      <w:numFmt w:val="decimal"/>
      <w:lvlText w:val="%1.%2.%3.%4.%5"/>
      <w:lvlJc w:val="left"/>
      <w:pPr>
        <w:tabs>
          <w:tab w:val="num" w:pos="0"/>
        </w:tabs>
        <w:ind w:left="1008" w:hanging="1008"/>
      </w:pPr>
      <w:rPr>
        <w:rFonts w:hint="default"/>
      </w:rPr>
    </w:lvl>
    <w:lvl w:ilvl="5">
      <w:start w:val="1"/>
      <w:numFmt w:val="decimal"/>
      <w:lvlText w:val="%1.%2.%3.%4.%5.%6"/>
      <w:lvlJc w:val="left"/>
      <w:pPr>
        <w:tabs>
          <w:tab w:val="num" w:pos="0"/>
        </w:tabs>
        <w:ind w:left="1152" w:hanging="1152"/>
      </w:pPr>
      <w:rPr>
        <w:rFonts w:hint="default"/>
      </w:rPr>
    </w:lvl>
    <w:lvl w:ilvl="6">
      <w:start w:val="1"/>
      <w:numFmt w:val="decimal"/>
      <w:lvlText w:val="%1.%2.%3.%4.%5.%6.%7"/>
      <w:lvlJc w:val="left"/>
      <w:pPr>
        <w:tabs>
          <w:tab w:val="num" w:pos="0"/>
        </w:tabs>
        <w:ind w:left="1296" w:hanging="1296"/>
      </w:pPr>
      <w:rPr>
        <w:rFonts w:hint="default"/>
      </w:rPr>
    </w:lvl>
    <w:lvl w:ilvl="7">
      <w:start w:val="1"/>
      <w:numFmt w:val="decimal"/>
      <w:lvlText w:val="%1.%2.%3.%4.%5.%6.%7.%8"/>
      <w:lvlJc w:val="left"/>
      <w:pPr>
        <w:tabs>
          <w:tab w:val="num" w:pos="0"/>
        </w:tabs>
        <w:ind w:left="1440" w:hanging="1440"/>
      </w:pPr>
      <w:rPr>
        <w:rFonts w:hint="default"/>
      </w:rPr>
    </w:lvl>
    <w:lvl w:ilvl="8">
      <w:start w:val="1"/>
      <w:numFmt w:val="decimal"/>
      <w:lvlText w:val="%1.%2.%3.%4.%5.%6.%7.%8.%9"/>
      <w:lvlJc w:val="left"/>
      <w:pPr>
        <w:tabs>
          <w:tab w:val="num" w:pos="0"/>
        </w:tabs>
        <w:ind w:left="1584" w:hanging="1584"/>
      </w:pPr>
      <w:rPr>
        <w:rFonts w:hint="default"/>
      </w:rPr>
    </w:lvl>
  </w:abstractNum>
  <w:num w:numId="1" w16cid:durableId="1625888379">
    <w:abstractNumId w:val="11"/>
  </w:num>
  <w:num w:numId="2" w16cid:durableId="1849903749">
    <w:abstractNumId w:val="7"/>
  </w:num>
  <w:num w:numId="3" w16cid:durableId="1478646654">
    <w:abstractNumId w:val="9"/>
  </w:num>
  <w:num w:numId="4" w16cid:durableId="1611234674">
    <w:abstractNumId w:val="8"/>
  </w:num>
  <w:num w:numId="5" w16cid:durableId="790981645">
    <w:abstractNumId w:val="4"/>
  </w:num>
  <w:num w:numId="6" w16cid:durableId="1518152347">
    <w:abstractNumId w:val="6"/>
  </w:num>
  <w:num w:numId="7" w16cid:durableId="292911893">
    <w:abstractNumId w:val="5"/>
  </w:num>
  <w:num w:numId="8" w16cid:durableId="460071716">
    <w:abstractNumId w:val="10"/>
  </w:num>
  <w:num w:numId="9" w16cid:durableId="1199902663">
    <w:abstractNumId w:val="3"/>
  </w:num>
  <w:num w:numId="10" w16cid:durableId="37436414">
    <w:abstractNumId w:val="0"/>
  </w:num>
  <w:num w:numId="11" w16cid:durableId="29454571">
    <w:abstractNumId w:val="5"/>
  </w:num>
  <w:num w:numId="12" w16cid:durableId="376202417">
    <w:abstractNumId w:val="5"/>
  </w:num>
  <w:num w:numId="13" w16cid:durableId="1766726832">
    <w:abstractNumId w:val="2"/>
  </w:num>
  <w:num w:numId="14" w16cid:durableId="1143307947">
    <w:abstractNumId w:val="5"/>
  </w:num>
  <w:num w:numId="15" w16cid:durableId="635991292">
    <w:abstractNumId w:val="5"/>
  </w:num>
  <w:num w:numId="16" w16cid:durableId="1563633617">
    <w:abstractNumId w:val="1"/>
  </w:num>
  <w:num w:numId="17" w16cid:durableId="166693507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085176367">
    <w:abstractNumId w:val="5"/>
  </w:num>
  <w:num w:numId="19" w16cid:durableId="1340812217">
    <w:abstractNumId w:val="5"/>
  </w:num>
  <w:num w:numId="20" w16cid:durableId="1899048212">
    <w:abstractNumId w:val="5"/>
  </w:num>
  <w:num w:numId="21" w16cid:durableId="1884902935">
    <w:abstractNumId w:val="5"/>
  </w:num>
  <w:num w:numId="22" w16cid:durableId="1780486968">
    <w:abstractNumId w:val="5"/>
  </w:num>
  <w:num w:numId="23" w16cid:durableId="104517572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946107031">
    <w:abstractNumId w:val="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5"/>
  <w:removePersonalInformation/>
  <w:removeDateAndTime/>
  <w:embedSystemFonts/>
  <w:proofState w:spelling="clean" w:grammar="clean"/>
  <w:defaultTabStop w:val="720"/>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3258"/>
    <w:rsid w:val="0000146D"/>
    <w:rsid w:val="000014DD"/>
    <w:rsid w:val="00001CDB"/>
    <w:rsid w:val="0000267B"/>
    <w:rsid w:val="00004052"/>
    <w:rsid w:val="00006C82"/>
    <w:rsid w:val="00011D28"/>
    <w:rsid w:val="00013425"/>
    <w:rsid w:val="00014022"/>
    <w:rsid w:val="00016BDA"/>
    <w:rsid w:val="00024415"/>
    <w:rsid w:val="000251D7"/>
    <w:rsid w:val="0002634B"/>
    <w:rsid w:val="0002659C"/>
    <w:rsid w:val="00027F7A"/>
    <w:rsid w:val="00032C7A"/>
    <w:rsid w:val="000359BC"/>
    <w:rsid w:val="00035A43"/>
    <w:rsid w:val="0003613C"/>
    <w:rsid w:val="000406E7"/>
    <w:rsid w:val="00041CEA"/>
    <w:rsid w:val="00044208"/>
    <w:rsid w:val="00047BD0"/>
    <w:rsid w:val="000508EF"/>
    <w:rsid w:val="000525E2"/>
    <w:rsid w:val="000529D2"/>
    <w:rsid w:val="000538D6"/>
    <w:rsid w:val="00054110"/>
    <w:rsid w:val="000566F0"/>
    <w:rsid w:val="00057FB2"/>
    <w:rsid w:val="0006152E"/>
    <w:rsid w:val="00061842"/>
    <w:rsid w:val="0006191D"/>
    <w:rsid w:val="00062F25"/>
    <w:rsid w:val="0006771C"/>
    <w:rsid w:val="00067EFF"/>
    <w:rsid w:val="00070DB6"/>
    <w:rsid w:val="00071D70"/>
    <w:rsid w:val="00072DA7"/>
    <w:rsid w:val="00072E3C"/>
    <w:rsid w:val="00074C54"/>
    <w:rsid w:val="00075C10"/>
    <w:rsid w:val="0007629B"/>
    <w:rsid w:val="00086103"/>
    <w:rsid w:val="00087012"/>
    <w:rsid w:val="00090A9F"/>
    <w:rsid w:val="00090EA2"/>
    <w:rsid w:val="00091CA1"/>
    <w:rsid w:val="00092A03"/>
    <w:rsid w:val="00093E6A"/>
    <w:rsid w:val="00094940"/>
    <w:rsid w:val="00094A0F"/>
    <w:rsid w:val="000A68D0"/>
    <w:rsid w:val="000A6F08"/>
    <w:rsid w:val="000B2BE8"/>
    <w:rsid w:val="000B62C0"/>
    <w:rsid w:val="000C03F9"/>
    <w:rsid w:val="000C091F"/>
    <w:rsid w:val="000C0ACB"/>
    <w:rsid w:val="000C12AD"/>
    <w:rsid w:val="000C24DD"/>
    <w:rsid w:val="000C3115"/>
    <w:rsid w:val="000C51C1"/>
    <w:rsid w:val="000D2488"/>
    <w:rsid w:val="000D27FB"/>
    <w:rsid w:val="000D28A3"/>
    <w:rsid w:val="000D3A24"/>
    <w:rsid w:val="000D4BA2"/>
    <w:rsid w:val="000D4D5C"/>
    <w:rsid w:val="000D5D74"/>
    <w:rsid w:val="000D74B9"/>
    <w:rsid w:val="000E01F2"/>
    <w:rsid w:val="000E1C51"/>
    <w:rsid w:val="000E2024"/>
    <w:rsid w:val="000F2FED"/>
    <w:rsid w:val="000F32B2"/>
    <w:rsid w:val="000F4872"/>
    <w:rsid w:val="000F6545"/>
    <w:rsid w:val="000F78FA"/>
    <w:rsid w:val="00100885"/>
    <w:rsid w:val="00100FB1"/>
    <w:rsid w:val="00103BB9"/>
    <w:rsid w:val="0010562C"/>
    <w:rsid w:val="00112494"/>
    <w:rsid w:val="00115AFB"/>
    <w:rsid w:val="00117327"/>
    <w:rsid w:val="001206E3"/>
    <w:rsid w:val="00121300"/>
    <w:rsid w:val="00121342"/>
    <w:rsid w:val="00121F53"/>
    <w:rsid w:val="00126A24"/>
    <w:rsid w:val="00132414"/>
    <w:rsid w:val="00132A87"/>
    <w:rsid w:val="00132D77"/>
    <w:rsid w:val="001368BD"/>
    <w:rsid w:val="00137437"/>
    <w:rsid w:val="001409AD"/>
    <w:rsid w:val="001424AE"/>
    <w:rsid w:val="00143258"/>
    <w:rsid w:val="001502BF"/>
    <w:rsid w:val="00152EB7"/>
    <w:rsid w:val="0015518B"/>
    <w:rsid w:val="00156BA5"/>
    <w:rsid w:val="001579F9"/>
    <w:rsid w:val="00157D93"/>
    <w:rsid w:val="001609A8"/>
    <w:rsid w:val="00162631"/>
    <w:rsid w:val="001652B8"/>
    <w:rsid w:val="00166379"/>
    <w:rsid w:val="00166B9F"/>
    <w:rsid w:val="00167D10"/>
    <w:rsid w:val="001730A8"/>
    <w:rsid w:val="00173277"/>
    <w:rsid w:val="0017351E"/>
    <w:rsid w:val="001735E6"/>
    <w:rsid w:val="001738E6"/>
    <w:rsid w:val="00174BFB"/>
    <w:rsid w:val="001764E2"/>
    <w:rsid w:val="00180313"/>
    <w:rsid w:val="001806A3"/>
    <w:rsid w:val="00180970"/>
    <w:rsid w:val="00181DA6"/>
    <w:rsid w:val="00183198"/>
    <w:rsid w:val="00183C72"/>
    <w:rsid w:val="001847DF"/>
    <w:rsid w:val="00184FFA"/>
    <w:rsid w:val="001860F5"/>
    <w:rsid w:val="0018627D"/>
    <w:rsid w:val="00187B96"/>
    <w:rsid w:val="001923CC"/>
    <w:rsid w:val="00192A38"/>
    <w:rsid w:val="00193B08"/>
    <w:rsid w:val="0019646B"/>
    <w:rsid w:val="001970C4"/>
    <w:rsid w:val="00197E48"/>
    <w:rsid w:val="001A3411"/>
    <w:rsid w:val="001B0F42"/>
    <w:rsid w:val="001B17F9"/>
    <w:rsid w:val="001B1937"/>
    <w:rsid w:val="001B226E"/>
    <w:rsid w:val="001B2F70"/>
    <w:rsid w:val="001C097C"/>
    <w:rsid w:val="001C1297"/>
    <w:rsid w:val="001C4EC0"/>
    <w:rsid w:val="001C7055"/>
    <w:rsid w:val="001C7C49"/>
    <w:rsid w:val="001D2687"/>
    <w:rsid w:val="001D397C"/>
    <w:rsid w:val="001D3C48"/>
    <w:rsid w:val="001D4A6C"/>
    <w:rsid w:val="001D5E45"/>
    <w:rsid w:val="001E05DA"/>
    <w:rsid w:val="001E14A7"/>
    <w:rsid w:val="001E20C8"/>
    <w:rsid w:val="001E3372"/>
    <w:rsid w:val="001E4D59"/>
    <w:rsid w:val="001E519D"/>
    <w:rsid w:val="001E548B"/>
    <w:rsid w:val="001E5A51"/>
    <w:rsid w:val="001E5A81"/>
    <w:rsid w:val="001E6D01"/>
    <w:rsid w:val="001E7A0B"/>
    <w:rsid w:val="001F042E"/>
    <w:rsid w:val="001F2777"/>
    <w:rsid w:val="001F5CAB"/>
    <w:rsid w:val="00201197"/>
    <w:rsid w:val="002106A0"/>
    <w:rsid w:val="00211939"/>
    <w:rsid w:val="00216FBA"/>
    <w:rsid w:val="00217F9B"/>
    <w:rsid w:val="0022646F"/>
    <w:rsid w:val="00227159"/>
    <w:rsid w:val="00231312"/>
    <w:rsid w:val="00231D92"/>
    <w:rsid w:val="00235878"/>
    <w:rsid w:val="00237680"/>
    <w:rsid w:val="00240A6D"/>
    <w:rsid w:val="002412C1"/>
    <w:rsid w:val="002439BB"/>
    <w:rsid w:val="00246726"/>
    <w:rsid w:val="0024689A"/>
    <w:rsid w:val="0024784C"/>
    <w:rsid w:val="00247CDB"/>
    <w:rsid w:val="00253EF2"/>
    <w:rsid w:val="00254564"/>
    <w:rsid w:val="00261874"/>
    <w:rsid w:val="00263184"/>
    <w:rsid w:val="0026708F"/>
    <w:rsid w:val="00267AA0"/>
    <w:rsid w:val="002711CE"/>
    <w:rsid w:val="0028029C"/>
    <w:rsid w:val="0028067B"/>
    <w:rsid w:val="0028119E"/>
    <w:rsid w:val="00285344"/>
    <w:rsid w:val="002856F4"/>
    <w:rsid w:val="00286FAC"/>
    <w:rsid w:val="00291F71"/>
    <w:rsid w:val="002923A5"/>
    <w:rsid w:val="00292510"/>
    <w:rsid w:val="00292614"/>
    <w:rsid w:val="00292F13"/>
    <w:rsid w:val="002A07B4"/>
    <w:rsid w:val="002A206C"/>
    <w:rsid w:val="002A2D24"/>
    <w:rsid w:val="002A5F47"/>
    <w:rsid w:val="002A611B"/>
    <w:rsid w:val="002B1454"/>
    <w:rsid w:val="002B2A67"/>
    <w:rsid w:val="002B2E7A"/>
    <w:rsid w:val="002B443E"/>
    <w:rsid w:val="002B5129"/>
    <w:rsid w:val="002B5DAE"/>
    <w:rsid w:val="002C0125"/>
    <w:rsid w:val="002C034F"/>
    <w:rsid w:val="002C060A"/>
    <w:rsid w:val="002C0F66"/>
    <w:rsid w:val="002C19BE"/>
    <w:rsid w:val="002C2900"/>
    <w:rsid w:val="002C35EA"/>
    <w:rsid w:val="002C542E"/>
    <w:rsid w:val="002C64F4"/>
    <w:rsid w:val="002D48B5"/>
    <w:rsid w:val="002D4CC3"/>
    <w:rsid w:val="002D6A68"/>
    <w:rsid w:val="002E1A13"/>
    <w:rsid w:val="002E3CFE"/>
    <w:rsid w:val="002E540C"/>
    <w:rsid w:val="002E5F57"/>
    <w:rsid w:val="002E7266"/>
    <w:rsid w:val="002F3237"/>
    <w:rsid w:val="002F44A4"/>
    <w:rsid w:val="0030078B"/>
    <w:rsid w:val="003047BC"/>
    <w:rsid w:val="00304A1D"/>
    <w:rsid w:val="00304F43"/>
    <w:rsid w:val="0030563F"/>
    <w:rsid w:val="0031045D"/>
    <w:rsid w:val="00310F30"/>
    <w:rsid w:val="00311466"/>
    <w:rsid w:val="003135E9"/>
    <w:rsid w:val="00313669"/>
    <w:rsid w:val="003140B7"/>
    <w:rsid w:val="003142AF"/>
    <w:rsid w:val="00315DAD"/>
    <w:rsid w:val="003211F3"/>
    <w:rsid w:val="00321366"/>
    <w:rsid w:val="00321E80"/>
    <w:rsid w:val="003228F0"/>
    <w:rsid w:val="0032508B"/>
    <w:rsid w:val="00326683"/>
    <w:rsid w:val="00330ED7"/>
    <w:rsid w:val="003337B5"/>
    <w:rsid w:val="00336854"/>
    <w:rsid w:val="00337FF8"/>
    <w:rsid w:val="00340539"/>
    <w:rsid w:val="00342BC3"/>
    <w:rsid w:val="00343396"/>
    <w:rsid w:val="0034405A"/>
    <w:rsid w:val="00344BA5"/>
    <w:rsid w:val="0034611A"/>
    <w:rsid w:val="00346C0B"/>
    <w:rsid w:val="00355DDD"/>
    <w:rsid w:val="00356573"/>
    <w:rsid w:val="00356B88"/>
    <w:rsid w:val="00356CD9"/>
    <w:rsid w:val="003643FA"/>
    <w:rsid w:val="00364906"/>
    <w:rsid w:val="00367AF1"/>
    <w:rsid w:val="00367B26"/>
    <w:rsid w:val="00370616"/>
    <w:rsid w:val="003712AA"/>
    <w:rsid w:val="00371643"/>
    <w:rsid w:val="00371828"/>
    <w:rsid w:val="003729E0"/>
    <w:rsid w:val="00372D93"/>
    <w:rsid w:val="00373BBC"/>
    <w:rsid w:val="00373D94"/>
    <w:rsid w:val="003748DD"/>
    <w:rsid w:val="00380662"/>
    <w:rsid w:val="0038159F"/>
    <w:rsid w:val="00381B9B"/>
    <w:rsid w:val="00386570"/>
    <w:rsid w:val="00386EB9"/>
    <w:rsid w:val="003870FE"/>
    <w:rsid w:val="00387652"/>
    <w:rsid w:val="003914AC"/>
    <w:rsid w:val="00392897"/>
    <w:rsid w:val="00393D52"/>
    <w:rsid w:val="00393FBA"/>
    <w:rsid w:val="0039782F"/>
    <w:rsid w:val="003A116A"/>
    <w:rsid w:val="003A31F3"/>
    <w:rsid w:val="003A5DAB"/>
    <w:rsid w:val="003A7CC5"/>
    <w:rsid w:val="003B065B"/>
    <w:rsid w:val="003B4CF0"/>
    <w:rsid w:val="003B4DA5"/>
    <w:rsid w:val="003B4E71"/>
    <w:rsid w:val="003B644B"/>
    <w:rsid w:val="003B7698"/>
    <w:rsid w:val="003C15EA"/>
    <w:rsid w:val="003C2AF2"/>
    <w:rsid w:val="003C42F7"/>
    <w:rsid w:val="003C58E0"/>
    <w:rsid w:val="003C71FA"/>
    <w:rsid w:val="003C7A65"/>
    <w:rsid w:val="003D0A39"/>
    <w:rsid w:val="003D10F6"/>
    <w:rsid w:val="003D332C"/>
    <w:rsid w:val="003D60DD"/>
    <w:rsid w:val="003D63A7"/>
    <w:rsid w:val="003D6499"/>
    <w:rsid w:val="003E1600"/>
    <w:rsid w:val="003E22B5"/>
    <w:rsid w:val="003E25AB"/>
    <w:rsid w:val="003E292D"/>
    <w:rsid w:val="003E3B38"/>
    <w:rsid w:val="003E7758"/>
    <w:rsid w:val="003F1688"/>
    <w:rsid w:val="003F759B"/>
    <w:rsid w:val="003F7621"/>
    <w:rsid w:val="004026D7"/>
    <w:rsid w:val="00404D67"/>
    <w:rsid w:val="004063B0"/>
    <w:rsid w:val="00411406"/>
    <w:rsid w:val="00417C05"/>
    <w:rsid w:val="00417D3C"/>
    <w:rsid w:val="00417F02"/>
    <w:rsid w:val="0042372F"/>
    <w:rsid w:val="004237A0"/>
    <w:rsid w:val="004237CE"/>
    <w:rsid w:val="00426AC0"/>
    <w:rsid w:val="00433419"/>
    <w:rsid w:val="00433860"/>
    <w:rsid w:val="00436C08"/>
    <w:rsid w:val="00440D37"/>
    <w:rsid w:val="00442311"/>
    <w:rsid w:val="004438B3"/>
    <w:rsid w:val="00443A14"/>
    <w:rsid w:val="004457BB"/>
    <w:rsid w:val="004467A1"/>
    <w:rsid w:val="00450C8F"/>
    <w:rsid w:val="00452A2A"/>
    <w:rsid w:val="004534FE"/>
    <w:rsid w:val="00453688"/>
    <w:rsid w:val="00463B33"/>
    <w:rsid w:val="0046428F"/>
    <w:rsid w:val="004651D1"/>
    <w:rsid w:val="004706AD"/>
    <w:rsid w:val="004724D3"/>
    <w:rsid w:val="00473385"/>
    <w:rsid w:val="00477706"/>
    <w:rsid w:val="0048137A"/>
    <w:rsid w:val="00484629"/>
    <w:rsid w:val="0048467A"/>
    <w:rsid w:val="00494482"/>
    <w:rsid w:val="00495A4D"/>
    <w:rsid w:val="004A0D47"/>
    <w:rsid w:val="004A2491"/>
    <w:rsid w:val="004A7BB7"/>
    <w:rsid w:val="004B0264"/>
    <w:rsid w:val="004B1CEB"/>
    <w:rsid w:val="004B1F5D"/>
    <w:rsid w:val="004B238D"/>
    <w:rsid w:val="004B2638"/>
    <w:rsid w:val="004B6E95"/>
    <w:rsid w:val="004C0506"/>
    <w:rsid w:val="004C162B"/>
    <w:rsid w:val="004C3F5A"/>
    <w:rsid w:val="004C51EF"/>
    <w:rsid w:val="004C6314"/>
    <w:rsid w:val="004D0F64"/>
    <w:rsid w:val="004D17FC"/>
    <w:rsid w:val="004D20E6"/>
    <w:rsid w:val="004D27FE"/>
    <w:rsid w:val="004D2B98"/>
    <w:rsid w:val="004D656E"/>
    <w:rsid w:val="004E0214"/>
    <w:rsid w:val="004E02BB"/>
    <w:rsid w:val="004E4814"/>
    <w:rsid w:val="004E5C3F"/>
    <w:rsid w:val="004E6773"/>
    <w:rsid w:val="004E736B"/>
    <w:rsid w:val="004E7CCC"/>
    <w:rsid w:val="004F1781"/>
    <w:rsid w:val="004F2BB5"/>
    <w:rsid w:val="004F45F9"/>
    <w:rsid w:val="004F5471"/>
    <w:rsid w:val="005026B6"/>
    <w:rsid w:val="00503FF3"/>
    <w:rsid w:val="00504F4E"/>
    <w:rsid w:val="005067A4"/>
    <w:rsid w:val="00506BFF"/>
    <w:rsid w:val="00511AE3"/>
    <w:rsid w:val="0051399B"/>
    <w:rsid w:val="00513A55"/>
    <w:rsid w:val="00513A98"/>
    <w:rsid w:val="0051436B"/>
    <w:rsid w:val="00514FAE"/>
    <w:rsid w:val="005157E6"/>
    <w:rsid w:val="00516EC5"/>
    <w:rsid w:val="00517042"/>
    <w:rsid w:val="00520BF3"/>
    <w:rsid w:val="00522D1A"/>
    <w:rsid w:val="00522F37"/>
    <w:rsid w:val="00526F90"/>
    <w:rsid w:val="005306EE"/>
    <w:rsid w:val="005312DE"/>
    <w:rsid w:val="00533F60"/>
    <w:rsid w:val="0053411C"/>
    <w:rsid w:val="0053489E"/>
    <w:rsid w:val="005404A5"/>
    <w:rsid w:val="005446AD"/>
    <w:rsid w:val="00545FAE"/>
    <w:rsid w:val="00546ABD"/>
    <w:rsid w:val="00547092"/>
    <w:rsid w:val="00552926"/>
    <w:rsid w:val="00554203"/>
    <w:rsid w:val="00555272"/>
    <w:rsid w:val="005566E8"/>
    <w:rsid w:val="005571F0"/>
    <w:rsid w:val="00560A73"/>
    <w:rsid w:val="00562580"/>
    <w:rsid w:val="00562971"/>
    <w:rsid w:val="00562F25"/>
    <w:rsid w:val="005648A1"/>
    <w:rsid w:val="00565135"/>
    <w:rsid w:val="0056681F"/>
    <w:rsid w:val="0057041A"/>
    <w:rsid w:val="005705C8"/>
    <w:rsid w:val="00574A82"/>
    <w:rsid w:val="0057687E"/>
    <w:rsid w:val="00577B34"/>
    <w:rsid w:val="00582EC7"/>
    <w:rsid w:val="005861E1"/>
    <w:rsid w:val="00586829"/>
    <w:rsid w:val="00591F40"/>
    <w:rsid w:val="00593FDE"/>
    <w:rsid w:val="0059435C"/>
    <w:rsid w:val="0059744C"/>
    <w:rsid w:val="005A3D7F"/>
    <w:rsid w:val="005A4A96"/>
    <w:rsid w:val="005A5703"/>
    <w:rsid w:val="005A5DBA"/>
    <w:rsid w:val="005A696A"/>
    <w:rsid w:val="005A75D0"/>
    <w:rsid w:val="005A7BA4"/>
    <w:rsid w:val="005B0153"/>
    <w:rsid w:val="005B4F6E"/>
    <w:rsid w:val="005B549E"/>
    <w:rsid w:val="005B5CB0"/>
    <w:rsid w:val="005B6444"/>
    <w:rsid w:val="005B73CB"/>
    <w:rsid w:val="005C18A6"/>
    <w:rsid w:val="005C3037"/>
    <w:rsid w:val="005C6088"/>
    <w:rsid w:val="005C6A27"/>
    <w:rsid w:val="005C6BF6"/>
    <w:rsid w:val="005D1C34"/>
    <w:rsid w:val="005D1F58"/>
    <w:rsid w:val="005D2D75"/>
    <w:rsid w:val="005D2F85"/>
    <w:rsid w:val="005E2078"/>
    <w:rsid w:val="005E5987"/>
    <w:rsid w:val="005E72AB"/>
    <w:rsid w:val="005E7F01"/>
    <w:rsid w:val="005F0F08"/>
    <w:rsid w:val="005F371B"/>
    <w:rsid w:val="005F6D74"/>
    <w:rsid w:val="005F721F"/>
    <w:rsid w:val="00600785"/>
    <w:rsid w:val="00604B14"/>
    <w:rsid w:val="006078D8"/>
    <w:rsid w:val="00607E35"/>
    <w:rsid w:val="00614686"/>
    <w:rsid w:val="00614FAD"/>
    <w:rsid w:val="00615390"/>
    <w:rsid w:val="006166B6"/>
    <w:rsid w:val="006177C7"/>
    <w:rsid w:val="0062423B"/>
    <w:rsid w:val="00624609"/>
    <w:rsid w:val="00625138"/>
    <w:rsid w:val="00625A67"/>
    <w:rsid w:val="0062731B"/>
    <w:rsid w:val="00630A46"/>
    <w:rsid w:val="00632057"/>
    <w:rsid w:val="00632850"/>
    <w:rsid w:val="0064134A"/>
    <w:rsid w:val="0064346B"/>
    <w:rsid w:val="00643500"/>
    <w:rsid w:val="0064424D"/>
    <w:rsid w:val="00646EEF"/>
    <w:rsid w:val="006474CB"/>
    <w:rsid w:val="00651FD6"/>
    <w:rsid w:val="0065284C"/>
    <w:rsid w:val="006558F7"/>
    <w:rsid w:val="00655F02"/>
    <w:rsid w:val="00656D4F"/>
    <w:rsid w:val="00656DBC"/>
    <w:rsid w:val="00657393"/>
    <w:rsid w:val="00657FF6"/>
    <w:rsid w:val="00660CDE"/>
    <w:rsid w:val="00660D01"/>
    <w:rsid w:val="006653E7"/>
    <w:rsid w:val="00665592"/>
    <w:rsid w:val="00673A7C"/>
    <w:rsid w:val="00673EB9"/>
    <w:rsid w:val="00676D85"/>
    <w:rsid w:val="0068048E"/>
    <w:rsid w:val="00680FAC"/>
    <w:rsid w:val="00681E0D"/>
    <w:rsid w:val="0068465E"/>
    <w:rsid w:val="00684A46"/>
    <w:rsid w:val="00691EED"/>
    <w:rsid w:val="00692A82"/>
    <w:rsid w:val="00695D7B"/>
    <w:rsid w:val="006964B7"/>
    <w:rsid w:val="00697367"/>
    <w:rsid w:val="00697F69"/>
    <w:rsid w:val="006A2233"/>
    <w:rsid w:val="006A3698"/>
    <w:rsid w:val="006A4BF1"/>
    <w:rsid w:val="006A512F"/>
    <w:rsid w:val="006A5829"/>
    <w:rsid w:val="006A70A7"/>
    <w:rsid w:val="006A7246"/>
    <w:rsid w:val="006A7625"/>
    <w:rsid w:val="006A7FC6"/>
    <w:rsid w:val="006B002D"/>
    <w:rsid w:val="006B108A"/>
    <w:rsid w:val="006B3460"/>
    <w:rsid w:val="006B3EEA"/>
    <w:rsid w:val="006B4B7D"/>
    <w:rsid w:val="006B5A22"/>
    <w:rsid w:val="006B5C62"/>
    <w:rsid w:val="006B6F3C"/>
    <w:rsid w:val="006C0B18"/>
    <w:rsid w:val="006C22E1"/>
    <w:rsid w:val="006C685A"/>
    <w:rsid w:val="006D03F7"/>
    <w:rsid w:val="006D2B4D"/>
    <w:rsid w:val="006D3917"/>
    <w:rsid w:val="006D419B"/>
    <w:rsid w:val="006D4474"/>
    <w:rsid w:val="006D663A"/>
    <w:rsid w:val="006D77EB"/>
    <w:rsid w:val="006E18EC"/>
    <w:rsid w:val="006E20D3"/>
    <w:rsid w:val="006E2658"/>
    <w:rsid w:val="006E2F83"/>
    <w:rsid w:val="006E40CA"/>
    <w:rsid w:val="006E4E32"/>
    <w:rsid w:val="006E56BE"/>
    <w:rsid w:val="006E79B9"/>
    <w:rsid w:val="006F0B8A"/>
    <w:rsid w:val="006F0EA9"/>
    <w:rsid w:val="006F247A"/>
    <w:rsid w:val="006F5169"/>
    <w:rsid w:val="006F7BFE"/>
    <w:rsid w:val="00700172"/>
    <w:rsid w:val="00701FA7"/>
    <w:rsid w:val="00702071"/>
    <w:rsid w:val="007028EC"/>
    <w:rsid w:val="00703CBC"/>
    <w:rsid w:val="00705011"/>
    <w:rsid w:val="00710EED"/>
    <w:rsid w:val="007157A5"/>
    <w:rsid w:val="00715AB1"/>
    <w:rsid w:val="00715C2C"/>
    <w:rsid w:val="007164C4"/>
    <w:rsid w:val="0071671D"/>
    <w:rsid w:val="00716D8C"/>
    <w:rsid w:val="00717A68"/>
    <w:rsid w:val="007211A3"/>
    <w:rsid w:val="007259C4"/>
    <w:rsid w:val="00725AE9"/>
    <w:rsid w:val="00725B6C"/>
    <w:rsid w:val="00726573"/>
    <w:rsid w:val="00727459"/>
    <w:rsid w:val="007278A2"/>
    <w:rsid w:val="007302B4"/>
    <w:rsid w:val="007310C3"/>
    <w:rsid w:val="007314FE"/>
    <w:rsid w:val="00734EE7"/>
    <w:rsid w:val="007402E2"/>
    <w:rsid w:val="007422A1"/>
    <w:rsid w:val="007446EB"/>
    <w:rsid w:val="00745214"/>
    <w:rsid w:val="007478BC"/>
    <w:rsid w:val="00751B6F"/>
    <w:rsid w:val="00752EC4"/>
    <w:rsid w:val="00754E26"/>
    <w:rsid w:val="0076119E"/>
    <w:rsid w:val="00762179"/>
    <w:rsid w:val="00762F55"/>
    <w:rsid w:val="00765E5F"/>
    <w:rsid w:val="00770418"/>
    <w:rsid w:val="00770502"/>
    <w:rsid w:val="00770A10"/>
    <w:rsid w:val="00770ED8"/>
    <w:rsid w:val="00771245"/>
    <w:rsid w:val="007718CB"/>
    <w:rsid w:val="007728F8"/>
    <w:rsid w:val="00773FAC"/>
    <w:rsid w:val="007742C8"/>
    <w:rsid w:val="00774319"/>
    <w:rsid w:val="00776177"/>
    <w:rsid w:val="00781859"/>
    <w:rsid w:val="00783752"/>
    <w:rsid w:val="00783CB8"/>
    <w:rsid w:val="00785C7E"/>
    <w:rsid w:val="0078645C"/>
    <w:rsid w:val="00786C56"/>
    <w:rsid w:val="00787207"/>
    <w:rsid w:val="0079005D"/>
    <w:rsid w:val="00791C5F"/>
    <w:rsid w:val="00792271"/>
    <w:rsid w:val="0079557F"/>
    <w:rsid w:val="00795EF3"/>
    <w:rsid w:val="00796FF6"/>
    <w:rsid w:val="007A1E31"/>
    <w:rsid w:val="007A3997"/>
    <w:rsid w:val="007B1F50"/>
    <w:rsid w:val="007B2C1B"/>
    <w:rsid w:val="007B2E61"/>
    <w:rsid w:val="007B4B95"/>
    <w:rsid w:val="007B6846"/>
    <w:rsid w:val="007B75CE"/>
    <w:rsid w:val="007C2B7C"/>
    <w:rsid w:val="007C35CE"/>
    <w:rsid w:val="007C5826"/>
    <w:rsid w:val="007C6175"/>
    <w:rsid w:val="007C78C5"/>
    <w:rsid w:val="007D028F"/>
    <w:rsid w:val="007D137A"/>
    <w:rsid w:val="007D3CF2"/>
    <w:rsid w:val="007D4B3B"/>
    <w:rsid w:val="007D52B7"/>
    <w:rsid w:val="007D5B8D"/>
    <w:rsid w:val="007D5F84"/>
    <w:rsid w:val="007E03FF"/>
    <w:rsid w:val="007E0983"/>
    <w:rsid w:val="007E147D"/>
    <w:rsid w:val="007E4008"/>
    <w:rsid w:val="007E44CA"/>
    <w:rsid w:val="007E5ABE"/>
    <w:rsid w:val="007E6488"/>
    <w:rsid w:val="007E6AFF"/>
    <w:rsid w:val="007F2A3A"/>
    <w:rsid w:val="007F2EC4"/>
    <w:rsid w:val="007F5733"/>
    <w:rsid w:val="007F5EC8"/>
    <w:rsid w:val="007F6AFD"/>
    <w:rsid w:val="007F78FB"/>
    <w:rsid w:val="00800305"/>
    <w:rsid w:val="00801AC8"/>
    <w:rsid w:val="00802D2C"/>
    <w:rsid w:val="00806538"/>
    <w:rsid w:val="00807D9F"/>
    <w:rsid w:val="00812366"/>
    <w:rsid w:val="00814109"/>
    <w:rsid w:val="00814553"/>
    <w:rsid w:val="0081772E"/>
    <w:rsid w:val="008179CB"/>
    <w:rsid w:val="0082034F"/>
    <w:rsid w:val="00820BD6"/>
    <w:rsid w:val="008213E2"/>
    <w:rsid w:val="00821FA7"/>
    <w:rsid w:val="00823B33"/>
    <w:rsid w:val="00824872"/>
    <w:rsid w:val="00825DB6"/>
    <w:rsid w:val="0082682C"/>
    <w:rsid w:val="008279C2"/>
    <w:rsid w:val="00830A6C"/>
    <w:rsid w:val="00835032"/>
    <w:rsid w:val="008372B6"/>
    <w:rsid w:val="00840AA0"/>
    <w:rsid w:val="008440B7"/>
    <w:rsid w:val="00844595"/>
    <w:rsid w:val="00844FE0"/>
    <w:rsid w:val="008453F9"/>
    <w:rsid w:val="00850C95"/>
    <w:rsid w:val="00854172"/>
    <w:rsid w:val="008606B4"/>
    <w:rsid w:val="0086247F"/>
    <w:rsid w:val="00862B43"/>
    <w:rsid w:val="0086390F"/>
    <w:rsid w:val="008675BA"/>
    <w:rsid w:val="0087037D"/>
    <w:rsid w:val="00870F3C"/>
    <w:rsid w:val="008718C1"/>
    <w:rsid w:val="00872C37"/>
    <w:rsid w:val="00881577"/>
    <w:rsid w:val="008815DB"/>
    <w:rsid w:val="00882306"/>
    <w:rsid w:val="00883D95"/>
    <w:rsid w:val="00885B32"/>
    <w:rsid w:val="00891230"/>
    <w:rsid w:val="00894CCA"/>
    <w:rsid w:val="00894E3A"/>
    <w:rsid w:val="0089530E"/>
    <w:rsid w:val="00896ACE"/>
    <w:rsid w:val="00896CB5"/>
    <w:rsid w:val="008A1D83"/>
    <w:rsid w:val="008A22BF"/>
    <w:rsid w:val="008A27AB"/>
    <w:rsid w:val="008A31BE"/>
    <w:rsid w:val="008A64B2"/>
    <w:rsid w:val="008B0793"/>
    <w:rsid w:val="008B42C5"/>
    <w:rsid w:val="008B4335"/>
    <w:rsid w:val="008B45BF"/>
    <w:rsid w:val="008B6283"/>
    <w:rsid w:val="008C2AF3"/>
    <w:rsid w:val="008C2F1A"/>
    <w:rsid w:val="008C3DCF"/>
    <w:rsid w:val="008C3E71"/>
    <w:rsid w:val="008C7002"/>
    <w:rsid w:val="008C7102"/>
    <w:rsid w:val="008D112F"/>
    <w:rsid w:val="008D253D"/>
    <w:rsid w:val="008D5D1E"/>
    <w:rsid w:val="008D5F46"/>
    <w:rsid w:val="008E34B0"/>
    <w:rsid w:val="008E3AD4"/>
    <w:rsid w:val="008E4E51"/>
    <w:rsid w:val="008E522D"/>
    <w:rsid w:val="008E58D2"/>
    <w:rsid w:val="008E7C8A"/>
    <w:rsid w:val="008E7F1A"/>
    <w:rsid w:val="008F0C2C"/>
    <w:rsid w:val="008F2C5A"/>
    <w:rsid w:val="008F3599"/>
    <w:rsid w:val="008F6326"/>
    <w:rsid w:val="00901495"/>
    <w:rsid w:val="0090249D"/>
    <w:rsid w:val="00904370"/>
    <w:rsid w:val="00905A3B"/>
    <w:rsid w:val="00905E47"/>
    <w:rsid w:val="00906802"/>
    <w:rsid w:val="009104D6"/>
    <w:rsid w:val="00911E49"/>
    <w:rsid w:val="009137F7"/>
    <w:rsid w:val="009162EB"/>
    <w:rsid w:val="009165F8"/>
    <w:rsid w:val="00917151"/>
    <w:rsid w:val="009177FA"/>
    <w:rsid w:val="00920484"/>
    <w:rsid w:val="00920D2F"/>
    <w:rsid w:val="00921C27"/>
    <w:rsid w:val="009244FC"/>
    <w:rsid w:val="00925C2B"/>
    <w:rsid w:val="00926701"/>
    <w:rsid w:val="0093090F"/>
    <w:rsid w:val="009328D6"/>
    <w:rsid w:val="00932CE0"/>
    <w:rsid w:val="009347AC"/>
    <w:rsid w:val="00935DEC"/>
    <w:rsid w:val="00936A5D"/>
    <w:rsid w:val="00940846"/>
    <w:rsid w:val="0094542C"/>
    <w:rsid w:val="009474CF"/>
    <w:rsid w:val="00955223"/>
    <w:rsid w:val="0095530D"/>
    <w:rsid w:val="00955CCF"/>
    <w:rsid w:val="00961FCC"/>
    <w:rsid w:val="00965159"/>
    <w:rsid w:val="00965C51"/>
    <w:rsid w:val="0096662A"/>
    <w:rsid w:val="00970560"/>
    <w:rsid w:val="00971472"/>
    <w:rsid w:val="00972E1A"/>
    <w:rsid w:val="00974B3A"/>
    <w:rsid w:val="009772F5"/>
    <w:rsid w:val="00980C08"/>
    <w:rsid w:val="00981055"/>
    <w:rsid w:val="009832A2"/>
    <w:rsid w:val="00983935"/>
    <w:rsid w:val="009904A4"/>
    <w:rsid w:val="00992A9E"/>
    <w:rsid w:val="00994406"/>
    <w:rsid w:val="00994A8F"/>
    <w:rsid w:val="009966AB"/>
    <w:rsid w:val="009A0A39"/>
    <w:rsid w:val="009A1041"/>
    <w:rsid w:val="009A1075"/>
    <w:rsid w:val="009A2353"/>
    <w:rsid w:val="009A3579"/>
    <w:rsid w:val="009A6FFA"/>
    <w:rsid w:val="009A753E"/>
    <w:rsid w:val="009A7600"/>
    <w:rsid w:val="009B5A9F"/>
    <w:rsid w:val="009B5CA7"/>
    <w:rsid w:val="009C187B"/>
    <w:rsid w:val="009C37EE"/>
    <w:rsid w:val="009C672B"/>
    <w:rsid w:val="009D0F29"/>
    <w:rsid w:val="009D3508"/>
    <w:rsid w:val="009D3B72"/>
    <w:rsid w:val="009D6410"/>
    <w:rsid w:val="009E3149"/>
    <w:rsid w:val="009E35AE"/>
    <w:rsid w:val="009E39B7"/>
    <w:rsid w:val="009E4517"/>
    <w:rsid w:val="009E4D2D"/>
    <w:rsid w:val="009E5B8C"/>
    <w:rsid w:val="009F46A2"/>
    <w:rsid w:val="009F5241"/>
    <w:rsid w:val="009F5822"/>
    <w:rsid w:val="009F5EC4"/>
    <w:rsid w:val="009F67E2"/>
    <w:rsid w:val="00A00DBF"/>
    <w:rsid w:val="00A01575"/>
    <w:rsid w:val="00A04013"/>
    <w:rsid w:val="00A05BAB"/>
    <w:rsid w:val="00A062DC"/>
    <w:rsid w:val="00A06713"/>
    <w:rsid w:val="00A1414E"/>
    <w:rsid w:val="00A16C0C"/>
    <w:rsid w:val="00A20433"/>
    <w:rsid w:val="00A2711E"/>
    <w:rsid w:val="00A30B34"/>
    <w:rsid w:val="00A31FC0"/>
    <w:rsid w:val="00A3255A"/>
    <w:rsid w:val="00A4032F"/>
    <w:rsid w:val="00A43D0B"/>
    <w:rsid w:val="00A44C27"/>
    <w:rsid w:val="00A45312"/>
    <w:rsid w:val="00A45BB1"/>
    <w:rsid w:val="00A50F17"/>
    <w:rsid w:val="00A51392"/>
    <w:rsid w:val="00A51D47"/>
    <w:rsid w:val="00A52477"/>
    <w:rsid w:val="00A524C8"/>
    <w:rsid w:val="00A555E3"/>
    <w:rsid w:val="00A56180"/>
    <w:rsid w:val="00A567CE"/>
    <w:rsid w:val="00A56811"/>
    <w:rsid w:val="00A577B0"/>
    <w:rsid w:val="00A57C26"/>
    <w:rsid w:val="00A630E6"/>
    <w:rsid w:val="00A66858"/>
    <w:rsid w:val="00A669DD"/>
    <w:rsid w:val="00A67999"/>
    <w:rsid w:val="00A72DF5"/>
    <w:rsid w:val="00A76273"/>
    <w:rsid w:val="00A81EF8"/>
    <w:rsid w:val="00A82448"/>
    <w:rsid w:val="00A82A7C"/>
    <w:rsid w:val="00A82C3F"/>
    <w:rsid w:val="00A8457D"/>
    <w:rsid w:val="00A874E6"/>
    <w:rsid w:val="00A909AF"/>
    <w:rsid w:val="00A92DB1"/>
    <w:rsid w:val="00A93141"/>
    <w:rsid w:val="00A93B4C"/>
    <w:rsid w:val="00A94C25"/>
    <w:rsid w:val="00A96C0D"/>
    <w:rsid w:val="00A9704B"/>
    <w:rsid w:val="00AA22C9"/>
    <w:rsid w:val="00AA406B"/>
    <w:rsid w:val="00AA7442"/>
    <w:rsid w:val="00AA7693"/>
    <w:rsid w:val="00AA7AAB"/>
    <w:rsid w:val="00AB0F90"/>
    <w:rsid w:val="00AB2B74"/>
    <w:rsid w:val="00AB5454"/>
    <w:rsid w:val="00AB61A1"/>
    <w:rsid w:val="00AC100D"/>
    <w:rsid w:val="00AC128F"/>
    <w:rsid w:val="00AC1B4A"/>
    <w:rsid w:val="00AC251A"/>
    <w:rsid w:val="00AC2D1F"/>
    <w:rsid w:val="00AC4154"/>
    <w:rsid w:val="00AC4F34"/>
    <w:rsid w:val="00AC5AED"/>
    <w:rsid w:val="00AC633B"/>
    <w:rsid w:val="00AC7878"/>
    <w:rsid w:val="00AD27A2"/>
    <w:rsid w:val="00AD5070"/>
    <w:rsid w:val="00AD68F1"/>
    <w:rsid w:val="00AD74AD"/>
    <w:rsid w:val="00AE06D6"/>
    <w:rsid w:val="00AE583B"/>
    <w:rsid w:val="00AE5F05"/>
    <w:rsid w:val="00AE5F72"/>
    <w:rsid w:val="00AE607A"/>
    <w:rsid w:val="00AE74C1"/>
    <w:rsid w:val="00AF0DC6"/>
    <w:rsid w:val="00AF1117"/>
    <w:rsid w:val="00AF51CF"/>
    <w:rsid w:val="00AF54CF"/>
    <w:rsid w:val="00AF56B2"/>
    <w:rsid w:val="00B01ADE"/>
    <w:rsid w:val="00B048FD"/>
    <w:rsid w:val="00B04A2A"/>
    <w:rsid w:val="00B07234"/>
    <w:rsid w:val="00B11CF7"/>
    <w:rsid w:val="00B12A30"/>
    <w:rsid w:val="00B12CA7"/>
    <w:rsid w:val="00B146D2"/>
    <w:rsid w:val="00B15169"/>
    <w:rsid w:val="00B16A06"/>
    <w:rsid w:val="00B17531"/>
    <w:rsid w:val="00B17B8B"/>
    <w:rsid w:val="00B316E0"/>
    <w:rsid w:val="00B32FED"/>
    <w:rsid w:val="00B34D9D"/>
    <w:rsid w:val="00B34EFF"/>
    <w:rsid w:val="00B35B07"/>
    <w:rsid w:val="00B3643E"/>
    <w:rsid w:val="00B37C7D"/>
    <w:rsid w:val="00B41E33"/>
    <w:rsid w:val="00B4231C"/>
    <w:rsid w:val="00B44EBC"/>
    <w:rsid w:val="00B4547F"/>
    <w:rsid w:val="00B4568E"/>
    <w:rsid w:val="00B45CCE"/>
    <w:rsid w:val="00B46076"/>
    <w:rsid w:val="00B469C5"/>
    <w:rsid w:val="00B51E66"/>
    <w:rsid w:val="00B542D5"/>
    <w:rsid w:val="00B55A84"/>
    <w:rsid w:val="00B63D97"/>
    <w:rsid w:val="00B659A3"/>
    <w:rsid w:val="00B66908"/>
    <w:rsid w:val="00B66C87"/>
    <w:rsid w:val="00B71FA8"/>
    <w:rsid w:val="00B81534"/>
    <w:rsid w:val="00B81AA7"/>
    <w:rsid w:val="00B820BF"/>
    <w:rsid w:val="00B86D51"/>
    <w:rsid w:val="00B93FFC"/>
    <w:rsid w:val="00B940B9"/>
    <w:rsid w:val="00B94BC3"/>
    <w:rsid w:val="00B955CA"/>
    <w:rsid w:val="00B96EAF"/>
    <w:rsid w:val="00B976E1"/>
    <w:rsid w:val="00BA3C3A"/>
    <w:rsid w:val="00BA4CEE"/>
    <w:rsid w:val="00BB459A"/>
    <w:rsid w:val="00BB4F1D"/>
    <w:rsid w:val="00BC1245"/>
    <w:rsid w:val="00BC2706"/>
    <w:rsid w:val="00BC59F4"/>
    <w:rsid w:val="00BD418C"/>
    <w:rsid w:val="00BD5C99"/>
    <w:rsid w:val="00BE1033"/>
    <w:rsid w:val="00BE1E78"/>
    <w:rsid w:val="00BE1FF4"/>
    <w:rsid w:val="00BE2C54"/>
    <w:rsid w:val="00BE6C57"/>
    <w:rsid w:val="00BF3EA9"/>
    <w:rsid w:val="00BF6A7E"/>
    <w:rsid w:val="00BF771D"/>
    <w:rsid w:val="00BF7B2C"/>
    <w:rsid w:val="00C01E25"/>
    <w:rsid w:val="00C02AA4"/>
    <w:rsid w:val="00C04294"/>
    <w:rsid w:val="00C04AA4"/>
    <w:rsid w:val="00C100E9"/>
    <w:rsid w:val="00C10EC7"/>
    <w:rsid w:val="00C113DC"/>
    <w:rsid w:val="00C11FA3"/>
    <w:rsid w:val="00C1407F"/>
    <w:rsid w:val="00C141F2"/>
    <w:rsid w:val="00C14712"/>
    <w:rsid w:val="00C153F1"/>
    <w:rsid w:val="00C15B52"/>
    <w:rsid w:val="00C16727"/>
    <w:rsid w:val="00C17BAF"/>
    <w:rsid w:val="00C17BB0"/>
    <w:rsid w:val="00C21F6B"/>
    <w:rsid w:val="00C22FE1"/>
    <w:rsid w:val="00C23819"/>
    <w:rsid w:val="00C269EC"/>
    <w:rsid w:val="00C30637"/>
    <w:rsid w:val="00C30BE5"/>
    <w:rsid w:val="00C342A7"/>
    <w:rsid w:val="00C36A84"/>
    <w:rsid w:val="00C36C87"/>
    <w:rsid w:val="00C544B2"/>
    <w:rsid w:val="00C544CE"/>
    <w:rsid w:val="00C575D5"/>
    <w:rsid w:val="00C57C52"/>
    <w:rsid w:val="00C608BB"/>
    <w:rsid w:val="00C61D03"/>
    <w:rsid w:val="00C635C1"/>
    <w:rsid w:val="00C64ACD"/>
    <w:rsid w:val="00C64FB7"/>
    <w:rsid w:val="00C651BB"/>
    <w:rsid w:val="00C65D1C"/>
    <w:rsid w:val="00C6655A"/>
    <w:rsid w:val="00C672C7"/>
    <w:rsid w:val="00C676B5"/>
    <w:rsid w:val="00C7196F"/>
    <w:rsid w:val="00C72648"/>
    <w:rsid w:val="00C75179"/>
    <w:rsid w:val="00C76522"/>
    <w:rsid w:val="00C77091"/>
    <w:rsid w:val="00C80344"/>
    <w:rsid w:val="00C810AB"/>
    <w:rsid w:val="00C81B87"/>
    <w:rsid w:val="00C8439C"/>
    <w:rsid w:val="00C84CD5"/>
    <w:rsid w:val="00C87580"/>
    <w:rsid w:val="00C87805"/>
    <w:rsid w:val="00C9279F"/>
    <w:rsid w:val="00C927D6"/>
    <w:rsid w:val="00C93AB7"/>
    <w:rsid w:val="00C9551B"/>
    <w:rsid w:val="00CA3591"/>
    <w:rsid w:val="00CA367E"/>
    <w:rsid w:val="00CA3C75"/>
    <w:rsid w:val="00CA4E59"/>
    <w:rsid w:val="00CA5527"/>
    <w:rsid w:val="00CA5635"/>
    <w:rsid w:val="00CB21C1"/>
    <w:rsid w:val="00CB3F8C"/>
    <w:rsid w:val="00CB6FBF"/>
    <w:rsid w:val="00CC033E"/>
    <w:rsid w:val="00CC3F85"/>
    <w:rsid w:val="00CC67D1"/>
    <w:rsid w:val="00CD4D97"/>
    <w:rsid w:val="00CE119C"/>
    <w:rsid w:val="00CE24BA"/>
    <w:rsid w:val="00CE40EA"/>
    <w:rsid w:val="00CE57F1"/>
    <w:rsid w:val="00CE620C"/>
    <w:rsid w:val="00CE72C7"/>
    <w:rsid w:val="00CF02A4"/>
    <w:rsid w:val="00CF22EA"/>
    <w:rsid w:val="00CF35F2"/>
    <w:rsid w:val="00CF48D9"/>
    <w:rsid w:val="00CF4CAF"/>
    <w:rsid w:val="00D00D9E"/>
    <w:rsid w:val="00D012B6"/>
    <w:rsid w:val="00D013FD"/>
    <w:rsid w:val="00D0285B"/>
    <w:rsid w:val="00D03F2C"/>
    <w:rsid w:val="00D041D3"/>
    <w:rsid w:val="00D1034A"/>
    <w:rsid w:val="00D1148F"/>
    <w:rsid w:val="00D11B0B"/>
    <w:rsid w:val="00D147BE"/>
    <w:rsid w:val="00D14A81"/>
    <w:rsid w:val="00D15FCF"/>
    <w:rsid w:val="00D2026E"/>
    <w:rsid w:val="00D20E59"/>
    <w:rsid w:val="00D222CA"/>
    <w:rsid w:val="00D24498"/>
    <w:rsid w:val="00D2545E"/>
    <w:rsid w:val="00D33DD7"/>
    <w:rsid w:val="00D346A4"/>
    <w:rsid w:val="00D35F00"/>
    <w:rsid w:val="00D36A25"/>
    <w:rsid w:val="00D36D94"/>
    <w:rsid w:val="00D409FD"/>
    <w:rsid w:val="00D41F9D"/>
    <w:rsid w:val="00D44B75"/>
    <w:rsid w:val="00D47D28"/>
    <w:rsid w:val="00D502BC"/>
    <w:rsid w:val="00D504C9"/>
    <w:rsid w:val="00D51BD2"/>
    <w:rsid w:val="00D52D16"/>
    <w:rsid w:val="00D60C70"/>
    <w:rsid w:val="00D648B5"/>
    <w:rsid w:val="00D653E4"/>
    <w:rsid w:val="00D65D51"/>
    <w:rsid w:val="00D71ECC"/>
    <w:rsid w:val="00D727EB"/>
    <w:rsid w:val="00D86496"/>
    <w:rsid w:val="00D94823"/>
    <w:rsid w:val="00DA3B1C"/>
    <w:rsid w:val="00DA6D2F"/>
    <w:rsid w:val="00DA7B90"/>
    <w:rsid w:val="00DB0492"/>
    <w:rsid w:val="00DB1309"/>
    <w:rsid w:val="00DB1B9D"/>
    <w:rsid w:val="00DB3B4E"/>
    <w:rsid w:val="00DB4AFF"/>
    <w:rsid w:val="00DB7AA6"/>
    <w:rsid w:val="00DC1900"/>
    <w:rsid w:val="00DC498E"/>
    <w:rsid w:val="00DD2DA4"/>
    <w:rsid w:val="00DD2DEA"/>
    <w:rsid w:val="00DD6E40"/>
    <w:rsid w:val="00DD76E9"/>
    <w:rsid w:val="00DE0008"/>
    <w:rsid w:val="00DE26F5"/>
    <w:rsid w:val="00DE602A"/>
    <w:rsid w:val="00DE615C"/>
    <w:rsid w:val="00DE67E7"/>
    <w:rsid w:val="00DF3816"/>
    <w:rsid w:val="00DF4487"/>
    <w:rsid w:val="00DF6434"/>
    <w:rsid w:val="00DF7183"/>
    <w:rsid w:val="00E0010D"/>
    <w:rsid w:val="00E04F20"/>
    <w:rsid w:val="00E1066C"/>
    <w:rsid w:val="00E10A48"/>
    <w:rsid w:val="00E14646"/>
    <w:rsid w:val="00E14A68"/>
    <w:rsid w:val="00E14AF7"/>
    <w:rsid w:val="00E150F5"/>
    <w:rsid w:val="00E167F4"/>
    <w:rsid w:val="00E17736"/>
    <w:rsid w:val="00E21414"/>
    <w:rsid w:val="00E214B4"/>
    <w:rsid w:val="00E237C5"/>
    <w:rsid w:val="00E26D83"/>
    <w:rsid w:val="00E30397"/>
    <w:rsid w:val="00E304EC"/>
    <w:rsid w:val="00E30907"/>
    <w:rsid w:val="00E30AB6"/>
    <w:rsid w:val="00E33B82"/>
    <w:rsid w:val="00E34100"/>
    <w:rsid w:val="00E364CE"/>
    <w:rsid w:val="00E36CDE"/>
    <w:rsid w:val="00E37C0F"/>
    <w:rsid w:val="00E43B4F"/>
    <w:rsid w:val="00E47027"/>
    <w:rsid w:val="00E4748F"/>
    <w:rsid w:val="00E477C1"/>
    <w:rsid w:val="00E514D5"/>
    <w:rsid w:val="00E5414F"/>
    <w:rsid w:val="00E54EF7"/>
    <w:rsid w:val="00E56E2C"/>
    <w:rsid w:val="00E62A85"/>
    <w:rsid w:val="00E646B9"/>
    <w:rsid w:val="00E738DD"/>
    <w:rsid w:val="00E74936"/>
    <w:rsid w:val="00E752A6"/>
    <w:rsid w:val="00E7631D"/>
    <w:rsid w:val="00E77200"/>
    <w:rsid w:val="00E8066C"/>
    <w:rsid w:val="00E80E8F"/>
    <w:rsid w:val="00E813D2"/>
    <w:rsid w:val="00E8238F"/>
    <w:rsid w:val="00E83C90"/>
    <w:rsid w:val="00E853BA"/>
    <w:rsid w:val="00E8638B"/>
    <w:rsid w:val="00E8673D"/>
    <w:rsid w:val="00E91697"/>
    <w:rsid w:val="00E927C2"/>
    <w:rsid w:val="00E9360D"/>
    <w:rsid w:val="00E95B42"/>
    <w:rsid w:val="00E95D95"/>
    <w:rsid w:val="00E9622B"/>
    <w:rsid w:val="00E97894"/>
    <w:rsid w:val="00E97FDF"/>
    <w:rsid w:val="00EA0CC8"/>
    <w:rsid w:val="00EA37F1"/>
    <w:rsid w:val="00EA5E29"/>
    <w:rsid w:val="00EA668A"/>
    <w:rsid w:val="00EB3361"/>
    <w:rsid w:val="00EB5E98"/>
    <w:rsid w:val="00EB7128"/>
    <w:rsid w:val="00EC035F"/>
    <w:rsid w:val="00EC09EC"/>
    <w:rsid w:val="00EC1C05"/>
    <w:rsid w:val="00EC3F91"/>
    <w:rsid w:val="00EC4F86"/>
    <w:rsid w:val="00EC773F"/>
    <w:rsid w:val="00EC7846"/>
    <w:rsid w:val="00EC7C38"/>
    <w:rsid w:val="00ED4CD3"/>
    <w:rsid w:val="00ED6DC3"/>
    <w:rsid w:val="00ED6EC6"/>
    <w:rsid w:val="00EE4E68"/>
    <w:rsid w:val="00EF0F91"/>
    <w:rsid w:val="00EF0FDD"/>
    <w:rsid w:val="00EF263D"/>
    <w:rsid w:val="00EF4A61"/>
    <w:rsid w:val="00F02027"/>
    <w:rsid w:val="00F0281B"/>
    <w:rsid w:val="00F1076C"/>
    <w:rsid w:val="00F1238D"/>
    <w:rsid w:val="00F1350F"/>
    <w:rsid w:val="00F14638"/>
    <w:rsid w:val="00F1643A"/>
    <w:rsid w:val="00F23C48"/>
    <w:rsid w:val="00F2734C"/>
    <w:rsid w:val="00F311DD"/>
    <w:rsid w:val="00F33ECE"/>
    <w:rsid w:val="00F34271"/>
    <w:rsid w:val="00F34622"/>
    <w:rsid w:val="00F34667"/>
    <w:rsid w:val="00F364BE"/>
    <w:rsid w:val="00F3689B"/>
    <w:rsid w:val="00F40450"/>
    <w:rsid w:val="00F409C1"/>
    <w:rsid w:val="00F4116C"/>
    <w:rsid w:val="00F430C1"/>
    <w:rsid w:val="00F44D7D"/>
    <w:rsid w:val="00F44DE8"/>
    <w:rsid w:val="00F45776"/>
    <w:rsid w:val="00F4656C"/>
    <w:rsid w:val="00F47720"/>
    <w:rsid w:val="00F52702"/>
    <w:rsid w:val="00F528BC"/>
    <w:rsid w:val="00F54389"/>
    <w:rsid w:val="00F5513B"/>
    <w:rsid w:val="00F606BB"/>
    <w:rsid w:val="00F62CA8"/>
    <w:rsid w:val="00F65362"/>
    <w:rsid w:val="00F654E9"/>
    <w:rsid w:val="00F65B22"/>
    <w:rsid w:val="00F7049A"/>
    <w:rsid w:val="00F70A0D"/>
    <w:rsid w:val="00F71406"/>
    <w:rsid w:val="00F71BE3"/>
    <w:rsid w:val="00F72003"/>
    <w:rsid w:val="00F72676"/>
    <w:rsid w:val="00F73576"/>
    <w:rsid w:val="00F7618D"/>
    <w:rsid w:val="00F76490"/>
    <w:rsid w:val="00F77282"/>
    <w:rsid w:val="00F77D93"/>
    <w:rsid w:val="00F80763"/>
    <w:rsid w:val="00F81020"/>
    <w:rsid w:val="00F81231"/>
    <w:rsid w:val="00F82737"/>
    <w:rsid w:val="00F82C76"/>
    <w:rsid w:val="00F855B1"/>
    <w:rsid w:val="00F8679C"/>
    <w:rsid w:val="00F91280"/>
    <w:rsid w:val="00F920BD"/>
    <w:rsid w:val="00F92A41"/>
    <w:rsid w:val="00F9417A"/>
    <w:rsid w:val="00F956BD"/>
    <w:rsid w:val="00F96A0E"/>
    <w:rsid w:val="00FA0C42"/>
    <w:rsid w:val="00FA332B"/>
    <w:rsid w:val="00FA3D83"/>
    <w:rsid w:val="00FA4760"/>
    <w:rsid w:val="00FA5756"/>
    <w:rsid w:val="00FA65ED"/>
    <w:rsid w:val="00FB254A"/>
    <w:rsid w:val="00FB2815"/>
    <w:rsid w:val="00FB3DFA"/>
    <w:rsid w:val="00FB5157"/>
    <w:rsid w:val="00FB57E0"/>
    <w:rsid w:val="00FB7359"/>
    <w:rsid w:val="00FC028A"/>
    <w:rsid w:val="00FC1047"/>
    <w:rsid w:val="00FC152D"/>
    <w:rsid w:val="00FC6D56"/>
    <w:rsid w:val="00FC7A95"/>
    <w:rsid w:val="00FD133A"/>
    <w:rsid w:val="00FD1C01"/>
    <w:rsid w:val="00FD3D1A"/>
    <w:rsid w:val="00FD4918"/>
    <w:rsid w:val="00FE08FC"/>
    <w:rsid w:val="00FE1230"/>
    <w:rsid w:val="00FE3417"/>
    <w:rsid w:val="00FE53F8"/>
    <w:rsid w:val="00FE5DEA"/>
    <w:rsid w:val="00FE7FF4"/>
    <w:rsid w:val="00FF2998"/>
    <w:rsid w:val="00FF2BB2"/>
    <w:rsid w:val="00FF33F8"/>
    <w:rsid w:val="00FF65BC"/>
    <w:rsid w:val="00FF6791"/>
  </w:rsids>
  <m:mathPr>
    <m:mathFont m:val="Cambria Math"/>
    <m:brkBin m:val="before"/>
    <m:brkBinSub m:val="--"/>
    <m:smallFrac m:val="0"/>
    <m:dispDef/>
    <m:lMargin m:val="0"/>
    <m:rMargin m:val="0"/>
    <m:defJc m:val="centerGroup"/>
    <m:wrapIndent m:val="1440"/>
    <m:intLim m:val="subSup"/>
    <m:naryLim m:val="undOvr"/>
  </m:mathPr>
  <w:themeFontLang w:val="en-GB" w:eastAsia=""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6A2A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sto MT" w:eastAsia="Calisto MT" w:hAnsi="Calisto MT" w:cs="Times New Roman"/>
        <w:lang w:val="en-GB" w:eastAsia="en-GB" w:bidi="ar-SA"/>
      </w:rPr>
    </w:rPrDefault>
    <w:pPrDefault>
      <w:pPr>
        <w:suppressAutoHyphens/>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nhideWhenUsed="1"/>
    <w:lsdException w:name="annotation text" w:semiHidden="1" w:uiPriority="99" w:unhideWhenUsed="1" w:qFormat="1"/>
    <w:lsdException w:name="header" w:semiHidden="1" w:uiPriority="99"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iPriority="99" w:unhideWhenUsed="1" w:qFormat="1"/>
    <w:lsdException w:name="line number" w:semiHidden="1" w:uiPriority="99" w:unhideWhenUsed="1" w:qFormat="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qFormat="1"/>
    <w:lsdException w:name="List Number" w:qFormat="1"/>
    <w:lsdException w:name="List 2" w:semiHidden="1" w:uiPriority="99" w:unhideWhenUsed="1"/>
    <w:lsdException w:name="List 3" w:semiHidden="1" w:uiPriority="99" w:unhideWhenUsed="1"/>
    <w:lsdException w:name="List 4" w:semiHidden="1" w:uiPriority="99"/>
    <w:lsdException w:name="List 5" w:semiHidden="1"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iPriority="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unhideWhenUsed="1"/>
    <w:lsdException w:name="Subtitle" w:uiPriority="99" w:qFormat="1"/>
    <w:lsdException w:name="Salutation" w:semiHidden="1" w:uiPriority="99"/>
    <w:lsdException w:name="Date" w:semiHidden="1" w:uiPriority="99"/>
    <w:lsdException w:name="Body Text First Indent" w:semiHidden="1" w:uiPriority="99"/>
    <w:lsdException w:name="Body Text First Indent 2" w:semiHidden="1" w:uiPriority="99" w:unhideWhenUsed="1"/>
    <w:lsdException w:name="Note Heading" w:semiHidden="1" w:uiPriority="99" w:unhideWhenUsed="1"/>
    <w:lsdException w:name="Body Text 2" w:semiHidden="1" w:uiPriority="98"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99" w:qFormat="1"/>
    <w:lsdException w:name="Emphasis" w:uiPriority="20" w:qFormat="1"/>
    <w:lsdException w:name="Document Map" w:semiHidden="1" w:uiPriority="99" w:unhideWhenUsed="1" w:qFormat="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iPriority="99" w:unhideWhenUsed="1"/>
    <w:lsdException w:name="HTML Address" w:semiHidden="1" w:uiPriority="99"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nhideWhenUsed="1"/>
    <w:lsdException w:name="annotation subject" w:semiHidden="1" w:uiPriority="99" w:unhideWhenUsed="1" w:qFormat="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qFormat="1"/>
    <w:lsdException w:name="Table Grid" w:uiPriority="39"/>
    <w:lsdException w:name="Table Theme" w:semiHidden="1" w:unhideWhenUsed="1"/>
    <w:lsdException w:name="Placeholder Text" w:semiHidden="1" w:uiPriority="99" w:qFormat="1"/>
    <w:lsdException w:name="No Spacing" w:uiPriority="99"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99" w:qFormat="1"/>
    <w:lsdException w:name="Intense Quote" w:uiPriority="99"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99" w:qFormat="1"/>
    <w:lsdException w:name="Intense Emphasis" w:uiPriority="99" w:qFormat="1"/>
    <w:lsdException w:name="Subtle Reference" w:uiPriority="99" w:qFormat="1"/>
    <w:lsdException w:name="Intense Reference" w:uiPriority="99" w:qFormat="1"/>
    <w:lsdException w:name="Book Title" w:uiPriority="99" w:qFormat="1"/>
    <w:lsdException w:name="Bibliography" w:semiHidden="1" w:uiPriority="99"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qFormat="1"/>
    <w:lsdException w:name="Smart Link" w:semiHidden="1" w:uiPriority="99" w:unhideWhenUsed="1"/>
  </w:latentStyles>
  <w:style w:type="paragraph" w:default="1" w:styleId="Normal">
    <w:name w:val="Normal"/>
    <w:qFormat/>
    <w:rsid w:val="002B506C"/>
    <w:pPr>
      <w:spacing w:line="360" w:lineRule="auto"/>
      <w:ind w:firstLine="202"/>
      <w:jc w:val="both"/>
    </w:pPr>
    <w:rPr>
      <w:rFonts w:asciiTheme="minorHAnsi" w:hAnsiTheme="minorHAnsi"/>
      <w:sz w:val="24"/>
      <w:szCs w:val="24"/>
      <w:lang w:eastAsia="en-US"/>
    </w:rPr>
  </w:style>
  <w:style w:type="paragraph" w:styleId="Heading1">
    <w:name w:val="heading 1"/>
    <w:next w:val="Normal"/>
    <w:link w:val="Heading1Char"/>
    <w:qFormat/>
    <w:rsid w:val="002B506C"/>
    <w:pPr>
      <w:keepNext/>
      <w:keepLines/>
      <w:numPr>
        <w:numId w:val="7"/>
      </w:numPr>
      <w:spacing w:before="260" w:after="260" w:line="360" w:lineRule="auto"/>
      <w:contextualSpacing/>
      <w:jc w:val="both"/>
      <w:outlineLvl w:val="0"/>
    </w:pPr>
    <w:rPr>
      <w:rFonts w:asciiTheme="minorHAnsi" w:eastAsia="Times New Roman" w:hAnsiTheme="minorHAnsi"/>
      <w:b/>
      <w:bCs/>
      <w:color w:val="000000"/>
      <w:sz w:val="28"/>
      <w:szCs w:val="32"/>
      <w:lang w:val="en-US" w:eastAsia="en-US"/>
    </w:rPr>
  </w:style>
  <w:style w:type="paragraph" w:styleId="Heading2">
    <w:name w:val="heading 2"/>
    <w:basedOn w:val="NormalWeb"/>
    <w:next w:val="Normal"/>
    <w:link w:val="Heading2Char"/>
    <w:qFormat/>
    <w:rsid w:val="00D1034A"/>
    <w:pPr>
      <w:numPr>
        <w:ilvl w:val="1"/>
        <w:numId w:val="7"/>
      </w:numPr>
      <w:spacing w:beforeAutospacing="0" w:afterAutospacing="0"/>
      <w:outlineLvl w:val="1"/>
    </w:pPr>
    <w:rPr>
      <w:rFonts w:asciiTheme="minorHAnsi" w:hAnsiTheme="minorHAnsi"/>
      <w:b/>
      <w:bCs/>
      <w:color w:val="000000"/>
      <w:szCs w:val="32"/>
      <w:lang w:val="en-US" w:eastAsia="en-US"/>
    </w:rPr>
  </w:style>
  <w:style w:type="paragraph" w:styleId="Heading3">
    <w:name w:val="heading 3"/>
    <w:basedOn w:val="Normal"/>
    <w:next w:val="Normal"/>
    <w:link w:val="Heading3Char"/>
    <w:qFormat/>
    <w:rsid w:val="00D1034A"/>
    <w:pPr>
      <w:numPr>
        <w:ilvl w:val="2"/>
        <w:numId w:val="7"/>
      </w:numPr>
      <w:spacing w:before="260"/>
      <w:outlineLvl w:val="2"/>
    </w:pPr>
    <w:rPr>
      <w:rFonts w:eastAsia="Times New Roman"/>
      <w:b/>
      <w:bCs/>
    </w:rPr>
  </w:style>
  <w:style w:type="paragraph" w:styleId="Heading4">
    <w:name w:val="heading 4"/>
    <w:basedOn w:val="Normal"/>
    <w:next w:val="Normal"/>
    <w:link w:val="Heading4Char"/>
    <w:qFormat/>
    <w:rsid w:val="00314302"/>
    <w:pPr>
      <w:numPr>
        <w:ilvl w:val="3"/>
        <w:numId w:val="7"/>
      </w:numPr>
      <w:spacing w:before="260"/>
      <w:outlineLvl w:val="3"/>
    </w:pPr>
    <w:rPr>
      <w:rFonts w:eastAsia="Times New Roman"/>
      <w:bCs/>
      <w:iCs/>
    </w:rPr>
  </w:style>
  <w:style w:type="paragraph" w:styleId="Heading5">
    <w:name w:val="heading 5"/>
    <w:basedOn w:val="Normal"/>
    <w:next w:val="Normal"/>
    <w:link w:val="Heading5Char"/>
    <w:uiPriority w:val="99"/>
    <w:semiHidden/>
    <w:unhideWhenUsed/>
    <w:qFormat/>
    <w:rsid w:val="00D3698D"/>
    <w:pPr>
      <w:keepNext/>
      <w:keepLines/>
      <w:numPr>
        <w:ilvl w:val="4"/>
        <w:numId w:val="7"/>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9"/>
    <w:semiHidden/>
    <w:unhideWhenUsed/>
    <w:qFormat/>
    <w:rsid w:val="00D3698D"/>
    <w:pPr>
      <w:keepNext/>
      <w:keepLines/>
      <w:numPr>
        <w:ilvl w:val="5"/>
        <w:numId w:val="7"/>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9"/>
    <w:semiHidden/>
    <w:unhideWhenUsed/>
    <w:qFormat/>
    <w:rsid w:val="00D3698D"/>
    <w:pPr>
      <w:keepNext/>
      <w:keepLines/>
      <w:numPr>
        <w:ilvl w:val="6"/>
        <w:numId w:val="7"/>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9"/>
    <w:semiHidden/>
    <w:unhideWhenUsed/>
    <w:qFormat/>
    <w:rsid w:val="00D3698D"/>
    <w:pPr>
      <w:keepNext/>
      <w:keepLines/>
      <w:numPr>
        <w:ilvl w:val="7"/>
        <w:numId w:val="7"/>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9"/>
    <w:semiHidden/>
    <w:unhideWhenUsed/>
    <w:qFormat/>
    <w:rsid w:val="00D3698D"/>
    <w:pPr>
      <w:keepNext/>
      <w:keepLines/>
      <w:numPr>
        <w:ilvl w:val="8"/>
        <w:numId w:val="7"/>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qFormat/>
    <w:rsid w:val="002B506C"/>
    <w:rPr>
      <w:rFonts w:asciiTheme="minorHAnsi" w:eastAsia="Times New Roman" w:hAnsiTheme="minorHAnsi"/>
      <w:b/>
      <w:bCs/>
      <w:color w:val="000000"/>
      <w:sz w:val="28"/>
      <w:szCs w:val="32"/>
      <w:lang w:val="en-US" w:eastAsia="en-US"/>
    </w:rPr>
  </w:style>
  <w:style w:type="character" w:customStyle="1" w:styleId="Heading2Char">
    <w:name w:val="Heading 2 Char"/>
    <w:basedOn w:val="DefaultParagraphFont"/>
    <w:link w:val="Heading2"/>
    <w:qFormat/>
    <w:rsid w:val="00D1034A"/>
    <w:rPr>
      <w:rFonts w:asciiTheme="minorHAnsi" w:eastAsia="Times New Roman" w:hAnsiTheme="minorHAnsi"/>
      <w:b/>
      <w:bCs/>
      <w:color w:val="000000"/>
      <w:sz w:val="24"/>
      <w:szCs w:val="32"/>
      <w:lang w:val="en-US" w:eastAsia="en-US"/>
    </w:rPr>
  </w:style>
  <w:style w:type="character" w:customStyle="1" w:styleId="Heading3Char">
    <w:name w:val="Heading 3 Char"/>
    <w:basedOn w:val="DefaultParagraphFont"/>
    <w:link w:val="Heading3"/>
    <w:qFormat/>
    <w:rsid w:val="00D1034A"/>
    <w:rPr>
      <w:rFonts w:asciiTheme="minorHAnsi" w:eastAsia="Times New Roman" w:hAnsiTheme="minorHAnsi"/>
      <w:b/>
      <w:bCs/>
      <w:sz w:val="24"/>
      <w:szCs w:val="24"/>
      <w:lang w:eastAsia="en-US"/>
    </w:rPr>
  </w:style>
  <w:style w:type="character" w:customStyle="1" w:styleId="Heading4Char">
    <w:name w:val="Heading 4 Char"/>
    <w:basedOn w:val="DefaultParagraphFont"/>
    <w:link w:val="Heading4"/>
    <w:qFormat/>
    <w:rsid w:val="00314302"/>
    <w:rPr>
      <w:rFonts w:asciiTheme="minorHAnsi" w:eastAsia="Times New Roman" w:hAnsiTheme="minorHAnsi"/>
      <w:bCs/>
      <w:iCs/>
      <w:sz w:val="24"/>
      <w:szCs w:val="24"/>
      <w:lang w:eastAsia="en-US"/>
    </w:rPr>
  </w:style>
  <w:style w:type="character" w:customStyle="1" w:styleId="FootnoteTextChar">
    <w:name w:val="Footnote Text Char"/>
    <w:basedOn w:val="DefaultParagraphFont"/>
    <w:link w:val="FootnoteText"/>
    <w:semiHidden/>
    <w:qFormat/>
    <w:rsid w:val="002342EF"/>
    <w:rPr>
      <w:rFonts w:ascii="Times New Roman" w:hAnsi="Times New Roman"/>
      <w:color w:val="000000"/>
      <w:sz w:val="16"/>
    </w:rPr>
  </w:style>
  <w:style w:type="character" w:customStyle="1" w:styleId="FootnoteCharacters">
    <w:name w:val="Footnote Characters"/>
    <w:basedOn w:val="DefaultParagraphFont"/>
    <w:semiHidden/>
    <w:qFormat/>
    <w:locked/>
    <w:rsid w:val="007542F9"/>
    <w:rPr>
      <w:rFonts w:ascii="Times New Roman" w:hAnsi="Times New Roman"/>
      <w:sz w:val="24"/>
      <w:vertAlign w:val="superscript"/>
    </w:rPr>
  </w:style>
  <w:style w:type="character" w:customStyle="1" w:styleId="FootnoteAnchor">
    <w:name w:val="Footnote Anchor"/>
    <w:rPr>
      <w:rFonts w:ascii="Times New Roman" w:hAnsi="Times New Roman"/>
      <w:sz w:val="24"/>
      <w:vertAlign w:val="superscript"/>
    </w:rPr>
  </w:style>
  <w:style w:type="character" w:customStyle="1" w:styleId="TitleChar">
    <w:name w:val="Title Char"/>
    <w:basedOn w:val="DefaultParagraphFont"/>
    <w:link w:val="Title"/>
    <w:qFormat/>
    <w:rsid w:val="00314302"/>
    <w:rPr>
      <w:rFonts w:ascii="Arial" w:eastAsia="Times New Roman" w:hAnsi="Arial"/>
      <w:color w:val="000000"/>
      <w:kern w:val="2"/>
      <w:sz w:val="28"/>
      <w:szCs w:val="52"/>
      <w:lang w:val="en-US" w:eastAsia="en-US" w:bidi="ar-SA"/>
    </w:rPr>
  </w:style>
  <w:style w:type="character" w:customStyle="1" w:styleId="TableFootLetter">
    <w:name w:val="Table FootLetter"/>
    <w:basedOn w:val="DefaultParagraphFont"/>
    <w:qFormat/>
    <w:rsid w:val="00BD4A31"/>
    <w:rPr>
      <w:rFonts w:ascii="Times New Roman" w:hAnsi="Times New Roman"/>
      <w:sz w:val="16"/>
      <w:vertAlign w:val="superscript"/>
    </w:rPr>
  </w:style>
  <w:style w:type="character" w:customStyle="1" w:styleId="DocumentMapChar">
    <w:name w:val="Document Map Char"/>
    <w:basedOn w:val="DefaultParagraphFont"/>
    <w:link w:val="DocumentMap"/>
    <w:uiPriority w:val="99"/>
    <w:semiHidden/>
    <w:qFormat/>
    <w:rsid w:val="008C4881"/>
    <w:rPr>
      <w:rFonts w:ascii="Lucida Grande" w:hAnsi="Lucida Grande"/>
      <w:sz w:val="24"/>
      <w:szCs w:val="24"/>
    </w:rPr>
  </w:style>
  <w:style w:type="character" w:styleId="CommentReference">
    <w:name w:val="annotation reference"/>
    <w:basedOn w:val="DefaultParagraphFont"/>
    <w:uiPriority w:val="99"/>
    <w:semiHidden/>
    <w:qFormat/>
    <w:rsid w:val="00CB7232"/>
    <w:rPr>
      <w:sz w:val="18"/>
      <w:szCs w:val="18"/>
    </w:rPr>
  </w:style>
  <w:style w:type="character" w:customStyle="1" w:styleId="CommentTextChar">
    <w:name w:val="Comment Text Char"/>
    <w:basedOn w:val="DefaultParagraphFont"/>
    <w:link w:val="CommentText"/>
    <w:uiPriority w:val="99"/>
    <w:qFormat/>
    <w:rsid w:val="008C4881"/>
    <w:rPr>
      <w:rFonts w:ascii="Times New Roman" w:hAnsi="Times New Roman"/>
      <w:sz w:val="24"/>
      <w:szCs w:val="24"/>
    </w:rPr>
  </w:style>
  <w:style w:type="character" w:customStyle="1" w:styleId="CommentSubjectChar">
    <w:name w:val="Comment Subject Char"/>
    <w:basedOn w:val="CommentTextChar"/>
    <w:link w:val="CommentSubject"/>
    <w:uiPriority w:val="99"/>
    <w:semiHidden/>
    <w:qFormat/>
    <w:rsid w:val="008C4881"/>
    <w:rPr>
      <w:rFonts w:ascii="Times New Roman" w:hAnsi="Times New Roman"/>
      <w:b/>
      <w:bCs/>
      <w:sz w:val="24"/>
      <w:szCs w:val="24"/>
    </w:rPr>
  </w:style>
  <w:style w:type="character" w:customStyle="1" w:styleId="BalloonTextChar">
    <w:name w:val="Balloon Text Char"/>
    <w:basedOn w:val="DefaultParagraphFont"/>
    <w:link w:val="BalloonText"/>
    <w:uiPriority w:val="99"/>
    <w:semiHidden/>
    <w:qFormat/>
    <w:rsid w:val="008C4881"/>
    <w:rPr>
      <w:rFonts w:ascii="Lucida Grande" w:hAnsi="Lucida Grande"/>
      <w:sz w:val="18"/>
      <w:szCs w:val="18"/>
    </w:rPr>
  </w:style>
  <w:style w:type="character" w:styleId="Hyperlink">
    <w:name w:val="Hyperlink"/>
    <w:basedOn w:val="DefaultParagraphFont"/>
    <w:uiPriority w:val="99"/>
    <w:unhideWhenUsed/>
    <w:rsid w:val="00D875D6"/>
    <w:rPr>
      <w:color w:val="0000FF" w:themeColor="hyperlink"/>
      <w:u w:val="single"/>
    </w:rPr>
  </w:style>
  <w:style w:type="character" w:customStyle="1" w:styleId="HeaderChar">
    <w:name w:val="Header Char"/>
    <w:basedOn w:val="DefaultParagraphFont"/>
    <w:link w:val="Header"/>
    <w:uiPriority w:val="99"/>
    <w:qFormat/>
    <w:rsid w:val="0084296A"/>
    <w:rPr>
      <w:rFonts w:ascii="Times New Roman" w:hAnsi="Times New Roman"/>
      <w:sz w:val="24"/>
      <w:szCs w:val="24"/>
      <w:lang w:val="en-US" w:eastAsia="en-US"/>
    </w:rPr>
  </w:style>
  <w:style w:type="character" w:customStyle="1" w:styleId="FooterChar">
    <w:name w:val="Footer Char"/>
    <w:basedOn w:val="DefaultParagraphFont"/>
    <w:link w:val="Footer"/>
    <w:uiPriority w:val="99"/>
    <w:qFormat/>
    <w:rsid w:val="0084296A"/>
    <w:rPr>
      <w:rFonts w:ascii="Times New Roman" w:hAnsi="Times New Roman"/>
      <w:sz w:val="24"/>
      <w:szCs w:val="24"/>
      <w:lang w:val="en-US" w:eastAsia="en-US"/>
    </w:rPr>
  </w:style>
  <w:style w:type="character" w:styleId="LineNumber">
    <w:name w:val="line number"/>
    <w:basedOn w:val="DefaultParagraphFont"/>
    <w:uiPriority w:val="99"/>
    <w:semiHidden/>
    <w:qFormat/>
    <w:rsid w:val="0084296A"/>
  </w:style>
  <w:style w:type="character" w:customStyle="1" w:styleId="Heading5Char">
    <w:name w:val="Heading 5 Char"/>
    <w:basedOn w:val="DefaultParagraphFont"/>
    <w:link w:val="Heading5"/>
    <w:uiPriority w:val="99"/>
    <w:semiHidden/>
    <w:qFormat/>
    <w:rsid w:val="00D3698D"/>
    <w:rPr>
      <w:rFonts w:asciiTheme="majorHAnsi" w:eastAsiaTheme="majorEastAsia" w:hAnsiTheme="majorHAnsi" w:cstheme="majorBidi"/>
      <w:color w:val="365F91" w:themeColor="accent1" w:themeShade="BF"/>
      <w:sz w:val="24"/>
      <w:szCs w:val="24"/>
      <w:lang w:eastAsia="en-US"/>
    </w:rPr>
  </w:style>
  <w:style w:type="character" w:customStyle="1" w:styleId="Heading6Char">
    <w:name w:val="Heading 6 Char"/>
    <w:basedOn w:val="DefaultParagraphFont"/>
    <w:link w:val="Heading6"/>
    <w:uiPriority w:val="99"/>
    <w:semiHidden/>
    <w:qFormat/>
    <w:rsid w:val="00D3698D"/>
    <w:rPr>
      <w:rFonts w:asciiTheme="majorHAnsi" w:eastAsiaTheme="majorEastAsia" w:hAnsiTheme="majorHAnsi" w:cstheme="majorBidi"/>
      <w:color w:val="243F60" w:themeColor="accent1" w:themeShade="7F"/>
      <w:sz w:val="24"/>
      <w:szCs w:val="24"/>
      <w:lang w:eastAsia="en-US"/>
    </w:rPr>
  </w:style>
  <w:style w:type="character" w:customStyle="1" w:styleId="Heading7Char">
    <w:name w:val="Heading 7 Char"/>
    <w:basedOn w:val="DefaultParagraphFont"/>
    <w:link w:val="Heading7"/>
    <w:uiPriority w:val="99"/>
    <w:semiHidden/>
    <w:qFormat/>
    <w:rsid w:val="00D3698D"/>
    <w:rPr>
      <w:rFonts w:asciiTheme="majorHAnsi" w:eastAsiaTheme="majorEastAsia" w:hAnsiTheme="majorHAnsi" w:cstheme="majorBidi"/>
      <w:i/>
      <w:iCs/>
      <w:color w:val="243F60" w:themeColor="accent1" w:themeShade="7F"/>
      <w:sz w:val="24"/>
      <w:szCs w:val="24"/>
      <w:lang w:eastAsia="en-US"/>
    </w:rPr>
  </w:style>
  <w:style w:type="character" w:customStyle="1" w:styleId="Heading8Char">
    <w:name w:val="Heading 8 Char"/>
    <w:basedOn w:val="DefaultParagraphFont"/>
    <w:link w:val="Heading8"/>
    <w:uiPriority w:val="99"/>
    <w:semiHidden/>
    <w:qFormat/>
    <w:rsid w:val="00D3698D"/>
    <w:rPr>
      <w:rFonts w:asciiTheme="majorHAnsi" w:eastAsiaTheme="majorEastAsia" w:hAnsiTheme="majorHAnsi" w:cstheme="majorBidi"/>
      <w:color w:val="272727" w:themeColor="text1" w:themeTint="D8"/>
      <w:sz w:val="21"/>
      <w:szCs w:val="21"/>
      <w:lang w:eastAsia="en-US"/>
    </w:rPr>
  </w:style>
  <w:style w:type="character" w:customStyle="1" w:styleId="Heading9Char">
    <w:name w:val="Heading 9 Char"/>
    <w:basedOn w:val="DefaultParagraphFont"/>
    <w:link w:val="Heading9"/>
    <w:uiPriority w:val="99"/>
    <w:semiHidden/>
    <w:qFormat/>
    <w:rsid w:val="00D3698D"/>
    <w:rPr>
      <w:rFonts w:asciiTheme="majorHAnsi" w:eastAsiaTheme="majorEastAsia" w:hAnsiTheme="majorHAnsi" w:cstheme="majorBidi"/>
      <w:i/>
      <w:iCs/>
      <w:color w:val="272727" w:themeColor="text1" w:themeTint="D8"/>
      <w:sz w:val="21"/>
      <w:szCs w:val="21"/>
      <w:lang w:eastAsia="en-US"/>
    </w:rPr>
  </w:style>
  <w:style w:type="character" w:styleId="PlaceholderText">
    <w:name w:val="Placeholder Text"/>
    <w:basedOn w:val="DefaultParagraphFont"/>
    <w:uiPriority w:val="99"/>
    <w:semiHidden/>
    <w:qFormat/>
    <w:rsid w:val="006A5F02"/>
    <w:rPr>
      <w:color w:val="808080"/>
    </w:rPr>
  </w:style>
  <w:style w:type="character" w:styleId="UnresolvedMention">
    <w:name w:val="Unresolved Mention"/>
    <w:basedOn w:val="DefaultParagraphFont"/>
    <w:uiPriority w:val="99"/>
    <w:semiHidden/>
    <w:unhideWhenUsed/>
    <w:qFormat/>
    <w:rsid w:val="00BD485A"/>
    <w:rPr>
      <w:color w:val="605E5C"/>
      <w:shd w:val="clear" w:color="auto" w:fill="E1DFDD"/>
    </w:rPr>
  </w:style>
  <w:style w:type="character" w:styleId="FollowedHyperlink">
    <w:name w:val="FollowedHyperlink"/>
    <w:basedOn w:val="DefaultParagraphFont"/>
    <w:uiPriority w:val="99"/>
    <w:semiHidden/>
    <w:unhideWhenUsed/>
    <w:rsid w:val="00733F81"/>
    <w:rPr>
      <w:color w:val="800080" w:themeColor="followedHyperlink"/>
      <w:u w:val="single"/>
    </w:rPr>
  </w:style>
  <w:style w:type="character" w:customStyle="1" w:styleId="IndexLink">
    <w:name w:val="Index Link"/>
    <w:qFormat/>
  </w:style>
  <w:style w:type="paragraph" w:customStyle="1" w:styleId="Heading">
    <w:name w:val="Heading"/>
    <w:basedOn w:val="Normal"/>
    <w:next w:val="BodyText"/>
    <w:qFormat/>
    <w:pPr>
      <w:keepNext/>
      <w:spacing w:before="240" w:after="120"/>
    </w:pPr>
    <w:rPr>
      <w:rFonts w:ascii="Liberation Sans" w:eastAsia="Noto Sans CJK SC" w:hAnsi="Liberation Sans" w:cs="Lohit Devanagari"/>
      <w:sz w:val="28"/>
      <w:szCs w:val="28"/>
    </w:rPr>
  </w:style>
  <w:style w:type="paragraph" w:styleId="BodyText">
    <w:name w:val="Body Text"/>
    <w:basedOn w:val="Normal"/>
    <w:pPr>
      <w:spacing w:after="140" w:line="276" w:lineRule="auto"/>
    </w:pPr>
  </w:style>
  <w:style w:type="paragraph" w:styleId="List">
    <w:name w:val="List"/>
    <w:basedOn w:val="BodyText"/>
    <w:rPr>
      <w:rFonts w:cs="Lohit Devanagari"/>
    </w:rPr>
  </w:style>
  <w:style w:type="paragraph" w:styleId="Caption">
    <w:name w:val="caption"/>
    <w:basedOn w:val="FigureTitle"/>
    <w:next w:val="Normal"/>
    <w:unhideWhenUsed/>
    <w:qFormat/>
    <w:rsid w:val="002B506C"/>
    <w:pPr>
      <w:spacing w:after="240"/>
    </w:pPr>
  </w:style>
  <w:style w:type="paragraph" w:customStyle="1" w:styleId="Index">
    <w:name w:val="Index"/>
    <w:basedOn w:val="Normal"/>
    <w:qFormat/>
    <w:pPr>
      <w:suppressLineNumbers/>
    </w:pPr>
    <w:rPr>
      <w:rFonts w:cs="Lohit Devanagari"/>
    </w:rPr>
  </w:style>
  <w:style w:type="paragraph" w:customStyle="1" w:styleId="NoParagraphStyle">
    <w:name w:val="[No Paragraph Style]"/>
    <w:qFormat/>
    <w:rsid w:val="004245A5"/>
    <w:pPr>
      <w:widowControl w:val="0"/>
      <w:spacing w:line="288" w:lineRule="auto"/>
      <w:textAlignment w:val="center"/>
    </w:pPr>
    <w:rPr>
      <w:rFonts w:ascii="Times-Roman" w:hAnsi="Times-Roman" w:cs="Times-Roman"/>
      <w:color w:val="000000"/>
      <w:sz w:val="24"/>
      <w:szCs w:val="24"/>
      <w:lang w:val="en-US" w:eastAsia="en-US"/>
    </w:rPr>
  </w:style>
  <w:style w:type="paragraph" w:customStyle="1" w:styleId="Author">
    <w:name w:val="Author"/>
    <w:next w:val="Normal"/>
    <w:qFormat/>
    <w:rsid w:val="00BD4A31"/>
    <w:pPr>
      <w:spacing w:after="280" w:line="360" w:lineRule="auto"/>
      <w:jc w:val="center"/>
    </w:pPr>
    <w:rPr>
      <w:rFonts w:ascii="Times New Roman" w:hAnsi="Times New Roman" w:cs="TimesLTStd-Roman"/>
      <w:smallCaps/>
      <w:color w:val="000000"/>
      <w:sz w:val="24"/>
      <w:szCs w:val="22"/>
      <w:lang w:val="en-US" w:eastAsia="en-US"/>
    </w:rPr>
  </w:style>
  <w:style w:type="paragraph" w:customStyle="1" w:styleId="Abstract">
    <w:name w:val="Abstract"/>
    <w:next w:val="Normal"/>
    <w:qFormat/>
    <w:rsid w:val="00BD4A31"/>
    <w:pPr>
      <w:spacing w:before="100" w:after="600" w:line="360" w:lineRule="auto"/>
      <w:ind w:left="662" w:right="662"/>
      <w:jc w:val="both"/>
    </w:pPr>
    <w:rPr>
      <w:rFonts w:ascii="Times New Roman" w:hAnsi="Times New Roman" w:cs="TimesLTStd-Italic"/>
      <w:i/>
      <w:iCs/>
      <w:color w:val="000000"/>
      <w:sz w:val="24"/>
      <w:szCs w:val="22"/>
      <w:lang w:val="en-US" w:eastAsia="en-US"/>
    </w:rPr>
  </w:style>
  <w:style w:type="paragraph" w:customStyle="1" w:styleId="Equation">
    <w:name w:val="Equation"/>
    <w:next w:val="Normal"/>
    <w:qFormat/>
    <w:rsid w:val="00BD4A31"/>
    <w:pPr>
      <w:tabs>
        <w:tab w:val="center" w:pos="3960"/>
      </w:tabs>
      <w:spacing w:before="260" w:line="360" w:lineRule="auto"/>
    </w:pPr>
    <w:rPr>
      <w:rFonts w:ascii="Times New Roman" w:hAnsi="Times New Roman" w:cs="TimesLTStd-Roman"/>
      <w:color w:val="000000"/>
      <w:sz w:val="24"/>
      <w:lang w:val="en-US" w:eastAsia="en-US"/>
    </w:rPr>
  </w:style>
  <w:style w:type="paragraph" w:customStyle="1" w:styleId="NormalNoIndent">
    <w:name w:val="Normal No Indent"/>
    <w:basedOn w:val="Normal"/>
    <w:next w:val="Normal"/>
    <w:qFormat/>
    <w:rsid w:val="00641B74"/>
    <w:pPr>
      <w:ind w:firstLine="0"/>
    </w:pPr>
  </w:style>
  <w:style w:type="paragraph" w:customStyle="1" w:styleId="Contact">
    <w:name w:val="Contact"/>
    <w:next w:val="Normal"/>
    <w:qFormat/>
    <w:rsid w:val="00BD4A31"/>
    <w:pPr>
      <w:spacing w:after="200" w:line="360" w:lineRule="auto"/>
    </w:pPr>
    <w:rPr>
      <w:rFonts w:ascii="Times New Roman" w:hAnsi="Times New Roman" w:cs="TimesLTStd-Roman"/>
      <w:color w:val="000000"/>
      <w:sz w:val="16"/>
      <w:szCs w:val="16"/>
      <w:lang w:val="en-US" w:eastAsia="en-US"/>
    </w:rPr>
  </w:style>
  <w:style w:type="paragraph" w:customStyle="1" w:styleId="ReferenceHeading">
    <w:name w:val="Reference Heading"/>
    <w:basedOn w:val="Normal"/>
    <w:next w:val="References"/>
    <w:qFormat/>
    <w:rsid w:val="00BD4A31"/>
    <w:pPr>
      <w:keepNext/>
      <w:widowControl w:val="0"/>
      <w:spacing w:before="260" w:after="260"/>
      <w:ind w:firstLine="0"/>
      <w:jc w:val="center"/>
      <w:textAlignment w:val="center"/>
    </w:pPr>
    <w:rPr>
      <w:rFonts w:cs="TimesLTStd-Roman"/>
      <w:caps/>
      <w:szCs w:val="20"/>
    </w:rPr>
  </w:style>
  <w:style w:type="paragraph" w:customStyle="1" w:styleId="References">
    <w:name w:val="References"/>
    <w:basedOn w:val="Normal"/>
    <w:qFormat/>
    <w:rsid w:val="00BD4A31"/>
    <w:pPr>
      <w:widowControl w:val="0"/>
      <w:ind w:left="202" w:hanging="202"/>
      <w:textAlignment w:val="center"/>
    </w:pPr>
    <w:rPr>
      <w:rFonts w:cs="TimesLTStd-Roman"/>
      <w:szCs w:val="20"/>
    </w:rPr>
  </w:style>
  <w:style w:type="paragraph" w:customStyle="1" w:styleId="Extract">
    <w:name w:val="Extract"/>
    <w:next w:val="Normal"/>
    <w:uiPriority w:val="99"/>
    <w:semiHidden/>
    <w:qFormat/>
    <w:rsid w:val="00BD4A31"/>
    <w:pPr>
      <w:spacing w:before="260" w:line="360" w:lineRule="auto"/>
      <w:ind w:left="720" w:right="720"/>
      <w:jc w:val="both"/>
    </w:pPr>
    <w:rPr>
      <w:rFonts w:ascii="Times New Roman" w:hAnsi="Times New Roman" w:cs="TimesLTStd-Italic"/>
      <w:i/>
      <w:iCs/>
      <w:color w:val="000000"/>
      <w:sz w:val="24"/>
      <w:lang w:val="en-US" w:eastAsia="en-US"/>
    </w:rPr>
  </w:style>
  <w:style w:type="paragraph" w:customStyle="1" w:styleId="Tagline">
    <w:name w:val="Tagline"/>
    <w:basedOn w:val="Normal"/>
    <w:next w:val="Normal"/>
    <w:uiPriority w:val="99"/>
    <w:semiHidden/>
    <w:qFormat/>
    <w:rsid w:val="00314302"/>
    <w:pPr>
      <w:spacing w:after="120"/>
      <w:ind w:left="720" w:right="720" w:firstLine="0"/>
      <w:jc w:val="right"/>
    </w:pPr>
  </w:style>
  <w:style w:type="paragraph" w:styleId="FootnoteText">
    <w:name w:val="footnote text"/>
    <w:basedOn w:val="Normal"/>
    <w:link w:val="FootnoteTextChar"/>
    <w:semiHidden/>
    <w:locked/>
    <w:rsid w:val="0038690E"/>
    <w:pPr>
      <w:spacing w:line="180" w:lineRule="atLeast"/>
    </w:pPr>
    <w:rPr>
      <w:sz w:val="16"/>
    </w:rPr>
  </w:style>
  <w:style w:type="paragraph" w:customStyle="1" w:styleId="FigureTitle">
    <w:name w:val="Figure Title"/>
    <w:next w:val="Normal"/>
    <w:qFormat/>
    <w:rsid w:val="00DD0DD3"/>
    <w:pPr>
      <w:keepLines/>
      <w:spacing w:after="80" w:line="180" w:lineRule="atLeast"/>
      <w:jc w:val="center"/>
    </w:pPr>
    <w:rPr>
      <w:rFonts w:asciiTheme="minorHAnsi" w:hAnsiTheme="minorHAnsi" w:cstheme="minorHAnsi"/>
      <w:smallCaps/>
      <w:color w:val="000000"/>
      <w:spacing w:val="-1"/>
      <w:sz w:val="24"/>
      <w:szCs w:val="16"/>
      <w:lang w:val="en-US" w:eastAsia="en-US"/>
    </w:rPr>
  </w:style>
  <w:style w:type="paragraph" w:customStyle="1" w:styleId="FigureNotes">
    <w:name w:val="Figure Notes"/>
    <w:next w:val="Normal"/>
    <w:qFormat/>
    <w:rsid w:val="00DD0DD3"/>
    <w:pPr>
      <w:tabs>
        <w:tab w:val="right" w:pos="440"/>
        <w:tab w:val="left" w:pos="480"/>
      </w:tabs>
      <w:spacing w:before="120" w:after="120" w:line="180" w:lineRule="atLeast"/>
      <w:jc w:val="both"/>
    </w:pPr>
    <w:rPr>
      <w:rFonts w:asciiTheme="minorHAnsi" w:hAnsiTheme="minorHAnsi" w:cs="TimesLTStd-Roman"/>
      <w:color w:val="000000"/>
      <w:szCs w:val="16"/>
      <w:lang w:val="en-US" w:eastAsia="en-US"/>
    </w:rPr>
  </w:style>
  <w:style w:type="paragraph" w:customStyle="1" w:styleId="TableTitle">
    <w:name w:val="Table Title"/>
    <w:qFormat/>
    <w:rsid w:val="00991B6F"/>
    <w:pPr>
      <w:pBdr>
        <w:bottom w:val="double" w:sz="2" w:space="1" w:color="000000"/>
      </w:pBdr>
      <w:spacing w:after="160" w:line="180" w:lineRule="atLeast"/>
      <w:ind w:right="720"/>
      <w:jc w:val="center"/>
    </w:pPr>
    <w:rPr>
      <w:rFonts w:ascii="Times New Roman" w:hAnsi="Times New Roman" w:cs="TimesLTStd-Roman"/>
      <w:smallCaps/>
      <w:color w:val="000000"/>
      <w:spacing w:val="-1"/>
      <w:w w:val="97"/>
      <w:sz w:val="24"/>
      <w:szCs w:val="16"/>
      <w:lang w:val="en-US" w:eastAsia="en-US"/>
    </w:rPr>
  </w:style>
  <w:style w:type="paragraph" w:customStyle="1" w:styleId="TableNotes">
    <w:name w:val="Table Notes"/>
    <w:qFormat/>
    <w:rsid w:val="00DD0DD3"/>
    <w:pPr>
      <w:spacing w:before="120" w:line="180" w:lineRule="atLeast"/>
      <w:ind w:right="720"/>
      <w:jc w:val="both"/>
    </w:pPr>
    <w:rPr>
      <w:rFonts w:asciiTheme="minorHAnsi" w:hAnsiTheme="minorHAnsi" w:cs="TimesLTStd-Roman"/>
      <w:color w:val="000000"/>
      <w:szCs w:val="16"/>
      <w:lang w:val="en-US" w:eastAsia="en-US"/>
    </w:rPr>
  </w:style>
  <w:style w:type="paragraph" w:customStyle="1" w:styleId="TableText">
    <w:name w:val="Table Text"/>
    <w:qFormat/>
    <w:rsid w:val="00DD0DD3"/>
    <w:pPr>
      <w:spacing w:line="180" w:lineRule="atLeast"/>
      <w:jc w:val="center"/>
    </w:pPr>
    <w:rPr>
      <w:rFonts w:asciiTheme="minorHAnsi" w:hAnsiTheme="minorHAnsi" w:cs="TimesLTStd-Roman"/>
      <w:color w:val="000000"/>
      <w:szCs w:val="16"/>
      <w:lang w:val="en-US" w:eastAsia="en-US"/>
    </w:rPr>
  </w:style>
  <w:style w:type="paragraph" w:styleId="Title">
    <w:name w:val="Title"/>
    <w:next w:val="Author"/>
    <w:link w:val="TitleChar"/>
    <w:qFormat/>
    <w:rsid w:val="003B1254"/>
    <w:pPr>
      <w:spacing w:after="300" w:line="360" w:lineRule="auto"/>
      <w:contextualSpacing/>
      <w:jc w:val="center"/>
    </w:pPr>
    <w:rPr>
      <w:rFonts w:ascii="Arial" w:eastAsia="Times New Roman" w:hAnsi="Arial"/>
      <w:color w:val="000000"/>
      <w:kern w:val="2"/>
      <w:sz w:val="28"/>
      <w:szCs w:val="52"/>
      <w:lang w:val="en-US" w:eastAsia="en-US"/>
    </w:rPr>
  </w:style>
  <w:style w:type="paragraph" w:styleId="ListBullet">
    <w:name w:val="List Bullet"/>
    <w:basedOn w:val="Normal"/>
    <w:next w:val="Normal"/>
    <w:qFormat/>
    <w:rsid w:val="00BC2E42"/>
    <w:pPr>
      <w:numPr>
        <w:numId w:val="2"/>
      </w:numPr>
      <w:spacing w:after="60"/>
      <w:ind w:left="561" w:hanging="357"/>
      <w:contextualSpacing/>
    </w:pPr>
  </w:style>
  <w:style w:type="paragraph" w:styleId="ListNumber">
    <w:name w:val="List Number"/>
    <w:basedOn w:val="Normal"/>
    <w:next w:val="Normal"/>
    <w:qFormat/>
    <w:rsid w:val="00BC2E42"/>
    <w:pPr>
      <w:numPr>
        <w:numId w:val="3"/>
      </w:numPr>
      <w:spacing w:after="60"/>
      <w:ind w:left="1190" w:hanging="357"/>
    </w:pPr>
  </w:style>
  <w:style w:type="paragraph" w:customStyle="1" w:styleId="FigurePlaceholder">
    <w:name w:val="Figure Placeholder"/>
    <w:basedOn w:val="Normal"/>
    <w:next w:val="Normal"/>
    <w:qFormat/>
    <w:rsid w:val="00AB33DA"/>
    <w:pPr>
      <w:spacing w:before="260" w:after="260"/>
      <w:jc w:val="center"/>
    </w:pPr>
  </w:style>
  <w:style w:type="paragraph" w:customStyle="1" w:styleId="TableFootnote">
    <w:name w:val="Table Footnote"/>
    <w:basedOn w:val="TableNotes"/>
    <w:next w:val="TableNotes"/>
    <w:qFormat/>
    <w:rsid w:val="00991B6F"/>
    <w:rPr>
      <w:sz w:val="16"/>
    </w:rPr>
  </w:style>
  <w:style w:type="paragraph" w:customStyle="1" w:styleId="TablePlaceholder">
    <w:name w:val="Table Placeholder"/>
    <w:basedOn w:val="FigurePlaceholder"/>
    <w:next w:val="NoParagraphStyle"/>
    <w:qFormat/>
    <w:rsid w:val="00AB33DA"/>
  </w:style>
  <w:style w:type="paragraph" w:styleId="DocumentMap">
    <w:name w:val="Document Map"/>
    <w:basedOn w:val="Normal"/>
    <w:link w:val="DocumentMapChar"/>
    <w:uiPriority w:val="99"/>
    <w:semiHidden/>
    <w:qFormat/>
    <w:rsid w:val="00CB7232"/>
    <w:rPr>
      <w:rFonts w:ascii="Lucida Grande" w:hAnsi="Lucida Grande"/>
    </w:rPr>
  </w:style>
  <w:style w:type="paragraph" w:styleId="CommentText">
    <w:name w:val="annotation text"/>
    <w:basedOn w:val="Normal"/>
    <w:link w:val="CommentTextChar"/>
    <w:uiPriority w:val="99"/>
    <w:qFormat/>
    <w:rsid w:val="00CB7232"/>
  </w:style>
  <w:style w:type="paragraph" w:styleId="CommentSubject">
    <w:name w:val="annotation subject"/>
    <w:basedOn w:val="CommentText"/>
    <w:next w:val="CommentText"/>
    <w:link w:val="CommentSubjectChar"/>
    <w:uiPriority w:val="99"/>
    <w:semiHidden/>
    <w:qFormat/>
    <w:rsid w:val="00CB7232"/>
    <w:rPr>
      <w:b/>
      <w:bCs/>
      <w:sz w:val="20"/>
      <w:szCs w:val="20"/>
    </w:rPr>
  </w:style>
  <w:style w:type="paragraph" w:styleId="BalloonText">
    <w:name w:val="Balloon Text"/>
    <w:basedOn w:val="Normal"/>
    <w:link w:val="BalloonTextChar"/>
    <w:uiPriority w:val="99"/>
    <w:semiHidden/>
    <w:qFormat/>
    <w:rsid w:val="000B4D4C"/>
    <w:pPr>
      <w:spacing w:line="240" w:lineRule="auto"/>
    </w:pPr>
    <w:rPr>
      <w:rFonts w:ascii="Lucida Grande" w:hAnsi="Lucida Grande"/>
      <w:sz w:val="18"/>
      <w:szCs w:val="18"/>
    </w:rPr>
  </w:style>
  <w:style w:type="paragraph" w:styleId="TOC1">
    <w:name w:val="toc 1"/>
    <w:basedOn w:val="Normal"/>
    <w:next w:val="Normal"/>
    <w:autoRedefine/>
    <w:uiPriority w:val="39"/>
    <w:rsid w:val="00E166D0"/>
    <w:pPr>
      <w:tabs>
        <w:tab w:val="left" w:pos="720"/>
        <w:tab w:val="right" w:leader="dot" w:pos="9396"/>
      </w:tabs>
      <w:spacing w:after="100"/>
    </w:pPr>
  </w:style>
  <w:style w:type="paragraph" w:styleId="TOC2">
    <w:name w:val="toc 2"/>
    <w:basedOn w:val="Normal"/>
    <w:next w:val="Normal"/>
    <w:autoRedefine/>
    <w:uiPriority w:val="39"/>
    <w:rsid w:val="00035A43"/>
    <w:pPr>
      <w:tabs>
        <w:tab w:val="left" w:pos="1100"/>
        <w:tab w:val="right" w:leader="dot" w:pos="9396"/>
      </w:tabs>
      <w:spacing w:after="100"/>
      <w:ind w:left="240"/>
    </w:pPr>
  </w:style>
  <w:style w:type="paragraph" w:styleId="TOC3">
    <w:name w:val="toc 3"/>
    <w:basedOn w:val="Normal"/>
    <w:next w:val="Normal"/>
    <w:autoRedefine/>
    <w:uiPriority w:val="39"/>
    <w:rsid w:val="00035A43"/>
    <w:pPr>
      <w:tabs>
        <w:tab w:val="left" w:pos="1540"/>
        <w:tab w:val="right" w:leader="dot" w:pos="9396"/>
      </w:tabs>
      <w:spacing w:after="100"/>
      <w:ind w:left="480"/>
    </w:pPr>
  </w:style>
  <w:style w:type="paragraph" w:customStyle="1" w:styleId="HeaderandFooter">
    <w:name w:val="Header and Footer"/>
    <w:basedOn w:val="Normal"/>
    <w:qFormat/>
  </w:style>
  <w:style w:type="paragraph" w:styleId="Header">
    <w:name w:val="header"/>
    <w:basedOn w:val="Normal"/>
    <w:link w:val="HeaderChar"/>
    <w:uiPriority w:val="99"/>
    <w:rsid w:val="0084296A"/>
    <w:pPr>
      <w:tabs>
        <w:tab w:val="center" w:pos="4536"/>
        <w:tab w:val="right" w:pos="9072"/>
      </w:tabs>
      <w:spacing w:line="240" w:lineRule="auto"/>
    </w:pPr>
  </w:style>
  <w:style w:type="paragraph" w:styleId="Footer">
    <w:name w:val="footer"/>
    <w:basedOn w:val="Normal"/>
    <w:link w:val="FooterChar"/>
    <w:uiPriority w:val="99"/>
    <w:rsid w:val="0084296A"/>
    <w:pPr>
      <w:tabs>
        <w:tab w:val="center" w:pos="4536"/>
        <w:tab w:val="right" w:pos="9072"/>
      </w:tabs>
      <w:spacing w:line="240" w:lineRule="auto"/>
    </w:pPr>
  </w:style>
  <w:style w:type="paragraph" w:styleId="ListParagraph">
    <w:name w:val="List Paragraph"/>
    <w:basedOn w:val="Normal"/>
    <w:uiPriority w:val="34"/>
    <w:qFormat/>
    <w:rsid w:val="002312CF"/>
    <w:pPr>
      <w:ind w:left="720"/>
      <w:contextualSpacing/>
    </w:pPr>
  </w:style>
  <w:style w:type="paragraph" w:customStyle="1" w:styleId="StyleHeading2Green">
    <w:name w:val="Style Heading 2 + Green"/>
    <w:basedOn w:val="Heading2"/>
    <w:qFormat/>
    <w:rsid w:val="002B506C"/>
    <w:pPr>
      <w:numPr>
        <w:ilvl w:val="0"/>
        <w:numId w:val="0"/>
      </w:numPr>
    </w:pPr>
    <w:rPr>
      <w:i/>
      <w:iCs/>
      <w:color w:val="000000" w:themeColor="text1"/>
    </w:rPr>
  </w:style>
  <w:style w:type="paragraph" w:customStyle="1" w:styleId="StyleHeading3Italic">
    <w:name w:val="Style Heading 3 + Italic"/>
    <w:basedOn w:val="Heading3"/>
    <w:qFormat/>
    <w:rsid w:val="00D3698D"/>
    <w:pPr>
      <w:numPr>
        <w:ilvl w:val="0"/>
        <w:numId w:val="0"/>
      </w:numPr>
      <w:ind w:firstLine="202"/>
    </w:pPr>
    <w:rPr>
      <w:bCs w:val="0"/>
      <w:i/>
      <w:iCs/>
    </w:rPr>
  </w:style>
  <w:style w:type="paragraph" w:styleId="NormalWeb">
    <w:name w:val="Normal (Web)"/>
    <w:basedOn w:val="Normal"/>
    <w:uiPriority w:val="99"/>
    <w:unhideWhenUsed/>
    <w:qFormat/>
    <w:rsid w:val="00E9127E"/>
    <w:pPr>
      <w:spacing w:beforeAutospacing="1" w:afterAutospacing="1" w:line="240" w:lineRule="auto"/>
      <w:ind w:firstLine="0"/>
      <w:jc w:val="left"/>
    </w:pPr>
    <w:rPr>
      <w:rFonts w:ascii="Times New Roman" w:eastAsia="Times New Roman" w:hAnsi="Times New Roman"/>
      <w:lang w:val="nl-NL" w:eastAsia="nl-NL"/>
    </w:rPr>
  </w:style>
  <w:style w:type="paragraph" w:customStyle="1" w:styleId="FrameContents">
    <w:name w:val="Frame Contents"/>
    <w:basedOn w:val="Normal"/>
    <w:qFormat/>
  </w:style>
  <w:style w:type="table" w:styleId="GridTable1Light-Accent1">
    <w:name w:val="Grid Table 1 Light Accent 1"/>
    <w:basedOn w:val="TableNormal"/>
    <w:uiPriority w:val="46"/>
    <w:rsid w:val="001D69F9"/>
    <w:rPr>
      <w:rFonts w:asciiTheme="minorHAnsi" w:eastAsiaTheme="minorHAnsi" w:hAnsiTheme="minorHAnsi" w:cstheme="minorBidi"/>
      <w:sz w:val="24"/>
      <w:szCs w:val="24"/>
      <w:lang w:val="nl-NL" w:eastAsia="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4F81BD" w:themeColor="accent1"/>
        </w:tcBorders>
      </w:tcPr>
    </w:tblStylePr>
    <w:tblStylePr w:type="lastRow">
      <w:rPr>
        <w:b/>
        <w:bCs/>
      </w:rPr>
      <w:tblPr/>
      <w:tcPr>
        <w:tcBorders>
          <w:top w:val="double" w:sz="2" w:space="0" w:color="4F81BD" w:themeColor="accent1"/>
        </w:tcBorders>
      </w:tcPr>
    </w:tblStylePr>
    <w:tblStylePr w:type="firstCol">
      <w:rPr>
        <w:b/>
        <w:bCs/>
      </w:rPr>
    </w:tblStylePr>
    <w:tblStylePr w:type="lastCol">
      <w:rPr>
        <w:b/>
        <w:bCs/>
      </w:rPr>
    </w:tblStylePr>
  </w:style>
  <w:style w:type="table" w:styleId="TableGrid">
    <w:name w:val="Table Grid"/>
    <w:basedOn w:val="TableNormal"/>
    <w:uiPriority w:val="39"/>
    <w:rsid w:val="00A809A5"/>
    <w:rPr>
      <w:rFonts w:asciiTheme="minorHAnsi" w:eastAsiaTheme="minorHAnsi" w:hAnsiTheme="minorHAnsi" w:cstheme="minorBidi"/>
      <w:sz w:val="24"/>
      <w:szCs w:val="24"/>
      <w:lang w:val="nl-N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2439BB"/>
    <w:pPr>
      <w:numPr>
        <w:numId w:val="0"/>
      </w:numPr>
      <w:suppressAutoHyphens w:val="0"/>
      <w:spacing w:before="240" w:after="0" w:line="259" w:lineRule="auto"/>
      <w:contextualSpacing w:val="0"/>
      <w:jc w:val="left"/>
      <w:outlineLvl w:val="9"/>
    </w:pPr>
    <w:rPr>
      <w:rFonts w:asciiTheme="majorHAnsi" w:eastAsiaTheme="majorEastAsia" w:hAnsiTheme="majorHAnsi" w:cstheme="majorBidi"/>
      <w:b w:val="0"/>
      <w:bCs w:val="0"/>
      <w:color w:val="365F91" w:themeColor="accent1" w:themeShade="BF"/>
      <w:sz w:val="32"/>
    </w:rPr>
  </w:style>
  <w:style w:type="character" w:customStyle="1" w:styleId="mjxassistivemathml">
    <w:name w:val="mjx_assistive_mathml"/>
    <w:basedOn w:val="DefaultParagraphFont"/>
    <w:rsid w:val="00E167F4"/>
  </w:style>
  <w:style w:type="character" w:styleId="Emphasis">
    <w:name w:val="Emphasis"/>
    <w:basedOn w:val="DefaultParagraphFont"/>
    <w:uiPriority w:val="20"/>
    <w:qFormat/>
    <w:rsid w:val="0056681F"/>
    <w:rPr>
      <w:i/>
      <w:iCs/>
    </w:rPr>
  </w:style>
  <w:style w:type="character" w:customStyle="1" w:styleId="mjx-char">
    <w:name w:val="mjx-char"/>
    <w:basedOn w:val="DefaultParagraphFont"/>
    <w:rsid w:val="0056681F"/>
  </w:style>
  <w:style w:type="table" w:styleId="GridTable1Light">
    <w:name w:val="Grid Table 1 Light"/>
    <w:basedOn w:val="TableNormal"/>
    <w:uiPriority w:val="46"/>
    <w:rsid w:val="00C23819"/>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Revision">
    <w:name w:val="Revision"/>
    <w:hidden/>
    <w:semiHidden/>
    <w:rsid w:val="0002659C"/>
    <w:pPr>
      <w:suppressAutoHyphens w:val="0"/>
    </w:pPr>
    <w:rPr>
      <w:rFonts w:asciiTheme="minorHAnsi" w:hAnsiTheme="minorHAnsi"/>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133781">
      <w:bodyDiv w:val="1"/>
      <w:marLeft w:val="0"/>
      <w:marRight w:val="0"/>
      <w:marTop w:val="0"/>
      <w:marBottom w:val="0"/>
      <w:divBdr>
        <w:top w:val="none" w:sz="0" w:space="0" w:color="auto"/>
        <w:left w:val="none" w:sz="0" w:space="0" w:color="auto"/>
        <w:bottom w:val="none" w:sz="0" w:space="0" w:color="auto"/>
        <w:right w:val="none" w:sz="0" w:space="0" w:color="auto"/>
      </w:divBdr>
    </w:div>
    <w:div w:id="112604659">
      <w:bodyDiv w:val="1"/>
      <w:marLeft w:val="0"/>
      <w:marRight w:val="0"/>
      <w:marTop w:val="0"/>
      <w:marBottom w:val="0"/>
      <w:divBdr>
        <w:top w:val="none" w:sz="0" w:space="0" w:color="auto"/>
        <w:left w:val="none" w:sz="0" w:space="0" w:color="auto"/>
        <w:bottom w:val="none" w:sz="0" w:space="0" w:color="auto"/>
        <w:right w:val="none" w:sz="0" w:space="0" w:color="auto"/>
      </w:divBdr>
    </w:div>
    <w:div w:id="267129475">
      <w:bodyDiv w:val="1"/>
      <w:marLeft w:val="0"/>
      <w:marRight w:val="0"/>
      <w:marTop w:val="0"/>
      <w:marBottom w:val="0"/>
      <w:divBdr>
        <w:top w:val="none" w:sz="0" w:space="0" w:color="auto"/>
        <w:left w:val="none" w:sz="0" w:space="0" w:color="auto"/>
        <w:bottom w:val="none" w:sz="0" w:space="0" w:color="auto"/>
        <w:right w:val="none" w:sz="0" w:space="0" w:color="auto"/>
      </w:divBdr>
    </w:div>
    <w:div w:id="599993744">
      <w:bodyDiv w:val="1"/>
      <w:marLeft w:val="0"/>
      <w:marRight w:val="0"/>
      <w:marTop w:val="0"/>
      <w:marBottom w:val="0"/>
      <w:divBdr>
        <w:top w:val="none" w:sz="0" w:space="0" w:color="auto"/>
        <w:left w:val="none" w:sz="0" w:space="0" w:color="auto"/>
        <w:bottom w:val="none" w:sz="0" w:space="0" w:color="auto"/>
        <w:right w:val="none" w:sz="0" w:space="0" w:color="auto"/>
      </w:divBdr>
      <w:divsChild>
        <w:div w:id="1545822953">
          <w:marLeft w:val="0"/>
          <w:marRight w:val="0"/>
          <w:marTop w:val="0"/>
          <w:marBottom w:val="0"/>
          <w:divBdr>
            <w:top w:val="single" w:sz="2" w:space="0" w:color="auto"/>
            <w:left w:val="single" w:sz="2" w:space="0" w:color="auto"/>
            <w:bottom w:val="single" w:sz="6" w:space="0" w:color="auto"/>
            <w:right w:val="single" w:sz="2" w:space="0" w:color="auto"/>
          </w:divBdr>
          <w:divsChild>
            <w:div w:id="1743334802">
              <w:marLeft w:val="0"/>
              <w:marRight w:val="0"/>
              <w:marTop w:val="100"/>
              <w:marBottom w:val="100"/>
              <w:divBdr>
                <w:top w:val="single" w:sz="2" w:space="0" w:color="D9D9E3"/>
                <w:left w:val="single" w:sz="2" w:space="0" w:color="D9D9E3"/>
                <w:bottom w:val="single" w:sz="2" w:space="0" w:color="D9D9E3"/>
                <w:right w:val="single" w:sz="2" w:space="0" w:color="D9D9E3"/>
              </w:divBdr>
              <w:divsChild>
                <w:div w:id="140774170">
                  <w:marLeft w:val="0"/>
                  <w:marRight w:val="0"/>
                  <w:marTop w:val="0"/>
                  <w:marBottom w:val="0"/>
                  <w:divBdr>
                    <w:top w:val="single" w:sz="2" w:space="0" w:color="D9D9E3"/>
                    <w:left w:val="single" w:sz="2" w:space="0" w:color="D9D9E3"/>
                    <w:bottom w:val="single" w:sz="2" w:space="0" w:color="D9D9E3"/>
                    <w:right w:val="single" w:sz="2" w:space="0" w:color="D9D9E3"/>
                  </w:divBdr>
                  <w:divsChild>
                    <w:div w:id="49767087">
                      <w:marLeft w:val="0"/>
                      <w:marRight w:val="0"/>
                      <w:marTop w:val="0"/>
                      <w:marBottom w:val="0"/>
                      <w:divBdr>
                        <w:top w:val="single" w:sz="2" w:space="0" w:color="D9D9E3"/>
                        <w:left w:val="single" w:sz="2" w:space="0" w:color="D9D9E3"/>
                        <w:bottom w:val="single" w:sz="2" w:space="0" w:color="D9D9E3"/>
                        <w:right w:val="single" w:sz="2" w:space="0" w:color="D9D9E3"/>
                      </w:divBdr>
                      <w:divsChild>
                        <w:div w:id="560673005">
                          <w:marLeft w:val="0"/>
                          <w:marRight w:val="0"/>
                          <w:marTop w:val="0"/>
                          <w:marBottom w:val="0"/>
                          <w:divBdr>
                            <w:top w:val="single" w:sz="2" w:space="0" w:color="D9D9E3"/>
                            <w:left w:val="single" w:sz="2" w:space="0" w:color="D9D9E3"/>
                            <w:bottom w:val="single" w:sz="2" w:space="0" w:color="D9D9E3"/>
                            <w:right w:val="single" w:sz="2" w:space="0" w:color="D9D9E3"/>
                          </w:divBdr>
                          <w:divsChild>
                            <w:div w:id="6865624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616642979">
      <w:bodyDiv w:val="1"/>
      <w:marLeft w:val="0"/>
      <w:marRight w:val="0"/>
      <w:marTop w:val="0"/>
      <w:marBottom w:val="0"/>
      <w:divBdr>
        <w:top w:val="none" w:sz="0" w:space="0" w:color="auto"/>
        <w:left w:val="none" w:sz="0" w:space="0" w:color="auto"/>
        <w:bottom w:val="none" w:sz="0" w:space="0" w:color="auto"/>
        <w:right w:val="none" w:sz="0" w:space="0" w:color="auto"/>
      </w:divBdr>
    </w:div>
    <w:div w:id="657618397">
      <w:bodyDiv w:val="1"/>
      <w:marLeft w:val="0"/>
      <w:marRight w:val="0"/>
      <w:marTop w:val="0"/>
      <w:marBottom w:val="0"/>
      <w:divBdr>
        <w:top w:val="none" w:sz="0" w:space="0" w:color="auto"/>
        <w:left w:val="none" w:sz="0" w:space="0" w:color="auto"/>
        <w:bottom w:val="none" w:sz="0" w:space="0" w:color="auto"/>
        <w:right w:val="none" w:sz="0" w:space="0" w:color="auto"/>
      </w:divBdr>
      <w:divsChild>
        <w:div w:id="138160168">
          <w:marLeft w:val="0"/>
          <w:marRight w:val="0"/>
          <w:marTop w:val="0"/>
          <w:marBottom w:val="0"/>
          <w:divBdr>
            <w:top w:val="single" w:sz="2" w:space="0" w:color="auto"/>
            <w:left w:val="single" w:sz="2" w:space="0" w:color="auto"/>
            <w:bottom w:val="single" w:sz="6" w:space="0" w:color="auto"/>
            <w:right w:val="single" w:sz="2" w:space="0" w:color="auto"/>
          </w:divBdr>
          <w:divsChild>
            <w:div w:id="2010062840">
              <w:marLeft w:val="0"/>
              <w:marRight w:val="0"/>
              <w:marTop w:val="100"/>
              <w:marBottom w:val="100"/>
              <w:divBdr>
                <w:top w:val="single" w:sz="2" w:space="0" w:color="D9D9E3"/>
                <w:left w:val="single" w:sz="2" w:space="0" w:color="D9D9E3"/>
                <w:bottom w:val="single" w:sz="2" w:space="0" w:color="D9D9E3"/>
                <w:right w:val="single" w:sz="2" w:space="0" w:color="D9D9E3"/>
              </w:divBdr>
              <w:divsChild>
                <w:div w:id="349721545">
                  <w:marLeft w:val="0"/>
                  <w:marRight w:val="0"/>
                  <w:marTop w:val="0"/>
                  <w:marBottom w:val="0"/>
                  <w:divBdr>
                    <w:top w:val="single" w:sz="2" w:space="0" w:color="D9D9E3"/>
                    <w:left w:val="single" w:sz="2" w:space="0" w:color="D9D9E3"/>
                    <w:bottom w:val="single" w:sz="2" w:space="0" w:color="D9D9E3"/>
                    <w:right w:val="single" w:sz="2" w:space="0" w:color="D9D9E3"/>
                  </w:divBdr>
                  <w:divsChild>
                    <w:div w:id="339746201">
                      <w:marLeft w:val="0"/>
                      <w:marRight w:val="0"/>
                      <w:marTop w:val="0"/>
                      <w:marBottom w:val="0"/>
                      <w:divBdr>
                        <w:top w:val="single" w:sz="2" w:space="0" w:color="D9D9E3"/>
                        <w:left w:val="single" w:sz="2" w:space="0" w:color="D9D9E3"/>
                        <w:bottom w:val="single" w:sz="2" w:space="0" w:color="D9D9E3"/>
                        <w:right w:val="single" w:sz="2" w:space="0" w:color="D9D9E3"/>
                      </w:divBdr>
                      <w:divsChild>
                        <w:div w:id="919683444">
                          <w:marLeft w:val="0"/>
                          <w:marRight w:val="0"/>
                          <w:marTop w:val="0"/>
                          <w:marBottom w:val="0"/>
                          <w:divBdr>
                            <w:top w:val="single" w:sz="2" w:space="0" w:color="D9D9E3"/>
                            <w:left w:val="single" w:sz="2" w:space="0" w:color="D9D9E3"/>
                            <w:bottom w:val="single" w:sz="2" w:space="0" w:color="D9D9E3"/>
                            <w:right w:val="single" w:sz="2" w:space="0" w:color="D9D9E3"/>
                          </w:divBdr>
                          <w:divsChild>
                            <w:div w:id="4826271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931087269">
      <w:bodyDiv w:val="1"/>
      <w:marLeft w:val="0"/>
      <w:marRight w:val="0"/>
      <w:marTop w:val="0"/>
      <w:marBottom w:val="0"/>
      <w:divBdr>
        <w:top w:val="none" w:sz="0" w:space="0" w:color="auto"/>
        <w:left w:val="none" w:sz="0" w:space="0" w:color="auto"/>
        <w:bottom w:val="none" w:sz="0" w:space="0" w:color="auto"/>
        <w:right w:val="none" w:sz="0" w:space="0" w:color="auto"/>
      </w:divBdr>
    </w:div>
    <w:div w:id="935988940">
      <w:bodyDiv w:val="1"/>
      <w:marLeft w:val="0"/>
      <w:marRight w:val="0"/>
      <w:marTop w:val="0"/>
      <w:marBottom w:val="0"/>
      <w:divBdr>
        <w:top w:val="none" w:sz="0" w:space="0" w:color="auto"/>
        <w:left w:val="none" w:sz="0" w:space="0" w:color="auto"/>
        <w:bottom w:val="none" w:sz="0" w:space="0" w:color="auto"/>
        <w:right w:val="none" w:sz="0" w:space="0" w:color="auto"/>
      </w:divBdr>
    </w:div>
    <w:div w:id="940452243">
      <w:bodyDiv w:val="1"/>
      <w:marLeft w:val="0"/>
      <w:marRight w:val="0"/>
      <w:marTop w:val="0"/>
      <w:marBottom w:val="0"/>
      <w:divBdr>
        <w:top w:val="none" w:sz="0" w:space="0" w:color="auto"/>
        <w:left w:val="none" w:sz="0" w:space="0" w:color="auto"/>
        <w:bottom w:val="none" w:sz="0" w:space="0" w:color="auto"/>
        <w:right w:val="none" w:sz="0" w:space="0" w:color="auto"/>
      </w:divBdr>
    </w:div>
    <w:div w:id="958149930">
      <w:bodyDiv w:val="1"/>
      <w:marLeft w:val="0"/>
      <w:marRight w:val="0"/>
      <w:marTop w:val="0"/>
      <w:marBottom w:val="0"/>
      <w:divBdr>
        <w:top w:val="none" w:sz="0" w:space="0" w:color="auto"/>
        <w:left w:val="none" w:sz="0" w:space="0" w:color="auto"/>
        <w:bottom w:val="none" w:sz="0" w:space="0" w:color="auto"/>
        <w:right w:val="none" w:sz="0" w:space="0" w:color="auto"/>
      </w:divBdr>
      <w:divsChild>
        <w:div w:id="1778716861">
          <w:marLeft w:val="0"/>
          <w:marRight w:val="0"/>
          <w:marTop w:val="0"/>
          <w:marBottom w:val="0"/>
          <w:divBdr>
            <w:top w:val="single" w:sz="2" w:space="0" w:color="auto"/>
            <w:left w:val="single" w:sz="2" w:space="0" w:color="auto"/>
            <w:bottom w:val="single" w:sz="6" w:space="0" w:color="auto"/>
            <w:right w:val="single" w:sz="2" w:space="0" w:color="auto"/>
          </w:divBdr>
          <w:divsChild>
            <w:div w:id="78411477">
              <w:marLeft w:val="0"/>
              <w:marRight w:val="0"/>
              <w:marTop w:val="100"/>
              <w:marBottom w:val="100"/>
              <w:divBdr>
                <w:top w:val="single" w:sz="2" w:space="0" w:color="D9D9E3"/>
                <w:left w:val="single" w:sz="2" w:space="0" w:color="D9D9E3"/>
                <w:bottom w:val="single" w:sz="2" w:space="0" w:color="D9D9E3"/>
                <w:right w:val="single" w:sz="2" w:space="0" w:color="D9D9E3"/>
              </w:divBdr>
              <w:divsChild>
                <w:div w:id="1475945665">
                  <w:marLeft w:val="0"/>
                  <w:marRight w:val="0"/>
                  <w:marTop w:val="0"/>
                  <w:marBottom w:val="0"/>
                  <w:divBdr>
                    <w:top w:val="single" w:sz="2" w:space="0" w:color="D9D9E3"/>
                    <w:left w:val="single" w:sz="2" w:space="0" w:color="D9D9E3"/>
                    <w:bottom w:val="single" w:sz="2" w:space="0" w:color="D9D9E3"/>
                    <w:right w:val="single" w:sz="2" w:space="0" w:color="D9D9E3"/>
                  </w:divBdr>
                  <w:divsChild>
                    <w:div w:id="1413355907">
                      <w:marLeft w:val="0"/>
                      <w:marRight w:val="0"/>
                      <w:marTop w:val="0"/>
                      <w:marBottom w:val="0"/>
                      <w:divBdr>
                        <w:top w:val="single" w:sz="2" w:space="0" w:color="D9D9E3"/>
                        <w:left w:val="single" w:sz="2" w:space="0" w:color="D9D9E3"/>
                        <w:bottom w:val="single" w:sz="2" w:space="0" w:color="D9D9E3"/>
                        <w:right w:val="single" w:sz="2" w:space="0" w:color="D9D9E3"/>
                      </w:divBdr>
                      <w:divsChild>
                        <w:div w:id="1574583619">
                          <w:marLeft w:val="0"/>
                          <w:marRight w:val="0"/>
                          <w:marTop w:val="0"/>
                          <w:marBottom w:val="0"/>
                          <w:divBdr>
                            <w:top w:val="single" w:sz="2" w:space="0" w:color="D9D9E3"/>
                            <w:left w:val="single" w:sz="2" w:space="0" w:color="D9D9E3"/>
                            <w:bottom w:val="single" w:sz="2" w:space="0" w:color="D9D9E3"/>
                            <w:right w:val="single" w:sz="2" w:space="0" w:color="D9D9E3"/>
                          </w:divBdr>
                          <w:divsChild>
                            <w:div w:id="21135506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980117134">
      <w:bodyDiv w:val="1"/>
      <w:marLeft w:val="0"/>
      <w:marRight w:val="0"/>
      <w:marTop w:val="0"/>
      <w:marBottom w:val="0"/>
      <w:divBdr>
        <w:top w:val="none" w:sz="0" w:space="0" w:color="auto"/>
        <w:left w:val="none" w:sz="0" w:space="0" w:color="auto"/>
        <w:bottom w:val="none" w:sz="0" w:space="0" w:color="auto"/>
        <w:right w:val="none" w:sz="0" w:space="0" w:color="auto"/>
      </w:divBdr>
    </w:div>
    <w:div w:id="981928291">
      <w:bodyDiv w:val="1"/>
      <w:marLeft w:val="0"/>
      <w:marRight w:val="0"/>
      <w:marTop w:val="0"/>
      <w:marBottom w:val="0"/>
      <w:divBdr>
        <w:top w:val="none" w:sz="0" w:space="0" w:color="auto"/>
        <w:left w:val="none" w:sz="0" w:space="0" w:color="auto"/>
        <w:bottom w:val="none" w:sz="0" w:space="0" w:color="auto"/>
        <w:right w:val="none" w:sz="0" w:space="0" w:color="auto"/>
      </w:divBdr>
    </w:div>
    <w:div w:id="1146891953">
      <w:bodyDiv w:val="1"/>
      <w:marLeft w:val="0"/>
      <w:marRight w:val="0"/>
      <w:marTop w:val="0"/>
      <w:marBottom w:val="0"/>
      <w:divBdr>
        <w:top w:val="none" w:sz="0" w:space="0" w:color="auto"/>
        <w:left w:val="none" w:sz="0" w:space="0" w:color="auto"/>
        <w:bottom w:val="none" w:sz="0" w:space="0" w:color="auto"/>
        <w:right w:val="none" w:sz="0" w:space="0" w:color="auto"/>
      </w:divBdr>
    </w:div>
    <w:div w:id="1148403064">
      <w:bodyDiv w:val="1"/>
      <w:marLeft w:val="0"/>
      <w:marRight w:val="0"/>
      <w:marTop w:val="0"/>
      <w:marBottom w:val="0"/>
      <w:divBdr>
        <w:top w:val="none" w:sz="0" w:space="0" w:color="auto"/>
        <w:left w:val="none" w:sz="0" w:space="0" w:color="auto"/>
        <w:bottom w:val="none" w:sz="0" w:space="0" w:color="auto"/>
        <w:right w:val="none" w:sz="0" w:space="0" w:color="auto"/>
      </w:divBdr>
      <w:divsChild>
        <w:div w:id="1583953448">
          <w:marLeft w:val="0"/>
          <w:marRight w:val="0"/>
          <w:marTop w:val="0"/>
          <w:marBottom w:val="0"/>
          <w:divBdr>
            <w:top w:val="single" w:sz="2" w:space="0" w:color="auto"/>
            <w:left w:val="single" w:sz="2" w:space="0" w:color="auto"/>
            <w:bottom w:val="single" w:sz="6" w:space="0" w:color="auto"/>
            <w:right w:val="single" w:sz="2" w:space="0" w:color="auto"/>
          </w:divBdr>
          <w:divsChild>
            <w:div w:id="754858374">
              <w:marLeft w:val="0"/>
              <w:marRight w:val="0"/>
              <w:marTop w:val="100"/>
              <w:marBottom w:val="100"/>
              <w:divBdr>
                <w:top w:val="single" w:sz="2" w:space="0" w:color="D9D9E3"/>
                <w:left w:val="single" w:sz="2" w:space="0" w:color="D9D9E3"/>
                <w:bottom w:val="single" w:sz="2" w:space="0" w:color="D9D9E3"/>
                <w:right w:val="single" w:sz="2" w:space="0" w:color="D9D9E3"/>
              </w:divBdr>
              <w:divsChild>
                <w:div w:id="1465345192">
                  <w:marLeft w:val="0"/>
                  <w:marRight w:val="0"/>
                  <w:marTop w:val="0"/>
                  <w:marBottom w:val="0"/>
                  <w:divBdr>
                    <w:top w:val="single" w:sz="2" w:space="0" w:color="D9D9E3"/>
                    <w:left w:val="single" w:sz="2" w:space="0" w:color="D9D9E3"/>
                    <w:bottom w:val="single" w:sz="2" w:space="0" w:color="D9D9E3"/>
                    <w:right w:val="single" w:sz="2" w:space="0" w:color="D9D9E3"/>
                  </w:divBdr>
                  <w:divsChild>
                    <w:div w:id="198251784">
                      <w:marLeft w:val="0"/>
                      <w:marRight w:val="0"/>
                      <w:marTop w:val="0"/>
                      <w:marBottom w:val="0"/>
                      <w:divBdr>
                        <w:top w:val="single" w:sz="2" w:space="0" w:color="D9D9E3"/>
                        <w:left w:val="single" w:sz="2" w:space="0" w:color="D9D9E3"/>
                        <w:bottom w:val="single" w:sz="2" w:space="0" w:color="D9D9E3"/>
                        <w:right w:val="single" w:sz="2" w:space="0" w:color="D9D9E3"/>
                      </w:divBdr>
                      <w:divsChild>
                        <w:div w:id="477962122">
                          <w:marLeft w:val="0"/>
                          <w:marRight w:val="0"/>
                          <w:marTop w:val="0"/>
                          <w:marBottom w:val="0"/>
                          <w:divBdr>
                            <w:top w:val="single" w:sz="2" w:space="0" w:color="D9D9E3"/>
                            <w:left w:val="single" w:sz="2" w:space="0" w:color="D9D9E3"/>
                            <w:bottom w:val="single" w:sz="2" w:space="0" w:color="D9D9E3"/>
                            <w:right w:val="single" w:sz="2" w:space="0" w:color="D9D9E3"/>
                          </w:divBdr>
                          <w:divsChild>
                            <w:div w:id="6323238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253080076">
      <w:bodyDiv w:val="1"/>
      <w:marLeft w:val="0"/>
      <w:marRight w:val="0"/>
      <w:marTop w:val="0"/>
      <w:marBottom w:val="0"/>
      <w:divBdr>
        <w:top w:val="none" w:sz="0" w:space="0" w:color="auto"/>
        <w:left w:val="none" w:sz="0" w:space="0" w:color="auto"/>
        <w:bottom w:val="none" w:sz="0" w:space="0" w:color="auto"/>
        <w:right w:val="none" w:sz="0" w:space="0" w:color="auto"/>
      </w:divBdr>
      <w:divsChild>
        <w:div w:id="852841540">
          <w:marLeft w:val="0"/>
          <w:marRight w:val="0"/>
          <w:marTop w:val="0"/>
          <w:marBottom w:val="0"/>
          <w:divBdr>
            <w:top w:val="single" w:sz="2" w:space="0" w:color="auto"/>
            <w:left w:val="single" w:sz="2" w:space="0" w:color="auto"/>
            <w:bottom w:val="single" w:sz="6" w:space="0" w:color="auto"/>
            <w:right w:val="single" w:sz="2" w:space="0" w:color="auto"/>
          </w:divBdr>
          <w:divsChild>
            <w:div w:id="454638674">
              <w:marLeft w:val="0"/>
              <w:marRight w:val="0"/>
              <w:marTop w:val="100"/>
              <w:marBottom w:val="100"/>
              <w:divBdr>
                <w:top w:val="single" w:sz="2" w:space="0" w:color="D9D9E3"/>
                <w:left w:val="single" w:sz="2" w:space="0" w:color="D9D9E3"/>
                <w:bottom w:val="single" w:sz="2" w:space="0" w:color="D9D9E3"/>
                <w:right w:val="single" w:sz="2" w:space="0" w:color="D9D9E3"/>
              </w:divBdr>
              <w:divsChild>
                <w:div w:id="1057126009">
                  <w:marLeft w:val="0"/>
                  <w:marRight w:val="0"/>
                  <w:marTop w:val="0"/>
                  <w:marBottom w:val="0"/>
                  <w:divBdr>
                    <w:top w:val="single" w:sz="2" w:space="0" w:color="D9D9E3"/>
                    <w:left w:val="single" w:sz="2" w:space="0" w:color="D9D9E3"/>
                    <w:bottom w:val="single" w:sz="2" w:space="0" w:color="D9D9E3"/>
                    <w:right w:val="single" w:sz="2" w:space="0" w:color="D9D9E3"/>
                  </w:divBdr>
                  <w:divsChild>
                    <w:div w:id="387652268">
                      <w:marLeft w:val="0"/>
                      <w:marRight w:val="0"/>
                      <w:marTop w:val="0"/>
                      <w:marBottom w:val="0"/>
                      <w:divBdr>
                        <w:top w:val="single" w:sz="2" w:space="0" w:color="D9D9E3"/>
                        <w:left w:val="single" w:sz="2" w:space="0" w:color="D9D9E3"/>
                        <w:bottom w:val="single" w:sz="2" w:space="0" w:color="D9D9E3"/>
                        <w:right w:val="single" w:sz="2" w:space="0" w:color="D9D9E3"/>
                      </w:divBdr>
                      <w:divsChild>
                        <w:div w:id="1603293887">
                          <w:marLeft w:val="0"/>
                          <w:marRight w:val="0"/>
                          <w:marTop w:val="0"/>
                          <w:marBottom w:val="0"/>
                          <w:divBdr>
                            <w:top w:val="single" w:sz="2" w:space="0" w:color="D9D9E3"/>
                            <w:left w:val="single" w:sz="2" w:space="0" w:color="D9D9E3"/>
                            <w:bottom w:val="single" w:sz="2" w:space="0" w:color="D9D9E3"/>
                            <w:right w:val="single" w:sz="2" w:space="0" w:color="D9D9E3"/>
                          </w:divBdr>
                          <w:divsChild>
                            <w:div w:id="12955970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318025677">
      <w:bodyDiv w:val="1"/>
      <w:marLeft w:val="0"/>
      <w:marRight w:val="0"/>
      <w:marTop w:val="0"/>
      <w:marBottom w:val="0"/>
      <w:divBdr>
        <w:top w:val="none" w:sz="0" w:space="0" w:color="auto"/>
        <w:left w:val="none" w:sz="0" w:space="0" w:color="auto"/>
        <w:bottom w:val="none" w:sz="0" w:space="0" w:color="auto"/>
        <w:right w:val="none" w:sz="0" w:space="0" w:color="auto"/>
      </w:divBdr>
      <w:divsChild>
        <w:div w:id="1762947156">
          <w:marLeft w:val="0"/>
          <w:marRight w:val="0"/>
          <w:marTop w:val="0"/>
          <w:marBottom w:val="525"/>
          <w:divBdr>
            <w:top w:val="none" w:sz="0" w:space="0" w:color="auto"/>
            <w:left w:val="none" w:sz="0" w:space="0" w:color="auto"/>
            <w:bottom w:val="none" w:sz="0" w:space="0" w:color="auto"/>
            <w:right w:val="none" w:sz="0" w:space="0" w:color="auto"/>
          </w:divBdr>
        </w:div>
      </w:divsChild>
    </w:div>
    <w:div w:id="1325738144">
      <w:bodyDiv w:val="1"/>
      <w:marLeft w:val="0"/>
      <w:marRight w:val="0"/>
      <w:marTop w:val="0"/>
      <w:marBottom w:val="0"/>
      <w:divBdr>
        <w:top w:val="none" w:sz="0" w:space="0" w:color="auto"/>
        <w:left w:val="none" w:sz="0" w:space="0" w:color="auto"/>
        <w:bottom w:val="none" w:sz="0" w:space="0" w:color="auto"/>
        <w:right w:val="none" w:sz="0" w:space="0" w:color="auto"/>
      </w:divBdr>
    </w:div>
    <w:div w:id="1519857233">
      <w:bodyDiv w:val="1"/>
      <w:marLeft w:val="0"/>
      <w:marRight w:val="0"/>
      <w:marTop w:val="0"/>
      <w:marBottom w:val="0"/>
      <w:divBdr>
        <w:top w:val="none" w:sz="0" w:space="0" w:color="auto"/>
        <w:left w:val="none" w:sz="0" w:space="0" w:color="auto"/>
        <w:bottom w:val="none" w:sz="0" w:space="0" w:color="auto"/>
        <w:right w:val="none" w:sz="0" w:space="0" w:color="auto"/>
      </w:divBdr>
    </w:div>
    <w:div w:id="1613591940">
      <w:bodyDiv w:val="1"/>
      <w:marLeft w:val="0"/>
      <w:marRight w:val="0"/>
      <w:marTop w:val="0"/>
      <w:marBottom w:val="0"/>
      <w:divBdr>
        <w:top w:val="none" w:sz="0" w:space="0" w:color="auto"/>
        <w:left w:val="none" w:sz="0" w:space="0" w:color="auto"/>
        <w:bottom w:val="none" w:sz="0" w:space="0" w:color="auto"/>
        <w:right w:val="none" w:sz="0" w:space="0" w:color="auto"/>
      </w:divBdr>
    </w:div>
    <w:div w:id="1847406176">
      <w:bodyDiv w:val="1"/>
      <w:marLeft w:val="0"/>
      <w:marRight w:val="0"/>
      <w:marTop w:val="0"/>
      <w:marBottom w:val="0"/>
      <w:divBdr>
        <w:top w:val="none" w:sz="0" w:space="0" w:color="auto"/>
        <w:left w:val="none" w:sz="0" w:space="0" w:color="auto"/>
        <w:bottom w:val="none" w:sz="0" w:space="0" w:color="auto"/>
        <w:right w:val="none" w:sz="0" w:space="0" w:color="auto"/>
      </w:divBdr>
      <w:divsChild>
        <w:div w:id="2058895607">
          <w:marLeft w:val="0"/>
          <w:marRight w:val="0"/>
          <w:marTop w:val="0"/>
          <w:marBottom w:val="0"/>
          <w:divBdr>
            <w:top w:val="single" w:sz="2" w:space="0" w:color="auto"/>
            <w:left w:val="single" w:sz="2" w:space="0" w:color="auto"/>
            <w:bottom w:val="single" w:sz="6" w:space="0" w:color="auto"/>
            <w:right w:val="single" w:sz="2" w:space="0" w:color="auto"/>
          </w:divBdr>
          <w:divsChild>
            <w:div w:id="349188152">
              <w:marLeft w:val="0"/>
              <w:marRight w:val="0"/>
              <w:marTop w:val="100"/>
              <w:marBottom w:val="100"/>
              <w:divBdr>
                <w:top w:val="single" w:sz="2" w:space="0" w:color="D9D9E3"/>
                <w:left w:val="single" w:sz="2" w:space="0" w:color="D9D9E3"/>
                <w:bottom w:val="single" w:sz="2" w:space="0" w:color="D9D9E3"/>
                <w:right w:val="single" w:sz="2" w:space="0" w:color="D9D9E3"/>
              </w:divBdr>
              <w:divsChild>
                <w:div w:id="2081976208">
                  <w:marLeft w:val="0"/>
                  <w:marRight w:val="0"/>
                  <w:marTop w:val="0"/>
                  <w:marBottom w:val="0"/>
                  <w:divBdr>
                    <w:top w:val="single" w:sz="2" w:space="0" w:color="D9D9E3"/>
                    <w:left w:val="single" w:sz="2" w:space="0" w:color="D9D9E3"/>
                    <w:bottom w:val="single" w:sz="2" w:space="0" w:color="D9D9E3"/>
                    <w:right w:val="single" w:sz="2" w:space="0" w:color="D9D9E3"/>
                  </w:divBdr>
                  <w:divsChild>
                    <w:div w:id="282272">
                      <w:marLeft w:val="0"/>
                      <w:marRight w:val="0"/>
                      <w:marTop w:val="0"/>
                      <w:marBottom w:val="0"/>
                      <w:divBdr>
                        <w:top w:val="single" w:sz="2" w:space="0" w:color="D9D9E3"/>
                        <w:left w:val="single" w:sz="2" w:space="0" w:color="D9D9E3"/>
                        <w:bottom w:val="single" w:sz="2" w:space="0" w:color="D9D9E3"/>
                        <w:right w:val="single" w:sz="2" w:space="0" w:color="D9D9E3"/>
                      </w:divBdr>
                      <w:divsChild>
                        <w:div w:id="945776007">
                          <w:marLeft w:val="0"/>
                          <w:marRight w:val="0"/>
                          <w:marTop w:val="0"/>
                          <w:marBottom w:val="0"/>
                          <w:divBdr>
                            <w:top w:val="single" w:sz="2" w:space="0" w:color="D9D9E3"/>
                            <w:left w:val="single" w:sz="2" w:space="0" w:color="D9D9E3"/>
                            <w:bottom w:val="single" w:sz="2" w:space="0" w:color="D9D9E3"/>
                            <w:right w:val="single" w:sz="2" w:space="0" w:color="D9D9E3"/>
                          </w:divBdr>
                          <w:divsChild>
                            <w:div w:id="192414854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044013024">
      <w:bodyDiv w:val="1"/>
      <w:marLeft w:val="0"/>
      <w:marRight w:val="0"/>
      <w:marTop w:val="0"/>
      <w:marBottom w:val="0"/>
      <w:divBdr>
        <w:top w:val="none" w:sz="0" w:space="0" w:color="auto"/>
        <w:left w:val="none" w:sz="0" w:space="0" w:color="auto"/>
        <w:bottom w:val="none" w:sz="0" w:space="0" w:color="auto"/>
        <w:right w:val="none" w:sz="0" w:space="0" w:color="auto"/>
      </w:divBdr>
      <w:divsChild>
        <w:div w:id="222523316">
          <w:marLeft w:val="0"/>
          <w:marRight w:val="0"/>
          <w:marTop w:val="0"/>
          <w:marBottom w:val="0"/>
          <w:divBdr>
            <w:top w:val="single" w:sz="2" w:space="0" w:color="auto"/>
            <w:left w:val="single" w:sz="2" w:space="0" w:color="auto"/>
            <w:bottom w:val="single" w:sz="6" w:space="0" w:color="auto"/>
            <w:right w:val="single" w:sz="2" w:space="0" w:color="auto"/>
          </w:divBdr>
          <w:divsChild>
            <w:div w:id="1709837266">
              <w:marLeft w:val="0"/>
              <w:marRight w:val="0"/>
              <w:marTop w:val="100"/>
              <w:marBottom w:val="100"/>
              <w:divBdr>
                <w:top w:val="single" w:sz="2" w:space="0" w:color="D9D9E3"/>
                <w:left w:val="single" w:sz="2" w:space="0" w:color="D9D9E3"/>
                <w:bottom w:val="single" w:sz="2" w:space="0" w:color="D9D9E3"/>
                <w:right w:val="single" w:sz="2" w:space="0" w:color="D9D9E3"/>
              </w:divBdr>
              <w:divsChild>
                <w:div w:id="349259894">
                  <w:marLeft w:val="0"/>
                  <w:marRight w:val="0"/>
                  <w:marTop w:val="0"/>
                  <w:marBottom w:val="0"/>
                  <w:divBdr>
                    <w:top w:val="single" w:sz="2" w:space="0" w:color="D9D9E3"/>
                    <w:left w:val="single" w:sz="2" w:space="0" w:color="D9D9E3"/>
                    <w:bottom w:val="single" w:sz="2" w:space="0" w:color="D9D9E3"/>
                    <w:right w:val="single" w:sz="2" w:space="0" w:color="D9D9E3"/>
                  </w:divBdr>
                  <w:divsChild>
                    <w:div w:id="684134942">
                      <w:marLeft w:val="0"/>
                      <w:marRight w:val="0"/>
                      <w:marTop w:val="0"/>
                      <w:marBottom w:val="0"/>
                      <w:divBdr>
                        <w:top w:val="single" w:sz="2" w:space="0" w:color="D9D9E3"/>
                        <w:left w:val="single" w:sz="2" w:space="0" w:color="D9D9E3"/>
                        <w:bottom w:val="single" w:sz="2" w:space="0" w:color="D9D9E3"/>
                        <w:right w:val="single" w:sz="2" w:space="0" w:color="D9D9E3"/>
                      </w:divBdr>
                      <w:divsChild>
                        <w:div w:id="319583935">
                          <w:marLeft w:val="0"/>
                          <w:marRight w:val="0"/>
                          <w:marTop w:val="0"/>
                          <w:marBottom w:val="0"/>
                          <w:divBdr>
                            <w:top w:val="single" w:sz="2" w:space="0" w:color="D9D9E3"/>
                            <w:left w:val="single" w:sz="2" w:space="0" w:color="D9D9E3"/>
                            <w:bottom w:val="single" w:sz="2" w:space="0" w:color="D9D9E3"/>
                            <w:right w:val="single" w:sz="2" w:space="0" w:color="D9D9E3"/>
                          </w:divBdr>
                          <w:divsChild>
                            <w:div w:id="4989314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125610908">
      <w:bodyDiv w:val="1"/>
      <w:marLeft w:val="0"/>
      <w:marRight w:val="0"/>
      <w:marTop w:val="0"/>
      <w:marBottom w:val="0"/>
      <w:divBdr>
        <w:top w:val="none" w:sz="0" w:space="0" w:color="auto"/>
        <w:left w:val="none" w:sz="0" w:space="0" w:color="auto"/>
        <w:bottom w:val="none" w:sz="0" w:space="0" w:color="auto"/>
        <w:right w:val="none" w:sz="0" w:space="0" w:color="auto"/>
      </w:divBdr>
      <w:divsChild>
        <w:div w:id="397829691">
          <w:marLeft w:val="0"/>
          <w:marRight w:val="0"/>
          <w:marTop w:val="0"/>
          <w:marBottom w:val="0"/>
          <w:divBdr>
            <w:top w:val="single" w:sz="2" w:space="0" w:color="auto"/>
            <w:left w:val="single" w:sz="2" w:space="0" w:color="auto"/>
            <w:bottom w:val="single" w:sz="6" w:space="0" w:color="auto"/>
            <w:right w:val="single" w:sz="2" w:space="0" w:color="auto"/>
          </w:divBdr>
          <w:divsChild>
            <w:div w:id="1967200729">
              <w:marLeft w:val="0"/>
              <w:marRight w:val="0"/>
              <w:marTop w:val="100"/>
              <w:marBottom w:val="100"/>
              <w:divBdr>
                <w:top w:val="single" w:sz="2" w:space="0" w:color="D9D9E3"/>
                <w:left w:val="single" w:sz="2" w:space="0" w:color="D9D9E3"/>
                <w:bottom w:val="single" w:sz="2" w:space="0" w:color="D9D9E3"/>
                <w:right w:val="single" w:sz="2" w:space="0" w:color="D9D9E3"/>
              </w:divBdr>
              <w:divsChild>
                <w:div w:id="1417703231">
                  <w:marLeft w:val="0"/>
                  <w:marRight w:val="0"/>
                  <w:marTop w:val="0"/>
                  <w:marBottom w:val="0"/>
                  <w:divBdr>
                    <w:top w:val="single" w:sz="2" w:space="0" w:color="D9D9E3"/>
                    <w:left w:val="single" w:sz="2" w:space="0" w:color="D9D9E3"/>
                    <w:bottom w:val="single" w:sz="2" w:space="0" w:color="D9D9E3"/>
                    <w:right w:val="single" w:sz="2" w:space="0" w:color="D9D9E3"/>
                  </w:divBdr>
                  <w:divsChild>
                    <w:div w:id="1591115760">
                      <w:marLeft w:val="0"/>
                      <w:marRight w:val="0"/>
                      <w:marTop w:val="0"/>
                      <w:marBottom w:val="0"/>
                      <w:divBdr>
                        <w:top w:val="single" w:sz="2" w:space="0" w:color="D9D9E3"/>
                        <w:left w:val="single" w:sz="2" w:space="0" w:color="D9D9E3"/>
                        <w:bottom w:val="single" w:sz="2" w:space="0" w:color="D9D9E3"/>
                        <w:right w:val="single" w:sz="2" w:space="0" w:color="D9D9E3"/>
                      </w:divBdr>
                      <w:divsChild>
                        <w:div w:id="784083930">
                          <w:marLeft w:val="0"/>
                          <w:marRight w:val="0"/>
                          <w:marTop w:val="0"/>
                          <w:marBottom w:val="0"/>
                          <w:divBdr>
                            <w:top w:val="single" w:sz="2" w:space="0" w:color="D9D9E3"/>
                            <w:left w:val="single" w:sz="2" w:space="0" w:color="D9D9E3"/>
                            <w:bottom w:val="single" w:sz="2" w:space="0" w:color="D9D9E3"/>
                            <w:right w:val="single" w:sz="2" w:space="0" w:color="D9D9E3"/>
                          </w:divBdr>
                          <w:divsChild>
                            <w:div w:id="2670076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1418002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CA08B1-C5A6-4180-B30C-5C99BCA57E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14022</Words>
  <Characters>79931</Characters>
  <Application>Microsoft Office Word</Application>
  <DocSecurity>0</DocSecurity>
  <Lines>666</Lines>
  <Paragraphs>187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description/>
  <cp:lastModifiedBy/>
  <cp:revision>1</cp:revision>
  <dcterms:created xsi:type="dcterms:W3CDTF">2022-12-23T14:39:00Z</dcterms:created>
  <dcterms:modified xsi:type="dcterms:W3CDTF">2022-12-23T14:39:00Z</dcterms:modified>
  <dc:language/>
</cp:coreProperties>
</file>