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FB81" w14:textId="20429784" w:rsidR="0020667D" w:rsidRPr="00342967" w:rsidRDefault="004E2284" w:rsidP="000C0B7E">
      <w:pPr>
        <w:pStyle w:val="Kop1"/>
        <w:jc w:val="center"/>
        <w:rPr>
          <w:sz w:val="36"/>
          <w:szCs w:val="36"/>
          <w:lang w:val="en-GB"/>
        </w:rPr>
      </w:pPr>
      <w:bookmarkStart w:id="0" w:name="_Toc518246144"/>
      <w:bookmarkStart w:id="1" w:name="_Toc518333099"/>
      <w:bookmarkStart w:id="2" w:name="_GoBack"/>
      <w:bookmarkEnd w:id="2"/>
      <w:r w:rsidRPr="00342967">
        <w:rPr>
          <w:sz w:val="36"/>
          <w:szCs w:val="36"/>
          <w:lang w:val="en-GB"/>
        </w:rPr>
        <w:t xml:space="preserve">The European Commission’s Love Affair with Financial Capital: </w:t>
      </w:r>
      <w:r w:rsidR="006974AF" w:rsidRPr="00342967">
        <w:rPr>
          <w:sz w:val="36"/>
          <w:szCs w:val="36"/>
          <w:lang w:val="en-GB"/>
        </w:rPr>
        <w:t xml:space="preserve">The </w:t>
      </w:r>
      <w:r w:rsidR="004F213D" w:rsidRPr="00342967">
        <w:rPr>
          <w:sz w:val="36"/>
          <w:szCs w:val="36"/>
          <w:lang w:val="en-GB"/>
        </w:rPr>
        <w:t>R</w:t>
      </w:r>
      <w:r w:rsidRPr="00342967">
        <w:rPr>
          <w:sz w:val="36"/>
          <w:szCs w:val="36"/>
          <w:lang w:val="en-GB"/>
        </w:rPr>
        <w:t xml:space="preserve">evival of </w:t>
      </w:r>
      <w:r w:rsidR="006974AF" w:rsidRPr="00342967">
        <w:rPr>
          <w:sz w:val="36"/>
          <w:szCs w:val="36"/>
          <w:lang w:val="en-GB"/>
        </w:rPr>
        <w:t>S</w:t>
      </w:r>
      <w:r w:rsidRPr="00342967">
        <w:rPr>
          <w:sz w:val="36"/>
          <w:szCs w:val="36"/>
          <w:lang w:val="en-GB"/>
        </w:rPr>
        <w:t>ecuritisation</w:t>
      </w:r>
      <w:r w:rsidR="003E7BB9">
        <w:rPr>
          <w:sz w:val="36"/>
          <w:szCs w:val="36"/>
          <w:lang w:val="en-GB"/>
        </w:rPr>
        <w:t xml:space="preserve"> in the European Union</w:t>
      </w:r>
      <w:bookmarkEnd w:id="0"/>
      <w:bookmarkEnd w:id="1"/>
    </w:p>
    <w:p w14:paraId="2C92C45E" w14:textId="15841F58" w:rsidR="00631F7B" w:rsidRPr="00342967" w:rsidRDefault="00631F7B" w:rsidP="000C0B7E">
      <w:pPr>
        <w:jc w:val="center"/>
        <w:rPr>
          <w:lang w:val="en-GB"/>
        </w:rPr>
      </w:pPr>
    </w:p>
    <w:p w14:paraId="08B33A9B" w14:textId="77777777" w:rsidR="00631F7B" w:rsidRPr="00342967" w:rsidRDefault="00631F7B" w:rsidP="000C0B7E">
      <w:pPr>
        <w:jc w:val="center"/>
        <w:rPr>
          <w:lang w:val="en-GB"/>
        </w:rPr>
      </w:pPr>
    </w:p>
    <w:p w14:paraId="01E918B5" w14:textId="44E4BDC1" w:rsidR="00240E59" w:rsidRPr="00342967" w:rsidRDefault="00240E59" w:rsidP="000C0B7E">
      <w:pPr>
        <w:jc w:val="center"/>
        <w:rPr>
          <w:i/>
          <w:lang w:val="en-GB"/>
        </w:rPr>
      </w:pPr>
      <w:r w:rsidRPr="00342967">
        <w:rPr>
          <w:i/>
          <w:lang w:val="en-GB"/>
        </w:rPr>
        <w:t>A critical political economy analysis</w:t>
      </w:r>
      <w:r w:rsidR="00631F7B" w:rsidRPr="00342967">
        <w:rPr>
          <w:i/>
          <w:lang w:val="en-GB"/>
        </w:rPr>
        <w:t xml:space="preserve"> of the decision of the European Commission to revive the securitisation market</w:t>
      </w:r>
      <w:r w:rsidR="002C5341" w:rsidRPr="00342967">
        <w:rPr>
          <w:i/>
          <w:lang w:val="en-GB"/>
        </w:rPr>
        <w:t xml:space="preserve"> in the European Union</w:t>
      </w:r>
      <w:r w:rsidR="00631F7B" w:rsidRPr="00342967">
        <w:rPr>
          <w:i/>
          <w:lang w:val="en-GB"/>
        </w:rPr>
        <w:t xml:space="preserve"> as part of the Capital Markets Union</w:t>
      </w:r>
    </w:p>
    <w:p w14:paraId="7D50DE06" w14:textId="22629261" w:rsidR="00631F7B" w:rsidRPr="00342967" w:rsidRDefault="00631F7B" w:rsidP="00D904F7">
      <w:pPr>
        <w:jc w:val="both"/>
        <w:rPr>
          <w:i/>
          <w:lang w:val="en-GB"/>
        </w:rPr>
      </w:pPr>
    </w:p>
    <w:p w14:paraId="3A965301" w14:textId="33FB16F2" w:rsidR="00631F7B" w:rsidRPr="00342967" w:rsidRDefault="00631F7B" w:rsidP="00D904F7">
      <w:pPr>
        <w:jc w:val="both"/>
        <w:rPr>
          <w:i/>
          <w:lang w:val="en-GB"/>
        </w:rPr>
      </w:pPr>
    </w:p>
    <w:p w14:paraId="42AC03A0" w14:textId="5C13F66D" w:rsidR="00631F7B" w:rsidRPr="00342967" w:rsidRDefault="00631F7B" w:rsidP="00D904F7">
      <w:pPr>
        <w:jc w:val="both"/>
        <w:rPr>
          <w:i/>
          <w:lang w:val="en-GB"/>
        </w:rPr>
      </w:pPr>
    </w:p>
    <w:p w14:paraId="04E1A39F" w14:textId="5F4EAD14" w:rsidR="00631F7B" w:rsidRPr="00342967" w:rsidRDefault="00631F7B" w:rsidP="00D904F7">
      <w:pPr>
        <w:jc w:val="both"/>
        <w:rPr>
          <w:i/>
          <w:lang w:val="en-GB"/>
        </w:rPr>
      </w:pPr>
    </w:p>
    <w:p w14:paraId="6852B972" w14:textId="48A13ACE" w:rsidR="00631F7B" w:rsidRPr="00342967" w:rsidRDefault="00631F7B" w:rsidP="00D904F7">
      <w:pPr>
        <w:jc w:val="both"/>
        <w:rPr>
          <w:i/>
          <w:lang w:val="en-GB"/>
        </w:rPr>
      </w:pPr>
    </w:p>
    <w:p w14:paraId="6C59DC5B" w14:textId="4E678200" w:rsidR="00631F7B" w:rsidRPr="00342967" w:rsidRDefault="00631F7B" w:rsidP="00D904F7">
      <w:pPr>
        <w:jc w:val="both"/>
        <w:rPr>
          <w:i/>
          <w:lang w:val="en-GB"/>
        </w:rPr>
      </w:pPr>
    </w:p>
    <w:p w14:paraId="3E150A1D" w14:textId="4831C0AB" w:rsidR="00631F7B" w:rsidRPr="00342967" w:rsidRDefault="00631F7B" w:rsidP="00D904F7">
      <w:pPr>
        <w:jc w:val="both"/>
        <w:rPr>
          <w:i/>
          <w:lang w:val="en-GB"/>
        </w:rPr>
      </w:pPr>
    </w:p>
    <w:p w14:paraId="37B93A8F" w14:textId="58086301" w:rsidR="00631F7B" w:rsidRPr="00342967" w:rsidRDefault="00631F7B" w:rsidP="00D904F7">
      <w:pPr>
        <w:jc w:val="both"/>
        <w:rPr>
          <w:i/>
          <w:lang w:val="en-GB"/>
        </w:rPr>
      </w:pPr>
    </w:p>
    <w:p w14:paraId="54CAFC26" w14:textId="0A380F08" w:rsidR="00631F7B" w:rsidRPr="00342967" w:rsidRDefault="00631F7B" w:rsidP="00D904F7">
      <w:pPr>
        <w:spacing w:after="40" w:line="240" w:lineRule="auto"/>
        <w:jc w:val="both"/>
        <w:rPr>
          <w:i/>
          <w:lang w:val="en-GB"/>
        </w:rPr>
      </w:pPr>
    </w:p>
    <w:p w14:paraId="23A5557D" w14:textId="067F66D3" w:rsidR="00631F7B" w:rsidRPr="00342967" w:rsidRDefault="00522960" w:rsidP="00D904F7">
      <w:pPr>
        <w:spacing w:after="40" w:line="240" w:lineRule="auto"/>
        <w:jc w:val="both"/>
        <w:rPr>
          <w:lang w:val="en-GB"/>
        </w:rPr>
      </w:pPr>
      <w:r w:rsidRPr="00342967">
        <w:rPr>
          <w:lang w:val="en-GB"/>
        </w:rPr>
        <w:t xml:space="preserve">Name author: </w:t>
      </w:r>
      <w:r w:rsidRPr="00342967">
        <w:rPr>
          <w:lang w:val="en-GB"/>
        </w:rPr>
        <w:tab/>
      </w:r>
      <w:r w:rsidRPr="00342967">
        <w:rPr>
          <w:lang w:val="en-GB"/>
        </w:rPr>
        <w:tab/>
      </w:r>
      <w:r w:rsidRPr="00342967">
        <w:rPr>
          <w:lang w:val="en-GB"/>
        </w:rPr>
        <w:tab/>
      </w:r>
      <w:r w:rsidR="00631F7B" w:rsidRPr="00342967">
        <w:rPr>
          <w:lang w:val="en-GB"/>
        </w:rPr>
        <w:t>Roben Kloosterman</w:t>
      </w:r>
    </w:p>
    <w:p w14:paraId="66BAB51E" w14:textId="1F1A864C" w:rsidR="00631F7B" w:rsidRPr="00342967" w:rsidRDefault="00522960" w:rsidP="00D904F7">
      <w:pPr>
        <w:spacing w:after="40" w:line="240" w:lineRule="auto"/>
        <w:jc w:val="both"/>
        <w:rPr>
          <w:lang w:val="en-GB"/>
        </w:rPr>
      </w:pPr>
      <w:r w:rsidRPr="00342967">
        <w:rPr>
          <w:lang w:val="en-GB"/>
        </w:rPr>
        <w:t xml:space="preserve">Student number author: </w:t>
      </w:r>
      <w:r w:rsidRPr="00342967">
        <w:rPr>
          <w:lang w:val="en-GB"/>
        </w:rPr>
        <w:tab/>
      </w:r>
      <w:r w:rsidR="000E10A5" w:rsidRPr="00342967">
        <w:rPr>
          <w:lang w:val="en-GB"/>
        </w:rPr>
        <w:t>s</w:t>
      </w:r>
      <w:r w:rsidR="00631F7B" w:rsidRPr="00342967">
        <w:rPr>
          <w:lang w:val="en-GB"/>
        </w:rPr>
        <w:t>4849930</w:t>
      </w:r>
    </w:p>
    <w:p w14:paraId="1EA7DB61" w14:textId="45E399E6" w:rsidR="00782875" w:rsidRPr="00342967" w:rsidRDefault="00522960" w:rsidP="00D904F7">
      <w:pPr>
        <w:spacing w:after="40" w:line="240" w:lineRule="auto"/>
        <w:jc w:val="both"/>
        <w:rPr>
          <w:lang w:val="en-GB"/>
        </w:rPr>
      </w:pPr>
      <w:r w:rsidRPr="00342967">
        <w:rPr>
          <w:lang w:val="en-GB"/>
        </w:rPr>
        <w:t xml:space="preserve">Email author: </w:t>
      </w:r>
      <w:r w:rsidRPr="00342967">
        <w:rPr>
          <w:lang w:val="en-GB"/>
        </w:rPr>
        <w:tab/>
      </w:r>
      <w:r w:rsidRPr="00342967">
        <w:rPr>
          <w:lang w:val="en-GB"/>
        </w:rPr>
        <w:tab/>
      </w:r>
      <w:r w:rsidRPr="00342967">
        <w:rPr>
          <w:lang w:val="en-GB"/>
        </w:rPr>
        <w:tab/>
      </w:r>
      <w:hyperlink r:id="rId8" w:history="1">
        <w:r w:rsidRPr="00342967">
          <w:rPr>
            <w:rStyle w:val="Hyperlink"/>
            <w:color w:val="auto"/>
            <w:lang w:val="en-GB"/>
          </w:rPr>
          <w:t>r.kloosterman@student.ru.nl</w:t>
        </w:r>
      </w:hyperlink>
    </w:p>
    <w:p w14:paraId="5A8BA738" w14:textId="66DB6FD3" w:rsidR="00522960" w:rsidRPr="00342967" w:rsidRDefault="00522960" w:rsidP="00D904F7">
      <w:pPr>
        <w:spacing w:after="40" w:line="240" w:lineRule="auto"/>
        <w:jc w:val="both"/>
        <w:rPr>
          <w:lang w:val="en-GB"/>
        </w:rPr>
      </w:pPr>
      <w:r w:rsidRPr="00342967">
        <w:rPr>
          <w:lang w:val="en-GB"/>
        </w:rPr>
        <w:t xml:space="preserve">Supervisor: </w:t>
      </w:r>
      <w:r w:rsidRPr="00342967">
        <w:rPr>
          <w:lang w:val="en-GB"/>
        </w:rPr>
        <w:tab/>
      </w:r>
      <w:r w:rsidRPr="00342967">
        <w:rPr>
          <w:lang w:val="en-GB"/>
        </w:rPr>
        <w:tab/>
      </w:r>
      <w:r w:rsidRPr="00342967">
        <w:rPr>
          <w:lang w:val="en-GB"/>
        </w:rPr>
        <w:tab/>
      </w:r>
      <w:r w:rsidR="00C640EE">
        <w:rPr>
          <w:lang w:val="en-GB"/>
        </w:rPr>
        <w:t>dr. A.</w:t>
      </w:r>
      <w:r w:rsidRPr="00342967">
        <w:rPr>
          <w:lang w:val="en-GB"/>
        </w:rPr>
        <w:t xml:space="preserve"> Wigger</w:t>
      </w:r>
    </w:p>
    <w:p w14:paraId="57FF572E" w14:textId="250B0DB4" w:rsidR="00522960" w:rsidRPr="00342967" w:rsidRDefault="00FC21D4" w:rsidP="00D904F7">
      <w:pPr>
        <w:spacing w:after="40" w:line="240" w:lineRule="auto"/>
        <w:jc w:val="both"/>
        <w:rPr>
          <w:lang w:val="en-GB"/>
        </w:rPr>
      </w:pPr>
      <w:r w:rsidRPr="00342967">
        <w:rPr>
          <w:lang w:val="en-GB"/>
        </w:rPr>
        <w:t>Master Programme:</w:t>
      </w:r>
      <w:r w:rsidRPr="00342967">
        <w:rPr>
          <w:lang w:val="en-GB"/>
        </w:rPr>
        <w:tab/>
      </w:r>
      <w:r w:rsidRPr="00342967">
        <w:rPr>
          <w:lang w:val="en-GB"/>
        </w:rPr>
        <w:tab/>
        <w:t>Political Science</w:t>
      </w:r>
    </w:p>
    <w:p w14:paraId="19AF056F" w14:textId="341986FC" w:rsidR="00FC21D4" w:rsidRPr="00342967" w:rsidRDefault="00FC21D4" w:rsidP="00D904F7">
      <w:pPr>
        <w:spacing w:after="40" w:line="240" w:lineRule="auto"/>
        <w:jc w:val="both"/>
        <w:rPr>
          <w:lang w:val="en-GB"/>
        </w:rPr>
      </w:pPr>
      <w:r w:rsidRPr="00342967">
        <w:rPr>
          <w:lang w:val="en-GB"/>
        </w:rPr>
        <w:t>Master Specialisation:</w:t>
      </w:r>
      <w:r w:rsidRPr="00342967">
        <w:rPr>
          <w:lang w:val="en-GB"/>
        </w:rPr>
        <w:tab/>
      </w:r>
      <w:r w:rsidRPr="00342967">
        <w:rPr>
          <w:lang w:val="en-GB"/>
        </w:rPr>
        <w:tab/>
        <w:t>International Political Economy</w:t>
      </w:r>
    </w:p>
    <w:p w14:paraId="47054112" w14:textId="525C4E28" w:rsidR="00FC21D4" w:rsidRPr="00342967" w:rsidRDefault="00FC21D4" w:rsidP="00D904F7">
      <w:pPr>
        <w:spacing w:after="40" w:line="240" w:lineRule="auto"/>
        <w:jc w:val="both"/>
        <w:rPr>
          <w:lang w:val="en-GB"/>
        </w:rPr>
      </w:pPr>
      <w:r w:rsidRPr="00342967">
        <w:rPr>
          <w:lang w:val="en-GB"/>
        </w:rPr>
        <w:t>University:</w:t>
      </w:r>
      <w:r w:rsidRPr="00342967">
        <w:rPr>
          <w:lang w:val="en-GB"/>
        </w:rPr>
        <w:tab/>
      </w:r>
      <w:r w:rsidRPr="00342967">
        <w:rPr>
          <w:lang w:val="en-GB"/>
        </w:rPr>
        <w:tab/>
      </w:r>
      <w:r w:rsidRPr="00342967">
        <w:rPr>
          <w:lang w:val="en-GB"/>
        </w:rPr>
        <w:tab/>
        <w:t>Radboud University Nijmegen</w:t>
      </w:r>
    </w:p>
    <w:p w14:paraId="48DDA1C7" w14:textId="117C6B57" w:rsidR="009A07BE" w:rsidRPr="00342967" w:rsidRDefault="00FC21D4" w:rsidP="00D904F7">
      <w:pPr>
        <w:spacing w:after="40" w:line="240" w:lineRule="auto"/>
        <w:jc w:val="both"/>
        <w:rPr>
          <w:lang w:val="en-GB"/>
        </w:rPr>
      </w:pPr>
      <w:r w:rsidRPr="00342967">
        <w:rPr>
          <w:lang w:val="en-GB"/>
        </w:rPr>
        <w:t>Date submitted:</w:t>
      </w:r>
      <w:r w:rsidRPr="00342967">
        <w:rPr>
          <w:lang w:val="en-GB"/>
        </w:rPr>
        <w:tab/>
      </w:r>
      <w:r w:rsidRPr="00342967">
        <w:rPr>
          <w:lang w:val="en-GB"/>
        </w:rPr>
        <w:tab/>
      </w:r>
      <w:r w:rsidR="004F213D" w:rsidRPr="00342967">
        <w:rPr>
          <w:lang w:val="en-GB"/>
        </w:rPr>
        <w:t xml:space="preserve">1 </w:t>
      </w:r>
      <w:r w:rsidR="001B7EE8" w:rsidRPr="00342967">
        <w:rPr>
          <w:lang w:val="en-GB"/>
        </w:rPr>
        <w:t>July</w:t>
      </w:r>
      <w:r w:rsidRPr="00342967">
        <w:rPr>
          <w:lang w:val="en-GB"/>
        </w:rPr>
        <w:t xml:space="preserve"> 2018</w:t>
      </w:r>
    </w:p>
    <w:p w14:paraId="42B8DD82" w14:textId="28350392" w:rsidR="009A07BE" w:rsidRPr="00B15EDE" w:rsidRDefault="009A07BE" w:rsidP="00B15EDE">
      <w:pPr>
        <w:pStyle w:val="Kop1"/>
        <w:jc w:val="both"/>
        <w:rPr>
          <w:sz w:val="24"/>
          <w:szCs w:val="24"/>
          <w:lang w:val="en-GB"/>
        </w:rPr>
      </w:pPr>
      <w:bookmarkStart w:id="3" w:name="_Toc518246145"/>
      <w:bookmarkStart w:id="4" w:name="_Toc518333100"/>
      <w:r w:rsidRPr="00B15EDE">
        <w:rPr>
          <w:sz w:val="24"/>
          <w:szCs w:val="24"/>
          <w:lang w:val="en-GB"/>
        </w:rPr>
        <w:lastRenderedPageBreak/>
        <w:t>Abstract</w:t>
      </w:r>
      <w:bookmarkEnd w:id="3"/>
      <w:bookmarkEnd w:id="4"/>
    </w:p>
    <w:p w14:paraId="31CE3E70" w14:textId="4D416372" w:rsidR="00B15EDE" w:rsidRPr="00B15EDE" w:rsidRDefault="00B15EDE" w:rsidP="00B15EDE">
      <w:pPr>
        <w:spacing w:after="0"/>
        <w:jc w:val="both"/>
        <w:rPr>
          <w:rFonts w:eastAsia="Times New Roman" w:cs="Times New Roman"/>
          <w:szCs w:val="24"/>
        </w:rPr>
      </w:pPr>
      <w:r w:rsidRPr="00B15EDE">
        <w:rPr>
          <w:rFonts w:eastAsia="Times New Roman" w:cs="Times New Roman"/>
          <w:color w:val="000000"/>
          <w:szCs w:val="24"/>
        </w:rPr>
        <w:t xml:space="preserve">This thesis seeks to explain the decision of the European Commission to relaunch the securitisation market in the European Union. Securitisation has been at the </w:t>
      </w:r>
      <w:r w:rsidR="001D2073" w:rsidRPr="00B15EDE">
        <w:rPr>
          <w:rFonts w:eastAsia="Times New Roman" w:cs="Times New Roman"/>
          <w:color w:val="000000"/>
          <w:szCs w:val="24"/>
        </w:rPr>
        <w:t>center</w:t>
      </w:r>
      <w:r w:rsidRPr="00B15EDE">
        <w:rPr>
          <w:rFonts w:eastAsia="Times New Roman" w:cs="Times New Roman"/>
          <w:color w:val="000000"/>
          <w:szCs w:val="24"/>
        </w:rPr>
        <w:t xml:space="preserve"> of the recent global financial crisis and has been declared </w:t>
      </w:r>
      <w:r w:rsidR="00085B8E">
        <w:rPr>
          <w:rFonts w:eastAsia="Times New Roman" w:cs="Times New Roman"/>
          <w:color w:val="000000"/>
          <w:szCs w:val="24"/>
        </w:rPr>
        <w:t>a major</w:t>
      </w:r>
      <w:r w:rsidRPr="00B15EDE">
        <w:rPr>
          <w:rFonts w:eastAsia="Times New Roman" w:cs="Times New Roman"/>
          <w:color w:val="000000"/>
          <w:szCs w:val="24"/>
        </w:rPr>
        <w:t xml:space="preserve"> cause by various global institutions, among which the European Commission itself. Despite the vast condemnation of securitisation, the European Commission proposed to revive securitisation as part of Capital Market Union (CMU). A critical political economy perspective is applied to find an answer to the Commission’s puzzling decision. Using Social Structure of Accumulation (SSA) theory, it is shown that the circulation of financial capital defines the current prevailing pattern of capital accumulation and that it is a core interest of social forces emanating from the financial circuit to find new outlets and profit opportunities. Securitisation provides such an outlet. Insights from Gramsci are used to understand the agency derived from this mode of accumulation and to uncover why and how the decision by the European Commission to reintroduce securitisation in the European Union came about.</w:t>
      </w:r>
    </w:p>
    <w:p w14:paraId="0F3EA1EC" w14:textId="541B2E5B" w:rsidR="000A3E63" w:rsidRPr="00B15EDE" w:rsidRDefault="000A3E63" w:rsidP="00B15EDE">
      <w:pPr>
        <w:jc w:val="both"/>
        <w:rPr>
          <w:rFonts w:cs="Times New Roman"/>
          <w:sz w:val="22"/>
          <w:lang w:val="en-GB"/>
        </w:rPr>
      </w:pPr>
      <w:r w:rsidRPr="00B15EDE">
        <w:rPr>
          <w:rFonts w:cs="Times New Roman"/>
          <w:sz w:val="22"/>
          <w:lang w:val="en-GB"/>
        </w:rPr>
        <w:t xml:space="preserve">   </w:t>
      </w:r>
    </w:p>
    <w:p w14:paraId="14D6CB36" w14:textId="77777777" w:rsidR="000A3E63" w:rsidRPr="000A3E63" w:rsidRDefault="000A3E63" w:rsidP="000A3E63">
      <w:pPr>
        <w:rPr>
          <w:lang w:val="en-GB"/>
        </w:rPr>
      </w:pPr>
    </w:p>
    <w:p w14:paraId="1DD375E4" w14:textId="16E40C21" w:rsidR="002C5341" w:rsidRPr="00342967" w:rsidRDefault="002C5341" w:rsidP="00D904F7">
      <w:pPr>
        <w:jc w:val="both"/>
        <w:rPr>
          <w:lang w:val="en-GB"/>
        </w:rPr>
      </w:pPr>
    </w:p>
    <w:p w14:paraId="6FA34E89" w14:textId="77777777" w:rsidR="009A07BE" w:rsidRPr="00342967" w:rsidRDefault="009A07BE" w:rsidP="00D904F7">
      <w:pPr>
        <w:spacing w:line="259" w:lineRule="auto"/>
        <w:jc w:val="both"/>
        <w:rPr>
          <w:b/>
          <w:lang w:val="en-GB"/>
        </w:rPr>
      </w:pPr>
      <w:r w:rsidRPr="00342967">
        <w:rPr>
          <w:b/>
          <w:lang w:val="en-GB"/>
        </w:rPr>
        <w:br w:type="page"/>
      </w:r>
    </w:p>
    <w:sdt>
      <w:sdtPr>
        <w:rPr>
          <w:rFonts w:ascii="Times New Roman" w:eastAsiaTheme="minorHAnsi" w:hAnsi="Times New Roman" w:cs="Times New Roman"/>
          <w:color w:val="auto"/>
          <w:sz w:val="24"/>
          <w:szCs w:val="24"/>
          <w:lang w:val="en-US" w:eastAsia="en-US"/>
        </w:rPr>
        <w:id w:val="834574848"/>
        <w:docPartObj>
          <w:docPartGallery w:val="Table of Contents"/>
          <w:docPartUnique/>
        </w:docPartObj>
      </w:sdtPr>
      <w:sdtEndPr>
        <w:rPr>
          <w:b/>
          <w:bCs/>
        </w:rPr>
      </w:sdtEndPr>
      <w:sdtContent>
        <w:p w14:paraId="49559D15" w14:textId="5A10899F" w:rsidR="00D8656E" w:rsidRPr="00D8656E" w:rsidRDefault="005757E8" w:rsidP="00D8656E">
          <w:pPr>
            <w:pStyle w:val="Kopvaninhoudsopgave"/>
            <w:spacing w:before="0" w:afterLines="160" w:after="384" w:line="360" w:lineRule="auto"/>
            <w:jc w:val="both"/>
            <w:rPr>
              <w:rFonts w:ascii="Times New Roman" w:hAnsi="Times New Roman" w:cs="Times New Roman"/>
              <w:noProof/>
              <w:sz w:val="24"/>
              <w:szCs w:val="24"/>
            </w:rPr>
          </w:pPr>
          <w:r w:rsidRPr="00D27310">
            <w:rPr>
              <w:rStyle w:val="Kop1Char"/>
              <w:rFonts w:cs="Times New Roman"/>
              <w:color w:val="auto"/>
              <w:sz w:val="24"/>
              <w:szCs w:val="24"/>
              <w:lang w:val="en-GB"/>
            </w:rPr>
            <w:t xml:space="preserve">Table of </w:t>
          </w:r>
          <w:r w:rsidR="00741E78" w:rsidRPr="00D27310">
            <w:rPr>
              <w:rStyle w:val="Kop1Char"/>
              <w:rFonts w:cs="Times New Roman"/>
              <w:color w:val="auto"/>
              <w:sz w:val="24"/>
              <w:szCs w:val="24"/>
              <w:lang w:val="en-GB"/>
            </w:rPr>
            <w:t>Content</w:t>
          </w:r>
          <w:r w:rsidRPr="00D27310">
            <w:rPr>
              <w:rStyle w:val="Kop1Char"/>
              <w:rFonts w:cs="Times New Roman"/>
              <w:color w:val="auto"/>
              <w:sz w:val="24"/>
              <w:szCs w:val="24"/>
              <w:lang w:val="en-GB"/>
            </w:rPr>
            <w:t>s</w:t>
          </w:r>
          <w:r w:rsidR="00B7761F" w:rsidRPr="00D27310">
            <w:rPr>
              <w:rFonts w:ascii="Times New Roman" w:eastAsiaTheme="minorEastAsia" w:hAnsi="Times New Roman"/>
              <w:b/>
              <w:bCs/>
              <w:sz w:val="24"/>
              <w:szCs w:val="24"/>
            </w:rPr>
            <w:fldChar w:fldCharType="begin"/>
          </w:r>
          <w:r w:rsidR="00B7761F" w:rsidRPr="00D27310">
            <w:rPr>
              <w:rFonts w:ascii="Times New Roman" w:hAnsi="Times New Roman"/>
              <w:b/>
              <w:bCs/>
              <w:sz w:val="24"/>
              <w:szCs w:val="24"/>
            </w:rPr>
            <w:instrText xml:space="preserve"> TOC \o "1-3" \h \z \u </w:instrText>
          </w:r>
          <w:r w:rsidR="00B7761F" w:rsidRPr="00D27310">
            <w:rPr>
              <w:rFonts w:ascii="Times New Roman" w:eastAsiaTheme="minorEastAsia" w:hAnsi="Times New Roman"/>
              <w:b/>
              <w:bCs/>
              <w:sz w:val="24"/>
              <w:szCs w:val="24"/>
            </w:rPr>
            <w:fldChar w:fldCharType="separate"/>
          </w:r>
        </w:p>
        <w:p w14:paraId="7477F91B" w14:textId="3B5F5C47" w:rsidR="00D8656E" w:rsidRPr="00D8656E" w:rsidRDefault="00796996">
          <w:pPr>
            <w:pStyle w:val="Inhopg1"/>
            <w:tabs>
              <w:tab w:val="right" w:leader="dot" w:pos="9350"/>
            </w:tabs>
            <w:rPr>
              <w:rFonts w:ascii="Times New Roman" w:hAnsi="Times New Roman"/>
              <w:noProof/>
              <w:sz w:val="24"/>
              <w:szCs w:val="24"/>
            </w:rPr>
          </w:pPr>
          <w:hyperlink w:anchor="_Toc518333101" w:history="1">
            <w:r w:rsidR="00D8656E" w:rsidRPr="00D8656E">
              <w:rPr>
                <w:rStyle w:val="Hyperlink"/>
                <w:rFonts w:ascii="Times New Roman" w:hAnsi="Times New Roman"/>
                <w:noProof/>
                <w:sz w:val="24"/>
                <w:szCs w:val="24"/>
                <w:lang w:val="en-GB"/>
              </w:rPr>
              <w:t>List of abbreviations</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_Toc518333101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4</w:t>
            </w:r>
            <w:r w:rsidR="00D8656E" w:rsidRPr="00D8656E">
              <w:rPr>
                <w:rFonts w:ascii="Times New Roman" w:hAnsi="Times New Roman"/>
                <w:noProof/>
                <w:webHidden/>
                <w:sz w:val="24"/>
                <w:szCs w:val="24"/>
              </w:rPr>
              <w:fldChar w:fldCharType="end"/>
            </w:r>
          </w:hyperlink>
        </w:p>
        <w:p w14:paraId="399C6FC7" w14:textId="4DEA3DAD" w:rsidR="00D8656E" w:rsidRPr="00D8656E" w:rsidRDefault="00796996">
          <w:pPr>
            <w:pStyle w:val="Inhopg1"/>
            <w:tabs>
              <w:tab w:val="right" w:leader="dot" w:pos="9350"/>
            </w:tabs>
            <w:rPr>
              <w:rFonts w:ascii="Times New Roman" w:hAnsi="Times New Roman"/>
              <w:noProof/>
              <w:sz w:val="24"/>
              <w:szCs w:val="24"/>
            </w:rPr>
          </w:pPr>
          <w:hyperlink w:anchor="_Toc518333102" w:history="1">
            <w:r w:rsidR="00D8656E" w:rsidRPr="00D8656E">
              <w:rPr>
                <w:rStyle w:val="Hyperlink"/>
                <w:rFonts w:ascii="Times New Roman" w:hAnsi="Times New Roman"/>
                <w:noProof/>
                <w:sz w:val="24"/>
                <w:szCs w:val="24"/>
                <w:lang w:val="en-GB"/>
              </w:rPr>
              <w:t>Introduction</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_Toc518333102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5</w:t>
            </w:r>
            <w:r w:rsidR="00D8656E" w:rsidRPr="00D8656E">
              <w:rPr>
                <w:rFonts w:ascii="Times New Roman" w:hAnsi="Times New Roman"/>
                <w:noProof/>
                <w:webHidden/>
                <w:sz w:val="24"/>
                <w:szCs w:val="24"/>
              </w:rPr>
              <w:fldChar w:fldCharType="end"/>
            </w:r>
          </w:hyperlink>
        </w:p>
        <w:p w14:paraId="4178FF95" w14:textId="5B0C6828" w:rsidR="00D8656E" w:rsidRPr="00D8656E" w:rsidRDefault="00796996">
          <w:pPr>
            <w:pStyle w:val="Inhopg1"/>
            <w:tabs>
              <w:tab w:val="right" w:leader="dot" w:pos="9350"/>
            </w:tabs>
            <w:rPr>
              <w:rFonts w:ascii="Times New Roman" w:hAnsi="Times New Roman"/>
              <w:noProof/>
              <w:sz w:val="24"/>
              <w:szCs w:val="24"/>
            </w:rPr>
          </w:pPr>
          <w:hyperlink w:anchor="_Toc518333103" w:history="1">
            <w:r w:rsidR="00D8656E" w:rsidRPr="00D8656E">
              <w:rPr>
                <w:rStyle w:val="Hyperlink"/>
                <w:rFonts w:ascii="Times New Roman" w:hAnsi="Times New Roman"/>
                <w:noProof/>
                <w:sz w:val="24"/>
                <w:szCs w:val="24"/>
              </w:rPr>
              <w:t>Chapter 1: Theoretical discussion</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_Toc518333103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14</w:t>
            </w:r>
            <w:r w:rsidR="00D8656E" w:rsidRPr="00D8656E">
              <w:rPr>
                <w:rFonts w:ascii="Times New Roman" w:hAnsi="Times New Roman"/>
                <w:noProof/>
                <w:webHidden/>
                <w:sz w:val="24"/>
                <w:szCs w:val="24"/>
              </w:rPr>
              <w:fldChar w:fldCharType="end"/>
            </w:r>
          </w:hyperlink>
        </w:p>
        <w:p w14:paraId="59F1CC3F" w14:textId="7C9456A5" w:rsidR="00D8656E" w:rsidRPr="00D8656E" w:rsidRDefault="00796996">
          <w:pPr>
            <w:pStyle w:val="Inhopg2"/>
            <w:tabs>
              <w:tab w:val="right" w:leader="dot" w:pos="9350"/>
            </w:tabs>
            <w:rPr>
              <w:rFonts w:ascii="Times New Roman" w:hAnsi="Times New Roman"/>
              <w:noProof/>
              <w:sz w:val="24"/>
              <w:szCs w:val="24"/>
            </w:rPr>
          </w:pPr>
          <w:hyperlink w:anchor="_Toc518333104" w:history="1">
            <w:r w:rsidR="00D8656E" w:rsidRPr="00D8656E">
              <w:rPr>
                <w:rStyle w:val="Hyperlink"/>
                <w:rFonts w:ascii="Times New Roman" w:hAnsi="Times New Roman"/>
                <w:noProof/>
                <w:sz w:val="24"/>
                <w:szCs w:val="24"/>
              </w:rPr>
              <w:t>1.1 Traditional theories of European Integration</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_Toc518333104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15</w:t>
            </w:r>
            <w:r w:rsidR="00D8656E" w:rsidRPr="00D8656E">
              <w:rPr>
                <w:rFonts w:ascii="Times New Roman" w:hAnsi="Times New Roman"/>
                <w:noProof/>
                <w:webHidden/>
                <w:sz w:val="24"/>
                <w:szCs w:val="24"/>
              </w:rPr>
              <w:fldChar w:fldCharType="end"/>
            </w:r>
          </w:hyperlink>
        </w:p>
        <w:p w14:paraId="2C3573EA" w14:textId="0C1C9A70" w:rsidR="00D8656E" w:rsidRPr="00D8656E" w:rsidRDefault="00796996">
          <w:pPr>
            <w:pStyle w:val="Inhopg2"/>
            <w:tabs>
              <w:tab w:val="right" w:leader="dot" w:pos="9350"/>
            </w:tabs>
            <w:rPr>
              <w:rFonts w:ascii="Times New Roman" w:hAnsi="Times New Roman"/>
              <w:noProof/>
              <w:sz w:val="24"/>
              <w:szCs w:val="24"/>
            </w:rPr>
          </w:pPr>
          <w:hyperlink w:anchor="_Toc518333105" w:history="1">
            <w:r w:rsidR="00D8656E" w:rsidRPr="00D8656E">
              <w:rPr>
                <w:rStyle w:val="Hyperlink"/>
                <w:rFonts w:ascii="Times New Roman" w:hAnsi="Times New Roman"/>
                <w:noProof/>
                <w:sz w:val="24"/>
                <w:szCs w:val="24"/>
              </w:rPr>
              <w:t>1.2 Situating CMU in the broader capitalist context</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_Toc518333105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19</w:t>
            </w:r>
            <w:r w:rsidR="00D8656E" w:rsidRPr="00D8656E">
              <w:rPr>
                <w:rFonts w:ascii="Times New Roman" w:hAnsi="Times New Roman"/>
                <w:noProof/>
                <w:webHidden/>
                <w:sz w:val="24"/>
                <w:szCs w:val="24"/>
              </w:rPr>
              <w:fldChar w:fldCharType="end"/>
            </w:r>
          </w:hyperlink>
        </w:p>
        <w:p w14:paraId="19ACA87C" w14:textId="5BF62BD1" w:rsidR="00D8656E" w:rsidRPr="00D8656E" w:rsidRDefault="00796996">
          <w:pPr>
            <w:pStyle w:val="Inhopg2"/>
            <w:tabs>
              <w:tab w:val="right" w:leader="dot" w:pos="9350"/>
            </w:tabs>
            <w:rPr>
              <w:rFonts w:ascii="Times New Roman" w:hAnsi="Times New Roman"/>
              <w:noProof/>
              <w:sz w:val="24"/>
              <w:szCs w:val="24"/>
            </w:rPr>
          </w:pPr>
          <w:hyperlink w:anchor="_Toc518333106" w:history="1">
            <w:r w:rsidR="00D8656E" w:rsidRPr="00D8656E">
              <w:rPr>
                <w:rStyle w:val="Hyperlink"/>
                <w:rFonts w:ascii="Times New Roman" w:hAnsi="Times New Roman"/>
                <w:noProof/>
                <w:sz w:val="24"/>
                <w:szCs w:val="24"/>
                <w:lang w:val="en-GB"/>
              </w:rPr>
              <w:t>1.3 Filling the agency gap of SSA theory with Gramsci</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_Toc518333106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25</w:t>
            </w:r>
            <w:r w:rsidR="00D8656E" w:rsidRPr="00D8656E">
              <w:rPr>
                <w:rFonts w:ascii="Times New Roman" w:hAnsi="Times New Roman"/>
                <w:noProof/>
                <w:webHidden/>
                <w:sz w:val="24"/>
                <w:szCs w:val="24"/>
              </w:rPr>
              <w:fldChar w:fldCharType="end"/>
            </w:r>
          </w:hyperlink>
        </w:p>
        <w:p w14:paraId="0FC853AC" w14:textId="10146D93" w:rsidR="00D8656E" w:rsidRPr="00D8656E" w:rsidRDefault="00796996">
          <w:pPr>
            <w:pStyle w:val="Inhopg2"/>
            <w:tabs>
              <w:tab w:val="right" w:leader="dot" w:pos="9350"/>
            </w:tabs>
            <w:rPr>
              <w:rFonts w:ascii="Times New Roman" w:hAnsi="Times New Roman"/>
              <w:noProof/>
              <w:sz w:val="24"/>
              <w:szCs w:val="24"/>
            </w:rPr>
          </w:pPr>
          <w:hyperlink w:anchor="_Toc518333107" w:history="1">
            <w:r w:rsidR="00D8656E" w:rsidRPr="00D8656E">
              <w:rPr>
                <w:rStyle w:val="Hyperlink"/>
                <w:rFonts w:ascii="Times New Roman" w:hAnsi="Times New Roman"/>
                <w:noProof/>
                <w:sz w:val="24"/>
                <w:szCs w:val="24"/>
                <w:lang w:val="en-GB"/>
              </w:rPr>
              <w:t>1.4 Culmination of the theories</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_Toc518333107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27</w:t>
            </w:r>
            <w:r w:rsidR="00D8656E" w:rsidRPr="00D8656E">
              <w:rPr>
                <w:rFonts w:ascii="Times New Roman" w:hAnsi="Times New Roman"/>
                <w:noProof/>
                <w:webHidden/>
                <w:sz w:val="24"/>
                <w:szCs w:val="24"/>
              </w:rPr>
              <w:fldChar w:fldCharType="end"/>
            </w:r>
          </w:hyperlink>
        </w:p>
        <w:p w14:paraId="133EB0EC" w14:textId="294629BE" w:rsidR="00D8656E" w:rsidRPr="00D8656E" w:rsidRDefault="00796996">
          <w:pPr>
            <w:pStyle w:val="Inhopg1"/>
            <w:tabs>
              <w:tab w:val="right" w:leader="dot" w:pos="9350"/>
            </w:tabs>
            <w:rPr>
              <w:rFonts w:ascii="Times New Roman" w:hAnsi="Times New Roman"/>
              <w:noProof/>
              <w:sz w:val="24"/>
              <w:szCs w:val="24"/>
            </w:rPr>
          </w:pPr>
          <w:hyperlink w:anchor="_Toc518333108" w:history="1">
            <w:r w:rsidR="00D8656E" w:rsidRPr="00D8656E">
              <w:rPr>
                <w:rStyle w:val="Hyperlink"/>
                <w:rFonts w:ascii="Times New Roman" w:hAnsi="Times New Roman"/>
                <w:noProof/>
                <w:sz w:val="24"/>
                <w:szCs w:val="24"/>
                <w:lang w:val="en-GB"/>
              </w:rPr>
              <w:t>Chapter 2: Epistemology, methodology and operationalisation</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_Toc518333108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29</w:t>
            </w:r>
            <w:r w:rsidR="00D8656E" w:rsidRPr="00D8656E">
              <w:rPr>
                <w:rFonts w:ascii="Times New Roman" w:hAnsi="Times New Roman"/>
                <w:noProof/>
                <w:webHidden/>
                <w:sz w:val="24"/>
                <w:szCs w:val="24"/>
              </w:rPr>
              <w:fldChar w:fldCharType="end"/>
            </w:r>
          </w:hyperlink>
        </w:p>
        <w:p w14:paraId="6716137E" w14:textId="65FA337E" w:rsidR="00D8656E" w:rsidRPr="00D8656E" w:rsidRDefault="00796996">
          <w:pPr>
            <w:pStyle w:val="Inhopg2"/>
            <w:tabs>
              <w:tab w:val="right" w:leader="dot" w:pos="9350"/>
            </w:tabs>
            <w:rPr>
              <w:rFonts w:ascii="Times New Roman" w:hAnsi="Times New Roman"/>
              <w:noProof/>
              <w:sz w:val="24"/>
              <w:szCs w:val="24"/>
            </w:rPr>
          </w:pPr>
          <w:hyperlink w:anchor="_Toc518333109" w:history="1">
            <w:r w:rsidR="00D8656E" w:rsidRPr="00D8656E">
              <w:rPr>
                <w:rStyle w:val="Hyperlink"/>
                <w:rFonts w:ascii="Times New Roman" w:hAnsi="Times New Roman"/>
                <w:noProof/>
                <w:sz w:val="24"/>
                <w:szCs w:val="24"/>
                <w:lang w:val="en-GB"/>
              </w:rPr>
              <w:t>2.1 Critical realist epistemology</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_Toc518333109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29</w:t>
            </w:r>
            <w:r w:rsidR="00D8656E" w:rsidRPr="00D8656E">
              <w:rPr>
                <w:rFonts w:ascii="Times New Roman" w:hAnsi="Times New Roman"/>
                <w:noProof/>
                <w:webHidden/>
                <w:sz w:val="24"/>
                <w:szCs w:val="24"/>
              </w:rPr>
              <w:fldChar w:fldCharType="end"/>
            </w:r>
          </w:hyperlink>
        </w:p>
        <w:p w14:paraId="54F6A6BC" w14:textId="01F94D8A" w:rsidR="00D8656E" w:rsidRPr="00D8656E" w:rsidRDefault="00796996">
          <w:pPr>
            <w:pStyle w:val="Inhopg2"/>
            <w:tabs>
              <w:tab w:val="right" w:leader="dot" w:pos="9350"/>
            </w:tabs>
            <w:rPr>
              <w:rFonts w:ascii="Times New Roman" w:hAnsi="Times New Roman"/>
              <w:noProof/>
              <w:sz w:val="24"/>
              <w:szCs w:val="24"/>
            </w:rPr>
          </w:pPr>
          <w:hyperlink w:anchor="_Toc518333110" w:history="1">
            <w:r w:rsidR="00D8656E" w:rsidRPr="00D8656E">
              <w:rPr>
                <w:rStyle w:val="Hyperlink"/>
                <w:rFonts w:ascii="Times New Roman" w:hAnsi="Times New Roman"/>
                <w:noProof/>
                <w:sz w:val="24"/>
                <w:szCs w:val="24"/>
                <w:lang w:val="en-GB"/>
              </w:rPr>
              <w:t>2.2 Methodology</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_Toc518333110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31</w:t>
            </w:r>
            <w:r w:rsidR="00D8656E" w:rsidRPr="00D8656E">
              <w:rPr>
                <w:rFonts w:ascii="Times New Roman" w:hAnsi="Times New Roman"/>
                <w:noProof/>
                <w:webHidden/>
                <w:sz w:val="24"/>
                <w:szCs w:val="24"/>
              </w:rPr>
              <w:fldChar w:fldCharType="end"/>
            </w:r>
          </w:hyperlink>
        </w:p>
        <w:p w14:paraId="15674B99" w14:textId="767AB8C7" w:rsidR="00D8656E" w:rsidRPr="00D8656E" w:rsidRDefault="00796996">
          <w:pPr>
            <w:pStyle w:val="Inhopg2"/>
            <w:tabs>
              <w:tab w:val="right" w:leader="dot" w:pos="9350"/>
            </w:tabs>
            <w:rPr>
              <w:rFonts w:ascii="Times New Roman" w:hAnsi="Times New Roman"/>
              <w:noProof/>
              <w:sz w:val="24"/>
              <w:szCs w:val="24"/>
            </w:rPr>
          </w:pPr>
          <w:hyperlink w:anchor="_Toc518333111" w:history="1">
            <w:r w:rsidR="00D8656E" w:rsidRPr="00D8656E">
              <w:rPr>
                <w:rStyle w:val="Hyperlink"/>
                <w:rFonts w:ascii="Times New Roman" w:hAnsi="Times New Roman"/>
                <w:noProof/>
                <w:sz w:val="24"/>
                <w:szCs w:val="24"/>
                <w:lang w:val="en-GB"/>
              </w:rPr>
              <w:t>2.3 Operationalisation</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_Toc518333111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33</w:t>
            </w:r>
            <w:r w:rsidR="00D8656E" w:rsidRPr="00D8656E">
              <w:rPr>
                <w:rFonts w:ascii="Times New Roman" w:hAnsi="Times New Roman"/>
                <w:noProof/>
                <w:webHidden/>
                <w:sz w:val="24"/>
                <w:szCs w:val="24"/>
              </w:rPr>
              <w:fldChar w:fldCharType="end"/>
            </w:r>
          </w:hyperlink>
        </w:p>
        <w:p w14:paraId="36CBE321" w14:textId="3A85D90F" w:rsidR="00D8656E" w:rsidRPr="00D8656E" w:rsidRDefault="00796996">
          <w:pPr>
            <w:pStyle w:val="Inhopg1"/>
            <w:tabs>
              <w:tab w:val="right" w:leader="dot" w:pos="9350"/>
            </w:tabs>
            <w:rPr>
              <w:rFonts w:ascii="Times New Roman" w:hAnsi="Times New Roman"/>
              <w:noProof/>
              <w:sz w:val="24"/>
              <w:szCs w:val="24"/>
            </w:rPr>
          </w:pPr>
          <w:hyperlink w:anchor="_Toc518333112" w:history="1">
            <w:r w:rsidR="00D8656E" w:rsidRPr="00D8656E">
              <w:rPr>
                <w:rStyle w:val="Hyperlink"/>
                <w:rFonts w:ascii="Times New Roman" w:hAnsi="Times New Roman"/>
                <w:noProof/>
                <w:sz w:val="24"/>
                <w:szCs w:val="24"/>
                <w:lang w:val="en-GB"/>
              </w:rPr>
              <w:t>Chapter 3: Empirical Analysis</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_Toc518333112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36</w:t>
            </w:r>
            <w:r w:rsidR="00D8656E" w:rsidRPr="00D8656E">
              <w:rPr>
                <w:rFonts w:ascii="Times New Roman" w:hAnsi="Times New Roman"/>
                <w:noProof/>
                <w:webHidden/>
                <w:sz w:val="24"/>
                <w:szCs w:val="24"/>
              </w:rPr>
              <w:fldChar w:fldCharType="end"/>
            </w:r>
          </w:hyperlink>
        </w:p>
        <w:p w14:paraId="46D54BD2" w14:textId="55D61E3D" w:rsidR="00D8656E" w:rsidRPr="00D8656E" w:rsidRDefault="00796996">
          <w:pPr>
            <w:pStyle w:val="Inhopg2"/>
            <w:tabs>
              <w:tab w:val="right" w:leader="dot" w:pos="9350"/>
            </w:tabs>
            <w:rPr>
              <w:rFonts w:ascii="Times New Roman" w:hAnsi="Times New Roman"/>
              <w:noProof/>
              <w:sz w:val="24"/>
              <w:szCs w:val="24"/>
            </w:rPr>
          </w:pPr>
          <w:hyperlink w:anchor="_Toc518333113" w:history="1">
            <w:r w:rsidR="00D8656E" w:rsidRPr="00D8656E">
              <w:rPr>
                <w:rStyle w:val="Hyperlink"/>
                <w:rFonts w:ascii="Times New Roman" w:hAnsi="Times New Roman"/>
                <w:noProof/>
                <w:sz w:val="24"/>
                <w:szCs w:val="24"/>
              </w:rPr>
              <w:t>3.1 “The crack cocaine of the financial services industry”</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_Toc518333113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36</w:t>
            </w:r>
            <w:r w:rsidR="00D8656E" w:rsidRPr="00D8656E">
              <w:rPr>
                <w:rFonts w:ascii="Times New Roman" w:hAnsi="Times New Roman"/>
                <w:noProof/>
                <w:webHidden/>
                <w:sz w:val="24"/>
                <w:szCs w:val="24"/>
              </w:rPr>
              <w:fldChar w:fldCharType="end"/>
            </w:r>
          </w:hyperlink>
        </w:p>
        <w:p w14:paraId="7FCA812A" w14:textId="12C4F15F" w:rsidR="00D8656E" w:rsidRPr="00D8656E" w:rsidRDefault="00796996">
          <w:pPr>
            <w:pStyle w:val="Inhopg2"/>
            <w:tabs>
              <w:tab w:val="right" w:leader="dot" w:pos="9350"/>
            </w:tabs>
            <w:rPr>
              <w:rFonts w:ascii="Times New Roman" w:hAnsi="Times New Roman"/>
              <w:noProof/>
              <w:sz w:val="24"/>
              <w:szCs w:val="24"/>
            </w:rPr>
          </w:pPr>
          <w:hyperlink w:anchor="_Toc518333114" w:history="1">
            <w:r w:rsidR="00D8656E" w:rsidRPr="00D8656E">
              <w:rPr>
                <w:rStyle w:val="Hyperlink"/>
                <w:rFonts w:ascii="Times New Roman" w:hAnsi="Times New Roman"/>
                <w:noProof/>
                <w:sz w:val="24"/>
                <w:szCs w:val="24"/>
                <w:lang w:val="en-GB"/>
              </w:rPr>
              <w:t>3.2 A characterisation of the European Commission</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_Toc518333114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41</w:t>
            </w:r>
            <w:r w:rsidR="00D8656E" w:rsidRPr="00D8656E">
              <w:rPr>
                <w:rFonts w:ascii="Times New Roman" w:hAnsi="Times New Roman"/>
                <w:noProof/>
                <w:webHidden/>
                <w:sz w:val="24"/>
                <w:szCs w:val="24"/>
              </w:rPr>
              <w:fldChar w:fldCharType="end"/>
            </w:r>
          </w:hyperlink>
        </w:p>
        <w:p w14:paraId="16CA2C36" w14:textId="65B8DF6F" w:rsidR="00D8656E" w:rsidRPr="00D8656E" w:rsidRDefault="00796996">
          <w:pPr>
            <w:pStyle w:val="Inhopg2"/>
            <w:tabs>
              <w:tab w:val="right" w:leader="dot" w:pos="9350"/>
            </w:tabs>
            <w:rPr>
              <w:rFonts w:ascii="Times New Roman" w:hAnsi="Times New Roman"/>
              <w:noProof/>
              <w:sz w:val="24"/>
              <w:szCs w:val="24"/>
            </w:rPr>
          </w:pPr>
          <w:hyperlink w:anchor="_Toc518333115" w:history="1">
            <w:r w:rsidR="00D8656E" w:rsidRPr="00D8656E">
              <w:rPr>
                <w:rStyle w:val="Hyperlink"/>
                <w:rFonts w:ascii="Times New Roman" w:hAnsi="Times New Roman"/>
                <w:noProof/>
                <w:sz w:val="24"/>
                <w:szCs w:val="24"/>
                <w:lang w:val="en-GB"/>
              </w:rPr>
              <w:t>3.3 Financialisation</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_Toc518333115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43</w:t>
            </w:r>
            <w:r w:rsidR="00D8656E" w:rsidRPr="00D8656E">
              <w:rPr>
                <w:rFonts w:ascii="Times New Roman" w:hAnsi="Times New Roman"/>
                <w:noProof/>
                <w:webHidden/>
                <w:sz w:val="24"/>
                <w:szCs w:val="24"/>
              </w:rPr>
              <w:fldChar w:fldCharType="end"/>
            </w:r>
          </w:hyperlink>
        </w:p>
        <w:p w14:paraId="650EC225" w14:textId="12401152" w:rsidR="00D8656E" w:rsidRPr="00D8656E" w:rsidRDefault="00796996">
          <w:pPr>
            <w:pStyle w:val="Inhopg2"/>
            <w:tabs>
              <w:tab w:val="right" w:leader="dot" w:pos="9350"/>
            </w:tabs>
            <w:rPr>
              <w:rFonts w:ascii="Times New Roman" w:hAnsi="Times New Roman"/>
              <w:noProof/>
              <w:sz w:val="24"/>
              <w:szCs w:val="24"/>
            </w:rPr>
          </w:pPr>
          <w:hyperlink w:anchor="_Toc518333116" w:history="1">
            <w:r w:rsidR="00D8656E" w:rsidRPr="00D8656E">
              <w:rPr>
                <w:rStyle w:val="Hyperlink"/>
                <w:rFonts w:ascii="Times New Roman" w:hAnsi="Times New Roman"/>
                <w:noProof/>
                <w:sz w:val="24"/>
                <w:szCs w:val="24"/>
                <w:lang w:val="en-GB"/>
              </w:rPr>
              <w:t>3.4 The Neoliberal SSA</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_Toc518333116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45</w:t>
            </w:r>
            <w:r w:rsidR="00D8656E" w:rsidRPr="00D8656E">
              <w:rPr>
                <w:rFonts w:ascii="Times New Roman" w:hAnsi="Times New Roman"/>
                <w:noProof/>
                <w:webHidden/>
                <w:sz w:val="24"/>
                <w:szCs w:val="24"/>
              </w:rPr>
              <w:fldChar w:fldCharType="end"/>
            </w:r>
          </w:hyperlink>
        </w:p>
        <w:p w14:paraId="023AFDEE" w14:textId="77B5FCB3" w:rsidR="00D8656E" w:rsidRPr="00D8656E" w:rsidRDefault="00796996">
          <w:pPr>
            <w:pStyle w:val="Inhopg2"/>
            <w:tabs>
              <w:tab w:val="right" w:leader="dot" w:pos="9350"/>
            </w:tabs>
            <w:rPr>
              <w:rFonts w:ascii="Times New Roman" w:hAnsi="Times New Roman"/>
              <w:noProof/>
              <w:sz w:val="24"/>
              <w:szCs w:val="24"/>
            </w:rPr>
          </w:pPr>
          <w:hyperlink w:anchor="_Toc518333117" w:history="1">
            <w:r w:rsidR="00D8656E" w:rsidRPr="00D8656E">
              <w:rPr>
                <w:rStyle w:val="Hyperlink"/>
                <w:rFonts w:ascii="Times New Roman" w:hAnsi="Times New Roman"/>
                <w:noProof/>
                <w:sz w:val="24"/>
                <w:szCs w:val="24"/>
                <w:lang w:val="en-GB"/>
              </w:rPr>
              <w:t>3.5 Financial sector interest taken care of</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_Toc518333117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48</w:t>
            </w:r>
            <w:r w:rsidR="00D8656E" w:rsidRPr="00D8656E">
              <w:rPr>
                <w:rFonts w:ascii="Times New Roman" w:hAnsi="Times New Roman"/>
                <w:noProof/>
                <w:webHidden/>
                <w:sz w:val="24"/>
                <w:szCs w:val="24"/>
              </w:rPr>
              <w:fldChar w:fldCharType="end"/>
            </w:r>
          </w:hyperlink>
        </w:p>
        <w:p w14:paraId="2C2C49EF" w14:textId="3B0297E5" w:rsidR="00D8656E" w:rsidRPr="00D8656E" w:rsidRDefault="00796996">
          <w:pPr>
            <w:pStyle w:val="Inhopg3"/>
            <w:tabs>
              <w:tab w:val="right" w:leader="dot" w:pos="9350"/>
            </w:tabs>
            <w:rPr>
              <w:rFonts w:ascii="Times New Roman" w:hAnsi="Times New Roman"/>
              <w:noProof/>
              <w:sz w:val="24"/>
              <w:szCs w:val="24"/>
            </w:rPr>
          </w:pPr>
          <w:hyperlink w:anchor="_Toc518333118" w:history="1">
            <w:r w:rsidR="00D8656E" w:rsidRPr="00D8656E">
              <w:rPr>
                <w:rStyle w:val="Hyperlink"/>
                <w:rFonts w:ascii="Times New Roman" w:hAnsi="Times New Roman"/>
                <w:noProof/>
                <w:sz w:val="24"/>
                <w:szCs w:val="24"/>
              </w:rPr>
              <w:t>3.5.1 STS framework or PCS?</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_Toc518333118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48</w:t>
            </w:r>
            <w:r w:rsidR="00D8656E" w:rsidRPr="00D8656E">
              <w:rPr>
                <w:rFonts w:ascii="Times New Roman" w:hAnsi="Times New Roman"/>
                <w:noProof/>
                <w:webHidden/>
                <w:sz w:val="24"/>
                <w:szCs w:val="24"/>
              </w:rPr>
              <w:fldChar w:fldCharType="end"/>
            </w:r>
          </w:hyperlink>
        </w:p>
        <w:p w14:paraId="3A1D31B0" w14:textId="6016B51B" w:rsidR="00D8656E" w:rsidRPr="00D8656E" w:rsidRDefault="00796996">
          <w:pPr>
            <w:pStyle w:val="Inhopg3"/>
            <w:tabs>
              <w:tab w:val="right" w:leader="dot" w:pos="9350"/>
            </w:tabs>
            <w:rPr>
              <w:rFonts w:ascii="Times New Roman" w:hAnsi="Times New Roman"/>
              <w:noProof/>
              <w:sz w:val="24"/>
              <w:szCs w:val="24"/>
            </w:rPr>
          </w:pPr>
          <w:hyperlink w:anchor="_Toc518333119" w:history="1">
            <w:r w:rsidR="00D8656E" w:rsidRPr="00D8656E">
              <w:rPr>
                <w:rStyle w:val="Hyperlink"/>
                <w:rFonts w:ascii="Times New Roman" w:hAnsi="Times New Roman"/>
                <w:noProof/>
                <w:sz w:val="24"/>
                <w:szCs w:val="24"/>
                <w:lang w:val="en-GB"/>
              </w:rPr>
              <w:t>3.5.2 “Securitisation?”, “Yes please!”</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_Toc518333119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50</w:t>
            </w:r>
            <w:r w:rsidR="00D8656E" w:rsidRPr="00D8656E">
              <w:rPr>
                <w:rFonts w:ascii="Times New Roman" w:hAnsi="Times New Roman"/>
                <w:noProof/>
                <w:webHidden/>
                <w:sz w:val="24"/>
                <w:szCs w:val="24"/>
              </w:rPr>
              <w:fldChar w:fldCharType="end"/>
            </w:r>
          </w:hyperlink>
        </w:p>
        <w:p w14:paraId="0D0811F2" w14:textId="3698D37D" w:rsidR="00D8656E" w:rsidRPr="00D8656E" w:rsidRDefault="00796996">
          <w:pPr>
            <w:pStyle w:val="Inhopg3"/>
            <w:tabs>
              <w:tab w:val="right" w:leader="dot" w:pos="9350"/>
            </w:tabs>
            <w:rPr>
              <w:rFonts w:ascii="Times New Roman" w:hAnsi="Times New Roman"/>
              <w:noProof/>
              <w:sz w:val="24"/>
              <w:szCs w:val="24"/>
            </w:rPr>
          </w:pPr>
          <w:hyperlink w:anchor="_Toc518333120" w:history="1">
            <w:r w:rsidR="00D8656E" w:rsidRPr="00D8656E">
              <w:rPr>
                <w:rStyle w:val="Hyperlink"/>
                <w:rFonts w:ascii="Times New Roman" w:hAnsi="Times New Roman"/>
                <w:noProof/>
                <w:sz w:val="24"/>
                <w:szCs w:val="24"/>
                <w:lang w:val="en-GB"/>
              </w:rPr>
              <w:t>3.5.3 Making changes</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_Toc518333120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52</w:t>
            </w:r>
            <w:r w:rsidR="00D8656E" w:rsidRPr="00D8656E">
              <w:rPr>
                <w:rFonts w:ascii="Times New Roman" w:hAnsi="Times New Roman"/>
                <w:noProof/>
                <w:webHidden/>
                <w:sz w:val="24"/>
                <w:szCs w:val="24"/>
              </w:rPr>
              <w:fldChar w:fldCharType="end"/>
            </w:r>
          </w:hyperlink>
        </w:p>
        <w:p w14:paraId="09A51EB3" w14:textId="44A5F298" w:rsidR="00D8656E" w:rsidRPr="00D8656E" w:rsidRDefault="00796996">
          <w:pPr>
            <w:pStyle w:val="Inhopg3"/>
            <w:tabs>
              <w:tab w:val="right" w:leader="dot" w:pos="9350"/>
            </w:tabs>
            <w:rPr>
              <w:rFonts w:ascii="Times New Roman" w:hAnsi="Times New Roman"/>
              <w:noProof/>
              <w:sz w:val="24"/>
              <w:szCs w:val="24"/>
            </w:rPr>
          </w:pPr>
          <w:hyperlink w:anchor="_Toc518333121" w:history="1">
            <w:r w:rsidR="00D8656E" w:rsidRPr="00D8656E">
              <w:rPr>
                <w:rStyle w:val="Hyperlink"/>
                <w:rFonts w:ascii="Times New Roman" w:hAnsi="Times New Roman"/>
                <w:noProof/>
                <w:sz w:val="24"/>
                <w:szCs w:val="24"/>
                <w:lang w:val="en-GB"/>
              </w:rPr>
              <w:t>3.5.4 What about other interests?</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_Toc518333121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53</w:t>
            </w:r>
            <w:r w:rsidR="00D8656E" w:rsidRPr="00D8656E">
              <w:rPr>
                <w:rFonts w:ascii="Times New Roman" w:hAnsi="Times New Roman"/>
                <w:noProof/>
                <w:webHidden/>
                <w:sz w:val="24"/>
                <w:szCs w:val="24"/>
              </w:rPr>
              <w:fldChar w:fldCharType="end"/>
            </w:r>
          </w:hyperlink>
        </w:p>
        <w:p w14:paraId="1E976BD5" w14:textId="392C0C80" w:rsidR="00D8656E" w:rsidRPr="00D8656E" w:rsidRDefault="00796996">
          <w:pPr>
            <w:pStyle w:val="Inhopg3"/>
            <w:tabs>
              <w:tab w:val="right" w:leader="dot" w:pos="9350"/>
            </w:tabs>
            <w:rPr>
              <w:rFonts w:ascii="Times New Roman" w:hAnsi="Times New Roman"/>
              <w:noProof/>
              <w:sz w:val="24"/>
              <w:szCs w:val="24"/>
            </w:rPr>
          </w:pPr>
          <w:hyperlink w:anchor="_Toc518333122" w:history="1">
            <w:r w:rsidR="00D8656E" w:rsidRPr="00D8656E">
              <w:rPr>
                <w:rStyle w:val="Hyperlink"/>
                <w:rFonts w:ascii="Times New Roman" w:hAnsi="Times New Roman"/>
                <w:noProof/>
                <w:sz w:val="24"/>
                <w:szCs w:val="24"/>
                <w:lang w:val="en-GB"/>
              </w:rPr>
              <w:t>3.5.5 Illustrating the alliances</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_Toc518333122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55</w:t>
            </w:r>
            <w:r w:rsidR="00D8656E" w:rsidRPr="00D8656E">
              <w:rPr>
                <w:rFonts w:ascii="Times New Roman" w:hAnsi="Times New Roman"/>
                <w:noProof/>
                <w:webHidden/>
                <w:sz w:val="24"/>
                <w:szCs w:val="24"/>
              </w:rPr>
              <w:fldChar w:fldCharType="end"/>
            </w:r>
          </w:hyperlink>
        </w:p>
        <w:p w14:paraId="321083B3" w14:textId="13417093" w:rsidR="00D8656E" w:rsidRPr="00D8656E" w:rsidRDefault="00796996">
          <w:pPr>
            <w:pStyle w:val="Inhopg1"/>
            <w:tabs>
              <w:tab w:val="right" w:leader="dot" w:pos="9350"/>
            </w:tabs>
            <w:rPr>
              <w:rFonts w:ascii="Times New Roman" w:hAnsi="Times New Roman"/>
              <w:noProof/>
              <w:sz w:val="24"/>
              <w:szCs w:val="24"/>
            </w:rPr>
          </w:pPr>
          <w:hyperlink w:anchor="_Toc518333123" w:history="1">
            <w:r w:rsidR="00D8656E" w:rsidRPr="00D8656E">
              <w:rPr>
                <w:rStyle w:val="Hyperlink"/>
                <w:rFonts w:ascii="Times New Roman" w:hAnsi="Times New Roman"/>
                <w:noProof/>
                <w:sz w:val="24"/>
                <w:szCs w:val="24"/>
                <w:lang w:val="en-GB"/>
              </w:rPr>
              <w:t>Chapter 4: Conclusion</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_Toc518333123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58</w:t>
            </w:r>
            <w:r w:rsidR="00D8656E" w:rsidRPr="00D8656E">
              <w:rPr>
                <w:rFonts w:ascii="Times New Roman" w:hAnsi="Times New Roman"/>
                <w:noProof/>
                <w:webHidden/>
                <w:sz w:val="24"/>
                <w:szCs w:val="24"/>
              </w:rPr>
              <w:fldChar w:fldCharType="end"/>
            </w:r>
          </w:hyperlink>
        </w:p>
        <w:p w14:paraId="3E994225" w14:textId="1CD50746" w:rsidR="00D8656E" w:rsidRPr="00D8656E" w:rsidRDefault="00796996">
          <w:pPr>
            <w:pStyle w:val="Inhopg1"/>
            <w:tabs>
              <w:tab w:val="right" w:leader="dot" w:pos="9350"/>
            </w:tabs>
            <w:rPr>
              <w:rFonts w:ascii="Times New Roman" w:hAnsi="Times New Roman"/>
              <w:noProof/>
              <w:sz w:val="24"/>
              <w:szCs w:val="24"/>
            </w:rPr>
          </w:pPr>
          <w:hyperlink w:anchor="_Toc518333124" w:history="1">
            <w:r w:rsidR="00D8656E" w:rsidRPr="00D8656E">
              <w:rPr>
                <w:rStyle w:val="Hyperlink"/>
                <w:rFonts w:ascii="Times New Roman" w:hAnsi="Times New Roman"/>
                <w:noProof/>
                <w:sz w:val="24"/>
                <w:szCs w:val="24"/>
                <w:lang w:val="en-GB"/>
              </w:rPr>
              <w:t>References</w:t>
            </w:r>
            <w:r w:rsidR="00D8656E" w:rsidRPr="00D8656E">
              <w:rPr>
                <w:rFonts w:ascii="Times New Roman" w:hAnsi="Times New Roman"/>
                <w:noProof/>
                <w:webHidden/>
                <w:sz w:val="24"/>
                <w:szCs w:val="24"/>
              </w:rPr>
              <w:tab/>
            </w:r>
            <w:r w:rsidR="00D8656E" w:rsidRPr="00D8656E">
              <w:rPr>
                <w:rFonts w:ascii="Times New Roman" w:hAnsi="Times New Roman"/>
                <w:noProof/>
                <w:webHidden/>
                <w:sz w:val="24"/>
                <w:szCs w:val="24"/>
              </w:rPr>
              <w:fldChar w:fldCharType="begin"/>
            </w:r>
            <w:r w:rsidR="00D8656E" w:rsidRPr="00D8656E">
              <w:rPr>
                <w:rFonts w:ascii="Times New Roman" w:hAnsi="Times New Roman"/>
                <w:noProof/>
                <w:webHidden/>
                <w:sz w:val="24"/>
                <w:szCs w:val="24"/>
              </w:rPr>
              <w:instrText xml:space="preserve"> PAGEREF _Toc518333124 \h </w:instrText>
            </w:r>
            <w:r w:rsidR="00D8656E" w:rsidRPr="00D8656E">
              <w:rPr>
                <w:rFonts w:ascii="Times New Roman" w:hAnsi="Times New Roman"/>
                <w:noProof/>
                <w:webHidden/>
                <w:sz w:val="24"/>
                <w:szCs w:val="24"/>
              </w:rPr>
            </w:r>
            <w:r w:rsidR="00D8656E" w:rsidRPr="00D8656E">
              <w:rPr>
                <w:rFonts w:ascii="Times New Roman" w:hAnsi="Times New Roman"/>
                <w:noProof/>
                <w:webHidden/>
                <w:sz w:val="24"/>
                <w:szCs w:val="24"/>
              </w:rPr>
              <w:fldChar w:fldCharType="separate"/>
            </w:r>
            <w:r w:rsidR="001F64D3">
              <w:rPr>
                <w:rFonts w:ascii="Times New Roman" w:hAnsi="Times New Roman"/>
                <w:noProof/>
                <w:webHidden/>
                <w:sz w:val="24"/>
                <w:szCs w:val="24"/>
              </w:rPr>
              <w:t>61</w:t>
            </w:r>
            <w:r w:rsidR="00D8656E" w:rsidRPr="00D8656E">
              <w:rPr>
                <w:rFonts w:ascii="Times New Roman" w:hAnsi="Times New Roman"/>
                <w:noProof/>
                <w:webHidden/>
                <w:sz w:val="24"/>
                <w:szCs w:val="24"/>
              </w:rPr>
              <w:fldChar w:fldCharType="end"/>
            </w:r>
          </w:hyperlink>
        </w:p>
        <w:p w14:paraId="40391BAE" w14:textId="52DF8713" w:rsidR="00B7761F" w:rsidRPr="00342967" w:rsidRDefault="00B7761F" w:rsidP="00D904F7">
          <w:pPr>
            <w:spacing w:afterLines="160" w:after="384"/>
            <w:jc w:val="both"/>
          </w:pPr>
          <w:r w:rsidRPr="00D27310">
            <w:rPr>
              <w:rFonts w:cs="Times New Roman"/>
              <w:b/>
              <w:bCs/>
              <w:szCs w:val="24"/>
            </w:rPr>
            <w:fldChar w:fldCharType="end"/>
          </w:r>
        </w:p>
      </w:sdtContent>
    </w:sdt>
    <w:p w14:paraId="6BBFE609" w14:textId="77777777" w:rsidR="009A07BE" w:rsidRPr="00342967" w:rsidRDefault="009A07BE" w:rsidP="00D904F7">
      <w:pPr>
        <w:spacing w:line="259" w:lineRule="auto"/>
        <w:jc w:val="both"/>
        <w:rPr>
          <w:b/>
          <w:lang w:val="nl-NL"/>
        </w:rPr>
      </w:pPr>
    </w:p>
    <w:p w14:paraId="485B268B" w14:textId="48045CD8" w:rsidR="000E7FD0" w:rsidRDefault="000E7FD0" w:rsidP="000E7FD0">
      <w:pPr>
        <w:pStyle w:val="Kop1"/>
        <w:rPr>
          <w:lang w:val="en-GB"/>
        </w:rPr>
      </w:pPr>
      <w:bookmarkStart w:id="5" w:name="_Toc518333101"/>
      <w:r w:rsidRPr="00342967">
        <w:rPr>
          <w:lang w:val="en-GB"/>
        </w:rPr>
        <w:lastRenderedPageBreak/>
        <w:t>List of abbreviations</w:t>
      </w:r>
      <w:bookmarkEnd w:id="5"/>
    </w:p>
    <w:p w14:paraId="5CDE9DDF" w14:textId="554BE733" w:rsidR="00D41C74" w:rsidRDefault="00D41C74" w:rsidP="00D41C74">
      <w:pPr>
        <w:spacing w:line="240" w:lineRule="auto"/>
        <w:jc w:val="both"/>
        <w:rPr>
          <w:lang w:val="en-GB"/>
        </w:rPr>
      </w:pPr>
      <w:r w:rsidRPr="00E6153F">
        <w:rPr>
          <w:lang w:val="en-GB"/>
        </w:rPr>
        <w:t>ABS</w:t>
      </w:r>
      <w:r w:rsidRPr="00E6153F">
        <w:rPr>
          <w:lang w:val="en-GB"/>
        </w:rPr>
        <w:tab/>
      </w:r>
      <w:r w:rsidRPr="00E6153F">
        <w:rPr>
          <w:lang w:val="en-GB"/>
        </w:rPr>
        <w:tab/>
        <w:t>-</w:t>
      </w:r>
      <w:r w:rsidRPr="00E6153F">
        <w:rPr>
          <w:lang w:val="en-GB"/>
        </w:rPr>
        <w:tab/>
      </w:r>
      <w:r w:rsidRPr="00E6153F">
        <w:rPr>
          <w:lang w:val="en-GB"/>
        </w:rPr>
        <w:tab/>
        <w:t>Asset-backed Securities</w:t>
      </w:r>
    </w:p>
    <w:p w14:paraId="5683E25F" w14:textId="77777777" w:rsidR="00D41C74" w:rsidRPr="00342967" w:rsidRDefault="00D41C74" w:rsidP="00D41C74">
      <w:pPr>
        <w:spacing w:line="240" w:lineRule="auto"/>
        <w:jc w:val="both"/>
        <w:rPr>
          <w:lang w:val="en-GB"/>
        </w:rPr>
      </w:pPr>
      <w:r w:rsidRPr="00E6153F">
        <w:rPr>
          <w:lang w:val="en-GB"/>
        </w:rPr>
        <w:t>AFME</w:t>
      </w:r>
      <w:r w:rsidRPr="00E6153F">
        <w:rPr>
          <w:lang w:val="en-GB"/>
        </w:rPr>
        <w:tab/>
      </w:r>
      <w:r w:rsidRPr="00342967">
        <w:rPr>
          <w:lang w:val="en-GB"/>
        </w:rPr>
        <w:tab/>
        <w:t>-</w:t>
      </w:r>
      <w:r w:rsidRPr="00342967">
        <w:rPr>
          <w:lang w:val="en-GB"/>
        </w:rPr>
        <w:tab/>
      </w:r>
      <w:r w:rsidRPr="00342967">
        <w:rPr>
          <w:lang w:val="en-GB"/>
        </w:rPr>
        <w:tab/>
        <w:t>Association for Financial Markets in Europe</w:t>
      </w:r>
    </w:p>
    <w:p w14:paraId="4BA7B7B3" w14:textId="77777777" w:rsidR="00D41C74" w:rsidRPr="00E6153F" w:rsidRDefault="00D41C74" w:rsidP="00D41C74">
      <w:pPr>
        <w:spacing w:line="240" w:lineRule="auto"/>
        <w:jc w:val="both"/>
        <w:rPr>
          <w:lang w:val="en-GB"/>
        </w:rPr>
      </w:pPr>
      <w:r w:rsidRPr="00E6153F">
        <w:rPr>
          <w:lang w:val="en-GB"/>
        </w:rPr>
        <w:t>AMIC</w:t>
      </w:r>
      <w:r w:rsidRPr="00E6153F">
        <w:rPr>
          <w:lang w:val="en-GB"/>
        </w:rPr>
        <w:tab/>
      </w:r>
      <w:r w:rsidRPr="00E6153F">
        <w:rPr>
          <w:lang w:val="en-GB"/>
        </w:rPr>
        <w:tab/>
        <w:t>-</w:t>
      </w:r>
      <w:r w:rsidRPr="00E6153F">
        <w:rPr>
          <w:lang w:val="en-GB"/>
        </w:rPr>
        <w:tab/>
      </w:r>
      <w:r w:rsidRPr="00E6153F">
        <w:rPr>
          <w:lang w:val="en-GB"/>
        </w:rPr>
        <w:tab/>
        <w:t>Asset Management and Investors Council</w:t>
      </w:r>
    </w:p>
    <w:p w14:paraId="7BFAD6B6" w14:textId="1DDAE1F8" w:rsidR="00D41C74" w:rsidRDefault="00D41C74" w:rsidP="00D41C74">
      <w:pPr>
        <w:spacing w:line="240" w:lineRule="auto"/>
        <w:jc w:val="both"/>
        <w:rPr>
          <w:lang w:val="en-GB"/>
        </w:rPr>
      </w:pPr>
      <w:r w:rsidRPr="00E6153F">
        <w:rPr>
          <w:lang w:val="en-GB"/>
        </w:rPr>
        <w:t>CDO</w:t>
      </w:r>
      <w:r w:rsidRPr="00E6153F">
        <w:rPr>
          <w:lang w:val="en-GB"/>
        </w:rPr>
        <w:tab/>
      </w:r>
      <w:r w:rsidRPr="00E6153F">
        <w:rPr>
          <w:lang w:val="en-GB"/>
        </w:rPr>
        <w:tab/>
        <w:t>-</w:t>
      </w:r>
      <w:r w:rsidRPr="00E6153F">
        <w:rPr>
          <w:lang w:val="en-GB"/>
        </w:rPr>
        <w:tab/>
      </w:r>
      <w:r w:rsidRPr="00E6153F">
        <w:rPr>
          <w:lang w:val="en-GB"/>
        </w:rPr>
        <w:tab/>
        <w:t>Collateralised Debt Obligation</w:t>
      </w:r>
    </w:p>
    <w:p w14:paraId="4E0DC1CB" w14:textId="77777777" w:rsidR="00D41C74" w:rsidRPr="00E6153F" w:rsidRDefault="00D41C74" w:rsidP="00D41C74">
      <w:pPr>
        <w:spacing w:line="240" w:lineRule="auto"/>
        <w:jc w:val="both"/>
        <w:rPr>
          <w:lang w:val="en-GB"/>
        </w:rPr>
      </w:pPr>
      <w:r w:rsidRPr="00E6153F">
        <w:rPr>
          <w:lang w:val="en-GB"/>
        </w:rPr>
        <w:t>CEO</w:t>
      </w:r>
      <w:r w:rsidRPr="00E6153F">
        <w:rPr>
          <w:lang w:val="en-GB"/>
        </w:rPr>
        <w:tab/>
      </w:r>
      <w:r w:rsidRPr="00E6153F">
        <w:rPr>
          <w:lang w:val="en-GB"/>
        </w:rPr>
        <w:tab/>
        <w:t>-</w:t>
      </w:r>
      <w:r w:rsidRPr="00E6153F">
        <w:rPr>
          <w:lang w:val="en-GB"/>
        </w:rPr>
        <w:tab/>
      </w:r>
      <w:r w:rsidRPr="00E6153F">
        <w:rPr>
          <w:lang w:val="en-GB"/>
        </w:rPr>
        <w:tab/>
        <w:t>Chief Executive Officer</w:t>
      </w:r>
    </w:p>
    <w:p w14:paraId="3D1351A9" w14:textId="0883B80A" w:rsidR="002963F2" w:rsidRPr="00442E8C" w:rsidRDefault="00C85575" w:rsidP="00E6153F">
      <w:pPr>
        <w:spacing w:line="240" w:lineRule="auto"/>
        <w:jc w:val="both"/>
        <w:rPr>
          <w:lang w:val="nl-NL"/>
        </w:rPr>
      </w:pPr>
      <w:r w:rsidRPr="00442E8C">
        <w:rPr>
          <w:lang w:val="nl-NL"/>
        </w:rPr>
        <w:t>CMU</w:t>
      </w:r>
      <w:r w:rsidR="00890885" w:rsidRPr="00442E8C">
        <w:rPr>
          <w:lang w:val="nl-NL"/>
        </w:rPr>
        <w:tab/>
      </w:r>
      <w:r w:rsidR="00890885" w:rsidRPr="00442E8C">
        <w:rPr>
          <w:lang w:val="nl-NL"/>
        </w:rPr>
        <w:tab/>
      </w:r>
      <w:r w:rsidR="00342967" w:rsidRPr="00442E8C">
        <w:rPr>
          <w:lang w:val="nl-NL"/>
        </w:rPr>
        <w:t>-</w:t>
      </w:r>
      <w:r w:rsidR="00890885" w:rsidRPr="00442E8C">
        <w:rPr>
          <w:lang w:val="nl-NL"/>
        </w:rPr>
        <w:tab/>
      </w:r>
      <w:r w:rsidR="00890885" w:rsidRPr="00442E8C">
        <w:rPr>
          <w:lang w:val="nl-NL"/>
        </w:rPr>
        <w:tab/>
        <w:t>Capital Markets Union</w:t>
      </w:r>
    </w:p>
    <w:p w14:paraId="40380783" w14:textId="4085090D" w:rsidR="00D41C74" w:rsidRPr="00D41C74" w:rsidRDefault="00D41C74" w:rsidP="00E6153F">
      <w:pPr>
        <w:spacing w:line="240" w:lineRule="auto"/>
        <w:jc w:val="both"/>
        <w:rPr>
          <w:lang w:val="nl-NL"/>
        </w:rPr>
      </w:pPr>
      <w:r w:rsidRPr="00CB69A6">
        <w:rPr>
          <w:lang w:val="nl-NL"/>
        </w:rPr>
        <w:t>DBI</w:t>
      </w:r>
      <w:r w:rsidRPr="00CB69A6">
        <w:rPr>
          <w:lang w:val="nl-NL"/>
        </w:rPr>
        <w:tab/>
      </w:r>
      <w:r w:rsidRPr="00CB69A6">
        <w:rPr>
          <w:lang w:val="nl-NL"/>
        </w:rPr>
        <w:tab/>
        <w:t>-</w:t>
      </w:r>
      <w:r w:rsidRPr="00CB69A6">
        <w:rPr>
          <w:lang w:val="nl-NL"/>
        </w:rPr>
        <w:tab/>
      </w:r>
      <w:r w:rsidRPr="00CB69A6">
        <w:rPr>
          <w:lang w:val="nl-NL"/>
        </w:rPr>
        <w:tab/>
        <w:t>Bundesverband der Deutschen industrie</w:t>
      </w:r>
    </w:p>
    <w:p w14:paraId="4974F8C2" w14:textId="2777F9FA" w:rsidR="00D41C74" w:rsidRPr="00D41C74" w:rsidRDefault="00D41C74" w:rsidP="00D41C74">
      <w:pPr>
        <w:spacing w:line="240" w:lineRule="auto"/>
        <w:rPr>
          <w:lang w:val="en-GB"/>
        </w:rPr>
      </w:pPr>
      <w:r w:rsidRPr="00D41C74">
        <w:rPr>
          <w:lang w:val="en-GB"/>
        </w:rPr>
        <w:t>DG</w:t>
      </w:r>
      <w:r w:rsidRPr="00D41C74">
        <w:rPr>
          <w:lang w:val="en-GB"/>
        </w:rPr>
        <w:tab/>
      </w:r>
      <w:r w:rsidRPr="00D41C74">
        <w:rPr>
          <w:lang w:val="en-GB"/>
        </w:rPr>
        <w:tab/>
        <w:t>-</w:t>
      </w:r>
      <w:r w:rsidRPr="00D41C74">
        <w:rPr>
          <w:lang w:val="en-GB"/>
        </w:rPr>
        <w:tab/>
      </w:r>
      <w:r w:rsidRPr="00D41C74">
        <w:rPr>
          <w:lang w:val="en-GB"/>
        </w:rPr>
        <w:tab/>
        <w:t>Directorates-General</w:t>
      </w:r>
    </w:p>
    <w:p w14:paraId="47DFF89F" w14:textId="4085090D" w:rsidR="00890885" w:rsidRPr="00E6153F" w:rsidRDefault="00890885" w:rsidP="00E6153F">
      <w:pPr>
        <w:spacing w:line="240" w:lineRule="auto"/>
        <w:jc w:val="both"/>
        <w:rPr>
          <w:lang w:val="en-GB"/>
        </w:rPr>
      </w:pPr>
      <w:r w:rsidRPr="00E6153F">
        <w:rPr>
          <w:lang w:val="en-GB"/>
        </w:rPr>
        <w:t>ECS</w:t>
      </w:r>
      <w:r w:rsidR="00F86324" w:rsidRPr="00E6153F">
        <w:rPr>
          <w:lang w:val="en-GB"/>
        </w:rPr>
        <w:t>C</w:t>
      </w:r>
      <w:r w:rsidRPr="00E6153F">
        <w:rPr>
          <w:lang w:val="en-GB"/>
        </w:rPr>
        <w:tab/>
      </w:r>
      <w:r w:rsidRPr="00E6153F">
        <w:rPr>
          <w:lang w:val="en-GB"/>
        </w:rPr>
        <w:tab/>
      </w:r>
      <w:r w:rsidR="00342967" w:rsidRPr="00E6153F">
        <w:rPr>
          <w:lang w:val="en-GB"/>
        </w:rPr>
        <w:t>-</w:t>
      </w:r>
      <w:r w:rsidRPr="00E6153F">
        <w:rPr>
          <w:lang w:val="en-GB"/>
        </w:rPr>
        <w:tab/>
      </w:r>
      <w:r w:rsidRPr="00E6153F">
        <w:rPr>
          <w:lang w:val="en-GB"/>
        </w:rPr>
        <w:tab/>
        <w:t>European Coal and Steel Community</w:t>
      </w:r>
    </w:p>
    <w:p w14:paraId="007DFBC0" w14:textId="7AF58EB5" w:rsidR="00F86324" w:rsidRDefault="00F86324" w:rsidP="00E6153F">
      <w:pPr>
        <w:spacing w:line="240" w:lineRule="auto"/>
        <w:jc w:val="both"/>
        <w:rPr>
          <w:lang w:val="en-GB"/>
        </w:rPr>
      </w:pPr>
      <w:r w:rsidRPr="00E6153F">
        <w:rPr>
          <w:lang w:val="en-GB"/>
        </w:rPr>
        <w:t>EEC</w:t>
      </w:r>
      <w:r w:rsidRPr="00E6153F">
        <w:rPr>
          <w:lang w:val="en-GB"/>
        </w:rPr>
        <w:tab/>
      </w:r>
      <w:r w:rsidRPr="00E6153F">
        <w:rPr>
          <w:lang w:val="en-GB"/>
        </w:rPr>
        <w:tab/>
      </w:r>
      <w:r w:rsidR="00342967" w:rsidRPr="00E6153F">
        <w:rPr>
          <w:lang w:val="en-GB"/>
        </w:rPr>
        <w:t>-</w:t>
      </w:r>
      <w:r w:rsidRPr="00E6153F">
        <w:rPr>
          <w:lang w:val="en-GB"/>
        </w:rPr>
        <w:tab/>
      </w:r>
      <w:r w:rsidRPr="00E6153F">
        <w:rPr>
          <w:lang w:val="en-GB"/>
        </w:rPr>
        <w:tab/>
        <w:t>European Economic Community</w:t>
      </w:r>
    </w:p>
    <w:p w14:paraId="348B438B" w14:textId="638493E4" w:rsidR="00D41C74" w:rsidRDefault="00D41C74" w:rsidP="00D41C74">
      <w:pPr>
        <w:spacing w:line="240" w:lineRule="auto"/>
        <w:jc w:val="both"/>
        <w:rPr>
          <w:lang w:val="en-GB"/>
        </w:rPr>
      </w:pPr>
      <w:r w:rsidRPr="00E6153F">
        <w:rPr>
          <w:lang w:val="en-GB"/>
        </w:rPr>
        <w:t>EFR</w:t>
      </w:r>
      <w:r w:rsidRPr="00E6153F">
        <w:rPr>
          <w:lang w:val="en-GB"/>
        </w:rPr>
        <w:tab/>
      </w:r>
      <w:r w:rsidRPr="00E6153F">
        <w:rPr>
          <w:lang w:val="en-GB"/>
        </w:rPr>
        <w:tab/>
        <w:t>-</w:t>
      </w:r>
      <w:r w:rsidRPr="00E6153F">
        <w:rPr>
          <w:lang w:val="en-GB"/>
        </w:rPr>
        <w:tab/>
      </w:r>
      <w:r w:rsidRPr="00E6153F">
        <w:rPr>
          <w:lang w:val="en-GB"/>
        </w:rPr>
        <w:tab/>
        <w:t>European Financial Services Roundtable</w:t>
      </w:r>
    </w:p>
    <w:p w14:paraId="2817DDC9" w14:textId="51E4DB9E" w:rsidR="00D41C74" w:rsidRDefault="00D41C74" w:rsidP="00D41C74">
      <w:pPr>
        <w:spacing w:line="240" w:lineRule="auto"/>
        <w:jc w:val="both"/>
        <w:rPr>
          <w:lang w:val="en-GB"/>
        </w:rPr>
      </w:pPr>
      <w:r w:rsidRPr="00E6153F">
        <w:rPr>
          <w:lang w:val="en-GB"/>
        </w:rPr>
        <w:t>MBS</w:t>
      </w:r>
      <w:r w:rsidRPr="00E6153F">
        <w:rPr>
          <w:lang w:val="en-GB"/>
        </w:rPr>
        <w:tab/>
      </w:r>
      <w:r w:rsidRPr="00E6153F">
        <w:rPr>
          <w:lang w:val="en-GB"/>
        </w:rPr>
        <w:tab/>
        <w:t>-</w:t>
      </w:r>
      <w:r w:rsidRPr="00E6153F">
        <w:rPr>
          <w:lang w:val="en-GB"/>
        </w:rPr>
        <w:tab/>
      </w:r>
      <w:r w:rsidRPr="00E6153F">
        <w:rPr>
          <w:lang w:val="en-GB"/>
        </w:rPr>
        <w:tab/>
        <w:t>Mortgage-backed Securities</w:t>
      </w:r>
    </w:p>
    <w:p w14:paraId="0AF1F1C4" w14:textId="2ADBA242" w:rsidR="00D41C74" w:rsidRDefault="00D41C74" w:rsidP="00D41C74">
      <w:pPr>
        <w:spacing w:line="240" w:lineRule="auto"/>
        <w:jc w:val="both"/>
        <w:rPr>
          <w:lang w:val="en-GB"/>
        </w:rPr>
      </w:pPr>
      <w:r w:rsidRPr="00E6153F">
        <w:rPr>
          <w:lang w:val="en-GB"/>
        </w:rPr>
        <w:t>NGO</w:t>
      </w:r>
      <w:r w:rsidRPr="00E6153F">
        <w:rPr>
          <w:lang w:val="en-GB"/>
        </w:rPr>
        <w:tab/>
      </w:r>
      <w:r w:rsidRPr="00E6153F">
        <w:rPr>
          <w:lang w:val="en-GB"/>
        </w:rPr>
        <w:tab/>
        <w:t>-</w:t>
      </w:r>
      <w:r w:rsidRPr="00E6153F">
        <w:rPr>
          <w:lang w:val="en-GB"/>
        </w:rPr>
        <w:tab/>
      </w:r>
      <w:r w:rsidRPr="00E6153F">
        <w:rPr>
          <w:lang w:val="en-GB"/>
        </w:rPr>
        <w:tab/>
        <w:t>Non-Governmental Organisation</w:t>
      </w:r>
    </w:p>
    <w:p w14:paraId="786199F4" w14:textId="77777777" w:rsidR="00D41C74" w:rsidRPr="00E6153F" w:rsidRDefault="00D41C74" w:rsidP="00D41C74">
      <w:pPr>
        <w:spacing w:line="240" w:lineRule="auto"/>
        <w:jc w:val="both"/>
        <w:rPr>
          <w:lang w:val="en-GB"/>
        </w:rPr>
      </w:pPr>
      <w:r w:rsidRPr="00E6153F">
        <w:rPr>
          <w:lang w:val="en-GB"/>
        </w:rPr>
        <w:t>PCS</w:t>
      </w:r>
      <w:r w:rsidRPr="00E6153F">
        <w:rPr>
          <w:lang w:val="en-GB"/>
        </w:rPr>
        <w:tab/>
      </w:r>
      <w:r w:rsidRPr="00E6153F">
        <w:rPr>
          <w:lang w:val="en-GB"/>
        </w:rPr>
        <w:tab/>
        <w:t>-</w:t>
      </w:r>
      <w:r w:rsidRPr="00E6153F">
        <w:rPr>
          <w:lang w:val="en-GB"/>
        </w:rPr>
        <w:tab/>
      </w:r>
      <w:r w:rsidRPr="00E6153F">
        <w:rPr>
          <w:lang w:val="en-GB"/>
        </w:rPr>
        <w:tab/>
        <w:t>Prime Collateralised Securities</w:t>
      </w:r>
    </w:p>
    <w:p w14:paraId="78A185FA" w14:textId="77777777" w:rsidR="00D41C74" w:rsidRPr="00E6153F" w:rsidRDefault="00D41C74" w:rsidP="00D41C74">
      <w:pPr>
        <w:spacing w:line="240" w:lineRule="auto"/>
        <w:jc w:val="both"/>
        <w:rPr>
          <w:lang w:val="en-GB"/>
        </w:rPr>
      </w:pPr>
      <w:r w:rsidRPr="00E6153F">
        <w:rPr>
          <w:lang w:val="en-GB"/>
        </w:rPr>
        <w:t>SPV</w:t>
      </w:r>
      <w:r w:rsidRPr="00E6153F">
        <w:rPr>
          <w:lang w:val="en-GB"/>
        </w:rPr>
        <w:tab/>
      </w:r>
      <w:r w:rsidRPr="00E6153F">
        <w:rPr>
          <w:lang w:val="en-GB"/>
        </w:rPr>
        <w:tab/>
        <w:t>-</w:t>
      </w:r>
      <w:r w:rsidRPr="00E6153F">
        <w:rPr>
          <w:lang w:val="en-GB"/>
        </w:rPr>
        <w:tab/>
      </w:r>
      <w:r w:rsidRPr="00E6153F">
        <w:rPr>
          <w:lang w:val="en-GB"/>
        </w:rPr>
        <w:tab/>
        <w:t>Special Purpose Vehicle</w:t>
      </w:r>
    </w:p>
    <w:p w14:paraId="15D61041" w14:textId="3F8B5609" w:rsidR="00F86324" w:rsidRPr="00E6153F" w:rsidRDefault="00F86324" w:rsidP="00E6153F">
      <w:pPr>
        <w:spacing w:line="240" w:lineRule="auto"/>
        <w:jc w:val="both"/>
        <w:rPr>
          <w:lang w:val="en-GB"/>
        </w:rPr>
      </w:pPr>
      <w:r w:rsidRPr="00E6153F">
        <w:rPr>
          <w:lang w:val="en-GB"/>
        </w:rPr>
        <w:t>SSA</w:t>
      </w:r>
      <w:r w:rsidRPr="00E6153F">
        <w:rPr>
          <w:lang w:val="en-GB"/>
        </w:rPr>
        <w:tab/>
      </w:r>
      <w:r w:rsidRPr="00E6153F">
        <w:rPr>
          <w:lang w:val="en-GB"/>
        </w:rPr>
        <w:tab/>
      </w:r>
      <w:r w:rsidR="00342967" w:rsidRPr="00E6153F">
        <w:rPr>
          <w:lang w:val="en-GB"/>
        </w:rPr>
        <w:t>-</w:t>
      </w:r>
      <w:r w:rsidRPr="00E6153F">
        <w:rPr>
          <w:lang w:val="en-GB"/>
        </w:rPr>
        <w:tab/>
      </w:r>
      <w:r w:rsidRPr="00E6153F">
        <w:rPr>
          <w:lang w:val="en-GB"/>
        </w:rPr>
        <w:tab/>
        <w:t>Social Structure of Accumulation</w:t>
      </w:r>
    </w:p>
    <w:p w14:paraId="3D967DF4" w14:textId="6DFB6ED1" w:rsidR="00F86324" w:rsidRPr="00E6153F" w:rsidRDefault="00F86324" w:rsidP="00E6153F">
      <w:pPr>
        <w:spacing w:line="240" w:lineRule="auto"/>
        <w:jc w:val="both"/>
        <w:rPr>
          <w:lang w:val="en-GB"/>
        </w:rPr>
      </w:pPr>
      <w:r w:rsidRPr="00E6153F">
        <w:rPr>
          <w:lang w:val="en-GB"/>
        </w:rPr>
        <w:t>STS</w:t>
      </w:r>
      <w:r w:rsidRPr="00E6153F">
        <w:rPr>
          <w:lang w:val="en-GB"/>
        </w:rPr>
        <w:tab/>
      </w:r>
      <w:r w:rsidRPr="00E6153F">
        <w:rPr>
          <w:lang w:val="en-GB"/>
        </w:rPr>
        <w:tab/>
      </w:r>
      <w:r w:rsidR="00342967" w:rsidRPr="00E6153F">
        <w:rPr>
          <w:lang w:val="en-GB"/>
        </w:rPr>
        <w:t>-</w:t>
      </w:r>
      <w:r w:rsidRPr="00E6153F">
        <w:rPr>
          <w:lang w:val="en-GB"/>
        </w:rPr>
        <w:tab/>
      </w:r>
      <w:r w:rsidRPr="00E6153F">
        <w:rPr>
          <w:lang w:val="en-GB"/>
        </w:rPr>
        <w:tab/>
        <w:t>Simple, Transparent, Standardi</w:t>
      </w:r>
      <w:r w:rsidR="00CF2DBF" w:rsidRPr="00E6153F">
        <w:rPr>
          <w:lang w:val="en-GB"/>
        </w:rPr>
        <w:t>s</w:t>
      </w:r>
      <w:r w:rsidRPr="00E6153F">
        <w:rPr>
          <w:lang w:val="en-GB"/>
        </w:rPr>
        <w:t>ed</w:t>
      </w:r>
    </w:p>
    <w:p w14:paraId="1BA28796" w14:textId="24688FB2" w:rsidR="00890885" w:rsidRPr="00D41C74" w:rsidRDefault="00890885" w:rsidP="002963F2">
      <w:pPr>
        <w:rPr>
          <w:lang w:val="en-GB"/>
        </w:rPr>
      </w:pPr>
    </w:p>
    <w:p w14:paraId="027E8B3A" w14:textId="77777777" w:rsidR="000E7FD0" w:rsidRPr="00D41C74" w:rsidRDefault="000E7FD0" w:rsidP="000E7FD0">
      <w:pPr>
        <w:rPr>
          <w:lang w:val="en-GB"/>
        </w:rPr>
      </w:pPr>
    </w:p>
    <w:p w14:paraId="3FC8F36B" w14:textId="6FDE9085" w:rsidR="0020667D" w:rsidRPr="00D41C74" w:rsidRDefault="0020667D" w:rsidP="000E7FD0">
      <w:pPr>
        <w:pStyle w:val="Kop1"/>
        <w:rPr>
          <w:lang w:val="en-GB"/>
        </w:rPr>
      </w:pPr>
      <w:r w:rsidRPr="00D41C74">
        <w:rPr>
          <w:lang w:val="en-GB"/>
        </w:rPr>
        <w:br w:type="page"/>
      </w:r>
    </w:p>
    <w:p w14:paraId="1A1AD373" w14:textId="72C21A5A" w:rsidR="00EA3394" w:rsidRPr="00342967" w:rsidRDefault="5B8664F6" w:rsidP="00D904F7">
      <w:pPr>
        <w:pStyle w:val="Kop1"/>
        <w:jc w:val="both"/>
        <w:rPr>
          <w:lang w:val="en-GB"/>
        </w:rPr>
      </w:pPr>
      <w:bookmarkStart w:id="6" w:name="_Toc518333102"/>
      <w:r w:rsidRPr="00342967">
        <w:rPr>
          <w:lang w:val="en-GB"/>
        </w:rPr>
        <w:lastRenderedPageBreak/>
        <w:t>Introduction</w:t>
      </w:r>
      <w:bookmarkEnd w:id="6"/>
    </w:p>
    <w:p w14:paraId="6AD8BE43" w14:textId="2BCD5916" w:rsidR="00C30A56" w:rsidRPr="00342967" w:rsidRDefault="00EA3394" w:rsidP="00D904F7">
      <w:pPr>
        <w:jc w:val="both"/>
        <w:rPr>
          <w:rFonts w:cs="Times New Roman"/>
          <w:szCs w:val="24"/>
          <w:lang w:val="en-GB"/>
        </w:rPr>
      </w:pPr>
      <w:r w:rsidRPr="00342967">
        <w:rPr>
          <w:rFonts w:cs="Times New Roman"/>
          <w:szCs w:val="24"/>
          <w:lang w:val="en-GB"/>
        </w:rPr>
        <w:t xml:space="preserve">The Global Financial Crisis </w:t>
      </w:r>
      <w:r w:rsidR="009A2EB6">
        <w:rPr>
          <w:rFonts w:cs="Times New Roman"/>
          <w:szCs w:val="24"/>
          <w:lang w:val="en-GB"/>
        </w:rPr>
        <w:t xml:space="preserve">has </w:t>
      </w:r>
      <w:r w:rsidRPr="00342967">
        <w:rPr>
          <w:rFonts w:cs="Times New Roman"/>
          <w:szCs w:val="24"/>
          <w:lang w:val="en-GB"/>
        </w:rPr>
        <w:t>had a great impact on economies and societies all over the world. In September 2007 the world economy collapsed resulting in the largest recession with unprecedented levels of unemployment since the Second World War. Governments of the Western industrialised world decided to bailout many financial institutions and banks to avoid a complete and total meltdown of the world economy</w:t>
      </w:r>
      <w:r w:rsidR="005C1BA4" w:rsidRPr="00342967">
        <w:rPr>
          <w:rFonts w:cs="Times New Roman"/>
          <w:szCs w:val="24"/>
          <w:lang w:val="en-GB"/>
        </w:rPr>
        <w:t xml:space="preserve"> (Congleton</w:t>
      </w:r>
      <w:r w:rsidR="00C65393" w:rsidRPr="00342967">
        <w:rPr>
          <w:rFonts w:cs="Times New Roman"/>
          <w:szCs w:val="24"/>
          <w:lang w:val="en-GB"/>
        </w:rPr>
        <w:t>, 2009;</w:t>
      </w:r>
      <w:r w:rsidR="00D27B5D" w:rsidRPr="00342967">
        <w:rPr>
          <w:rFonts w:cs="Times New Roman"/>
          <w:szCs w:val="24"/>
          <w:lang w:val="en-GB"/>
        </w:rPr>
        <w:t xml:space="preserve"> Mishkin, 201</w:t>
      </w:r>
      <w:r w:rsidR="00706B17" w:rsidRPr="00342967">
        <w:rPr>
          <w:rFonts w:cs="Times New Roman"/>
          <w:szCs w:val="24"/>
          <w:lang w:val="en-GB"/>
        </w:rPr>
        <w:t xml:space="preserve">1; </w:t>
      </w:r>
      <w:r w:rsidR="00583FBB" w:rsidRPr="00342967">
        <w:rPr>
          <w:rFonts w:cs="Times New Roman"/>
          <w:szCs w:val="24"/>
          <w:lang w:val="en-GB"/>
        </w:rPr>
        <w:t>Davidoff</w:t>
      </w:r>
      <w:r w:rsidR="00817D6F" w:rsidRPr="00342967">
        <w:rPr>
          <w:rFonts w:cs="Times New Roman"/>
          <w:szCs w:val="24"/>
          <w:lang w:val="en-GB"/>
        </w:rPr>
        <w:t xml:space="preserve"> and Zaring, 2009)</w:t>
      </w:r>
      <w:r w:rsidRPr="00342967">
        <w:rPr>
          <w:rFonts w:cs="Times New Roman"/>
          <w:szCs w:val="24"/>
          <w:lang w:val="en-GB"/>
        </w:rPr>
        <w:t>. One of the reasons why the crisis had grown to such immense proportions was argued to be the sub-prime mortgages of the US that were repackaged and sold to global financial markets, or what is also termed securitisation (OECD, 2015</w:t>
      </w:r>
      <w:r w:rsidR="00560EEF" w:rsidRPr="00342967">
        <w:rPr>
          <w:rFonts w:cs="Times New Roman"/>
          <w:szCs w:val="24"/>
          <w:lang w:val="en-GB"/>
        </w:rPr>
        <w:t>;</w:t>
      </w:r>
      <w:r w:rsidR="00D036E1" w:rsidRPr="00342967">
        <w:rPr>
          <w:rFonts w:cs="Times New Roman"/>
          <w:szCs w:val="24"/>
          <w:lang w:val="en-GB"/>
        </w:rPr>
        <w:t xml:space="preserve"> Hellwig</w:t>
      </w:r>
      <w:r w:rsidR="00560EEF" w:rsidRPr="00342967">
        <w:rPr>
          <w:rFonts w:cs="Times New Roman"/>
          <w:szCs w:val="24"/>
          <w:lang w:val="en-GB"/>
        </w:rPr>
        <w:t>, 2009</w:t>
      </w:r>
      <w:r w:rsidR="004B0D07" w:rsidRPr="00342967">
        <w:rPr>
          <w:rFonts w:cs="Times New Roman"/>
          <w:szCs w:val="24"/>
          <w:lang w:val="en-GB"/>
        </w:rPr>
        <w:t>; Acharya and Richardson, 2009</w:t>
      </w:r>
      <w:r w:rsidRPr="00342967">
        <w:rPr>
          <w:rFonts w:cs="Times New Roman"/>
          <w:szCs w:val="24"/>
          <w:lang w:val="en-GB"/>
        </w:rPr>
        <w:t xml:space="preserve">). </w:t>
      </w:r>
      <w:r w:rsidR="009A5586" w:rsidRPr="00342967">
        <w:rPr>
          <w:rFonts w:cs="Times New Roman"/>
          <w:szCs w:val="24"/>
          <w:lang w:val="en-GB"/>
        </w:rPr>
        <w:t>Securitisation allow banks</w:t>
      </w:r>
      <w:r w:rsidR="004F213D" w:rsidRPr="00342967">
        <w:rPr>
          <w:rFonts w:cs="Times New Roman"/>
          <w:szCs w:val="24"/>
          <w:lang w:val="en-GB"/>
        </w:rPr>
        <w:t xml:space="preserve"> to immediately liquidise assets by selling </w:t>
      </w:r>
      <w:r w:rsidR="007C7619" w:rsidRPr="00342967">
        <w:rPr>
          <w:rFonts w:cs="Times New Roman"/>
          <w:szCs w:val="24"/>
          <w:lang w:val="en-GB"/>
        </w:rPr>
        <w:t>loans to outside investors</w:t>
      </w:r>
      <w:r w:rsidR="00020CE6" w:rsidRPr="00342967">
        <w:rPr>
          <w:rFonts w:cs="Times New Roman"/>
          <w:szCs w:val="24"/>
          <w:lang w:val="en-GB"/>
        </w:rPr>
        <w:t>.</w:t>
      </w:r>
      <w:r w:rsidR="00A34EEA" w:rsidRPr="00342967">
        <w:rPr>
          <w:rFonts w:cs="Times New Roman"/>
          <w:szCs w:val="24"/>
          <w:lang w:val="en-GB"/>
        </w:rPr>
        <w:t xml:space="preserve"> </w:t>
      </w:r>
      <w:r w:rsidR="005C16DC" w:rsidRPr="00342967">
        <w:rPr>
          <w:rFonts w:cs="Times New Roman"/>
          <w:szCs w:val="24"/>
          <w:lang w:val="en-GB"/>
        </w:rPr>
        <w:t>Where initially, the bank would have to wait out until the loan has matured to regain the principal, securitisation allows the bank</w:t>
      </w:r>
      <w:r w:rsidR="00A60367" w:rsidRPr="00342967">
        <w:rPr>
          <w:rFonts w:cs="Times New Roman"/>
          <w:szCs w:val="24"/>
          <w:lang w:val="en-GB"/>
        </w:rPr>
        <w:t>, at once,</w:t>
      </w:r>
      <w:r w:rsidR="005C16DC" w:rsidRPr="00342967">
        <w:rPr>
          <w:rFonts w:cs="Times New Roman"/>
          <w:szCs w:val="24"/>
          <w:lang w:val="en-GB"/>
        </w:rPr>
        <w:t xml:space="preserve"> </w:t>
      </w:r>
      <w:r w:rsidR="009A2EB6" w:rsidRPr="00342967">
        <w:rPr>
          <w:rFonts w:cs="Times New Roman"/>
          <w:szCs w:val="24"/>
          <w:lang w:val="en-GB"/>
        </w:rPr>
        <w:t xml:space="preserve">to </w:t>
      </w:r>
      <w:r w:rsidR="005C16DC" w:rsidRPr="00342967">
        <w:rPr>
          <w:rFonts w:cs="Times New Roman"/>
          <w:szCs w:val="24"/>
          <w:lang w:val="en-GB"/>
        </w:rPr>
        <w:t xml:space="preserve">move </w:t>
      </w:r>
      <w:r w:rsidR="00A60367" w:rsidRPr="00342967">
        <w:rPr>
          <w:rFonts w:cs="Times New Roman"/>
          <w:szCs w:val="24"/>
          <w:lang w:val="en-GB"/>
        </w:rPr>
        <w:t xml:space="preserve">the maturity of the loan to the present. </w:t>
      </w:r>
      <w:r w:rsidR="00682947" w:rsidRPr="00342967">
        <w:rPr>
          <w:rFonts w:cs="Times New Roman"/>
          <w:szCs w:val="24"/>
          <w:lang w:val="en-GB"/>
        </w:rPr>
        <w:t>S</w:t>
      </w:r>
      <w:r w:rsidR="00A60367" w:rsidRPr="00342967">
        <w:rPr>
          <w:rFonts w:cs="Times New Roman"/>
          <w:szCs w:val="24"/>
          <w:lang w:val="en-GB"/>
        </w:rPr>
        <w:t>ecuritisation</w:t>
      </w:r>
      <w:r w:rsidR="00682947" w:rsidRPr="00342967">
        <w:rPr>
          <w:rFonts w:cs="Times New Roman"/>
          <w:szCs w:val="24"/>
          <w:lang w:val="en-GB"/>
        </w:rPr>
        <w:t xml:space="preserve"> </w:t>
      </w:r>
      <w:r w:rsidR="009A2EB6">
        <w:rPr>
          <w:rFonts w:cs="Times New Roman"/>
          <w:szCs w:val="24"/>
          <w:lang w:val="en-GB"/>
        </w:rPr>
        <w:t xml:space="preserve">thereby </w:t>
      </w:r>
      <w:r w:rsidR="00020CE6" w:rsidRPr="00342967">
        <w:rPr>
          <w:rFonts w:cs="Times New Roman"/>
          <w:szCs w:val="24"/>
          <w:lang w:val="en-GB"/>
        </w:rPr>
        <w:t xml:space="preserve">creates </w:t>
      </w:r>
      <w:r w:rsidR="00E07998" w:rsidRPr="00342967">
        <w:rPr>
          <w:rFonts w:cs="Times New Roman"/>
          <w:szCs w:val="24"/>
          <w:lang w:val="en-GB"/>
        </w:rPr>
        <w:t>space</w:t>
      </w:r>
      <w:r w:rsidR="00020CE6" w:rsidRPr="00342967">
        <w:rPr>
          <w:rFonts w:cs="Times New Roman"/>
          <w:szCs w:val="24"/>
          <w:lang w:val="en-GB"/>
        </w:rPr>
        <w:t xml:space="preserve"> on banks’ balance sheet </w:t>
      </w:r>
      <w:r w:rsidR="00E07998" w:rsidRPr="00342967">
        <w:rPr>
          <w:rFonts w:cs="Times New Roman"/>
          <w:szCs w:val="24"/>
          <w:lang w:val="en-GB"/>
        </w:rPr>
        <w:t>so that they can</w:t>
      </w:r>
      <w:r w:rsidR="00020CE6" w:rsidRPr="00342967">
        <w:rPr>
          <w:rFonts w:cs="Times New Roman"/>
          <w:szCs w:val="24"/>
          <w:lang w:val="en-GB"/>
        </w:rPr>
        <w:t xml:space="preserve"> issue </w:t>
      </w:r>
      <w:r w:rsidR="00D06751" w:rsidRPr="00342967">
        <w:rPr>
          <w:rFonts w:cs="Times New Roman"/>
          <w:szCs w:val="24"/>
          <w:lang w:val="en-GB"/>
        </w:rPr>
        <w:t>new loans</w:t>
      </w:r>
      <w:r w:rsidR="00020CE6" w:rsidRPr="00342967">
        <w:rPr>
          <w:rFonts w:cs="Times New Roman"/>
          <w:szCs w:val="24"/>
          <w:lang w:val="en-GB"/>
        </w:rPr>
        <w:t>, which then also can be sold</w:t>
      </w:r>
      <w:r w:rsidR="00A60367" w:rsidRPr="00342967">
        <w:rPr>
          <w:rFonts w:cs="Times New Roman"/>
          <w:szCs w:val="24"/>
          <w:lang w:val="en-GB"/>
        </w:rPr>
        <w:t xml:space="preserve"> </w:t>
      </w:r>
      <w:r w:rsidR="00E07998" w:rsidRPr="00342967">
        <w:rPr>
          <w:rFonts w:cs="Times New Roman"/>
          <w:szCs w:val="24"/>
          <w:lang w:val="en-GB"/>
        </w:rPr>
        <w:t xml:space="preserve">off </w:t>
      </w:r>
      <w:r w:rsidR="008D438A" w:rsidRPr="00342967">
        <w:rPr>
          <w:rFonts w:cs="Times New Roman"/>
          <w:szCs w:val="24"/>
          <w:lang w:val="en-GB"/>
        </w:rPr>
        <w:t>immediately.</w:t>
      </w:r>
    </w:p>
    <w:p w14:paraId="2288D34B" w14:textId="536426BB" w:rsidR="00EA3394" w:rsidRPr="00342967" w:rsidRDefault="00EA3394" w:rsidP="00D904F7">
      <w:pPr>
        <w:jc w:val="both"/>
        <w:rPr>
          <w:rFonts w:cs="Times New Roman"/>
          <w:szCs w:val="24"/>
          <w:lang w:val="en-GB"/>
        </w:rPr>
      </w:pPr>
      <w:r w:rsidRPr="00342967">
        <w:rPr>
          <w:rFonts w:cs="Times New Roman"/>
          <w:szCs w:val="24"/>
          <w:lang w:val="en-GB"/>
        </w:rPr>
        <w:t xml:space="preserve">In addition to being a profitable undertaking for </w:t>
      </w:r>
      <w:r w:rsidR="00A60367" w:rsidRPr="00342967">
        <w:rPr>
          <w:rFonts w:cs="Times New Roman"/>
          <w:szCs w:val="24"/>
          <w:lang w:val="en-GB"/>
        </w:rPr>
        <w:t>banks</w:t>
      </w:r>
      <w:r w:rsidRPr="00342967">
        <w:rPr>
          <w:rFonts w:cs="Times New Roman"/>
          <w:szCs w:val="24"/>
          <w:lang w:val="en-GB"/>
        </w:rPr>
        <w:t xml:space="preserve">, securitisation has long been praised for its ability to disperse risk throughout the entire financial system rather than concentrating risks at banks. However, </w:t>
      </w:r>
      <w:r w:rsidR="00F32535" w:rsidRPr="00342967">
        <w:rPr>
          <w:rFonts w:cs="Times New Roman"/>
          <w:szCs w:val="24"/>
          <w:lang w:val="en-GB"/>
        </w:rPr>
        <w:t>risk did not get dispersed</w:t>
      </w:r>
      <w:r w:rsidR="00AC1AE4" w:rsidRPr="00342967">
        <w:rPr>
          <w:rFonts w:cs="Times New Roman"/>
          <w:szCs w:val="24"/>
          <w:lang w:val="en-GB"/>
        </w:rPr>
        <w:t xml:space="preserve"> throughout the financial sector but instead concentrated within the banking system.</w:t>
      </w:r>
      <w:r w:rsidR="00213274" w:rsidRPr="00342967">
        <w:rPr>
          <w:rFonts w:cs="Times New Roman"/>
          <w:szCs w:val="24"/>
          <w:lang w:val="en-GB"/>
        </w:rPr>
        <w:t xml:space="preserve"> This happened because of some inherent flaws</w:t>
      </w:r>
      <w:r w:rsidRPr="00342967">
        <w:rPr>
          <w:rFonts w:cs="Times New Roman"/>
          <w:szCs w:val="24"/>
          <w:lang w:val="en-GB"/>
        </w:rPr>
        <w:t xml:space="preserve"> </w:t>
      </w:r>
      <w:r w:rsidR="00213274" w:rsidRPr="00342967">
        <w:rPr>
          <w:rFonts w:cs="Times New Roman"/>
          <w:szCs w:val="24"/>
          <w:lang w:val="en-GB"/>
        </w:rPr>
        <w:t>of securitisation</w:t>
      </w:r>
      <w:r w:rsidRPr="00342967">
        <w:rPr>
          <w:rFonts w:cs="Times New Roman"/>
          <w:szCs w:val="24"/>
          <w:lang w:val="en-GB"/>
        </w:rPr>
        <w:t>.</w:t>
      </w:r>
      <w:r w:rsidR="00957A22" w:rsidRPr="00342967">
        <w:rPr>
          <w:rFonts w:cs="Times New Roman"/>
          <w:szCs w:val="24"/>
          <w:lang w:val="en-GB"/>
        </w:rPr>
        <w:t xml:space="preserve"> First of all,</w:t>
      </w:r>
      <w:r w:rsidR="00DA25A4" w:rsidRPr="00342967">
        <w:rPr>
          <w:rFonts w:cs="Times New Roman"/>
          <w:szCs w:val="24"/>
          <w:lang w:val="en-GB"/>
        </w:rPr>
        <w:t xml:space="preserve"> </w:t>
      </w:r>
      <w:r w:rsidR="00A859BE" w:rsidRPr="00342967">
        <w:rPr>
          <w:rFonts w:cs="Times New Roman"/>
          <w:szCs w:val="24"/>
          <w:lang w:val="en-GB"/>
        </w:rPr>
        <w:t>because securitisation</w:t>
      </w:r>
      <w:r w:rsidR="00C87BD7" w:rsidRPr="00342967">
        <w:rPr>
          <w:rFonts w:cs="Times New Roman"/>
          <w:szCs w:val="24"/>
          <w:lang w:val="en-GB"/>
        </w:rPr>
        <w:t xml:space="preserve"> is highly profitable and</w:t>
      </w:r>
      <w:r w:rsidR="00A859BE" w:rsidRPr="00342967">
        <w:rPr>
          <w:rFonts w:cs="Times New Roman"/>
          <w:szCs w:val="24"/>
          <w:lang w:val="en-GB"/>
        </w:rPr>
        <w:t xml:space="preserve"> </w:t>
      </w:r>
      <w:r w:rsidR="00C87BD7" w:rsidRPr="00342967">
        <w:rPr>
          <w:rFonts w:cs="Times New Roman"/>
          <w:szCs w:val="24"/>
          <w:lang w:val="en-GB"/>
        </w:rPr>
        <w:t xml:space="preserve">granted the bank the </w:t>
      </w:r>
      <w:r w:rsidR="00FB2735" w:rsidRPr="00342967">
        <w:rPr>
          <w:rFonts w:cs="Times New Roman"/>
          <w:szCs w:val="24"/>
          <w:lang w:val="en-GB"/>
        </w:rPr>
        <w:t xml:space="preserve">opportunity to immediately sell loans on their </w:t>
      </w:r>
      <w:r w:rsidR="00395672" w:rsidRPr="00342967">
        <w:rPr>
          <w:rFonts w:cs="Times New Roman"/>
          <w:szCs w:val="24"/>
          <w:lang w:val="en-GB"/>
        </w:rPr>
        <w:t>balance sheet</w:t>
      </w:r>
      <w:r w:rsidR="00C87BD7" w:rsidRPr="00342967">
        <w:rPr>
          <w:rFonts w:cs="Times New Roman"/>
          <w:szCs w:val="24"/>
          <w:lang w:val="en-GB"/>
        </w:rPr>
        <w:t>, the banks had an incentive to sell as much loans as possible</w:t>
      </w:r>
      <w:r w:rsidR="00FD76AE" w:rsidRPr="00342967">
        <w:rPr>
          <w:rFonts w:cs="Times New Roman"/>
          <w:szCs w:val="24"/>
          <w:lang w:val="en-GB"/>
        </w:rPr>
        <w:t>. Second</w:t>
      </w:r>
      <w:r w:rsidR="002C6588" w:rsidRPr="00342967">
        <w:rPr>
          <w:rFonts w:cs="Times New Roman"/>
          <w:szCs w:val="24"/>
          <w:lang w:val="en-GB"/>
        </w:rPr>
        <w:t>ly</w:t>
      </w:r>
      <w:r w:rsidR="00FD76AE" w:rsidRPr="00342967">
        <w:rPr>
          <w:rFonts w:cs="Times New Roman"/>
          <w:szCs w:val="24"/>
          <w:lang w:val="en-GB"/>
        </w:rPr>
        <w:t xml:space="preserve">, </w:t>
      </w:r>
      <w:r w:rsidR="00957A22" w:rsidRPr="00342967">
        <w:rPr>
          <w:rFonts w:cs="Times New Roman"/>
          <w:szCs w:val="24"/>
          <w:lang w:val="en-GB"/>
        </w:rPr>
        <w:t>t</w:t>
      </w:r>
      <w:r w:rsidR="008C1A0A" w:rsidRPr="00342967">
        <w:rPr>
          <w:rFonts w:cs="Times New Roman"/>
          <w:szCs w:val="24"/>
          <w:lang w:val="en-GB"/>
        </w:rPr>
        <w:t xml:space="preserve">he </w:t>
      </w:r>
      <w:r w:rsidR="00D12895" w:rsidRPr="00342967">
        <w:rPr>
          <w:rFonts w:cs="Times New Roman"/>
          <w:szCs w:val="24"/>
          <w:lang w:val="en-GB"/>
        </w:rPr>
        <w:t>loans</w:t>
      </w:r>
      <w:r w:rsidR="00FD76AE" w:rsidRPr="00342967">
        <w:rPr>
          <w:rFonts w:cs="Times New Roman"/>
          <w:szCs w:val="24"/>
          <w:lang w:val="en-GB"/>
        </w:rPr>
        <w:t xml:space="preserve"> that were securitized</w:t>
      </w:r>
      <w:r w:rsidR="00D12895" w:rsidRPr="00342967">
        <w:rPr>
          <w:rFonts w:cs="Times New Roman"/>
          <w:szCs w:val="24"/>
          <w:lang w:val="en-GB"/>
        </w:rPr>
        <w:t xml:space="preserve"> were </w:t>
      </w:r>
      <w:r w:rsidR="00A859BE" w:rsidRPr="00342967">
        <w:rPr>
          <w:rFonts w:cs="Times New Roman"/>
          <w:szCs w:val="24"/>
          <w:lang w:val="en-GB"/>
        </w:rPr>
        <w:t>not truly</w:t>
      </w:r>
      <w:r w:rsidR="00D12895" w:rsidRPr="00342967">
        <w:rPr>
          <w:rFonts w:cs="Times New Roman"/>
          <w:szCs w:val="24"/>
          <w:lang w:val="en-GB"/>
        </w:rPr>
        <w:t xml:space="preserve"> removed from the balance sheet of the </w:t>
      </w:r>
      <w:r w:rsidR="00A71397" w:rsidRPr="00342967">
        <w:rPr>
          <w:rFonts w:cs="Times New Roman"/>
          <w:szCs w:val="24"/>
          <w:lang w:val="en-GB"/>
        </w:rPr>
        <w:t xml:space="preserve">banks </w:t>
      </w:r>
      <w:r w:rsidR="00DE1F4B" w:rsidRPr="00342967">
        <w:rPr>
          <w:rFonts w:cs="Times New Roman"/>
          <w:szCs w:val="24"/>
          <w:lang w:val="en-GB"/>
        </w:rPr>
        <w:t>because they were stored on the balance sheets of special purpose vehicles</w:t>
      </w:r>
      <w:r w:rsidR="00A859BE" w:rsidRPr="00342967">
        <w:rPr>
          <w:rFonts w:cs="Times New Roman"/>
          <w:szCs w:val="24"/>
          <w:lang w:val="en-GB"/>
        </w:rPr>
        <w:t xml:space="preserve"> </w:t>
      </w:r>
      <w:r w:rsidR="004332D1" w:rsidRPr="00342967">
        <w:rPr>
          <w:rFonts w:cs="Times New Roman"/>
          <w:szCs w:val="24"/>
          <w:lang w:val="en-GB"/>
        </w:rPr>
        <w:t>owned by</w:t>
      </w:r>
      <w:r w:rsidR="00A859BE" w:rsidRPr="00342967">
        <w:rPr>
          <w:rFonts w:cs="Times New Roman"/>
          <w:szCs w:val="24"/>
          <w:lang w:val="en-GB"/>
        </w:rPr>
        <w:t xml:space="preserve"> the bank</w:t>
      </w:r>
      <w:r w:rsidR="00173157" w:rsidRPr="00342967">
        <w:rPr>
          <w:rFonts w:cs="Times New Roman"/>
          <w:szCs w:val="24"/>
          <w:lang w:val="en-GB"/>
        </w:rPr>
        <w:t xml:space="preserve"> (Acharya, Schnabl and Suarez, 2013)</w:t>
      </w:r>
      <w:r w:rsidR="00A71397" w:rsidRPr="00342967">
        <w:rPr>
          <w:rFonts w:cs="Times New Roman"/>
          <w:szCs w:val="24"/>
          <w:lang w:val="en-GB"/>
        </w:rPr>
        <w:t>.</w:t>
      </w:r>
      <w:r w:rsidR="00A859BE" w:rsidRPr="00342967">
        <w:rPr>
          <w:rFonts w:cs="Times New Roman"/>
          <w:szCs w:val="24"/>
          <w:lang w:val="en-GB"/>
        </w:rPr>
        <w:t xml:space="preserve"> </w:t>
      </w:r>
      <w:r w:rsidR="00395672" w:rsidRPr="00342967">
        <w:rPr>
          <w:rFonts w:cs="Times New Roman"/>
          <w:szCs w:val="24"/>
          <w:lang w:val="en-GB"/>
        </w:rPr>
        <w:t>These inherent flaws became apparent</w:t>
      </w:r>
      <w:r w:rsidR="00A71397" w:rsidRPr="00342967">
        <w:rPr>
          <w:rFonts w:cs="Times New Roman"/>
          <w:szCs w:val="24"/>
          <w:lang w:val="en-GB"/>
        </w:rPr>
        <w:t xml:space="preserve"> </w:t>
      </w:r>
      <w:r w:rsidR="00395672" w:rsidRPr="00342967">
        <w:rPr>
          <w:rFonts w:cs="Times New Roman"/>
          <w:szCs w:val="24"/>
          <w:lang w:val="en-GB"/>
        </w:rPr>
        <w:t>after the</w:t>
      </w:r>
      <w:r w:rsidRPr="00342967">
        <w:rPr>
          <w:rFonts w:cs="Times New Roman"/>
          <w:szCs w:val="24"/>
          <w:lang w:val="en-GB"/>
        </w:rPr>
        <w:t xml:space="preserve"> pool of creditworthy lenders </w:t>
      </w:r>
      <w:r w:rsidR="00A71397" w:rsidRPr="00342967">
        <w:rPr>
          <w:rFonts w:cs="Times New Roman"/>
          <w:szCs w:val="24"/>
          <w:lang w:val="en-GB"/>
        </w:rPr>
        <w:t>was exhausted</w:t>
      </w:r>
      <w:r w:rsidRPr="00342967">
        <w:rPr>
          <w:rFonts w:cs="Times New Roman"/>
          <w:szCs w:val="24"/>
          <w:lang w:val="en-GB"/>
        </w:rPr>
        <w:t xml:space="preserve">. </w:t>
      </w:r>
      <w:r w:rsidR="008E7038" w:rsidRPr="00342967">
        <w:rPr>
          <w:rFonts w:cs="Times New Roman"/>
          <w:szCs w:val="24"/>
          <w:lang w:val="en-GB"/>
        </w:rPr>
        <w:t>B</w:t>
      </w:r>
      <w:r w:rsidRPr="00342967">
        <w:rPr>
          <w:rFonts w:cs="Times New Roman"/>
          <w:szCs w:val="24"/>
          <w:lang w:val="en-GB"/>
        </w:rPr>
        <w:t>anks started to lend to sub-optimal lenders</w:t>
      </w:r>
      <w:r w:rsidR="008E7038" w:rsidRPr="00342967">
        <w:rPr>
          <w:rFonts w:cs="Times New Roman"/>
          <w:szCs w:val="24"/>
          <w:lang w:val="en-GB"/>
        </w:rPr>
        <w:t xml:space="preserve"> </w:t>
      </w:r>
      <w:r w:rsidR="00395672" w:rsidRPr="00342967">
        <w:rPr>
          <w:rFonts w:cs="Times New Roman"/>
          <w:szCs w:val="24"/>
          <w:lang w:val="en-GB"/>
        </w:rPr>
        <w:t>to</w:t>
      </w:r>
      <w:r w:rsidR="008E7038" w:rsidRPr="00342967">
        <w:rPr>
          <w:rFonts w:cs="Times New Roman"/>
          <w:szCs w:val="24"/>
          <w:lang w:val="en-GB"/>
        </w:rPr>
        <w:t xml:space="preserve"> </w:t>
      </w:r>
      <w:r w:rsidR="00D67EDA" w:rsidRPr="00342967">
        <w:rPr>
          <w:rFonts w:cs="Times New Roman"/>
          <w:szCs w:val="24"/>
          <w:lang w:val="en-GB"/>
        </w:rPr>
        <w:t xml:space="preserve">keep making more profit while the risk kept piling up </w:t>
      </w:r>
      <w:r w:rsidR="00395672" w:rsidRPr="00342967">
        <w:rPr>
          <w:rFonts w:cs="Times New Roman"/>
          <w:szCs w:val="24"/>
          <w:lang w:val="en-GB"/>
        </w:rPr>
        <w:t>in</w:t>
      </w:r>
      <w:r w:rsidR="00D67EDA" w:rsidRPr="00342967">
        <w:rPr>
          <w:rFonts w:cs="Times New Roman"/>
          <w:szCs w:val="24"/>
          <w:lang w:val="en-GB"/>
        </w:rPr>
        <w:t xml:space="preserve"> the bank</w:t>
      </w:r>
      <w:r w:rsidR="00395672" w:rsidRPr="00342967">
        <w:rPr>
          <w:rFonts w:cs="Times New Roman"/>
          <w:szCs w:val="24"/>
          <w:lang w:val="en-GB"/>
        </w:rPr>
        <w:t>ing</w:t>
      </w:r>
      <w:r w:rsidR="00D67EDA" w:rsidRPr="00342967">
        <w:rPr>
          <w:rFonts w:cs="Times New Roman"/>
          <w:szCs w:val="24"/>
          <w:lang w:val="en-GB"/>
        </w:rPr>
        <w:t xml:space="preserve"> sector.</w:t>
      </w:r>
      <w:r w:rsidRPr="00342967">
        <w:rPr>
          <w:rFonts w:cs="Times New Roman"/>
          <w:szCs w:val="24"/>
          <w:lang w:val="en-GB"/>
        </w:rPr>
        <w:t xml:space="preserve"> </w:t>
      </w:r>
      <w:r w:rsidR="00D67EDA" w:rsidRPr="00342967">
        <w:rPr>
          <w:rFonts w:cs="Times New Roman"/>
          <w:szCs w:val="24"/>
          <w:lang w:val="en-GB"/>
        </w:rPr>
        <w:t>Consequently, securitisation caused an enormous increase in systemic risk in</w:t>
      </w:r>
      <w:r w:rsidRPr="00342967">
        <w:rPr>
          <w:rFonts w:cs="Times New Roman"/>
          <w:szCs w:val="24"/>
          <w:lang w:val="en-GB"/>
        </w:rPr>
        <w:t xml:space="preserve"> the financial system (</w:t>
      </w:r>
      <w:r w:rsidRPr="00342967">
        <w:rPr>
          <w:rFonts w:cs="Times New Roman"/>
          <w:szCs w:val="24"/>
        </w:rPr>
        <w:t xml:space="preserve">Keys </w:t>
      </w:r>
      <w:r w:rsidRPr="00342967">
        <w:rPr>
          <w:rFonts w:cs="Times New Roman"/>
          <w:i/>
          <w:szCs w:val="24"/>
        </w:rPr>
        <w:t>et al</w:t>
      </w:r>
      <w:r w:rsidRPr="00342967">
        <w:rPr>
          <w:rFonts w:cs="Times New Roman"/>
          <w:szCs w:val="24"/>
        </w:rPr>
        <w:t>, 20</w:t>
      </w:r>
      <w:r w:rsidR="00C10D5F" w:rsidRPr="00342967">
        <w:rPr>
          <w:rFonts w:cs="Times New Roman"/>
          <w:szCs w:val="24"/>
        </w:rPr>
        <w:t>10</w:t>
      </w:r>
      <w:r w:rsidRPr="00342967">
        <w:rPr>
          <w:rFonts w:cs="Times New Roman"/>
          <w:szCs w:val="24"/>
        </w:rPr>
        <w:t>; Demyanyk &amp; van Hemert, 200</w:t>
      </w:r>
      <w:r w:rsidR="00701E52" w:rsidRPr="00342967">
        <w:rPr>
          <w:rFonts w:cs="Times New Roman"/>
          <w:szCs w:val="24"/>
        </w:rPr>
        <w:t>9</w:t>
      </w:r>
      <w:r w:rsidRPr="00342967">
        <w:rPr>
          <w:rFonts w:cs="Times New Roman"/>
          <w:szCs w:val="24"/>
        </w:rPr>
        <w:t xml:space="preserve">). </w:t>
      </w:r>
      <w:r w:rsidR="00D67EDA" w:rsidRPr="00342967">
        <w:rPr>
          <w:rFonts w:cs="Times New Roman"/>
          <w:szCs w:val="24"/>
        </w:rPr>
        <w:t xml:space="preserve">Securitisation </w:t>
      </w:r>
      <w:r w:rsidR="0016418F" w:rsidRPr="00342967">
        <w:rPr>
          <w:rFonts w:cs="Times New Roman"/>
          <w:szCs w:val="24"/>
        </w:rPr>
        <w:t xml:space="preserve">delivered the exact opposite to what it was supposed to </w:t>
      </w:r>
      <w:r w:rsidR="00D67EDA" w:rsidRPr="00342967">
        <w:rPr>
          <w:rFonts w:cs="Times New Roman"/>
          <w:szCs w:val="24"/>
        </w:rPr>
        <w:t xml:space="preserve">and </w:t>
      </w:r>
      <w:r w:rsidR="00483837" w:rsidRPr="00342967">
        <w:rPr>
          <w:rFonts w:cs="Times New Roman"/>
          <w:szCs w:val="24"/>
        </w:rPr>
        <w:t xml:space="preserve">made the financial sector weaker with every securitisation transaction </w:t>
      </w:r>
      <w:r w:rsidRPr="00342967">
        <w:rPr>
          <w:rFonts w:cs="Times New Roman"/>
          <w:szCs w:val="24"/>
          <w:lang w:val="en-GB"/>
        </w:rPr>
        <w:t>(</w:t>
      </w:r>
      <w:r w:rsidRPr="00342967">
        <w:rPr>
          <w:rFonts w:cs="Times New Roman"/>
          <w:szCs w:val="24"/>
        </w:rPr>
        <w:t>Uhde and Michalak, 2010; Hänsel and Krahnen, 2007; Franke and Krahnen, 200</w:t>
      </w:r>
      <w:r w:rsidR="000909F3" w:rsidRPr="00342967">
        <w:rPr>
          <w:rFonts w:cs="Times New Roman"/>
          <w:szCs w:val="24"/>
        </w:rPr>
        <w:t>7</w:t>
      </w:r>
      <w:r w:rsidRPr="00342967">
        <w:rPr>
          <w:rFonts w:cs="Times New Roman"/>
          <w:szCs w:val="24"/>
        </w:rPr>
        <w:t xml:space="preserve">; Lockwood et al., 1996). </w:t>
      </w:r>
    </w:p>
    <w:p w14:paraId="2B5BBADF" w14:textId="06F640E7" w:rsidR="00FF4CDB" w:rsidRPr="00342967" w:rsidRDefault="00EA3394" w:rsidP="00D904F7">
      <w:pPr>
        <w:jc w:val="both"/>
        <w:rPr>
          <w:rFonts w:cs="Times New Roman"/>
          <w:szCs w:val="24"/>
        </w:rPr>
      </w:pPr>
      <w:r w:rsidRPr="00342967">
        <w:rPr>
          <w:rFonts w:cs="Times New Roman"/>
          <w:szCs w:val="24"/>
        </w:rPr>
        <w:lastRenderedPageBreak/>
        <w:t>Both during the enfolding of the crisis and after it had fully materialized, academics</w:t>
      </w:r>
      <w:r w:rsidR="0097144E">
        <w:rPr>
          <w:rFonts w:cs="Times New Roman"/>
          <w:szCs w:val="24"/>
        </w:rPr>
        <w:t>,</w:t>
      </w:r>
      <w:r w:rsidRPr="00342967">
        <w:rPr>
          <w:rFonts w:cs="Times New Roman"/>
          <w:szCs w:val="24"/>
        </w:rPr>
        <w:t xml:space="preserve"> institutions </w:t>
      </w:r>
      <w:r w:rsidR="00483837" w:rsidRPr="00342967">
        <w:rPr>
          <w:rFonts w:cs="Times New Roman"/>
          <w:szCs w:val="24"/>
        </w:rPr>
        <w:t xml:space="preserve">and governments </w:t>
      </w:r>
      <w:r w:rsidR="008D438A" w:rsidRPr="00342967">
        <w:rPr>
          <w:rFonts w:cs="Times New Roman"/>
          <w:szCs w:val="24"/>
        </w:rPr>
        <w:t>recogni</w:t>
      </w:r>
      <w:r w:rsidR="008D438A">
        <w:rPr>
          <w:rFonts w:cs="Times New Roman"/>
          <w:szCs w:val="24"/>
        </w:rPr>
        <w:t>z</w:t>
      </w:r>
      <w:r w:rsidR="008D438A" w:rsidRPr="00342967">
        <w:rPr>
          <w:rFonts w:cs="Times New Roman"/>
          <w:szCs w:val="24"/>
        </w:rPr>
        <w:t>ed</w:t>
      </w:r>
      <w:r w:rsidRPr="00342967">
        <w:rPr>
          <w:rFonts w:cs="Times New Roman"/>
          <w:szCs w:val="24"/>
        </w:rPr>
        <w:t xml:space="preserve"> the pitfalls of securitisation</w:t>
      </w:r>
      <w:r w:rsidR="0097144E">
        <w:rPr>
          <w:rFonts w:cs="Times New Roman"/>
          <w:szCs w:val="24"/>
        </w:rPr>
        <w:t xml:space="preserve"> </w:t>
      </w:r>
      <w:r w:rsidR="0097144E" w:rsidRPr="00342967">
        <w:rPr>
          <w:rFonts w:cs="Times New Roman"/>
          <w:szCs w:val="24"/>
        </w:rPr>
        <w:t>(</w:t>
      </w:r>
      <w:r w:rsidR="0097144E" w:rsidRPr="00342967">
        <w:rPr>
          <w:rFonts w:cs="Times New Roman"/>
          <w:szCs w:val="24"/>
          <w:lang w:val="en-GB"/>
        </w:rPr>
        <w:t>Adrian and Shin, 2010; Brunnermeier, 2009; Gabor and Ban, 2016; Gorton and Metrick, 2012)</w:t>
      </w:r>
      <w:r w:rsidRPr="00342967">
        <w:rPr>
          <w:rFonts w:cs="Times New Roman"/>
          <w:szCs w:val="24"/>
        </w:rPr>
        <w:t>. The G20, in 2008 on a summit on Financial Markets and the World Economy, blamed the actions of the financial sector as the root cause of the Global Financial Crisis. The G20 especially pointed at the behavior of the financial sector in relation to securitisation. Weak underwriting standards, unsound risk management practices and the increasing complexity and opaqueness combined with excessive leverage created vulnerabilities in the system</w:t>
      </w:r>
      <w:r w:rsidR="007E7F07" w:rsidRPr="00342967">
        <w:rPr>
          <w:rFonts w:cs="Times New Roman"/>
          <w:szCs w:val="24"/>
        </w:rPr>
        <w:t>, according to a joint statement by the G20 countries</w:t>
      </w:r>
      <w:r w:rsidR="00CC6A73" w:rsidRPr="00342967">
        <w:rPr>
          <w:rFonts w:cs="Times New Roman"/>
          <w:szCs w:val="24"/>
        </w:rPr>
        <w:t xml:space="preserve"> </w:t>
      </w:r>
      <w:r w:rsidRPr="00342967">
        <w:rPr>
          <w:rFonts w:cs="Times New Roman"/>
          <w:szCs w:val="24"/>
        </w:rPr>
        <w:t>(G20, 2008, p.1)</w:t>
      </w:r>
      <w:r w:rsidR="00CC6A73" w:rsidRPr="00342967">
        <w:rPr>
          <w:rFonts w:cs="Times New Roman"/>
          <w:szCs w:val="24"/>
        </w:rPr>
        <w:t xml:space="preserve">. </w:t>
      </w:r>
      <w:r w:rsidRPr="00342967">
        <w:rPr>
          <w:rFonts w:cs="Times New Roman"/>
          <w:szCs w:val="24"/>
          <w:lang w:val="en-GB"/>
        </w:rPr>
        <w:t xml:space="preserve">The OECD went even further and explicitly stated that the outsourcing of term-transformation that is associated with securitisation was the decisive factor that made the crisis so devastating (OECD 2015, p.54). </w:t>
      </w:r>
      <w:r w:rsidR="00BB5199" w:rsidRPr="00342967">
        <w:rPr>
          <w:rFonts w:cs="Times New Roman"/>
          <w:szCs w:val="24"/>
          <w:lang w:val="en-GB"/>
        </w:rPr>
        <w:t xml:space="preserve">The </w:t>
      </w:r>
      <w:r w:rsidRPr="00342967">
        <w:rPr>
          <w:rFonts w:cs="Times New Roman"/>
          <w:szCs w:val="24"/>
          <w:lang w:val="en-GB"/>
        </w:rPr>
        <w:t>European Commission</w:t>
      </w:r>
      <w:r w:rsidR="000064F6" w:rsidRPr="00342967">
        <w:rPr>
          <w:rFonts w:cs="Times New Roman"/>
          <w:szCs w:val="24"/>
          <w:lang w:val="en-GB"/>
        </w:rPr>
        <w:t>, in turn,</w:t>
      </w:r>
      <w:r w:rsidRPr="00342967">
        <w:rPr>
          <w:rFonts w:cs="Times New Roman"/>
          <w:szCs w:val="24"/>
          <w:lang w:val="en-GB"/>
        </w:rPr>
        <w:t xml:space="preserve"> </w:t>
      </w:r>
      <w:r w:rsidR="00DE37E8">
        <w:rPr>
          <w:rFonts w:cs="Times New Roman"/>
          <w:szCs w:val="24"/>
          <w:lang w:val="en-GB"/>
        </w:rPr>
        <w:t xml:space="preserve">also </w:t>
      </w:r>
      <w:r w:rsidRPr="00342967">
        <w:rPr>
          <w:rFonts w:cs="Times New Roman"/>
          <w:szCs w:val="24"/>
          <w:lang w:val="en-GB"/>
        </w:rPr>
        <w:t xml:space="preserve">acknowledged the dangers and pitfalls of securitisation </w:t>
      </w:r>
      <w:r w:rsidR="00BB5199" w:rsidRPr="00342967">
        <w:rPr>
          <w:rFonts w:cs="Times New Roman"/>
          <w:szCs w:val="24"/>
          <w:lang w:val="en-GB"/>
        </w:rPr>
        <w:t>i</w:t>
      </w:r>
      <w:r w:rsidRPr="00342967">
        <w:rPr>
          <w:rFonts w:cs="Times New Roman"/>
          <w:szCs w:val="24"/>
          <w:lang w:val="en-GB"/>
        </w:rPr>
        <w:t>n a communication to the Council and the European Parliament</w:t>
      </w:r>
      <w:r w:rsidR="00BB5199" w:rsidRPr="00342967">
        <w:rPr>
          <w:rFonts w:cs="Times New Roman"/>
          <w:szCs w:val="24"/>
          <w:lang w:val="en-GB"/>
        </w:rPr>
        <w:t>.</w:t>
      </w:r>
      <w:r w:rsidRPr="00342967">
        <w:rPr>
          <w:rFonts w:cs="Times New Roman"/>
          <w:szCs w:val="24"/>
          <w:lang w:val="en-GB"/>
        </w:rPr>
        <w:t xml:space="preserve"> </w:t>
      </w:r>
      <w:r w:rsidR="00BB5199" w:rsidRPr="00342967">
        <w:rPr>
          <w:rFonts w:cs="Times New Roman"/>
          <w:szCs w:val="24"/>
          <w:lang w:val="en-GB"/>
        </w:rPr>
        <w:t>The</w:t>
      </w:r>
      <w:r w:rsidRPr="00342967">
        <w:rPr>
          <w:rFonts w:cs="Times New Roman"/>
          <w:szCs w:val="24"/>
          <w:lang w:val="en-GB"/>
        </w:rPr>
        <w:t xml:space="preserve"> European Commission stressed that due to the complex and opaque nature of securities it is difficult to monitor and regulate </w:t>
      </w:r>
      <w:r w:rsidR="004419FF" w:rsidRPr="00342967">
        <w:rPr>
          <w:rFonts w:cs="Times New Roman"/>
          <w:szCs w:val="24"/>
          <w:lang w:val="en-GB"/>
        </w:rPr>
        <w:t>securitisation. The Commission acknowledged</w:t>
      </w:r>
      <w:r w:rsidR="00FC4779" w:rsidRPr="00342967">
        <w:rPr>
          <w:rFonts w:cs="Times New Roman"/>
          <w:szCs w:val="24"/>
          <w:lang w:val="en-GB"/>
        </w:rPr>
        <w:t xml:space="preserve"> that </w:t>
      </w:r>
      <w:r w:rsidRPr="00342967">
        <w:rPr>
          <w:rFonts w:cs="Times New Roman"/>
          <w:szCs w:val="24"/>
          <w:lang w:val="en-GB"/>
        </w:rPr>
        <w:t>securitisation leads to excessive leverage build-up</w:t>
      </w:r>
      <w:r w:rsidR="00FC4779" w:rsidRPr="00342967">
        <w:rPr>
          <w:rFonts w:cs="Times New Roman"/>
          <w:szCs w:val="24"/>
          <w:lang w:val="en-GB"/>
        </w:rPr>
        <w:t xml:space="preserve"> and not to the proclaimed risk diversification</w:t>
      </w:r>
      <w:r w:rsidRPr="00342967">
        <w:rPr>
          <w:rFonts w:cs="Times New Roman"/>
          <w:szCs w:val="24"/>
        </w:rPr>
        <w:t xml:space="preserve"> (Regulation (EU) 2015/2365, 2015, p2). </w:t>
      </w:r>
    </w:p>
    <w:p w14:paraId="6F486008" w14:textId="00417C03" w:rsidR="00EA3394" w:rsidRPr="00342967" w:rsidRDefault="00B43256" w:rsidP="00D904F7">
      <w:pPr>
        <w:jc w:val="both"/>
        <w:rPr>
          <w:rFonts w:cs="Times New Roman"/>
          <w:szCs w:val="24"/>
        </w:rPr>
      </w:pPr>
      <w:r w:rsidRPr="00342967">
        <w:rPr>
          <w:rFonts w:cs="Times New Roman"/>
          <w:szCs w:val="24"/>
        </w:rPr>
        <w:t xml:space="preserve">Despite the inherent flaws to securitisation and the fact that it </w:t>
      </w:r>
      <w:r w:rsidR="003E6749" w:rsidRPr="00342967">
        <w:rPr>
          <w:rFonts w:cs="Times New Roman"/>
          <w:szCs w:val="24"/>
        </w:rPr>
        <w:t>was at the heart of the most disruptive post-war economic crisis, and despite that securitisation is condemned by the G20</w:t>
      </w:r>
      <w:r w:rsidR="00EE7981" w:rsidRPr="00342967">
        <w:rPr>
          <w:rFonts w:cs="Times New Roman"/>
          <w:szCs w:val="24"/>
        </w:rPr>
        <w:t>, t</w:t>
      </w:r>
      <w:r w:rsidR="003E6749" w:rsidRPr="00342967">
        <w:rPr>
          <w:rFonts w:cs="Times New Roman"/>
          <w:szCs w:val="24"/>
        </w:rPr>
        <w:t>he OECD</w:t>
      </w:r>
      <w:r w:rsidR="00EE7981" w:rsidRPr="00342967">
        <w:rPr>
          <w:rFonts w:cs="Times New Roman"/>
          <w:szCs w:val="24"/>
        </w:rPr>
        <w:t xml:space="preserve"> and the European Commission itself,</w:t>
      </w:r>
      <w:r w:rsidR="00866002" w:rsidRPr="00342967">
        <w:rPr>
          <w:rFonts w:cs="Times New Roman"/>
          <w:szCs w:val="24"/>
        </w:rPr>
        <w:t xml:space="preserve"> t</w:t>
      </w:r>
      <w:r w:rsidR="00367FC0" w:rsidRPr="00342967">
        <w:rPr>
          <w:rFonts w:cs="Times New Roman"/>
          <w:szCs w:val="24"/>
        </w:rPr>
        <w:t>he European Commission</w:t>
      </w:r>
      <w:r w:rsidR="00866002" w:rsidRPr="00342967">
        <w:rPr>
          <w:rFonts w:cs="Times New Roman"/>
          <w:szCs w:val="24"/>
        </w:rPr>
        <w:t xml:space="preserve">, in 2015, proposed </w:t>
      </w:r>
      <w:r w:rsidR="00991C6F" w:rsidRPr="00342967">
        <w:rPr>
          <w:rFonts w:cs="Times New Roman"/>
          <w:szCs w:val="24"/>
        </w:rPr>
        <w:t xml:space="preserve">to </w:t>
      </w:r>
      <w:r w:rsidR="00367FC0" w:rsidRPr="00342967">
        <w:rPr>
          <w:rFonts w:cs="Times New Roman"/>
          <w:szCs w:val="24"/>
        </w:rPr>
        <w:t>reviv</w:t>
      </w:r>
      <w:r w:rsidR="00991C6F" w:rsidRPr="00342967">
        <w:rPr>
          <w:rFonts w:cs="Times New Roman"/>
          <w:szCs w:val="24"/>
        </w:rPr>
        <w:t>e</w:t>
      </w:r>
      <w:r w:rsidR="00367FC0" w:rsidRPr="00342967">
        <w:rPr>
          <w:rFonts w:cs="Times New Roman"/>
          <w:szCs w:val="24"/>
        </w:rPr>
        <w:t xml:space="preserve"> </w:t>
      </w:r>
      <w:r w:rsidR="00991C6F" w:rsidRPr="00342967">
        <w:rPr>
          <w:rFonts w:cs="Times New Roman"/>
          <w:szCs w:val="24"/>
        </w:rPr>
        <w:t xml:space="preserve">the </w:t>
      </w:r>
      <w:r w:rsidR="00A87388" w:rsidRPr="00342967">
        <w:rPr>
          <w:rFonts w:cs="Times New Roman"/>
          <w:szCs w:val="24"/>
        </w:rPr>
        <w:t>securitisation</w:t>
      </w:r>
      <w:r w:rsidR="00991C6F" w:rsidRPr="00342967">
        <w:rPr>
          <w:rFonts w:cs="Times New Roman"/>
          <w:szCs w:val="24"/>
        </w:rPr>
        <w:t xml:space="preserve"> market in Europe</w:t>
      </w:r>
      <w:r w:rsidR="00A87388" w:rsidRPr="00342967">
        <w:rPr>
          <w:rFonts w:cs="Times New Roman"/>
          <w:szCs w:val="24"/>
        </w:rPr>
        <w:t xml:space="preserve"> as part of the Capital Markets Union</w:t>
      </w:r>
      <w:r w:rsidR="00991C6F" w:rsidRPr="00342967">
        <w:rPr>
          <w:rFonts w:cs="Times New Roman"/>
          <w:szCs w:val="24"/>
        </w:rPr>
        <w:t xml:space="preserve"> (CMU)</w:t>
      </w:r>
      <w:r w:rsidR="00EA3394" w:rsidRPr="00342967">
        <w:rPr>
          <w:rFonts w:cs="Times New Roman"/>
          <w:szCs w:val="24"/>
        </w:rPr>
        <w:t xml:space="preserve"> (European Commission, 2015a). </w:t>
      </w:r>
      <w:r w:rsidR="00844C8B">
        <w:rPr>
          <w:rFonts w:cs="Times New Roman"/>
          <w:szCs w:val="24"/>
        </w:rPr>
        <w:t>CMU</w:t>
      </w:r>
      <w:r w:rsidR="001174C5" w:rsidRPr="00342967">
        <w:rPr>
          <w:rFonts w:cs="Times New Roman"/>
          <w:szCs w:val="24"/>
        </w:rPr>
        <w:t xml:space="preserve"> is a plan aimed at kickstarting economic growth </w:t>
      </w:r>
      <w:r w:rsidR="00CA0054" w:rsidRPr="00342967">
        <w:rPr>
          <w:rFonts w:cs="Times New Roman"/>
          <w:szCs w:val="24"/>
        </w:rPr>
        <w:t xml:space="preserve">after a period stagnation and mediocre growth. </w:t>
      </w:r>
      <w:r w:rsidR="00A87D56" w:rsidRPr="00342967">
        <w:rPr>
          <w:rFonts w:cs="Times New Roman"/>
          <w:szCs w:val="24"/>
        </w:rPr>
        <w:t>T</w:t>
      </w:r>
      <w:r w:rsidR="00801E51" w:rsidRPr="00342967">
        <w:rPr>
          <w:rFonts w:cs="Times New Roman"/>
          <w:szCs w:val="24"/>
        </w:rPr>
        <w:t xml:space="preserve">he Commission </w:t>
      </w:r>
      <w:r w:rsidR="00A87388" w:rsidRPr="00342967">
        <w:rPr>
          <w:rFonts w:cs="Times New Roman"/>
          <w:szCs w:val="24"/>
        </w:rPr>
        <w:t>sees</w:t>
      </w:r>
      <w:r w:rsidR="00801E51" w:rsidRPr="00342967">
        <w:rPr>
          <w:rFonts w:cs="Times New Roman"/>
          <w:szCs w:val="24"/>
        </w:rPr>
        <w:t xml:space="preserve"> securitisation as</w:t>
      </w:r>
      <w:r w:rsidR="00A87D56" w:rsidRPr="00342967">
        <w:rPr>
          <w:rFonts w:cs="Times New Roman"/>
          <w:szCs w:val="24"/>
        </w:rPr>
        <w:t xml:space="preserve"> </w:t>
      </w:r>
      <w:r w:rsidR="007E608C" w:rsidRPr="00342967">
        <w:rPr>
          <w:rFonts w:cs="Times New Roman"/>
          <w:szCs w:val="24"/>
        </w:rPr>
        <w:t>the</w:t>
      </w:r>
      <w:r w:rsidR="00A87388" w:rsidRPr="00342967">
        <w:rPr>
          <w:rFonts w:cs="Times New Roman"/>
          <w:szCs w:val="24"/>
        </w:rPr>
        <w:t xml:space="preserve"> ideal</w:t>
      </w:r>
      <w:r w:rsidR="007E608C" w:rsidRPr="00342967">
        <w:rPr>
          <w:rFonts w:cs="Times New Roman"/>
          <w:szCs w:val="24"/>
        </w:rPr>
        <w:t xml:space="preserve"> </w:t>
      </w:r>
      <w:r w:rsidR="00A87D56" w:rsidRPr="00342967">
        <w:rPr>
          <w:rFonts w:cs="Times New Roman"/>
          <w:szCs w:val="24"/>
        </w:rPr>
        <w:t xml:space="preserve">tool to </w:t>
      </w:r>
      <w:r w:rsidR="004A743C" w:rsidRPr="00342967">
        <w:rPr>
          <w:rFonts w:cs="Times New Roman"/>
          <w:szCs w:val="24"/>
        </w:rPr>
        <w:t>achieve</w:t>
      </w:r>
      <w:r w:rsidR="00FB2FDF" w:rsidRPr="00342967">
        <w:rPr>
          <w:rFonts w:cs="Times New Roman"/>
          <w:szCs w:val="24"/>
        </w:rPr>
        <w:t xml:space="preserve"> </w:t>
      </w:r>
      <w:r w:rsidR="00763DB3" w:rsidRPr="00342967">
        <w:rPr>
          <w:rFonts w:cs="Times New Roman"/>
          <w:szCs w:val="24"/>
        </w:rPr>
        <w:t>this goal and the greater objective of</w:t>
      </w:r>
      <w:r w:rsidR="004A743C" w:rsidRPr="00342967">
        <w:rPr>
          <w:rFonts w:cs="Times New Roman"/>
          <w:szCs w:val="24"/>
        </w:rPr>
        <w:t xml:space="preserve"> supporting job creation and sustainable economic growth </w:t>
      </w:r>
      <w:r w:rsidR="006963A0" w:rsidRPr="00342967">
        <w:rPr>
          <w:rFonts w:cs="Times New Roman"/>
          <w:szCs w:val="24"/>
        </w:rPr>
        <w:t>p</w:t>
      </w:r>
      <w:r w:rsidR="005449F4" w:rsidRPr="00342967">
        <w:rPr>
          <w:rFonts w:cs="Times New Roman"/>
          <w:szCs w:val="24"/>
        </w:rPr>
        <w:t xml:space="preserve">articularly through increasing </w:t>
      </w:r>
      <w:r w:rsidR="000747C1" w:rsidRPr="00342967">
        <w:rPr>
          <w:rFonts w:cs="Times New Roman"/>
          <w:szCs w:val="24"/>
        </w:rPr>
        <w:t>the access to funding for SMEs (European Commission, 2015a</w:t>
      </w:r>
      <w:r w:rsidR="00790953" w:rsidRPr="00342967">
        <w:rPr>
          <w:rFonts w:cs="Times New Roman"/>
          <w:szCs w:val="24"/>
        </w:rPr>
        <w:t>, p.2</w:t>
      </w:r>
      <w:r w:rsidR="000747C1" w:rsidRPr="00342967">
        <w:rPr>
          <w:rFonts w:cs="Times New Roman"/>
          <w:szCs w:val="24"/>
        </w:rPr>
        <w:t>).</w:t>
      </w:r>
      <w:r w:rsidR="00EA3394" w:rsidRPr="00342967">
        <w:rPr>
          <w:rFonts w:cs="Times New Roman"/>
          <w:szCs w:val="24"/>
          <w:lang w:val="en-GB"/>
        </w:rPr>
        <w:t xml:space="preserve"> </w:t>
      </w:r>
      <w:r w:rsidR="00F836E0" w:rsidRPr="00342967">
        <w:rPr>
          <w:rFonts w:cs="Times New Roman"/>
          <w:szCs w:val="24"/>
          <w:lang w:val="en-GB"/>
        </w:rPr>
        <w:t xml:space="preserve"> </w:t>
      </w:r>
    </w:p>
    <w:p w14:paraId="40321371" w14:textId="4D81EFC9" w:rsidR="00EA3394" w:rsidRPr="00342967" w:rsidRDefault="00F836E0" w:rsidP="00D904F7">
      <w:pPr>
        <w:jc w:val="both"/>
        <w:rPr>
          <w:rFonts w:cs="Times New Roman"/>
          <w:szCs w:val="24"/>
          <w:lang w:val="en-GB"/>
        </w:rPr>
      </w:pPr>
      <w:r w:rsidRPr="00342967">
        <w:rPr>
          <w:rFonts w:cs="Times New Roman"/>
          <w:szCs w:val="24"/>
          <w:lang w:val="en-GB"/>
        </w:rPr>
        <w:t xml:space="preserve">The proposed goals of </w:t>
      </w:r>
      <w:r w:rsidR="00844C8B">
        <w:rPr>
          <w:rFonts w:cs="Times New Roman"/>
          <w:szCs w:val="24"/>
          <w:lang w:val="en-GB"/>
        </w:rPr>
        <w:t>CMU</w:t>
      </w:r>
      <w:r w:rsidRPr="00342967">
        <w:rPr>
          <w:rFonts w:cs="Times New Roman"/>
          <w:szCs w:val="24"/>
          <w:lang w:val="en-GB"/>
        </w:rPr>
        <w:t xml:space="preserve"> are, however, hardly </w:t>
      </w:r>
      <w:r w:rsidR="00CA002E" w:rsidRPr="00342967">
        <w:rPr>
          <w:rFonts w:cs="Times New Roman"/>
          <w:szCs w:val="24"/>
          <w:lang w:val="en-GB"/>
        </w:rPr>
        <w:t xml:space="preserve">unifiable with </w:t>
      </w:r>
      <w:r w:rsidR="00414418" w:rsidRPr="00342967">
        <w:rPr>
          <w:rFonts w:cs="Times New Roman"/>
          <w:szCs w:val="24"/>
          <w:lang w:val="en-GB"/>
        </w:rPr>
        <w:t>the plan to revive securitisation</w:t>
      </w:r>
      <w:r w:rsidR="00DE37E8">
        <w:rPr>
          <w:rFonts w:cs="Times New Roman"/>
          <w:szCs w:val="24"/>
          <w:lang w:val="en-GB"/>
        </w:rPr>
        <w:t>, n</w:t>
      </w:r>
      <w:r w:rsidR="006963A0" w:rsidRPr="00342967">
        <w:rPr>
          <w:rFonts w:cs="Times New Roman"/>
          <w:szCs w:val="24"/>
          <w:lang w:val="en-GB"/>
        </w:rPr>
        <w:t xml:space="preserve">ot only because of the disruptive consequences of securitisation </w:t>
      </w:r>
      <w:r w:rsidR="00A06F39" w:rsidRPr="00342967">
        <w:rPr>
          <w:rFonts w:cs="Times New Roman"/>
          <w:szCs w:val="24"/>
          <w:lang w:val="en-GB"/>
        </w:rPr>
        <w:t xml:space="preserve">in the past but also because the questionable relation between securitisation, economic growth and SME funding. </w:t>
      </w:r>
      <w:r w:rsidR="00414418" w:rsidRPr="00342967">
        <w:rPr>
          <w:rFonts w:cs="Times New Roman"/>
          <w:szCs w:val="24"/>
          <w:lang w:val="en-GB"/>
        </w:rPr>
        <w:t>First</w:t>
      </w:r>
      <w:r w:rsidR="003D5FB2" w:rsidRPr="00342967">
        <w:rPr>
          <w:rFonts w:cs="Times New Roman"/>
          <w:szCs w:val="24"/>
          <w:lang w:val="en-GB"/>
        </w:rPr>
        <w:t>ly,</w:t>
      </w:r>
      <w:r w:rsidR="00414418" w:rsidRPr="00342967">
        <w:rPr>
          <w:rFonts w:cs="Times New Roman"/>
          <w:szCs w:val="24"/>
          <w:lang w:val="en-GB"/>
        </w:rPr>
        <w:t xml:space="preserve"> t</w:t>
      </w:r>
      <w:r w:rsidR="007A4310" w:rsidRPr="00342967">
        <w:rPr>
          <w:rFonts w:cs="Times New Roman"/>
          <w:szCs w:val="24"/>
          <w:lang w:val="en-GB"/>
        </w:rPr>
        <w:t>he</w:t>
      </w:r>
      <w:r w:rsidR="00EA3394" w:rsidRPr="00342967">
        <w:rPr>
          <w:rFonts w:cs="Times New Roman"/>
          <w:szCs w:val="24"/>
          <w:lang w:val="en-GB"/>
        </w:rPr>
        <w:t xml:space="preserve"> causal relationship between securitisation and</w:t>
      </w:r>
      <w:r w:rsidR="007A4310" w:rsidRPr="00342967">
        <w:rPr>
          <w:rFonts w:cs="Times New Roman"/>
          <w:szCs w:val="24"/>
          <w:lang w:val="en-GB"/>
        </w:rPr>
        <w:t xml:space="preserve"> </w:t>
      </w:r>
      <w:r w:rsidR="00074C1C" w:rsidRPr="00342967">
        <w:rPr>
          <w:rFonts w:cs="Times New Roman"/>
          <w:szCs w:val="24"/>
          <w:lang w:val="en-GB"/>
        </w:rPr>
        <w:t>more</w:t>
      </w:r>
      <w:r w:rsidR="007A4310" w:rsidRPr="00342967">
        <w:rPr>
          <w:rFonts w:cs="Times New Roman"/>
          <w:szCs w:val="24"/>
          <w:lang w:val="en-GB"/>
        </w:rPr>
        <w:t xml:space="preserve"> lending to SME</w:t>
      </w:r>
      <w:r w:rsidR="00A06F39" w:rsidRPr="00342967">
        <w:rPr>
          <w:rFonts w:cs="Times New Roman"/>
          <w:szCs w:val="24"/>
          <w:lang w:val="en-GB"/>
        </w:rPr>
        <w:t>s</w:t>
      </w:r>
      <w:r w:rsidR="007A4310" w:rsidRPr="00342967">
        <w:rPr>
          <w:rFonts w:cs="Times New Roman"/>
          <w:szCs w:val="24"/>
          <w:lang w:val="en-GB"/>
        </w:rPr>
        <w:t xml:space="preserve"> is highly controversial. Data from the European Securitization Forum show that securitisation is mainly used to securitise </w:t>
      </w:r>
      <w:r w:rsidR="007A4310" w:rsidRPr="00342967">
        <w:rPr>
          <w:rFonts w:cs="Times New Roman"/>
          <w:szCs w:val="24"/>
          <w:lang w:val="en-GB"/>
        </w:rPr>
        <w:lastRenderedPageBreak/>
        <w:t>mortgages, not to securitise SME loans (Engelen and Glasmacher, 2018, p.5). In addition, because of their risky nature, SME loans are not suitable for securitisation. Securitisation can only be successfully executed if the future cash flow can be reasonably predicted as is the case with mortgages</w:t>
      </w:r>
      <w:r w:rsidR="00AE4E07" w:rsidRPr="00342967">
        <w:rPr>
          <w:rFonts w:cs="Times New Roman"/>
          <w:szCs w:val="24"/>
          <w:lang w:val="en-GB"/>
        </w:rPr>
        <w:t xml:space="preserve">, and </w:t>
      </w:r>
      <w:r w:rsidR="00260C8E" w:rsidRPr="00342967">
        <w:rPr>
          <w:rFonts w:cs="Times New Roman"/>
          <w:szCs w:val="24"/>
          <w:lang w:val="en-GB"/>
        </w:rPr>
        <w:t>this</w:t>
      </w:r>
      <w:r w:rsidR="00AE4E07" w:rsidRPr="00342967">
        <w:rPr>
          <w:rFonts w:cs="Times New Roman"/>
          <w:szCs w:val="24"/>
          <w:lang w:val="en-GB"/>
        </w:rPr>
        <w:t xml:space="preserve"> </w:t>
      </w:r>
      <w:r w:rsidR="00260C8E" w:rsidRPr="00342967">
        <w:rPr>
          <w:rFonts w:cs="Times New Roman"/>
          <w:szCs w:val="24"/>
          <w:lang w:val="en-GB"/>
        </w:rPr>
        <w:t>is</w:t>
      </w:r>
      <w:r w:rsidR="00AE4E07" w:rsidRPr="00342967">
        <w:rPr>
          <w:rFonts w:cs="Times New Roman"/>
          <w:szCs w:val="24"/>
          <w:lang w:val="en-GB"/>
        </w:rPr>
        <w:t xml:space="preserve"> the exact characteristic </w:t>
      </w:r>
      <w:r w:rsidR="00260C8E" w:rsidRPr="00342967">
        <w:rPr>
          <w:rFonts w:cs="Times New Roman"/>
          <w:szCs w:val="24"/>
          <w:lang w:val="en-GB"/>
        </w:rPr>
        <w:t xml:space="preserve">that </w:t>
      </w:r>
      <w:r w:rsidR="00AE4E07" w:rsidRPr="00342967">
        <w:rPr>
          <w:rFonts w:cs="Times New Roman"/>
          <w:szCs w:val="24"/>
          <w:lang w:val="en-GB"/>
        </w:rPr>
        <w:t>SME loans are missing</w:t>
      </w:r>
      <w:r w:rsidR="00B01B01" w:rsidRPr="00342967">
        <w:rPr>
          <w:rFonts w:cs="Times New Roman"/>
          <w:szCs w:val="24"/>
          <w:lang w:val="en-GB"/>
        </w:rPr>
        <w:t>. SME loans are tailored products for specific needs of businesses and have all sorts of maturities</w:t>
      </w:r>
      <w:r w:rsidR="00CD73A4" w:rsidRPr="00342967">
        <w:rPr>
          <w:rFonts w:cs="Times New Roman"/>
          <w:szCs w:val="24"/>
          <w:lang w:val="en-GB"/>
        </w:rPr>
        <w:t xml:space="preserve"> and riskiness.</w:t>
      </w:r>
      <w:r w:rsidR="002E68B3" w:rsidRPr="00342967">
        <w:rPr>
          <w:rFonts w:cs="Times New Roman"/>
          <w:szCs w:val="24"/>
          <w:lang w:val="en-GB"/>
        </w:rPr>
        <w:t xml:space="preserve"> </w:t>
      </w:r>
      <w:r w:rsidR="003D5FB2" w:rsidRPr="00342967">
        <w:rPr>
          <w:rFonts w:cs="Times New Roman"/>
          <w:szCs w:val="24"/>
          <w:lang w:val="en-GB"/>
        </w:rPr>
        <w:t xml:space="preserve">Secondly, </w:t>
      </w:r>
      <w:r w:rsidR="00CD73A4" w:rsidRPr="00342967">
        <w:rPr>
          <w:rFonts w:cs="Times New Roman"/>
          <w:szCs w:val="24"/>
          <w:lang w:val="en-GB"/>
        </w:rPr>
        <w:t>t</w:t>
      </w:r>
      <w:r w:rsidR="001139E0" w:rsidRPr="00342967">
        <w:rPr>
          <w:rFonts w:cs="Times New Roman"/>
          <w:szCs w:val="24"/>
          <w:lang w:val="en-GB"/>
        </w:rPr>
        <w:t xml:space="preserve">he </w:t>
      </w:r>
      <w:r w:rsidR="00E70895" w:rsidRPr="00342967">
        <w:rPr>
          <w:rFonts w:cs="Times New Roman"/>
          <w:szCs w:val="24"/>
          <w:lang w:val="en-GB"/>
        </w:rPr>
        <w:t xml:space="preserve">causal </w:t>
      </w:r>
      <w:r w:rsidR="001139E0" w:rsidRPr="00342967">
        <w:rPr>
          <w:rFonts w:cs="Times New Roman"/>
          <w:szCs w:val="24"/>
          <w:lang w:val="en-GB"/>
        </w:rPr>
        <w:t xml:space="preserve">relation between securitisation and real economy growth in general is at least as </w:t>
      </w:r>
      <w:r w:rsidR="003E6C16" w:rsidRPr="00342967">
        <w:rPr>
          <w:rFonts w:cs="Times New Roman"/>
          <w:szCs w:val="24"/>
          <w:lang w:val="en-GB"/>
        </w:rPr>
        <w:t>doubtful</w:t>
      </w:r>
      <w:r w:rsidR="004768A6" w:rsidRPr="00342967">
        <w:rPr>
          <w:rFonts w:cs="Times New Roman"/>
          <w:szCs w:val="24"/>
          <w:lang w:val="en-GB"/>
        </w:rPr>
        <w:t>. Variou</w:t>
      </w:r>
      <w:r w:rsidR="00E42AA2" w:rsidRPr="00342967">
        <w:rPr>
          <w:rFonts w:cs="Times New Roman"/>
          <w:szCs w:val="24"/>
          <w:lang w:val="en-GB"/>
        </w:rPr>
        <w:t>s academic</w:t>
      </w:r>
      <w:r w:rsidR="004768A6" w:rsidRPr="00342967">
        <w:rPr>
          <w:rFonts w:cs="Times New Roman"/>
          <w:szCs w:val="24"/>
          <w:lang w:val="en-GB"/>
        </w:rPr>
        <w:t xml:space="preserve"> studies have found negative relationships between securitisation and economic growth</w:t>
      </w:r>
      <w:r w:rsidR="003E6C16" w:rsidRPr="00342967">
        <w:rPr>
          <w:rFonts w:cs="Times New Roman"/>
          <w:szCs w:val="24"/>
          <w:lang w:val="en-GB"/>
        </w:rPr>
        <w:t xml:space="preserve"> </w:t>
      </w:r>
      <w:r w:rsidR="00EA3394" w:rsidRPr="00342967">
        <w:rPr>
          <w:rFonts w:cs="Times New Roman"/>
          <w:szCs w:val="24"/>
          <w:lang w:val="en-GB"/>
        </w:rPr>
        <w:t xml:space="preserve">(Bertay </w:t>
      </w:r>
      <w:r w:rsidR="00EA3394" w:rsidRPr="00342967">
        <w:rPr>
          <w:rFonts w:cs="Times New Roman"/>
          <w:i/>
          <w:szCs w:val="24"/>
          <w:lang w:val="en-GB"/>
        </w:rPr>
        <w:t>et al</w:t>
      </w:r>
      <w:r w:rsidR="00EA3394" w:rsidRPr="00342967">
        <w:rPr>
          <w:rFonts w:cs="Times New Roman"/>
          <w:szCs w:val="24"/>
          <w:lang w:val="en-GB"/>
        </w:rPr>
        <w:t>, 2017</w:t>
      </w:r>
      <w:r w:rsidR="003E6C16" w:rsidRPr="00342967">
        <w:rPr>
          <w:rFonts w:cs="Times New Roman"/>
          <w:szCs w:val="24"/>
          <w:lang w:val="en-GB"/>
        </w:rPr>
        <w:t>; Cecchetti and Kharroubi, 2015</w:t>
      </w:r>
      <w:r w:rsidR="00EA3394" w:rsidRPr="00342967">
        <w:rPr>
          <w:rFonts w:cs="Times New Roman"/>
          <w:szCs w:val="24"/>
          <w:lang w:val="en-GB"/>
        </w:rPr>
        <w:t>).</w:t>
      </w:r>
      <w:r w:rsidR="00B7080E" w:rsidRPr="00342967">
        <w:rPr>
          <w:rFonts w:cs="Times New Roman"/>
          <w:szCs w:val="24"/>
          <w:lang w:val="en-GB"/>
        </w:rPr>
        <w:t xml:space="preserve"> In addition, the increased credit supply as a result of securitisation </w:t>
      </w:r>
      <w:r w:rsidR="00FF21DF" w:rsidRPr="00342967">
        <w:rPr>
          <w:rFonts w:cs="Times New Roman"/>
          <w:szCs w:val="24"/>
          <w:lang w:val="en-GB"/>
        </w:rPr>
        <w:t>is mostly used by banks to issue new mortgages, because they are easily securitised</w:t>
      </w:r>
      <w:r w:rsidR="00820A36" w:rsidRPr="00342967">
        <w:rPr>
          <w:rFonts w:cs="Times New Roman"/>
          <w:szCs w:val="24"/>
          <w:lang w:val="en-GB"/>
        </w:rPr>
        <w:t>, not to finance the real economy</w:t>
      </w:r>
      <w:r w:rsidR="00FF21DF" w:rsidRPr="00342967">
        <w:rPr>
          <w:rFonts w:cs="Times New Roman"/>
          <w:szCs w:val="24"/>
          <w:lang w:val="en-GB"/>
        </w:rPr>
        <w:t xml:space="preserve"> (Engelen and Glasmacher, 2018, p.5).</w:t>
      </w:r>
      <w:r w:rsidR="00EA3394" w:rsidRPr="00342967">
        <w:rPr>
          <w:rFonts w:cs="Times New Roman"/>
          <w:szCs w:val="24"/>
          <w:lang w:val="en-GB"/>
        </w:rPr>
        <w:t xml:space="preserve"> </w:t>
      </w:r>
      <w:r w:rsidR="000A3740" w:rsidRPr="00342967">
        <w:rPr>
          <w:rFonts w:cs="Times New Roman"/>
          <w:szCs w:val="24"/>
          <w:lang w:val="en-GB"/>
        </w:rPr>
        <w:t>Surprisingly</w:t>
      </w:r>
      <w:r w:rsidR="00820A36" w:rsidRPr="00342967">
        <w:rPr>
          <w:rFonts w:cs="Times New Roman"/>
          <w:szCs w:val="24"/>
          <w:lang w:val="en-GB"/>
        </w:rPr>
        <w:t>, the European Commission itself does also not believe that securitisation is going to help the goal of achieving better access to finance for SMEs and real economic growth.</w:t>
      </w:r>
      <w:r w:rsidR="000A3740" w:rsidRPr="00342967">
        <w:rPr>
          <w:rFonts w:cs="Times New Roman"/>
          <w:szCs w:val="24"/>
          <w:lang w:val="en-GB"/>
        </w:rPr>
        <w:t xml:space="preserve"> </w:t>
      </w:r>
      <w:r w:rsidR="00CF385C" w:rsidRPr="00342967">
        <w:rPr>
          <w:rFonts w:cs="Times New Roman"/>
          <w:szCs w:val="24"/>
          <w:lang w:val="en-GB"/>
        </w:rPr>
        <w:t>I</w:t>
      </w:r>
      <w:r w:rsidR="00653EAE" w:rsidRPr="00342967">
        <w:rPr>
          <w:rFonts w:cs="Times New Roman"/>
          <w:szCs w:val="24"/>
          <w:lang w:val="en-GB"/>
        </w:rPr>
        <w:t xml:space="preserve">n an infamous speech </w:t>
      </w:r>
      <w:r w:rsidR="00150D05" w:rsidRPr="00342967">
        <w:rPr>
          <w:rFonts w:cs="Times New Roman"/>
          <w:szCs w:val="24"/>
          <w:lang w:val="en-GB"/>
        </w:rPr>
        <w:t xml:space="preserve">the </w:t>
      </w:r>
      <w:r w:rsidR="00653EAE" w:rsidRPr="00342967">
        <w:rPr>
          <w:rFonts w:cs="Times New Roman"/>
          <w:szCs w:val="24"/>
          <w:lang w:val="en-GB"/>
        </w:rPr>
        <w:t>then Commissioner Hill for financial stability, financial services and Capital Markets Union</w:t>
      </w:r>
      <w:r w:rsidR="00150D05" w:rsidRPr="00342967">
        <w:rPr>
          <w:rFonts w:cs="Times New Roman"/>
          <w:szCs w:val="24"/>
          <w:lang w:val="en-GB"/>
        </w:rPr>
        <w:t xml:space="preserve">, also the main proponent behind </w:t>
      </w:r>
      <w:r w:rsidR="00844C8B">
        <w:rPr>
          <w:rFonts w:cs="Times New Roman"/>
          <w:szCs w:val="24"/>
          <w:lang w:val="en-GB"/>
        </w:rPr>
        <w:t>CMU</w:t>
      </w:r>
      <w:r w:rsidR="00150D05" w:rsidRPr="00342967">
        <w:rPr>
          <w:rFonts w:cs="Times New Roman"/>
          <w:szCs w:val="24"/>
          <w:lang w:val="en-GB"/>
        </w:rPr>
        <w:t xml:space="preserve"> and the revival of securitisation said the following</w:t>
      </w:r>
    </w:p>
    <w:p w14:paraId="5C209AE9" w14:textId="580A8341" w:rsidR="00EA3394" w:rsidRPr="00342967" w:rsidRDefault="00EA3394" w:rsidP="00D904F7">
      <w:pPr>
        <w:ind w:left="567" w:right="567"/>
        <w:jc w:val="both"/>
        <w:rPr>
          <w:rFonts w:cs="Times New Roman"/>
          <w:szCs w:val="24"/>
        </w:rPr>
      </w:pPr>
      <w:r w:rsidRPr="00342967">
        <w:rPr>
          <w:rFonts w:cs="Times New Roman"/>
          <w:szCs w:val="24"/>
        </w:rPr>
        <w:t>I agree with you that this is not and must not be explained as solely a set of measures that will benefit small- and medium-sized enterprises. (…) I think the fact that within the European debate there feels to be an emphasis on, that is because they are seen as being such an important part of the economy and people want to rally around ideas that will enable them to be strengthened (Hill, 2015, p12-13)</w:t>
      </w:r>
      <w:r w:rsidR="0063106D" w:rsidRPr="00342967">
        <w:rPr>
          <w:rFonts w:cs="Times New Roman"/>
          <w:szCs w:val="24"/>
        </w:rPr>
        <w:t>.</w:t>
      </w:r>
    </w:p>
    <w:p w14:paraId="5F722981" w14:textId="396D8881" w:rsidR="00EA3394" w:rsidRPr="00342967" w:rsidRDefault="000807B8" w:rsidP="00D904F7">
      <w:pPr>
        <w:jc w:val="both"/>
        <w:rPr>
          <w:rFonts w:cs="Times New Roman"/>
          <w:szCs w:val="24"/>
        </w:rPr>
      </w:pPr>
      <w:r w:rsidRPr="00342967">
        <w:rPr>
          <w:rFonts w:cs="Times New Roman"/>
          <w:szCs w:val="24"/>
        </w:rPr>
        <w:t>This discussion forms a puzzle</w:t>
      </w:r>
      <w:r w:rsidR="00696496" w:rsidRPr="00342967">
        <w:rPr>
          <w:rFonts w:cs="Times New Roman"/>
          <w:szCs w:val="24"/>
        </w:rPr>
        <w:t xml:space="preserve"> because it is unlikely that securitisation is going to help achieve the goals set out by the Commission and in addition </w:t>
      </w:r>
      <w:r w:rsidR="001C626F" w:rsidRPr="00342967">
        <w:rPr>
          <w:rFonts w:cs="Times New Roman"/>
          <w:szCs w:val="24"/>
        </w:rPr>
        <w:t>s</w:t>
      </w:r>
      <w:r w:rsidR="00FE1E8E" w:rsidRPr="00342967">
        <w:rPr>
          <w:rFonts w:cs="Times New Roman"/>
          <w:szCs w:val="24"/>
        </w:rPr>
        <w:t>ecuritisation</w:t>
      </w:r>
      <w:r w:rsidR="001C626F" w:rsidRPr="00342967">
        <w:rPr>
          <w:rFonts w:cs="Times New Roman"/>
          <w:szCs w:val="24"/>
        </w:rPr>
        <w:t xml:space="preserve"> </w:t>
      </w:r>
      <w:r w:rsidR="006A35A9" w:rsidRPr="00342967">
        <w:rPr>
          <w:rFonts w:cs="Times New Roman"/>
          <w:szCs w:val="24"/>
        </w:rPr>
        <w:t>is</w:t>
      </w:r>
      <w:r w:rsidR="00D31A52" w:rsidRPr="00342967">
        <w:rPr>
          <w:rFonts w:cs="Times New Roman"/>
          <w:szCs w:val="24"/>
        </w:rPr>
        <w:t xml:space="preserve"> the very financial instrument that was at the heart of the</w:t>
      </w:r>
      <w:r w:rsidR="00FE1E8E" w:rsidRPr="00342967">
        <w:rPr>
          <w:rFonts w:cs="Times New Roman"/>
          <w:szCs w:val="24"/>
        </w:rPr>
        <w:t xml:space="preserve"> Global Financial crisis that caused mayhem in European </w:t>
      </w:r>
      <w:r w:rsidR="00D31A52" w:rsidRPr="00342967">
        <w:rPr>
          <w:rFonts w:cs="Times New Roman"/>
          <w:szCs w:val="24"/>
        </w:rPr>
        <w:t xml:space="preserve">economies. </w:t>
      </w:r>
      <w:r w:rsidR="00C70B1E" w:rsidRPr="00342967">
        <w:rPr>
          <w:rFonts w:cs="Times New Roman"/>
          <w:szCs w:val="24"/>
        </w:rPr>
        <w:t>It is this pu</w:t>
      </w:r>
      <w:r w:rsidR="000D394D">
        <w:rPr>
          <w:rFonts w:cs="Times New Roman"/>
          <w:szCs w:val="24"/>
        </w:rPr>
        <w:t>zzle this thesis aims to solve.</w:t>
      </w:r>
      <w:r w:rsidR="00666A71" w:rsidRPr="00342967">
        <w:rPr>
          <w:rFonts w:cs="Times New Roman"/>
          <w:szCs w:val="24"/>
        </w:rPr>
        <w:t xml:space="preserve"> </w:t>
      </w:r>
      <w:r w:rsidR="00C70B1E" w:rsidRPr="00342967">
        <w:rPr>
          <w:rFonts w:cs="Times New Roman"/>
          <w:szCs w:val="24"/>
        </w:rPr>
        <w:t>The question at the heart of this enquiry will therefore be:</w:t>
      </w:r>
      <w:r w:rsidR="00100FCB" w:rsidRPr="00342967">
        <w:rPr>
          <w:rFonts w:cs="Times New Roman"/>
          <w:szCs w:val="24"/>
        </w:rPr>
        <w:t xml:space="preserve"> </w:t>
      </w:r>
      <w:r w:rsidR="00EA3394" w:rsidRPr="00342967">
        <w:rPr>
          <w:rFonts w:cs="Times New Roman"/>
          <w:szCs w:val="24"/>
        </w:rPr>
        <w:t xml:space="preserve">Why </w:t>
      </w:r>
      <w:r w:rsidR="006D30AC">
        <w:rPr>
          <w:rFonts w:cs="Times New Roman"/>
          <w:szCs w:val="24"/>
        </w:rPr>
        <w:t>did</w:t>
      </w:r>
      <w:r w:rsidR="00EA3394" w:rsidRPr="00342967">
        <w:rPr>
          <w:rFonts w:cs="Times New Roman"/>
          <w:szCs w:val="24"/>
        </w:rPr>
        <w:t xml:space="preserve"> the European Commission</w:t>
      </w:r>
      <w:r w:rsidR="000900A8" w:rsidRPr="00342967">
        <w:rPr>
          <w:rFonts w:cs="Times New Roman"/>
          <w:szCs w:val="24"/>
        </w:rPr>
        <w:t xml:space="preserve"> only </w:t>
      </w:r>
      <w:r w:rsidR="00E92676" w:rsidRPr="00342967">
        <w:rPr>
          <w:rFonts w:cs="Times New Roman"/>
          <w:szCs w:val="24"/>
        </w:rPr>
        <w:t>seven</w:t>
      </w:r>
      <w:r w:rsidR="000900A8" w:rsidRPr="00342967">
        <w:rPr>
          <w:rFonts w:cs="Times New Roman"/>
          <w:szCs w:val="24"/>
        </w:rPr>
        <w:t xml:space="preserve"> years after the devastating Global Financial Crisis</w:t>
      </w:r>
      <w:r w:rsidR="00EA3394" w:rsidRPr="00342967">
        <w:rPr>
          <w:rFonts w:cs="Times New Roman"/>
          <w:szCs w:val="24"/>
        </w:rPr>
        <w:t xml:space="preserve"> seek to revive the securitisation market</w:t>
      </w:r>
      <w:r w:rsidR="00100FCB" w:rsidRPr="00342967">
        <w:rPr>
          <w:rFonts w:cs="Times New Roman"/>
          <w:szCs w:val="24"/>
        </w:rPr>
        <w:t xml:space="preserve"> as part of the CMU</w:t>
      </w:r>
      <w:r w:rsidR="00EA3394" w:rsidRPr="00342967">
        <w:rPr>
          <w:rFonts w:cs="Times New Roman"/>
          <w:szCs w:val="24"/>
        </w:rPr>
        <w:t xml:space="preserve"> while it first clearly condemned the practice?</w:t>
      </w:r>
    </w:p>
    <w:p w14:paraId="40A4DD4F" w14:textId="553C8BB5" w:rsidR="002B78D2" w:rsidRPr="00342967" w:rsidRDefault="002B78D2" w:rsidP="00D904F7">
      <w:pPr>
        <w:jc w:val="both"/>
        <w:rPr>
          <w:rFonts w:eastAsia="Times New Roman" w:cs="Times New Roman"/>
          <w:szCs w:val="24"/>
        </w:rPr>
      </w:pPr>
      <w:r w:rsidRPr="00342967">
        <w:rPr>
          <w:rFonts w:eastAsia="Times New Roman" w:cs="Times New Roman"/>
          <w:szCs w:val="24"/>
        </w:rPr>
        <w:t xml:space="preserve">In the </w:t>
      </w:r>
      <w:r w:rsidR="00450CFF" w:rsidRPr="00342967">
        <w:rPr>
          <w:rFonts w:eastAsia="Times New Roman" w:cs="Times New Roman"/>
          <w:szCs w:val="24"/>
        </w:rPr>
        <w:t xml:space="preserve">first </w:t>
      </w:r>
      <w:r w:rsidRPr="00342967">
        <w:rPr>
          <w:rFonts w:eastAsia="Times New Roman" w:cs="Times New Roman"/>
          <w:szCs w:val="24"/>
        </w:rPr>
        <w:t xml:space="preserve">three years since the proposal to initiate the </w:t>
      </w:r>
      <w:r w:rsidR="000D394D">
        <w:rPr>
          <w:rFonts w:eastAsia="Times New Roman" w:cs="Times New Roman"/>
          <w:szCs w:val="24"/>
        </w:rPr>
        <w:t>CMU</w:t>
      </w:r>
      <w:r w:rsidRPr="00342967">
        <w:rPr>
          <w:rFonts w:eastAsia="Times New Roman" w:cs="Times New Roman"/>
          <w:szCs w:val="24"/>
        </w:rPr>
        <w:t xml:space="preserve"> several studies have been published on the matter. A part of the literature </w:t>
      </w:r>
      <w:r w:rsidR="005C3495" w:rsidRPr="00342967">
        <w:rPr>
          <w:rFonts w:eastAsia="Times New Roman" w:cs="Times New Roman"/>
          <w:szCs w:val="24"/>
        </w:rPr>
        <w:t xml:space="preserve">has </w:t>
      </w:r>
      <w:r w:rsidRPr="00342967">
        <w:rPr>
          <w:rFonts w:eastAsia="Times New Roman" w:cs="Times New Roman"/>
          <w:szCs w:val="24"/>
        </w:rPr>
        <w:t>focuse</w:t>
      </w:r>
      <w:r w:rsidR="005C3495" w:rsidRPr="00342967">
        <w:rPr>
          <w:rFonts w:eastAsia="Times New Roman" w:cs="Times New Roman"/>
          <w:szCs w:val="24"/>
        </w:rPr>
        <w:t>d</w:t>
      </w:r>
      <w:r w:rsidRPr="00342967">
        <w:rPr>
          <w:rFonts w:eastAsia="Times New Roman" w:cs="Times New Roman"/>
          <w:szCs w:val="24"/>
        </w:rPr>
        <w:t xml:space="preserve"> on the general economic and financial implications of the </w:t>
      </w:r>
      <w:r w:rsidR="000D394D">
        <w:rPr>
          <w:rFonts w:eastAsia="Times New Roman" w:cs="Times New Roman"/>
          <w:szCs w:val="24"/>
        </w:rPr>
        <w:t>CMU</w:t>
      </w:r>
      <w:r w:rsidRPr="00342967">
        <w:rPr>
          <w:rFonts w:eastAsia="Times New Roman" w:cs="Times New Roman"/>
          <w:szCs w:val="24"/>
        </w:rPr>
        <w:t xml:space="preserve"> (</w:t>
      </w:r>
      <w:r w:rsidRPr="00342967">
        <w:rPr>
          <w:rFonts w:eastAsia="Times New Roman" w:cs="Times New Roman"/>
          <w:szCs w:val="24"/>
          <w:lang w:val="en-GB"/>
        </w:rPr>
        <w:t>Alexander, 2015; Erturk, 2015; V</w:t>
      </w:r>
      <w:r w:rsidR="00652EA4" w:rsidRPr="00342967">
        <w:rPr>
          <w:rFonts w:eastAsia="Times New Roman" w:cs="Times New Roman"/>
          <w:szCs w:val="24"/>
          <w:lang w:val="en-GB"/>
        </w:rPr>
        <w:t>é</w:t>
      </w:r>
      <w:r w:rsidRPr="00342967">
        <w:rPr>
          <w:rFonts w:eastAsia="Times New Roman" w:cs="Times New Roman"/>
          <w:szCs w:val="24"/>
          <w:lang w:val="en-GB"/>
        </w:rPr>
        <w:t xml:space="preserve">ron and Wolff, 2016, Schumacher </w:t>
      </w:r>
      <w:r w:rsidRPr="00342967">
        <w:rPr>
          <w:rFonts w:eastAsia="Times New Roman" w:cs="Times New Roman"/>
          <w:szCs w:val="24"/>
          <w:lang w:val="en-GB"/>
        </w:rPr>
        <w:lastRenderedPageBreak/>
        <w:t>and Paul, 2017)</w:t>
      </w:r>
      <w:r w:rsidRPr="00342967">
        <w:rPr>
          <w:rFonts w:eastAsia="Times New Roman" w:cs="Times New Roman"/>
          <w:szCs w:val="24"/>
        </w:rPr>
        <w:t xml:space="preserve">. Among these scholars, there is a strong pro-CMU stance and consensus on the need for </w:t>
      </w:r>
      <w:r w:rsidR="000D394D">
        <w:rPr>
          <w:rFonts w:eastAsia="Times New Roman" w:cs="Times New Roman"/>
          <w:szCs w:val="24"/>
        </w:rPr>
        <w:t>CMU</w:t>
      </w:r>
      <w:r w:rsidRPr="00342967">
        <w:rPr>
          <w:rFonts w:eastAsia="Times New Roman" w:cs="Times New Roman"/>
          <w:szCs w:val="24"/>
        </w:rPr>
        <w:t>. This</w:t>
      </w:r>
      <w:r w:rsidR="00906624" w:rsidRPr="00342967">
        <w:rPr>
          <w:rFonts w:eastAsia="Times New Roman" w:cs="Times New Roman"/>
          <w:szCs w:val="24"/>
        </w:rPr>
        <w:t xml:space="preserve"> branch of</w:t>
      </w:r>
      <w:r w:rsidRPr="00342967">
        <w:rPr>
          <w:rFonts w:eastAsia="Times New Roman" w:cs="Times New Roman"/>
          <w:szCs w:val="24"/>
        </w:rPr>
        <w:t xml:space="preserve"> literature is based on mainstream economic principles, that is neoclassical economics. Besides the mainstream economic literature, CMU has also been covered by literature that </w:t>
      </w:r>
      <w:r w:rsidR="00906624" w:rsidRPr="00342967">
        <w:rPr>
          <w:rFonts w:eastAsia="Times New Roman" w:cs="Times New Roman"/>
          <w:szCs w:val="24"/>
        </w:rPr>
        <w:t xml:space="preserve">used a functionalist </w:t>
      </w:r>
      <w:r w:rsidR="00632C6D">
        <w:rPr>
          <w:rFonts w:eastAsia="Times New Roman" w:cs="Times New Roman"/>
          <w:szCs w:val="24"/>
        </w:rPr>
        <w:t>logic</w:t>
      </w:r>
      <w:r w:rsidRPr="00342967">
        <w:rPr>
          <w:rFonts w:eastAsia="Times New Roman" w:cs="Times New Roman"/>
          <w:szCs w:val="24"/>
        </w:rPr>
        <w:t xml:space="preserve"> to understand why CMU </w:t>
      </w:r>
      <w:r w:rsidR="00906624" w:rsidRPr="00342967">
        <w:rPr>
          <w:rFonts w:eastAsia="Times New Roman" w:cs="Times New Roman"/>
          <w:szCs w:val="24"/>
        </w:rPr>
        <w:t>was proposed by the Commission</w:t>
      </w:r>
      <w:r w:rsidRPr="00342967">
        <w:rPr>
          <w:rFonts w:eastAsia="Times New Roman" w:cs="Times New Roman"/>
          <w:szCs w:val="24"/>
        </w:rPr>
        <w:t xml:space="preserve"> </w:t>
      </w:r>
      <w:r w:rsidRPr="00342967">
        <w:rPr>
          <w:rFonts w:eastAsia="Times New Roman" w:cs="Times New Roman"/>
          <w:szCs w:val="24"/>
          <w:lang w:val="en-GB"/>
        </w:rPr>
        <w:t xml:space="preserve">(Quaglia, Howarth and Liebe, 2016; Acharya and Steffen, 2016; Friedrich and Thiemann, 2017; Hübner, 2016). These authors see the CMU either as a logical response on improving the Banking Union or as the next logical step in the process of European Integration. </w:t>
      </w:r>
      <w:r w:rsidR="00B9388C" w:rsidRPr="00342967">
        <w:rPr>
          <w:rFonts w:eastAsia="Times New Roman" w:cs="Times New Roman"/>
          <w:szCs w:val="24"/>
          <w:lang w:val="en-GB"/>
        </w:rPr>
        <w:t>Lastly</w:t>
      </w:r>
      <w:r w:rsidRPr="00342967">
        <w:rPr>
          <w:rFonts w:eastAsia="Times New Roman" w:cs="Times New Roman"/>
          <w:szCs w:val="24"/>
          <w:lang w:val="en-GB"/>
        </w:rPr>
        <w:t xml:space="preserve">, a </w:t>
      </w:r>
      <w:r w:rsidR="000D394D">
        <w:rPr>
          <w:rFonts w:eastAsia="Times New Roman" w:cs="Times New Roman"/>
          <w:szCs w:val="24"/>
          <w:lang w:val="en-GB"/>
        </w:rPr>
        <w:t>recent</w:t>
      </w:r>
      <w:r w:rsidRPr="00342967">
        <w:rPr>
          <w:rFonts w:eastAsia="Times New Roman" w:cs="Times New Roman"/>
          <w:szCs w:val="24"/>
          <w:lang w:val="en-GB"/>
        </w:rPr>
        <w:t xml:space="preserve"> branch of political economy literature has emerged that particularly deals with CMU and is called ‘governing through markets’ (Epstein and Rhodes, 2018; Braun and Hübner, 2018; Mertens and Thiemann, 2018; Gabor and Vestergaard, 2018; Engelen and Glasmacher, 2018). The ‘governing through market’ tries to explain </w:t>
      </w:r>
      <w:r w:rsidR="006D16B2" w:rsidRPr="00342967">
        <w:rPr>
          <w:rFonts w:eastAsia="Times New Roman" w:cs="Times New Roman"/>
          <w:szCs w:val="24"/>
          <w:lang w:val="en-GB"/>
        </w:rPr>
        <w:t xml:space="preserve">why </w:t>
      </w:r>
      <w:r w:rsidRPr="00342967">
        <w:rPr>
          <w:rFonts w:eastAsia="Times New Roman" w:cs="Times New Roman"/>
          <w:szCs w:val="24"/>
          <w:lang w:val="en-GB"/>
        </w:rPr>
        <w:t>CMU</w:t>
      </w:r>
      <w:r w:rsidR="006D16B2" w:rsidRPr="00342967">
        <w:rPr>
          <w:rFonts w:eastAsia="Times New Roman" w:cs="Times New Roman"/>
          <w:szCs w:val="24"/>
          <w:lang w:val="en-GB"/>
        </w:rPr>
        <w:t xml:space="preserve"> originated</w:t>
      </w:r>
      <w:r w:rsidRPr="00342967">
        <w:rPr>
          <w:rFonts w:eastAsia="Times New Roman" w:cs="Times New Roman"/>
          <w:szCs w:val="24"/>
          <w:lang w:val="en-GB"/>
        </w:rPr>
        <w:t xml:space="preserve"> by arguing </w:t>
      </w:r>
      <w:r w:rsidR="006D16B2" w:rsidRPr="00342967">
        <w:rPr>
          <w:rFonts w:eastAsia="Times New Roman" w:cs="Times New Roman"/>
          <w:szCs w:val="24"/>
          <w:lang w:val="en-GB"/>
        </w:rPr>
        <w:t xml:space="preserve">that CMU is </w:t>
      </w:r>
      <w:r w:rsidRPr="00342967">
        <w:rPr>
          <w:rFonts w:eastAsia="Times New Roman" w:cs="Times New Roman"/>
          <w:szCs w:val="24"/>
          <w:lang w:val="en-GB"/>
        </w:rPr>
        <w:t xml:space="preserve">a mean to affect policy areas that are outside the institutional reach of the European Commission. </w:t>
      </w:r>
    </w:p>
    <w:p w14:paraId="0FCB05D4" w14:textId="29192A97" w:rsidR="002B78D2" w:rsidRPr="00342967" w:rsidRDefault="002B78D2" w:rsidP="00D904F7">
      <w:pPr>
        <w:jc w:val="both"/>
        <w:rPr>
          <w:rFonts w:eastAsia="Times New Roman" w:cs="Times New Roman"/>
          <w:szCs w:val="24"/>
        </w:rPr>
      </w:pPr>
      <w:r w:rsidRPr="00342967">
        <w:rPr>
          <w:rFonts w:eastAsia="Times New Roman" w:cs="Times New Roman"/>
          <w:szCs w:val="24"/>
          <w:lang w:val="en-GB"/>
        </w:rPr>
        <w:t xml:space="preserve">The mainstream economic literature all identify the same problem, namely the overdependence of European firms on bank funding. In the United States, firms are not dependent on banks to gather funding but instead attract most of their funding from capital markets. Growth in the US has been more convincing in the aftermath of the Global Financial Crisis than in Europe and Europe’s dependence on bank funding is </w:t>
      </w:r>
      <w:r w:rsidR="00FD03AB">
        <w:rPr>
          <w:rFonts w:eastAsia="Times New Roman" w:cs="Times New Roman"/>
          <w:szCs w:val="24"/>
          <w:lang w:val="en-GB"/>
        </w:rPr>
        <w:t xml:space="preserve">hence argued to be </w:t>
      </w:r>
      <w:r w:rsidRPr="00342967">
        <w:rPr>
          <w:rFonts w:eastAsia="Times New Roman" w:cs="Times New Roman"/>
          <w:szCs w:val="24"/>
          <w:lang w:val="en-GB"/>
        </w:rPr>
        <w:t>the reason. CMU is designed to overcome this dependence on bank funding in Europe by reducing barriers between savers and investors</w:t>
      </w:r>
      <w:r w:rsidR="004C519C" w:rsidRPr="00342967">
        <w:rPr>
          <w:rFonts w:eastAsia="Times New Roman" w:cs="Times New Roman"/>
          <w:szCs w:val="24"/>
          <w:lang w:val="en-GB"/>
        </w:rPr>
        <w:t xml:space="preserve"> to allocate capital more efficiently to there where it is needed</w:t>
      </w:r>
      <w:r w:rsidR="00B61E9A" w:rsidRPr="00342967">
        <w:rPr>
          <w:rFonts w:eastAsia="Times New Roman" w:cs="Times New Roman"/>
          <w:szCs w:val="24"/>
          <w:lang w:val="en-GB"/>
        </w:rPr>
        <w:t xml:space="preserve"> and to ultimately aid</w:t>
      </w:r>
      <w:r w:rsidRPr="00342967">
        <w:rPr>
          <w:rFonts w:eastAsia="Times New Roman" w:cs="Times New Roman"/>
          <w:szCs w:val="24"/>
          <w:lang w:val="en-GB"/>
        </w:rPr>
        <w:t xml:space="preserve"> the EU’s economy growth potential and growth sustainability.</w:t>
      </w:r>
      <w:r w:rsidRPr="00342967">
        <w:rPr>
          <w:rFonts w:eastAsia="Times New Roman" w:cs="Times New Roman"/>
          <w:szCs w:val="24"/>
        </w:rPr>
        <w:t xml:space="preserve"> It is therefore, that </w:t>
      </w:r>
      <w:r w:rsidR="00FD03AB">
        <w:rPr>
          <w:rFonts w:eastAsia="Times New Roman" w:cs="Times New Roman"/>
          <w:szCs w:val="24"/>
        </w:rPr>
        <w:t xml:space="preserve">most of the mainstream analyses </w:t>
      </w:r>
      <w:r w:rsidRPr="00342967">
        <w:rPr>
          <w:rFonts w:eastAsia="Times New Roman" w:cs="Times New Roman"/>
          <w:szCs w:val="24"/>
        </w:rPr>
        <w:t>argue in favor of CMU with each a different caveat, that is</w:t>
      </w:r>
      <w:r w:rsidR="00A86357">
        <w:rPr>
          <w:rFonts w:eastAsia="Times New Roman" w:cs="Times New Roman"/>
          <w:szCs w:val="24"/>
        </w:rPr>
        <w:t>,</w:t>
      </w:r>
      <w:r w:rsidRPr="00342967">
        <w:rPr>
          <w:rFonts w:eastAsia="Times New Roman" w:cs="Times New Roman"/>
          <w:szCs w:val="24"/>
        </w:rPr>
        <w:t xml:space="preserve"> a critical note</w:t>
      </w:r>
      <w:r w:rsidR="00F571F1" w:rsidRPr="00342967">
        <w:rPr>
          <w:rFonts w:eastAsia="Times New Roman" w:cs="Times New Roman"/>
          <w:szCs w:val="24"/>
        </w:rPr>
        <w:t xml:space="preserve"> on CMU</w:t>
      </w:r>
      <w:r w:rsidRPr="00342967">
        <w:rPr>
          <w:rFonts w:eastAsia="Times New Roman" w:cs="Times New Roman"/>
          <w:szCs w:val="24"/>
        </w:rPr>
        <w:t xml:space="preserve"> that needs solving. The</w:t>
      </w:r>
      <w:r w:rsidR="00FD03AB">
        <w:rPr>
          <w:rFonts w:eastAsia="Times New Roman" w:cs="Times New Roman"/>
          <w:szCs w:val="24"/>
        </w:rPr>
        <w:t xml:space="preserve"> </w:t>
      </w:r>
      <w:r w:rsidRPr="00342967">
        <w:rPr>
          <w:rFonts w:eastAsia="Times New Roman" w:cs="Times New Roman"/>
          <w:szCs w:val="24"/>
        </w:rPr>
        <w:t xml:space="preserve">problems </w:t>
      </w:r>
      <w:r w:rsidR="00FD03AB">
        <w:rPr>
          <w:rFonts w:eastAsia="Times New Roman" w:cs="Times New Roman"/>
          <w:szCs w:val="24"/>
        </w:rPr>
        <w:t xml:space="preserve">identified </w:t>
      </w:r>
      <w:r w:rsidRPr="00342967">
        <w:rPr>
          <w:rFonts w:eastAsia="Times New Roman" w:cs="Times New Roman"/>
          <w:szCs w:val="24"/>
        </w:rPr>
        <w:t xml:space="preserve">with CMU </w:t>
      </w:r>
      <w:r w:rsidR="00FD03AB">
        <w:rPr>
          <w:rFonts w:eastAsia="Times New Roman" w:cs="Times New Roman"/>
          <w:szCs w:val="24"/>
        </w:rPr>
        <w:t xml:space="preserve">tend to be based on a </w:t>
      </w:r>
      <w:r w:rsidRPr="00342967">
        <w:rPr>
          <w:rFonts w:eastAsia="Times New Roman" w:cs="Times New Roman"/>
          <w:szCs w:val="24"/>
        </w:rPr>
        <w:t>neoclassical</w:t>
      </w:r>
      <w:r w:rsidR="00FD03AB">
        <w:rPr>
          <w:rFonts w:eastAsia="Times New Roman" w:cs="Times New Roman"/>
          <w:szCs w:val="24"/>
        </w:rPr>
        <w:t xml:space="preserve"> economics</w:t>
      </w:r>
      <w:r w:rsidRPr="00342967">
        <w:rPr>
          <w:rFonts w:eastAsia="Times New Roman" w:cs="Times New Roman"/>
          <w:szCs w:val="24"/>
        </w:rPr>
        <w:t xml:space="preserve"> way of thinking</w:t>
      </w:r>
      <w:r w:rsidR="00B15EDE">
        <w:rPr>
          <w:rFonts w:eastAsia="Times New Roman" w:cs="Times New Roman"/>
          <w:szCs w:val="24"/>
        </w:rPr>
        <w:t xml:space="preserve"> in terms of market efficiencies</w:t>
      </w:r>
      <w:r w:rsidRPr="00342967">
        <w:rPr>
          <w:rFonts w:eastAsia="Times New Roman" w:cs="Times New Roman"/>
          <w:szCs w:val="24"/>
        </w:rPr>
        <w:t>. Alexander (2015) points at potentially destabilizing effects of CMU as it undermines some of the newly introduced regulations under the Banking Union. Ert</w:t>
      </w:r>
      <w:r w:rsidRPr="00342967">
        <w:rPr>
          <w:rFonts w:eastAsia="Times New Roman" w:cs="Times New Roman"/>
          <w:szCs w:val="24"/>
          <w:lang w:val="en-GB"/>
        </w:rPr>
        <w:t>ük</w:t>
      </w:r>
      <w:r w:rsidR="00A244C4" w:rsidRPr="00342967">
        <w:rPr>
          <w:rFonts w:eastAsia="Times New Roman" w:cs="Times New Roman"/>
          <w:szCs w:val="24"/>
          <w:lang w:val="en-GB"/>
        </w:rPr>
        <w:t xml:space="preserve"> (2015)</w:t>
      </w:r>
      <w:r w:rsidRPr="00342967">
        <w:rPr>
          <w:rFonts w:eastAsia="Times New Roman" w:cs="Times New Roman"/>
          <w:szCs w:val="24"/>
          <w:lang w:val="en-GB"/>
        </w:rPr>
        <w:t xml:space="preserve"> is afraid that the European Commission in the USA used the wrong blueprint and that CMU will lead to more short-termism and shareholder-capitalism. Véron and Wolff (2017) criticizes the implementation timeline of the European Commission and are afraid that by implementing CMU too hastily, it will not have the desired benefits. Finally, Schumacher and Paul (2017) warn the European Commission that only when the circumstances are ideal, that is</w:t>
      </w:r>
      <w:r w:rsidR="00F00CCF" w:rsidRPr="00342967">
        <w:rPr>
          <w:rFonts w:eastAsia="Times New Roman" w:cs="Times New Roman"/>
          <w:szCs w:val="24"/>
          <w:lang w:val="en-GB"/>
        </w:rPr>
        <w:t>,</w:t>
      </w:r>
      <w:r w:rsidRPr="00342967">
        <w:rPr>
          <w:rFonts w:eastAsia="Times New Roman" w:cs="Times New Roman"/>
          <w:szCs w:val="24"/>
          <w:lang w:val="en-GB"/>
        </w:rPr>
        <w:t xml:space="preserve"> all the actors respond in the way the European Commission expects, will CMU have the desired effects. Because these papers are written from a mainstream economic perspective they have implicit </w:t>
      </w:r>
      <w:r w:rsidRPr="00342967">
        <w:rPr>
          <w:rFonts w:eastAsia="Times New Roman" w:cs="Times New Roman"/>
          <w:szCs w:val="24"/>
          <w:lang w:val="en-GB"/>
        </w:rPr>
        <w:lastRenderedPageBreak/>
        <w:t xml:space="preserve">normative assumptions about how markets function, how individuals behave and how preferences come about. </w:t>
      </w:r>
      <w:r w:rsidR="00F87718" w:rsidRPr="00342967">
        <w:rPr>
          <w:rFonts w:eastAsia="Times New Roman" w:cs="Times New Roman"/>
          <w:szCs w:val="24"/>
          <w:lang w:val="en-GB"/>
        </w:rPr>
        <w:t xml:space="preserve">Consequently, the problems they signal with CMU </w:t>
      </w:r>
      <w:r w:rsidR="00C35528" w:rsidRPr="00342967">
        <w:rPr>
          <w:rFonts w:eastAsia="Times New Roman" w:cs="Times New Roman"/>
          <w:szCs w:val="24"/>
          <w:lang w:val="en-GB"/>
        </w:rPr>
        <w:t xml:space="preserve">originate from this normative position. </w:t>
      </w:r>
      <w:r w:rsidRPr="00342967">
        <w:rPr>
          <w:rFonts w:eastAsia="Times New Roman" w:cs="Times New Roman"/>
          <w:szCs w:val="24"/>
          <w:lang w:val="en-GB"/>
        </w:rPr>
        <w:t>It is</w:t>
      </w:r>
      <w:r w:rsidR="00C35528" w:rsidRPr="00342967">
        <w:rPr>
          <w:rFonts w:eastAsia="Times New Roman" w:cs="Times New Roman"/>
          <w:szCs w:val="24"/>
          <w:lang w:val="en-GB"/>
        </w:rPr>
        <w:t>, therefore</w:t>
      </w:r>
      <w:r w:rsidRPr="00342967">
        <w:rPr>
          <w:rFonts w:eastAsia="Times New Roman" w:cs="Times New Roman"/>
          <w:szCs w:val="24"/>
          <w:lang w:val="en-GB"/>
        </w:rPr>
        <w:t xml:space="preserve"> not surprising that all these papers welcome the CMU as their analytical scope is limited from the beginning. </w:t>
      </w:r>
    </w:p>
    <w:p w14:paraId="7AAB5F98" w14:textId="7F9D8552" w:rsidR="002B78D2" w:rsidRPr="00342967" w:rsidRDefault="002B78D2" w:rsidP="00D904F7">
      <w:pPr>
        <w:jc w:val="both"/>
        <w:rPr>
          <w:rFonts w:eastAsia="Times New Roman" w:cs="Times New Roman"/>
          <w:szCs w:val="24"/>
          <w:lang w:val="en-GB"/>
        </w:rPr>
      </w:pPr>
      <w:r w:rsidRPr="00342967">
        <w:rPr>
          <w:rFonts w:cs="Times New Roman"/>
          <w:szCs w:val="24"/>
        </w:rPr>
        <w:t>The functionalist literature</w:t>
      </w:r>
      <w:r w:rsidR="00B15EDE">
        <w:rPr>
          <w:rFonts w:cs="Times New Roman"/>
          <w:szCs w:val="24"/>
        </w:rPr>
        <w:t>s</w:t>
      </w:r>
      <w:r w:rsidRPr="00342967">
        <w:rPr>
          <w:rFonts w:cs="Times New Roman"/>
          <w:szCs w:val="24"/>
        </w:rPr>
        <w:t xml:space="preserve"> all share the same approach to CMU, that is the implementation of CMU is a </w:t>
      </w:r>
      <w:r w:rsidR="00B15EDE">
        <w:rPr>
          <w:rFonts w:cs="Times New Roman"/>
          <w:szCs w:val="24"/>
        </w:rPr>
        <w:t>‘</w:t>
      </w:r>
      <w:r w:rsidRPr="00342967">
        <w:rPr>
          <w:rFonts w:cs="Times New Roman"/>
          <w:szCs w:val="24"/>
        </w:rPr>
        <w:t>natural</w:t>
      </w:r>
      <w:r w:rsidR="00B15EDE">
        <w:rPr>
          <w:rFonts w:cs="Times New Roman"/>
          <w:szCs w:val="24"/>
        </w:rPr>
        <w:t>’ and thus logic</w:t>
      </w:r>
      <w:r w:rsidRPr="00342967">
        <w:rPr>
          <w:rFonts w:cs="Times New Roman"/>
          <w:szCs w:val="24"/>
        </w:rPr>
        <w:t xml:space="preserve"> extension of the European Union. The CMU is conceptualized as a necessary and logical response on the problems of the European Economies. Quaglia, Howarth and Liebe (2016) note that CMU was proposed by the European Commission first and foremost to complement the earlier implemented Banking Union and to complete the Economic and Monetary Union. Acharya and Steffen (2016) identify a problem in the highly fragmented Government bond markets which causes a further fragmentation in bond and equity markets. Therefore, CMU is the logical next step </w:t>
      </w:r>
      <w:r w:rsidR="005A3322" w:rsidRPr="00342967">
        <w:rPr>
          <w:rFonts w:cs="Times New Roman"/>
          <w:szCs w:val="24"/>
        </w:rPr>
        <w:t>to</w:t>
      </w:r>
      <w:r w:rsidRPr="00342967">
        <w:rPr>
          <w:rFonts w:cs="Times New Roman"/>
          <w:szCs w:val="24"/>
        </w:rPr>
        <w:t xml:space="preserve"> unify capital markets across Europe. That the other authors in this branch also follow a functionalist logic can be best illustrated with quotes. Friedrich and Thiemann (2017) write ‘common capital markets require not only common rules, but also common supervision’. H</w:t>
      </w:r>
      <w:r w:rsidRPr="00342967">
        <w:rPr>
          <w:rFonts w:eastAsia="Times New Roman" w:cs="Times New Roman"/>
          <w:szCs w:val="24"/>
          <w:lang w:val="en-GB"/>
        </w:rPr>
        <w:t>übner (2016) writes “the European CMU project can only be understood when taking seriously the constraints prescribed in the institutional structure of the EMU.”</w:t>
      </w:r>
      <w:r w:rsidR="00624A6D">
        <w:rPr>
          <w:rFonts w:eastAsia="Times New Roman" w:cs="Times New Roman"/>
          <w:szCs w:val="24"/>
          <w:lang w:val="en-GB"/>
        </w:rPr>
        <w:t>.</w:t>
      </w:r>
      <w:r w:rsidRPr="00342967">
        <w:rPr>
          <w:rFonts w:eastAsia="Times New Roman" w:cs="Times New Roman"/>
          <w:szCs w:val="24"/>
          <w:lang w:val="en-GB"/>
        </w:rPr>
        <w:t xml:space="preserve"> Both thus argue that there are problems in the current institutional arrangements and that CMU can tackle these problems. </w:t>
      </w:r>
    </w:p>
    <w:p w14:paraId="1B7F324C" w14:textId="503846C7" w:rsidR="002B78D2" w:rsidRPr="00342967" w:rsidRDefault="00564B9F" w:rsidP="00D904F7">
      <w:pPr>
        <w:jc w:val="both"/>
        <w:rPr>
          <w:rFonts w:cs="Times New Roman"/>
          <w:szCs w:val="24"/>
          <w:lang w:val="en-GB"/>
        </w:rPr>
      </w:pPr>
      <w:r w:rsidRPr="00342967">
        <w:rPr>
          <w:rFonts w:cs="Times New Roman"/>
          <w:szCs w:val="24"/>
          <w:lang w:val="en-GB"/>
        </w:rPr>
        <w:t>The political economy literature on</w:t>
      </w:r>
      <w:r w:rsidR="002B78D2" w:rsidRPr="00342967">
        <w:rPr>
          <w:rFonts w:cs="Times New Roman"/>
          <w:szCs w:val="24"/>
          <w:lang w:val="en-GB"/>
        </w:rPr>
        <w:t xml:space="preserve"> CMU </w:t>
      </w:r>
      <w:r w:rsidRPr="00342967">
        <w:rPr>
          <w:rFonts w:cs="Times New Roman"/>
          <w:szCs w:val="24"/>
          <w:lang w:val="en-GB"/>
        </w:rPr>
        <w:t>s</w:t>
      </w:r>
      <w:r w:rsidR="002B78D2" w:rsidRPr="00342967">
        <w:rPr>
          <w:rFonts w:cs="Times New Roman"/>
          <w:szCs w:val="24"/>
          <w:lang w:val="en-GB"/>
        </w:rPr>
        <w:t xml:space="preserve">ituates the Commission’s push for a Capital Markets Union in the context of governing through markets (Epstein and Rhodes, 2018; Braun and Hübner, 2018; Mertens and Thiemann, 2018; Gabor and Vestergaard, 2018; Engelen and Glasmacher, 2018). The central premise of governing through markets is that that the CMU is not an end in and of itself but rather a means to affect policy areas that are outside the institutional reach of the European institutions. The current governance structure of the European Monetary Union limits the capacity of national governments and the European Commission to provide macroeconomic stability. National governments have implemented fiscal </w:t>
      </w:r>
      <w:r w:rsidR="00B15EDE" w:rsidRPr="00342967">
        <w:rPr>
          <w:rFonts w:cs="Times New Roman"/>
          <w:szCs w:val="24"/>
          <w:lang w:val="en-GB"/>
        </w:rPr>
        <w:t>austerity, which</w:t>
      </w:r>
      <w:r w:rsidR="002B78D2" w:rsidRPr="00342967">
        <w:rPr>
          <w:rFonts w:cs="Times New Roman"/>
          <w:szCs w:val="24"/>
          <w:lang w:val="en-GB"/>
        </w:rPr>
        <w:t xml:space="preserve"> no longer enables them to affect macroeconomic outcomes</w:t>
      </w:r>
      <w:r w:rsidR="00B15EDE">
        <w:rPr>
          <w:rFonts w:cs="Times New Roman"/>
          <w:szCs w:val="24"/>
          <w:lang w:val="en-GB"/>
        </w:rPr>
        <w:t>,</w:t>
      </w:r>
      <w:r w:rsidR="002B78D2" w:rsidRPr="00342967">
        <w:rPr>
          <w:rFonts w:cs="Times New Roman"/>
          <w:szCs w:val="24"/>
          <w:lang w:val="en-GB"/>
        </w:rPr>
        <w:t xml:space="preserve"> and the European Commission lacks the mandate and the tools to do the same on the European level. Therefore, Braun and Hübner (2018) argue that the CMU is an attempt of European policymakers to solve this problem. They try to give the markets the tools, by creating one European capital market and by reviving securitisation, to provide the </w:t>
      </w:r>
      <w:r w:rsidR="002B78D2" w:rsidRPr="00342967">
        <w:rPr>
          <w:rFonts w:cs="Times New Roman"/>
          <w:szCs w:val="24"/>
          <w:lang w:val="en-GB"/>
        </w:rPr>
        <w:lastRenderedPageBreak/>
        <w:t>macroeconomic stability and to affect macroeconomic outcomes that the European policymakers themselves cannot provide.</w:t>
      </w:r>
      <w:r w:rsidR="001C11BF" w:rsidRPr="00342967">
        <w:rPr>
          <w:rFonts w:cs="Times New Roman"/>
          <w:szCs w:val="24"/>
          <w:lang w:val="en-GB"/>
        </w:rPr>
        <w:t xml:space="preserve"> </w:t>
      </w:r>
    </w:p>
    <w:p w14:paraId="4E358F64" w14:textId="68B7B10A" w:rsidR="00A11207" w:rsidRPr="00342967" w:rsidRDefault="002B78D2" w:rsidP="00D904F7">
      <w:pPr>
        <w:jc w:val="both"/>
        <w:rPr>
          <w:rFonts w:cs="Times New Roman"/>
          <w:szCs w:val="24"/>
        </w:rPr>
      </w:pPr>
      <w:r w:rsidRPr="00342967">
        <w:rPr>
          <w:rFonts w:cs="Times New Roman"/>
          <w:szCs w:val="24"/>
        </w:rPr>
        <w:t>The largest shortcoming of the economic and functionalist literature on CMU is that they do not question the CMU but accept the need for a CMU</w:t>
      </w:r>
      <w:r w:rsidR="0064134D">
        <w:rPr>
          <w:rFonts w:cs="Times New Roman"/>
          <w:szCs w:val="24"/>
        </w:rPr>
        <w:t xml:space="preserve"> from the outset</w:t>
      </w:r>
      <w:r w:rsidRPr="00342967">
        <w:rPr>
          <w:rFonts w:cs="Times New Roman"/>
          <w:szCs w:val="24"/>
        </w:rPr>
        <w:t>. The economics literature accepts CMU because of overdependence on bank financing, the functionalist literature because it is a solution to problems in the institutional design of the EU. Another weak aspect of the economics literature</w:t>
      </w:r>
      <w:r w:rsidR="00D2248C" w:rsidRPr="00342967">
        <w:rPr>
          <w:rFonts w:cs="Times New Roman"/>
          <w:szCs w:val="24"/>
        </w:rPr>
        <w:t xml:space="preserve"> on CMU, </w:t>
      </w:r>
      <w:r w:rsidRPr="00342967">
        <w:rPr>
          <w:rFonts w:cs="Times New Roman"/>
          <w:szCs w:val="24"/>
        </w:rPr>
        <w:t xml:space="preserve">which is common for economics literature in general but unacceptable for studies into a political economic project such as the CMU, is the complete lack of </w:t>
      </w:r>
      <w:r w:rsidR="00185251" w:rsidRPr="00342967">
        <w:rPr>
          <w:rFonts w:cs="Times New Roman"/>
          <w:szCs w:val="24"/>
        </w:rPr>
        <w:t>politic</w:t>
      </w:r>
      <w:r w:rsidR="00883129" w:rsidRPr="00342967">
        <w:rPr>
          <w:rFonts w:cs="Times New Roman"/>
          <w:szCs w:val="24"/>
        </w:rPr>
        <w:t>s</w:t>
      </w:r>
      <w:r w:rsidRPr="00342967">
        <w:rPr>
          <w:rFonts w:cs="Times New Roman"/>
          <w:szCs w:val="24"/>
        </w:rPr>
        <w:t xml:space="preserve">. There is no analysis why some actors are pushing hard for the implementation and no elaboration on what CMU can mean for, for example, the financial industry. The functionalist literature does this to some extent. Quaglia, Howarth and Liebe (2016) </w:t>
      </w:r>
      <w:r w:rsidR="005D55DC" w:rsidRPr="00342967">
        <w:rPr>
          <w:rFonts w:cs="Times New Roman"/>
          <w:szCs w:val="24"/>
        </w:rPr>
        <w:t>analyze</w:t>
      </w:r>
      <w:r w:rsidRPr="00342967">
        <w:rPr>
          <w:rFonts w:cs="Times New Roman"/>
          <w:szCs w:val="24"/>
        </w:rPr>
        <w:t xml:space="preserve"> actor behavior in the coming about of CMU but do not embed this agency analysis in further theorization. They do not offer a theoretically guided explanation why certain actors behaved the way they did.</w:t>
      </w:r>
      <w:r w:rsidR="009025C0" w:rsidRPr="00342967">
        <w:rPr>
          <w:rFonts w:cs="Times New Roman"/>
          <w:szCs w:val="24"/>
        </w:rPr>
        <w:t xml:space="preserve"> Moreover,</w:t>
      </w:r>
      <w:r w:rsidR="00807A46" w:rsidRPr="00342967">
        <w:rPr>
          <w:rFonts w:cs="Times New Roman"/>
          <w:szCs w:val="24"/>
        </w:rPr>
        <w:t xml:space="preserve"> the economic</w:t>
      </w:r>
      <w:r w:rsidR="00711CA7">
        <w:rPr>
          <w:rFonts w:cs="Times New Roman"/>
          <w:szCs w:val="24"/>
        </w:rPr>
        <w:t>s dimension</w:t>
      </w:r>
      <w:r w:rsidR="00807A46" w:rsidRPr="00342967">
        <w:rPr>
          <w:rFonts w:cs="Times New Roman"/>
          <w:szCs w:val="24"/>
        </w:rPr>
        <w:t xml:space="preserve"> is in most </w:t>
      </w:r>
      <w:r w:rsidR="001A7321">
        <w:rPr>
          <w:rFonts w:cs="Times New Roman"/>
          <w:szCs w:val="24"/>
        </w:rPr>
        <w:t>functionalist a</w:t>
      </w:r>
      <w:r w:rsidR="00807A46" w:rsidRPr="00342967">
        <w:rPr>
          <w:rFonts w:cs="Times New Roman"/>
          <w:szCs w:val="24"/>
        </w:rPr>
        <w:t xml:space="preserve">rticles </w:t>
      </w:r>
      <w:r w:rsidR="00623479" w:rsidRPr="00342967">
        <w:rPr>
          <w:rFonts w:cs="Times New Roman"/>
          <w:szCs w:val="24"/>
        </w:rPr>
        <w:t xml:space="preserve">either completely or almost completely neglected. </w:t>
      </w:r>
      <w:r w:rsidR="00711CA7">
        <w:rPr>
          <w:rFonts w:cs="Times New Roman"/>
          <w:szCs w:val="24"/>
        </w:rPr>
        <w:t>In contrast, t</w:t>
      </w:r>
      <w:r w:rsidR="00AD56FB" w:rsidRPr="00342967">
        <w:rPr>
          <w:rFonts w:cs="Times New Roman"/>
          <w:szCs w:val="24"/>
        </w:rPr>
        <w:t xml:space="preserve">he </w:t>
      </w:r>
      <w:r w:rsidRPr="00342967">
        <w:rPr>
          <w:rFonts w:cs="Times New Roman"/>
          <w:szCs w:val="24"/>
        </w:rPr>
        <w:t>governing through markets studies do address some of the problems of the previously discussed literature but nonetheless have one large shortcoming</w:t>
      </w:r>
      <w:r w:rsidR="00711CA7">
        <w:rPr>
          <w:rFonts w:cs="Times New Roman"/>
          <w:szCs w:val="24"/>
        </w:rPr>
        <w:t>: g</w:t>
      </w:r>
      <w:r w:rsidRPr="00342967">
        <w:rPr>
          <w:rFonts w:cs="Times New Roman"/>
          <w:szCs w:val="24"/>
        </w:rPr>
        <w:t xml:space="preserve">overning through markets </w:t>
      </w:r>
      <w:r w:rsidR="00711CA7">
        <w:rPr>
          <w:rFonts w:cs="Times New Roman"/>
          <w:szCs w:val="24"/>
        </w:rPr>
        <w:t>is not</w:t>
      </w:r>
      <w:r w:rsidRPr="00342967">
        <w:rPr>
          <w:rFonts w:cs="Times New Roman"/>
          <w:szCs w:val="24"/>
        </w:rPr>
        <w:t xml:space="preserve"> a theory</w:t>
      </w:r>
      <w:r w:rsidR="00711CA7">
        <w:rPr>
          <w:rFonts w:cs="Times New Roman"/>
          <w:szCs w:val="24"/>
        </w:rPr>
        <w:t xml:space="preserve"> but </w:t>
      </w:r>
      <w:r w:rsidRPr="00342967">
        <w:rPr>
          <w:rFonts w:cs="Times New Roman"/>
          <w:szCs w:val="24"/>
        </w:rPr>
        <w:t xml:space="preserve">more a loose </w:t>
      </w:r>
      <w:r w:rsidR="00711CA7">
        <w:rPr>
          <w:rFonts w:cs="Times New Roman"/>
          <w:szCs w:val="24"/>
        </w:rPr>
        <w:t xml:space="preserve">conceptualisation </w:t>
      </w:r>
      <w:r w:rsidRPr="00342967">
        <w:rPr>
          <w:rFonts w:cs="Times New Roman"/>
          <w:szCs w:val="24"/>
        </w:rPr>
        <w:t xml:space="preserve">than a coherent theoretical framework. In addition, the governing through markets approach claims to be critical. </w:t>
      </w:r>
      <w:r w:rsidR="00711CA7">
        <w:rPr>
          <w:rFonts w:cs="Times New Roman"/>
          <w:szCs w:val="24"/>
        </w:rPr>
        <w:t>However, i</w:t>
      </w:r>
      <w:r w:rsidRPr="00342967">
        <w:rPr>
          <w:rFonts w:cs="Times New Roman"/>
          <w:szCs w:val="24"/>
        </w:rPr>
        <w:t>t is only empirically critical, not theoretically critical. This especially holds true for the paper by Engelen and Glasmacher (2018). Their research is aimed at explaining why securitisation is being revived, they put the revival of securitisation in the larger perspective</w:t>
      </w:r>
      <w:r w:rsidR="00EB0828" w:rsidRPr="00342967">
        <w:rPr>
          <w:rFonts w:cs="Times New Roman"/>
          <w:szCs w:val="24"/>
        </w:rPr>
        <w:t xml:space="preserve"> stages of capitalism and</w:t>
      </w:r>
      <w:r w:rsidRPr="00342967">
        <w:rPr>
          <w:rFonts w:cs="Times New Roman"/>
          <w:szCs w:val="24"/>
        </w:rPr>
        <w:t xml:space="preserve"> financialisation, but their research </w:t>
      </w:r>
      <w:r w:rsidR="00711CA7">
        <w:rPr>
          <w:rFonts w:cs="Times New Roman"/>
          <w:szCs w:val="24"/>
        </w:rPr>
        <w:t>lacks a theory that understands the role of finance within capitalism</w:t>
      </w:r>
      <w:r w:rsidRPr="00342967">
        <w:rPr>
          <w:rFonts w:cs="Times New Roman"/>
          <w:szCs w:val="24"/>
        </w:rPr>
        <w:t xml:space="preserve">. </w:t>
      </w:r>
    </w:p>
    <w:p w14:paraId="214E8838" w14:textId="28848CC2" w:rsidR="002E3A2F" w:rsidRPr="00342967" w:rsidRDefault="00BB359F" w:rsidP="00D904F7">
      <w:pPr>
        <w:jc w:val="both"/>
        <w:rPr>
          <w:rFonts w:cs="Times New Roman"/>
          <w:szCs w:val="24"/>
        </w:rPr>
      </w:pPr>
      <w:r>
        <w:rPr>
          <w:rFonts w:cs="Times New Roman"/>
          <w:szCs w:val="24"/>
        </w:rPr>
        <w:t>T</w:t>
      </w:r>
      <w:r w:rsidR="002E3A2F" w:rsidRPr="00342967">
        <w:rPr>
          <w:rFonts w:cs="Times New Roman"/>
          <w:szCs w:val="24"/>
        </w:rPr>
        <w:t xml:space="preserve">he overarching problem of the existing literature is that </w:t>
      </w:r>
      <w:r w:rsidR="0036128B">
        <w:rPr>
          <w:rFonts w:eastAsia="Times New Roman" w:cs="Times New Roman"/>
          <w:szCs w:val="24"/>
          <w:lang w:val="en-GB"/>
        </w:rPr>
        <w:t>it</w:t>
      </w:r>
      <w:r w:rsidR="002E3A2F" w:rsidRPr="00342967">
        <w:rPr>
          <w:rFonts w:eastAsia="Times New Roman" w:cs="Times New Roman"/>
          <w:szCs w:val="24"/>
          <w:lang w:val="en-GB"/>
        </w:rPr>
        <w:t xml:space="preserve"> </w:t>
      </w:r>
      <w:r w:rsidR="0036128B">
        <w:rPr>
          <w:rFonts w:eastAsia="Times New Roman" w:cs="Times New Roman"/>
          <w:szCs w:val="24"/>
          <w:lang w:val="en-GB"/>
        </w:rPr>
        <w:t xml:space="preserve">misses out to acknowledge that </w:t>
      </w:r>
      <w:r w:rsidR="0036128B" w:rsidRPr="00342967">
        <w:rPr>
          <w:rFonts w:eastAsia="Times New Roman" w:cs="Times New Roman"/>
          <w:szCs w:val="24"/>
          <w:lang w:val="en-GB"/>
        </w:rPr>
        <w:t>capitalism</w:t>
      </w:r>
      <w:r w:rsidR="002E3A2F" w:rsidRPr="00342967">
        <w:rPr>
          <w:rFonts w:eastAsia="Times New Roman" w:cs="Times New Roman"/>
          <w:szCs w:val="24"/>
          <w:lang w:val="en-GB"/>
        </w:rPr>
        <w:t xml:space="preserve"> is historically contingent and is characterized by </w:t>
      </w:r>
      <w:r w:rsidR="0036128B">
        <w:rPr>
          <w:rFonts w:eastAsia="Times New Roman" w:cs="Times New Roman"/>
          <w:szCs w:val="24"/>
          <w:lang w:val="en-GB"/>
        </w:rPr>
        <w:t xml:space="preserve">different </w:t>
      </w:r>
      <w:r w:rsidR="002E3A2F" w:rsidRPr="00342967">
        <w:rPr>
          <w:rFonts w:eastAsia="Times New Roman" w:cs="Times New Roman"/>
          <w:szCs w:val="24"/>
          <w:lang w:val="en-GB"/>
        </w:rPr>
        <w:t>accumulation</w:t>
      </w:r>
      <w:r w:rsidR="0036128B">
        <w:rPr>
          <w:rFonts w:eastAsia="Times New Roman" w:cs="Times New Roman"/>
          <w:szCs w:val="24"/>
          <w:lang w:val="en-GB"/>
        </w:rPr>
        <w:t xml:space="preserve"> patterns throughout time and space</w:t>
      </w:r>
      <w:r w:rsidR="002E3A2F" w:rsidRPr="00342967">
        <w:rPr>
          <w:rFonts w:eastAsia="Times New Roman" w:cs="Times New Roman"/>
          <w:szCs w:val="24"/>
          <w:lang w:val="en-GB"/>
        </w:rPr>
        <w:t xml:space="preserve">. </w:t>
      </w:r>
      <w:r w:rsidR="0036128B">
        <w:rPr>
          <w:rFonts w:eastAsia="Times New Roman" w:cs="Times New Roman"/>
          <w:szCs w:val="24"/>
          <w:lang w:val="en-GB"/>
        </w:rPr>
        <w:t>E</w:t>
      </w:r>
      <w:r w:rsidR="002E3A2F" w:rsidRPr="00342967">
        <w:rPr>
          <w:rFonts w:eastAsia="Times New Roman" w:cs="Times New Roman"/>
          <w:szCs w:val="24"/>
          <w:lang w:val="en-GB"/>
        </w:rPr>
        <w:t>conomist</w:t>
      </w:r>
      <w:r w:rsidR="0036128B">
        <w:rPr>
          <w:rFonts w:eastAsia="Times New Roman" w:cs="Times New Roman"/>
          <w:szCs w:val="24"/>
          <w:lang w:val="en-GB"/>
        </w:rPr>
        <w:t>s</w:t>
      </w:r>
      <w:r w:rsidR="002E3A2F" w:rsidRPr="00342967">
        <w:rPr>
          <w:rFonts w:eastAsia="Times New Roman" w:cs="Times New Roman"/>
          <w:szCs w:val="24"/>
          <w:lang w:val="en-GB"/>
        </w:rPr>
        <w:t xml:space="preserve"> tend to disregard a historicall</w:t>
      </w:r>
      <w:r w:rsidR="0036128B">
        <w:rPr>
          <w:rFonts w:eastAsia="Times New Roman" w:cs="Times New Roman"/>
          <w:szCs w:val="24"/>
          <w:lang w:val="en-GB"/>
        </w:rPr>
        <w:t>y contingent view on capitalism, but as will be shown here, it is crucial for</w:t>
      </w:r>
      <w:r w:rsidR="002E3A2F" w:rsidRPr="00342967">
        <w:rPr>
          <w:rFonts w:eastAsia="Times New Roman" w:cs="Times New Roman"/>
          <w:szCs w:val="24"/>
          <w:lang w:val="en-GB"/>
        </w:rPr>
        <w:t xml:space="preserve"> understanding </w:t>
      </w:r>
      <w:r w:rsidR="0036128B">
        <w:rPr>
          <w:rFonts w:eastAsia="Times New Roman" w:cs="Times New Roman"/>
          <w:szCs w:val="24"/>
          <w:lang w:val="en-GB"/>
        </w:rPr>
        <w:t xml:space="preserve">the </w:t>
      </w:r>
      <w:r w:rsidR="002E3A2F" w:rsidRPr="00342967">
        <w:rPr>
          <w:rFonts w:eastAsia="Times New Roman" w:cs="Times New Roman"/>
          <w:szCs w:val="24"/>
          <w:lang w:val="en-GB"/>
        </w:rPr>
        <w:t xml:space="preserve">CMU. </w:t>
      </w:r>
      <w:r w:rsidR="0036128B">
        <w:rPr>
          <w:rFonts w:eastAsia="Times New Roman" w:cs="Times New Roman"/>
          <w:szCs w:val="24"/>
          <w:lang w:val="en-GB"/>
        </w:rPr>
        <w:t>T</w:t>
      </w:r>
      <w:r w:rsidR="002E3A2F" w:rsidRPr="00342967">
        <w:rPr>
          <w:rFonts w:eastAsia="Times New Roman" w:cs="Times New Roman"/>
          <w:szCs w:val="24"/>
          <w:lang w:val="en-GB"/>
        </w:rPr>
        <w:t>he implementation of CMU and securitisation, as</w:t>
      </w:r>
      <w:r w:rsidR="0036128B">
        <w:rPr>
          <w:rFonts w:eastAsia="Times New Roman" w:cs="Times New Roman"/>
          <w:szCs w:val="24"/>
          <w:lang w:val="en-GB"/>
        </w:rPr>
        <w:t xml:space="preserve"> outlined above</w:t>
      </w:r>
      <w:r w:rsidR="002E3A2F" w:rsidRPr="00342967">
        <w:rPr>
          <w:rFonts w:eastAsia="Times New Roman" w:cs="Times New Roman"/>
          <w:szCs w:val="24"/>
          <w:lang w:val="en-GB"/>
        </w:rPr>
        <w:t xml:space="preserve">, </w:t>
      </w:r>
      <w:r w:rsidR="0036128B">
        <w:rPr>
          <w:rFonts w:eastAsia="Times New Roman" w:cs="Times New Roman"/>
          <w:szCs w:val="24"/>
          <w:lang w:val="en-GB"/>
        </w:rPr>
        <w:t xml:space="preserve">is </w:t>
      </w:r>
      <w:r w:rsidR="002E3A2F" w:rsidRPr="00342967">
        <w:rPr>
          <w:rFonts w:eastAsia="Times New Roman" w:cs="Times New Roman"/>
          <w:szCs w:val="24"/>
          <w:lang w:val="en-GB"/>
        </w:rPr>
        <w:t>not primarily aimed at the goals set out by the Commission</w:t>
      </w:r>
      <w:r w:rsidR="0036128B">
        <w:rPr>
          <w:rFonts w:eastAsia="Times New Roman" w:cs="Times New Roman"/>
          <w:szCs w:val="24"/>
          <w:lang w:val="en-GB"/>
        </w:rPr>
        <w:t>, which is why</w:t>
      </w:r>
      <w:r w:rsidR="002E3A2F" w:rsidRPr="00342967">
        <w:rPr>
          <w:rFonts w:eastAsia="Times New Roman" w:cs="Times New Roman"/>
          <w:szCs w:val="24"/>
          <w:lang w:val="en-GB"/>
        </w:rPr>
        <w:t xml:space="preserve"> it is important to understand </w:t>
      </w:r>
      <w:r w:rsidR="0036128B">
        <w:rPr>
          <w:rFonts w:eastAsia="Times New Roman" w:cs="Times New Roman"/>
          <w:szCs w:val="24"/>
          <w:lang w:val="en-GB"/>
        </w:rPr>
        <w:t xml:space="preserve">the politics that has led to the </w:t>
      </w:r>
      <w:r w:rsidR="002E3A2F" w:rsidRPr="00342967">
        <w:rPr>
          <w:rFonts w:eastAsia="Times New Roman" w:cs="Times New Roman"/>
          <w:szCs w:val="24"/>
          <w:lang w:val="en-GB"/>
        </w:rPr>
        <w:t xml:space="preserve">CMU and </w:t>
      </w:r>
      <w:r w:rsidR="002E3A2F" w:rsidRPr="00342967">
        <w:rPr>
          <w:rFonts w:eastAsia="Times New Roman" w:cs="Times New Roman"/>
          <w:szCs w:val="24"/>
          <w:lang w:val="en-GB"/>
        </w:rPr>
        <w:lastRenderedPageBreak/>
        <w:t>securitisation</w:t>
      </w:r>
      <w:r w:rsidR="0036128B">
        <w:rPr>
          <w:rFonts w:eastAsia="Times New Roman" w:cs="Times New Roman"/>
          <w:szCs w:val="24"/>
          <w:lang w:val="en-GB"/>
        </w:rPr>
        <w:t xml:space="preserve"> against the backdrop of </w:t>
      </w:r>
      <w:r w:rsidR="002E3A2F" w:rsidRPr="00342967">
        <w:rPr>
          <w:rFonts w:eastAsia="Times New Roman" w:cs="Times New Roman"/>
          <w:szCs w:val="24"/>
          <w:lang w:val="en-GB"/>
        </w:rPr>
        <w:t>capitalist de</w:t>
      </w:r>
      <w:r w:rsidR="0036128B">
        <w:rPr>
          <w:rFonts w:eastAsia="Times New Roman" w:cs="Times New Roman"/>
          <w:szCs w:val="24"/>
          <w:lang w:val="en-GB"/>
        </w:rPr>
        <w:t xml:space="preserve">velopments of the last decades, particularly </w:t>
      </w:r>
      <w:r w:rsidR="002E3A2F" w:rsidRPr="00342967">
        <w:rPr>
          <w:rFonts w:eastAsia="Times New Roman" w:cs="Times New Roman"/>
          <w:szCs w:val="24"/>
          <w:lang w:val="en-GB"/>
        </w:rPr>
        <w:t>given growing importance of finance in the economy in the last decades.</w:t>
      </w:r>
    </w:p>
    <w:p w14:paraId="0B75AD04" w14:textId="30CB7CF9" w:rsidR="00063247" w:rsidRPr="00342967" w:rsidRDefault="00BA697B" w:rsidP="00D904F7">
      <w:pPr>
        <w:jc w:val="both"/>
        <w:rPr>
          <w:rFonts w:cs="Times New Roman"/>
          <w:szCs w:val="24"/>
        </w:rPr>
      </w:pPr>
      <w:r w:rsidRPr="00342967">
        <w:rPr>
          <w:rFonts w:cs="Times New Roman"/>
          <w:szCs w:val="24"/>
        </w:rPr>
        <w:t>It is therefore that in this thesis</w:t>
      </w:r>
      <w:r w:rsidR="002B78D2" w:rsidRPr="00342967">
        <w:rPr>
          <w:rFonts w:cs="Times New Roman"/>
          <w:szCs w:val="24"/>
        </w:rPr>
        <w:t xml:space="preserve"> a critical political economy perspective is applie</w:t>
      </w:r>
      <w:r w:rsidRPr="00342967">
        <w:rPr>
          <w:rFonts w:cs="Times New Roman"/>
          <w:szCs w:val="24"/>
        </w:rPr>
        <w:t>d</w:t>
      </w:r>
      <w:r w:rsidR="002B78D2" w:rsidRPr="00342967">
        <w:rPr>
          <w:rFonts w:cs="Times New Roman"/>
          <w:szCs w:val="24"/>
        </w:rPr>
        <w:t>.</w:t>
      </w:r>
      <w:r w:rsidR="00801852" w:rsidRPr="00342967">
        <w:rPr>
          <w:rFonts w:cs="Times New Roman"/>
          <w:szCs w:val="24"/>
        </w:rPr>
        <w:t xml:space="preserve"> Critical political economy</w:t>
      </w:r>
      <w:r w:rsidR="00B373BC" w:rsidRPr="00342967">
        <w:rPr>
          <w:rFonts w:cs="Times New Roman"/>
          <w:szCs w:val="24"/>
        </w:rPr>
        <w:t xml:space="preserve"> (CPE)</w:t>
      </w:r>
      <w:r w:rsidR="00801852" w:rsidRPr="00342967">
        <w:rPr>
          <w:rFonts w:cs="Times New Roman"/>
          <w:szCs w:val="24"/>
        </w:rPr>
        <w:t xml:space="preserve"> </w:t>
      </w:r>
      <w:r w:rsidR="00FF1D66">
        <w:rPr>
          <w:rFonts w:cs="Times New Roman"/>
          <w:szCs w:val="24"/>
        </w:rPr>
        <w:t xml:space="preserve">within the larger field of EU Studies </w:t>
      </w:r>
      <w:r w:rsidR="00BF5164" w:rsidRPr="00342967">
        <w:rPr>
          <w:rFonts w:cs="Times New Roman"/>
          <w:szCs w:val="24"/>
        </w:rPr>
        <w:t>combines the political and the economic in the process of European integration (Van Apeldoorn and Horn, 2018</w:t>
      </w:r>
      <w:r w:rsidR="006C0FBD" w:rsidRPr="00342967">
        <w:rPr>
          <w:rFonts w:cs="Times New Roman"/>
          <w:szCs w:val="24"/>
        </w:rPr>
        <w:t>, p.</w:t>
      </w:r>
      <w:r w:rsidR="00034A6E" w:rsidRPr="00342967">
        <w:rPr>
          <w:rFonts w:cs="Times New Roman"/>
          <w:szCs w:val="24"/>
        </w:rPr>
        <w:t>6). It does not perceive the economic and the political as separate realms that externally influence each other, rather as internally related</w:t>
      </w:r>
      <w:r w:rsidR="000A7BCF" w:rsidRPr="00342967">
        <w:rPr>
          <w:rFonts w:cs="Times New Roman"/>
          <w:szCs w:val="24"/>
        </w:rPr>
        <w:t xml:space="preserve"> realms </w:t>
      </w:r>
      <w:r w:rsidR="00946CE5" w:rsidRPr="00342967">
        <w:rPr>
          <w:rFonts w:cs="Times New Roman"/>
          <w:szCs w:val="24"/>
        </w:rPr>
        <w:t>(Wood, 198</w:t>
      </w:r>
      <w:r w:rsidR="0062685A" w:rsidRPr="00342967">
        <w:rPr>
          <w:rFonts w:cs="Times New Roman"/>
          <w:szCs w:val="24"/>
        </w:rPr>
        <w:t>2</w:t>
      </w:r>
      <w:r w:rsidR="00946CE5" w:rsidRPr="00342967">
        <w:rPr>
          <w:rFonts w:cs="Times New Roman"/>
          <w:szCs w:val="24"/>
        </w:rPr>
        <w:t>)</w:t>
      </w:r>
      <w:r w:rsidR="000A7BCF" w:rsidRPr="00342967">
        <w:rPr>
          <w:rFonts w:cs="Times New Roman"/>
          <w:szCs w:val="24"/>
        </w:rPr>
        <w:t>.</w:t>
      </w:r>
      <w:r w:rsidR="00D40A17" w:rsidRPr="00342967">
        <w:rPr>
          <w:rFonts w:cs="Times New Roman"/>
          <w:szCs w:val="24"/>
        </w:rPr>
        <w:t xml:space="preserve"> </w:t>
      </w:r>
      <w:r w:rsidR="00927737" w:rsidRPr="00342967">
        <w:rPr>
          <w:rFonts w:cs="Times New Roman"/>
          <w:szCs w:val="24"/>
        </w:rPr>
        <w:t>Critical political economy is aimed at uncovering the social power relations</w:t>
      </w:r>
      <w:r w:rsidR="00DD3626" w:rsidRPr="00342967">
        <w:rPr>
          <w:rFonts w:cs="Times New Roman"/>
          <w:szCs w:val="24"/>
        </w:rPr>
        <w:t xml:space="preserve"> </w:t>
      </w:r>
      <w:r w:rsidR="006026F6" w:rsidRPr="00342967">
        <w:rPr>
          <w:rFonts w:cs="Times New Roman"/>
          <w:szCs w:val="24"/>
        </w:rPr>
        <w:t>by</w:t>
      </w:r>
      <w:r w:rsidR="00B373BC" w:rsidRPr="00342967">
        <w:rPr>
          <w:rFonts w:cs="Times New Roman"/>
          <w:szCs w:val="24"/>
        </w:rPr>
        <w:t xml:space="preserve"> which the political and the economic and power and production are connected (Van Apeldoorn and Horn, 2018, p.6). </w:t>
      </w:r>
      <w:r w:rsidR="0066604B" w:rsidRPr="00342967">
        <w:rPr>
          <w:rFonts w:cs="Times New Roman"/>
          <w:szCs w:val="24"/>
        </w:rPr>
        <w:t xml:space="preserve">At the heart of CPE is to analyze how political agents are conditioned by particular social and economic structures and </w:t>
      </w:r>
      <w:r w:rsidR="00C822D2" w:rsidRPr="00342967">
        <w:rPr>
          <w:rFonts w:cs="Times New Roman"/>
          <w:szCs w:val="24"/>
        </w:rPr>
        <w:t>to how these structures are reproduced and transformed by political processes (Van Apeldoorn and Horn, 2018, p.6)</w:t>
      </w:r>
      <w:r w:rsidR="008F491C" w:rsidRPr="00342967">
        <w:rPr>
          <w:rFonts w:cs="Times New Roman"/>
          <w:szCs w:val="24"/>
        </w:rPr>
        <w:t>.</w:t>
      </w:r>
      <w:r w:rsidR="006D07FB" w:rsidRPr="00342967">
        <w:rPr>
          <w:rFonts w:cs="Times New Roman"/>
          <w:szCs w:val="24"/>
        </w:rPr>
        <w:t xml:space="preserve"> </w:t>
      </w:r>
      <w:r w:rsidR="00063247" w:rsidRPr="00342967">
        <w:rPr>
          <w:rFonts w:cs="Times New Roman"/>
          <w:szCs w:val="24"/>
        </w:rPr>
        <w:t xml:space="preserve">This is where the scientific relevance of this thesis lies. It will solve the problems of the economic and functionalist literature by not echoing the lines of the Commission and </w:t>
      </w:r>
      <w:r w:rsidR="00DC6819">
        <w:rPr>
          <w:rFonts w:cs="Times New Roman"/>
          <w:szCs w:val="24"/>
        </w:rPr>
        <w:t>by approaching the topic with a critical lens that seeks to be embed the Commission’s endorsement of securitization into the broader whole</w:t>
      </w:r>
      <w:r w:rsidR="00063247" w:rsidRPr="00342967">
        <w:rPr>
          <w:rFonts w:cs="Times New Roman"/>
          <w:szCs w:val="24"/>
        </w:rPr>
        <w:t>.</w:t>
      </w:r>
      <w:r w:rsidR="002B58CB" w:rsidRPr="00342967">
        <w:rPr>
          <w:rFonts w:cs="Times New Roman"/>
          <w:szCs w:val="24"/>
        </w:rPr>
        <w:t xml:space="preserve"> Regarding the societal relevance of this thesis it is important to realize that finance is not something that on</w:t>
      </w:r>
      <w:r w:rsidR="00DC6819">
        <w:rPr>
          <w:rFonts w:cs="Times New Roman"/>
          <w:szCs w:val="24"/>
        </w:rPr>
        <w:t>ly concerns the financial world. F</w:t>
      </w:r>
      <w:r w:rsidR="002B58CB" w:rsidRPr="00342967">
        <w:rPr>
          <w:rFonts w:cs="Times New Roman"/>
          <w:szCs w:val="24"/>
        </w:rPr>
        <w:t>inance impinges on</w:t>
      </w:r>
      <w:r w:rsidR="00DC6819">
        <w:rPr>
          <w:rFonts w:cs="Times New Roman"/>
          <w:szCs w:val="24"/>
        </w:rPr>
        <w:t xml:space="preserve"> every person’s everyday life t</w:t>
      </w:r>
      <w:r w:rsidR="002B58CB" w:rsidRPr="00342967">
        <w:rPr>
          <w:rFonts w:cs="Times New Roman"/>
          <w:szCs w:val="24"/>
        </w:rPr>
        <w:t xml:space="preserve">hrough mortgages, credit cards, car loans, pensions, insurances and so on. </w:t>
      </w:r>
      <w:r w:rsidR="00DC6819">
        <w:rPr>
          <w:rFonts w:cs="Times New Roman"/>
          <w:szCs w:val="24"/>
        </w:rPr>
        <w:t>The role of financial markets within capitalism is</w:t>
      </w:r>
      <w:r w:rsidR="002B58CB" w:rsidRPr="00342967">
        <w:rPr>
          <w:rFonts w:cs="Times New Roman"/>
          <w:szCs w:val="24"/>
        </w:rPr>
        <w:t xml:space="preserve"> crucial to under</w:t>
      </w:r>
      <w:r w:rsidR="00DC6819">
        <w:rPr>
          <w:rFonts w:cs="Times New Roman"/>
          <w:szCs w:val="24"/>
        </w:rPr>
        <w:t>stand why the Global Financial C</w:t>
      </w:r>
      <w:r w:rsidR="002B58CB" w:rsidRPr="00342967">
        <w:rPr>
          <w:rFonts w:cs="Times New Roman"/>
          <w:szCs w:val="24"/>
        </w:rPr>
        <w:t xml:space="preserve">risis happened in 2008, and it is equally crucial now to understand why political decisions are being made to revive the very same financial instrument that was at the heart of the </w:t>
      </w:r>
      <w:r w:rsidR="00DC6819">
        <w:rPr>
          <w:rFonts w:cs="Times New Roman"/>
          <w:szCs w:val="24"/>
        </w:rPr>
        <w:t>financial catastrophe of only ten</w:t>
      </w:r>
      <w:r w:rsidR="002B58CB" w:rsidRPr="00342967">
        <w:rPr>
          <w:rFonts w:cs="Times New Roman"/>
          <w:szCs w:val="24"/>
        </w:rPr>
        <w:t xml:space="preserve"> years ago</w:t>
      </w:r>
      <w:r w:rsidR="00DC6819">
        <w:rPr>
          <w:rFonts w:cs="Times New Roman"/>
          <w:szCs w:val="24"/>
        </w:rPr>
        <w:t>,</w:t>
      </w:r>
      <w:r w:rsidR="0031740B">
        <w:rPr>
          <w:rFonts w:cs="Times New Roman"/>
          <w:szCs w:val="24"/>
        </w:rPr>
        <w:t xml:space="preserve"> </w:t>
      </w:r>
      <w:r w:rsidR="00DC6819">
        <w:rPr>
          <w:rFonts w:cs="Times New Roman"/>
          <w:szCs w:val="24"/>
        </w:rPr>
        <w:t>while bearing</w:t>
      </w:r>
      <w:r w:rsidR="00590F9A">
        <w:rPr>
          <w:rFonts w:cs="Times New Roman"/>
          <w:szCs w:val="24"/>
        </w:rPr>
        <w:t xml:space="preserve"> the</w:t>
      </w:r>
      <w:r w:rsidR="0031740B">
        <w:rPr>
          <w:rFonts w:cs="Times New Roman"/>
          <w:szCs w:val="24"/>
        </w:rPr>
        <w:t xml:space="preserve"> potential to</w:t>
      </w:r>
      <w:r w:rsidR="00DC6819">
        <w:rPr>
          <w:rFonts w:cs="Times New Roman"/>
          <w:szCs w:val="24"/>
        </w:rPr>
        <w:t xml:space="preserve"> trigger </w:t>
      </w:r>
      <w:r w:rsidR="00923578">
        <w:rPr>
          <w:rFonts w:cs="Times New Roman"/>
          <w:szCs w:val="24"/>
        </w:rPr>
        <w:t xml:space="preserve">yet another </w:t>
      </w:r>
      <w:r w:rsidR="00DC6819">
        <w:rPr>
          <w:rFonts w:cs="Times New Roman"/>
          <w:szCs w:val="24"/>
        </w:rPr>
        <w:t>crisis</w:t>
      </w:r>
      <w:r w:rsidR="002B58CB" w:rsidRPr="00342967">
        <w:rPr>
          <w:rFonts w:cs="Times New Roman"/>
          <w:szCs w:val="24"/>
        </w:rPr>
        <w:t>.</w:t>
      </w:r>
    </w:p>
    <w:p w14:paraId="67DD7951" w14:textId="37197F72" w:rsidR="00A32461" w:rsidRPr="00342967" w:rsidRDefault="003F1D89" w:rsidP="00D904F7">
      <w:pPr>
        <w:jc w:val="both"/>
        <w:rPr>
          <w:rFonts w:cs="Times New Roman"/>
          <w:szCs w:val="24"/>
        </w:rPr>
      </w:pPr>
      <w:r>
        <w:rPr>
          <w:rFonts w:cs="Times New Roman"/>
          <w:szCs w:val="24"/>
        </w:rPr>
        <w:t>The CPE</w:t>
      </w:r>
      <w:r w:rsidR="00EE632E" w:rsidRPr="00342967">
        <w:rPr>
          <w:rFonts w:cs="Times New Roman"/>
          <w:szCs w:val="24"/>
        </w:rPr>
        <w:t xml:space="preserve"> approach</w:t>
      </w:r>
      <w:r>
        <w:rPr>
          <w:rFonts w:cs="Times New Roman"/>
          <w:szCs w:val="24"/>
        </w:rPr>
        <w:t xml:space="preserve"> in this thesis</w:t>
      </w:r>
      <w:r w:rsidR="00EE632E" w:rsidRPr="00342967">
        <w:rPr>
          <w:rFonts w:cs="Times New Roman"/>
          <w:szCs w:val="24"/>
        </w:rPr>
        <w:t xml:space="preserve"> is</w:t>
      </w:r>
      <w:r w:rsidR="004D3C1B" w:rsidRPr="00342967">
        <w:rPr>
          <w:rFonts w:cs="Times New Roman"/>
          <w:szCs w:val="24"/>
        </w:rPr>
        <w:t xml:space="preserve"> based on a </w:t>
      </w:r>
      <w:r w:rsidR="00FC3052" w:rsidRPr="00342967">
        <w:rPr>
          <w:rFonts w:cs="Times New Roman"/>
          <w:szCs w:val="24"/>
        </w:rPr>
        <w:t xml:space="preserve">critical realist </w:t>
      </w:r>
      <w:r w:rsidR="004D3C1B" w:rsidRPr="00342967">
        <w:rPr>
          <w:rFonts w:cs="Times New Roman"/>
          <w:szCs w:val="24"/>
        </w:rPr>
        <w:t>ontology</w:t>
      </w:r>
      <w:r>
        <w:rPr>
          <w:rFonts w:cs="Times New Roman"/>
          <w:szCs w:val="24"/>
        </w:rPr>
        <w:t xml:space="preserve">, which perceives social reality as </w:t>
      </w:r>
      <w:r w:rsidR="00342110" w:rsidRPr="00342967">
        <w:rPr>
          <w:rFonts w:cs="Times New Roman"/>
          <w:szCs w:val="24"/>
        </w:rPr>
        <w:t xml:space="preserve">constituted by </w:t>
      </w:r>
      <w:r w:rsidR="00B860F9" w:rsidRPr="00342967">
        <w:rPr>
          <w:rFonts w:cs="Times New Roman"/>
          <w:szCs w:val="24"/>
        </w:rPr>
        <w:t>complex power relations that are derived from the constant interplay between structure and agency</w:t>
      </w:r>
      <w:r>
        <w:rPr>
          <w:rFonts w:cs="Times New Roman"/>
          <w:szCs w:val="24"/>
        </w:rPr>
        <w:t xml:space="preserve">, while </w:t>
      </w:r>
      <w:r w:rsidR="00DD3F68" w:rsidRPr="00342967">
        <w:rPr>
          <w:rFonts w:cs="Times New Roman"/>
          <w:szCs w:val="24"/>
        </w:rPr>
        <w:t>these power relations are revealed both in ideational and material dimensions (Wigger and Horn, 2016, p.38).</w:t>
      </w:r>
      <w:r w:rsidR="00846BBB" w:rsidRPr="00342967">
        <w:rPr>
          <w:rFonts w:cs="Times New Roman"/>
          <w:szCs w:val="24"/>
        </w:rPr>
        <w:t xml:space="preserve"> </w:t>
      </w:r>
      <w:r w:rsidR="001C2C67" w:rsidRPr="00342967">
        <w:rPr>
          <w:rFonts w:cs="Times New Roman"/>
          <w:szCs w:val="24"/>
        </w:rPr>
        <w:t xml:space="preserve">Critical social science rejects the existence of a social reality </w:t>
      </w:r>
      <w:r w:rsidR="006D374D" w:rsidRPr="00342967">
        <w:rPr>
          <w:rFonts w:cs="Times New Roman"/>
          <w:szCs w:val="24"/>
        </w:rPr>
        <w:t>that consists of</w:t>
      </w:r>
      <w:r w:rsidR="001C2C67" w:rsidRPr="00342967">
        <w:rPr>
          <w:rFonts w:cs="Times New Roman"/>
          <w:szCs w:val="24"/>
        </w:rPr>
        <w:t xml:space="preserve"> regularities and </w:t>
      </w:r>
      <w:r>
        <w:rPr>
          <w:rFonts w:cs="Times New Roman"/>
          <w:szCs w:val="24"/>
        </w:rPr>
        <w:t xml:space="preserve">recurring </w:t>
      </w:r>
      <w:r w:rsidR="00B01423" w:rsidRPr="00342967">
        <w:rPr>
          <w:rFonts w:cs="Times New Roman"/>
          <w:szCs w:val="24"/>
        </w:rPr>
        <w:t>patterns that can be revealed</w:t>
      </w:r>
      <w:r>
        <w:rPr>
          <w:rFonts w:cs="Times New Roman"/>
          <w:szCs w:val="24"/>
        </w:rPr>
        <w:t xml:space="preserve"> by direct observation</w:t>
      </w:r>
      <w:r w:rsidR="00B01423" w:rsidRPr="00342967">
        <w:rPr>
          <w:rFonts w:cs="Times New Roman"/>
          <w:szCs w:val="24"/>
        </w:rPr>
        <w:t xml:space="preserve">. </w:t>
      </w:r>
      <w:r w:rsidR="002C36E3">
        <w:rPr>
          <w:rFonts w:cs="Times New Roman"/>
          <w:szCs w:val="24"/>
        </w:rPr>
        <w:t>K</w:t>
      </w:r>
      <w:r w:rsidR="00B01423" w:rsidRPr="00342967">
        <w:rPr>
          <w:rFonts w:cs="Times New Roman"/>
          <w:szCs w:val="24"/>
        </w:rPr>
        <w:t>nowledge gathering do</w:t>
      </w:r>
      <w:r w:rsidR="00D93DA0">
        <w:rPr>
          <w:rFonts w:cs="Times New Roman"/>
          <w:szCs w:val="24"/>
        </w:rPr>
        <w:t>es not occur through empiricism or by</w:t>
      </w:r>
      <w:r w:rsidR="00B01423" w:rsidRPr="00342967">
        <w:rPr>
          <w:rFonts w:cs="Times New Roman"/>
          <w:szCs w:val="24"/>
        </w:rPr>
        <w:t xml:space="preserve"> deriving</w:t>
      </w:r>
      <w:r w:rsidR="00AB1E5F" w:rsidRPr="00342967">
        <w:rPr>
          <w:rFonts w:cs="Times New Roman"/>
          <w:szCs w:val="24"/>
        </w:rPr>
        <w:t xml:space="preserve"> and testing</w:t>
      </w:r>
      <w:r w:rsidR="00B01423" w:rsidRPr="00342967">
        <w:rPr>
          <w:rFonts w:cs="Times New Roman"/>
          <w:szCs w:val="24"/>
        </w:rPr>
        <w:t xml:space="preserve"> hypotheses </w:t>
      </w:r>
      <w:r w:rsidR="00D93DA0">
        <w:rPr>
          <w:rFonts w:cs="Times New Roman"/>
          <w:szCs w:val="24"/>
        </w:rPr>
        <w:t>that perceive theories</w:t>
      </w:r>
      <w:r w:rsidR="002C36E3">
        <w:rPr>
          <w:rFonts w:cs="Times New Roman"/>
          <w:szCs w:val="24"/>
        </w:rPr>
        <w:t>, at least in principle,</w:t>
      </w:r>
      <w:r w:rsidR="00D93DA0">
        <w:rPr>
          <w:rFonts w:cs="Times New Roman"/>
          <w:szCs w:val="24"/>
        </w:rPr>
        <w:t xml:space="preserve"> as abstract truths</w:t>
      </w:r>
      <w:r w:rsidR="002C36E3">
        <w:rPr>
          <w:rFonts w:cs="Times New Roman"/>
          <w:szCs w:val="24"/>
        </w:rPr>
        <w:t>,</w:t>
      </w:r>
      <w:r w:rsidR="00D93DA0">
        <w:rPr>
          <w:rFonts w:cs="Times New Roman"/>
          <w:szCs w:val="24"/>
        </w:rPr>
        <w:t xml:space="preserve"> </w:t>
      </w:r>
      <w:r w:rsidR="00B01423" w:rsidRPr="00342967">
        <w:rPr>
          <w:rFonts w:cs="Times New Roman"/>
          <w:szCs w:val="24"/>
        </w:rPr>
        <w:t xml:space="preserve">but rather through </w:t>
      </w:r>
      <w:r w:rsidR="003707C8" w:rsidRPr="00342967">
        <w:rPr>
          <w:rFonts w:cs="Times New Roman"/>
          <w:szCs w:val="24"/>
        </w:rPr>
        <w:t xml:space="preserve">a constant going back and forth between theory and empirics. </w:t>
      </w:r>
      <w:r w:rsidR="00E310F4" w:rsidRPr="00342967">
        <w:rPr>
          <w:rFonts w:cs="Times New Roman"/>
          <w:szCs w:val="24"/>
        </w:rPr>
        <w:t xml:space="preserve">Related to this, is that in critical social science the notion of </w:t>
      </w:r>
      <w:r w:rsidR="002C36E3">
        <w:rPr>
          <w:rFonts w:cs="Times New Roman"/>
          <w:szCs w:val="24"/>
        </w:rPr>
        <w:t xml:space="preserve">scientific </w:t>
      </w:r>
      <w:r w:rsidR="00E310F4" w:rsidRPr="00342967">
        <w:rPr>
          <w:rFonts w:cs="Times New Roman"/>
          <w:szCs w:val="24"/>
        </w:rPr>
        <w:t>neutrality is rejected</w:t>
      </w:r>
      <w:r w:rsidR="00F47398" w:rsidRPr="00342967">
        <w:rPr>
          <w:rFonts w:cs="Times New Roman"/>
          <w:szCs w:val="24"/>
        </w:rPr>
        <w:t>.</w:t>
      </w:r>
      <w:r w:rsidR="006525C5" w:rsidRPr="00342967">
        <w:rPr>
          <w:rFonts w:cs="Times New Roman"/>
          <w:szCs w:val="24"/>
        </w:rPr>
        <w:t xml:space="preserve"> It is impossible for</w:t>
      </w:r>
      <w:r w:rsidR="00F47398" w:rsidRPr="00342967">
        <w:rPr>
          <w:rFonts w:cs="Times New Roman"/>
          <w:szCs w:val="24"/>
        </w:rPr>
        <w:t xml:space="preserve"> </w:t>
      </w:r>
      <w:r w:rsidR="006525C5" w:rsidRPr="00342967">
        <w:rPr>
          <w:rFonts w:cs="Times New Roman"/>
          <w:szCs w:val="24"/>
        </w:rPr>
        <w:t>a</w:t>
      </w:r>
      <w:r w:rsidR="00F47398" w:rsidRPr="00342967">
        <w:rPr>
          <w:rFonts w:cs="Times New Roman"/>
          <w:szCs w:val="24"/>
        </w:rPr>
        <w:t xml:space="preserve"> researcher </w:t>
      </w:r>
      <w:r w:rsidR="006525C5" w:rsidRPr="00342967">
        <w:rPr>
          <w:rFonts w:cs="Times New Roman"/>
          <w:szCs w:val="24"/>
        </w:rPr>
        <w:t xml:space="preserve">to distance </w:t>
      </w:r>
      <w:r w:rsidR="006525C5" w:rsidRPr="00342967">
        <w:rPr>
          <w:rFonts w:cs="Times New Roman"/>
          <w:szCs w:val="24"/>
        </w:rPr>
        <w:lastRenderedPageBreak/>
        <w:t>him</w:t>
      </w:r>
      <w:r w:rsidR="002C36E3">
        <w:rPr>
          <w:rFonts w:cs="Times New Roman"/>
          <w:szCs w:val="24"/>
        </w:rPr>
        <w:t>- or her</w:t>
      </w:r>
      <w:r w:rsidR="006525C5" w:rsidRPr="00342967">
        <w:rPr>
          <w:rFonts w:cs="Times New Roman"/>
          <w:szCs w:val="24"/>
        </w:rPr>
        <w:t>self</w:t>
      </w:r>
      <w:r w:rsidR="00F47398" w:rsidRPr="00342967">
        <w:rPr>
          <w:rFonts w:cs="Times New Roman"/>
          <w:szCs w:val="24"/>
        </w:rPr>
        <w:t xml:space="preserve"> completely from the subject</w:t>
      </w:r>
      <w:r w:rsidR="006525C5" w:rsidRPr="00342967">
        <w:rPr>
          <w:rFonts w:cs="Times New Roman"/>
          <w:szCs w:val="24"/>
        </w:rPr>
        <w:t xml:space="preserve"> of enquiry. The</w:t>
      </w:r>
      <w:r w:rsidR="00E24D31" w:rsidRPr="00342967">
        <w:rPr>
          <w:rFonts w:cs="Times New Roman"/>
          <w:szCs w:val="24"/>
        </w:rPr>
        <w:t xml:space="preserve"> researcher will</w:t>
      </w:r>
      <w:r w:rsidR="00F47398" w:rsidRPr="00342967">
        <w:rPr>
          <w:rFonts w:cs="Times New Roman"/>
          <w:szCs w:val="24"/>
        </w:rPr>
        <w:t xml:space="preserve"> always affect </w:t>
      </w:r>
      <w:r w:rsidR="00E310F4" w:rsidRPr="00342967">
        <w:rPr>
          <w:rFonts w:cs="Times New Roman"/>
          <w:szCs w:val="24"/>
        </w:rPr>
        <w:t xml:space="preserve">the outcome, and therefore the claim of being neutral </w:t>
      </w:r>
      <w:r w:rsidR="00E24D31" w:rsidRPr="00342967">
        <w:rPr>
          <w:rFonts w:cs="Times New Roman"/>
          <w:szCs w:val="24"/>
        </w:rPr>
        <w:t>cannot be made</w:t>
      </w:r>
      <w:r w:rsidR="00E310F4" w:rsidRPr="00342967">
        <w:rPr>
          <w:rFonts w:cs="Times New Roman"/>
          <w:szCs w:val="24"/>
        </w:rPr>
        <w:t>.</w:t>
      </w:r>
      <w:r w:rsidR="00323543" w:rsidRPr="00342967">
        <w:rPr>
          <w:rFonts w:cs="Times New Roman"/>
          <w:szCs w:val="24"/>
        </w:rPr>
        <w:t xml:space="preserve"> </w:t>
      </w:r>
    </w:p>
    <w:p w14:paraId="123093FD" w14:textId="4B8B0713" w:rsidR="00EB6AF7" w:rsidRPr="00342967" w:rsidRDefault="00323543" w:rsidP="00D904F7">
      <w:pPr>
        <w:jc w:val="both"/>
        <w:rPr>
          <w:rFonts w:cs="Times New Roman"/>
          <w:szCs w:val="24"/>
        </w:rPr>
      </w:pPr>
      <w:r w:rsidRPr="00342967">
        <w:rPr>
          <w:rFonts w:cs="Times New Roman"/>
          <w:szCs w:val="24"/>
        </w:rPr>
        <w:t xml:space="preserve">The </w:t>
      </w:r>
      <w:r w:rsidR="00FC3052" w:rsidRPr="00342967">
        <w:rPr>
          <w:rFonts w:cs="Times New Roman"/>
          <w:szCs w:val="24"/>
        </w:rPr>
        <w:t>c</w:t>
      </w:r>
      <w:r w:rsidRPr="00342967">
        <w:rPr>
          <w:rFonts w:cs="Times New Roman"/>
          <w:szCs w:val="24"/>
        </w:rPr>
        <w:t>ritical theories that will be deployed in this thesis are Social Structures of Accumulation</w:t>
      </w:r>
      <w:r w:rsidR="00115500" w:rsidRPr="00342967">
        <w:rPr>
          <w:rFonts w:cs="Times New Roman"/>
          <w:szCs w:val="24"/>
        </w:rPr>
        <w:t xml:space="preserve"> (SSA)</w:t>
      </w:r>
      <w:r w:rsidRPr="00342967">
        <w:rPr>
          <w:rFonts w:cs="Times New Roman"/>
          <w:szCs w:val="24"/>
        </w:rPr>
        <w:t xml:space="preserve"> theory and </w:t>
      </w:r>
      <w:r w:rsidR="00140700" w:rsidRPr="00342967">
        <w:rPr>
          <w:rFonts w:cs="Times New Roman"/>
          <w:szCs w:val="24"/>
        </w:rPr>
        <w:t xml:space="preserve">the Gramscian understanding of agency. </w:t>
      </w:r>
      <w:r w:rsidR="008C64EB">
        <w:rPr>
          <w:rFonts w:cs="Times New Roman"/>
          <w:szCs w:val="24"/>
        </w:rPr>
        <w:t xml:space="preserve">In a nutshell: </w:t>
      </w:r>
      <w:r w:rsidR="00115500" w:rsidRPr="00342967">
        <w:rPr>
          <w:rFonts w:cs="Times New Roman"/>
          <w:szCs w:val="24"/>
        </w:rPr>
        <w:t xml:space="preserve">SSA theory </w:t>
      </w:r>
      <w:r w:rsidR="00742F99" w:rsidRPr="00342967">
        <w:rPr>
          <w:rFonts w:cs="Times New Roman"/>
          <w:szCs w:val="24"/>
        </w:rPr>
        <w:t xml:space="preserve">originated to explain the capitalist tendency of </w:t>
      </w:r>
      <w:r w:rsidR="001B7743" w:rsidRPr="00342967">
        <w:rPr>
          <w:rFonts w:cs="Times New Roman"/>
          <w:szCs w:val="24"/>
        </w:rPr>
        <w:t xml:space="preserve">alternating between long periods of rapid growth and long periods of stagnation. </w:t>
      </w:r>
      <w:r w:rsidR="004269A8" w:rsidRPr="00342967">
        <w:rPr>
          <w:rFonts w:cs="Times New Roman"/>
          <w:szCs w:val="24"/>
        </w:rPr>
        <w:t>The social structure</w:t>
      </w:r>
      <w:r w:rsidR="007B44BD">
        <w:rPr>
          <w:rFonts w:cs="Times New Roman"/>
          <w:szCs w:val="24"/>
        </w:rPr>
        <w:t>s</w:t>
      </w:r>
      <w:r w:rsidR="004269A8" w:rsidRPr="00342967">
        <w:rPr>
          <w:rFonts w:cs="Times New Roman"/>
          <w:szCs w:val="24"/>
        </w:rPr>
        <w:t xml:space="preserve"> of accumulation are all the institutions that </w:t>
      </w:r>
      <w:r w:rsidR="00C727CD" w:rsidRPr="00342967">
        <w:rPr>
          <w:rFonts w:cs="Times New Roman"/>
          <w:szCs w:val="24"/>
        </w:rPr>
        <w:t>are related to</w:t>
      </w:r>
      <w:r w:rsidR="004269A8" w:rsidRPr="00342967">
        <w:rPr>
          <w:rFonts w:cs="Times New Roman"/>
          <w:szCs w:val="24"/>
        </w:rPr>
        <w:t xml:space="preserve"> the accumulation process</w:t>
      </w:r>
      <w:r w:rsidR="00712FB3" w:rsidRPr="00342967">
        <w:rPr>
          <w:rFonts w:cs="Times New Roman"/>
          <w:szCs w:val="24"/>
        </w:rPr>
        <w:t>. Every alternating period of growth is characterized by a new SSA, that is a new set of institutions that guide the accumulation process</w:t>
      </w:r>
      <w:r w:rsidR="007B44BD">
        <w:rPr>
          <w:rFonts w:cs="Times New Roman"/>
          <w:szCs w:val="24"/>
        </w:rPr>
        <w:t xml:space="preserve">, which implies that </w:t>
      </w:r>
      <w:r w:rsidR="00712FB3" w:rsidRPr="00342967">
        <w:rPr>
          <w:rFonts w:cs="Times New Roman"/>
          <w:szCs w:val="24"/>
        </w:rPr>
        <w:t xml:space="preserve">each stage of capitalism </w:t>
      </w:r>
      <w:r w:rsidR="007B44BD">
        <w:rPr>
          <w:rFonts w:cs="Times New Roman"/>
          <w:szCs w:val="24"/>
        </w:rPr>
        <w:t>is characterized by d</w:t>
      </w:r>
      <w:r w:rsidR="00712FB3" w:rsidRPr="00342967">
        <w:rPr>
          <w:rFonts w:cs="Times New Roman"/>
          <w:szCs w:val="24"/>
        </w:rPr>
        <w:t>ifferent accumulation process</w:t>
      </w:r>
      <w:r w:rsidR="007B44BD">
        <w:rPr>
          <w:rFonts w:cs="Times New Roman"/>
          <w:szCs w:val="24"/>
        </w:rPr>
        <w:t>es</w:t>
      </w:r>
      <w:r w:rsidR="00712FB3" w:rsidRPr="00342967">
        <w:rPr>
          <w:rFonts w:cs="Times New Roman"/>
          <w:szCs w:val="24"/>
        </w:rPr>
        <w:t xml:space="preserve">. </w:t>
      </w:r>
      <w:r w:rsidR="007B44BD">
        <w:rPr>
          <w:rFonts w:cs="Times New Roman"/>
          <w:szCs w:val="24"/>
        </w:rPr>
        <w:t>Every new SSA</w:t>
      </w:r>
      <w:r w:rsidR="00960BD8" w:rsidRPr="00342967">
        <w:rPr>
          <w:rFonts w:cs="Times New Roman"/>
          <w:szCs w:val="24"/>
        </w:rPr>
        <w:t xml:space="preserve"> at first </w:t>
      </w:r>
      <w:r w:rsidR="007B44BD">
        <w:rPr>
          <w:rFonts w:cs="Times New Roman"/>
          <w:szCs w:val="24"/>
        </w:rPr>
        <w:t>reveals</w:t>
      </w:r>
      <w:r w:rsidR="00960BD8" w:rsidRPr="00342967">
        <w:rPr>
          <w:rFonts w:cs="Times New Roman"/>
          <w:szCs w:val="24"/>
        </w:rPr>
        <w:t xml:space="preserve"> rapid economic</w:t>
      </w:r>
      <w:r w:rsidR="004676CB" w:rsidRPr="00342967">
        <w:rPr>
          <w:rFonts w:cs="Times New Roman"/>
          <w:szCs w:val="24"/>
        </w:rPr>
        <w:t xml:space="preserve"> growth</w:t>
      </w:r>
      <w:r w:rsidR="007B44BD">
        <w:rPr>
          <w:rFonts w:cs="Times New Roman"/>
          <w:szCs w:val="24"/>
        </w:rPr>
        <w:t>. F</w:t>
      </w:r>
      <w:r w:rsidR="009E2616" w:rsidRPr="00342967">
        <w:rPr>
          <w:rFonts w:cs="Times New Roman"/>
          <w:szCs w:val="24"/>
        </w:rPr>
        <w:t xml:space="preserve">rom this </w:t>
      </w:r>
      <w:r w:rsidR="007B44BD">
        <w:rPr>
          <w:rFonts w:cs="Times New Roman"/>
          <w:szCs w:val="24"/>
        </w:rPr>
        <w:t xml:space="preserve">new or ascending </w:t>
      </w:r>
      <w:r w:rsidR="009E2616" w:rsidRPr="00342967">
        <w:rPr>
          <w:rFonts w:cs="Times New Roman"/>
          <w:szCs w:val="24"/>
        </w:rPr>
        <w:t xml:space="preserve">mode of capital accumulation </w:t>
      </w:r>
      <w:r w:rsidR="00C42681" w:rsidRPr="00342967">
        <w:rPr>
          <w:rFonts w:cs="Times New Roman"/>
          <w:szCs w:val="24"/>
        </w:rPr>
        <w:t xml:space="preserve">social forces emanate </w:t>
      </w:r>
      <w:r w:rsidR="007B44BD">
        <w:rPr>
          <w:rFonts w:cs="Times New Roman"/>
          <w:szCs w:val="24"/>
        </w:rPr>
        <w:t xml:space="preserve">that may </w:t>
      </w:r>
      <w:r w:rsidR="00780B3C">
        <w:rPr>
          <w:rFonts w:cs="Times New Roman"/>
          <w:szCs w:val="24"/>
        </w:rPr>
        <w:t>acquire</w:t>
      </w:r>
      <w:r w:rsidR="007B44BD">
        <w:rPr>
          <w:rFonts w:cs="Times New Roman"/>
          <w:szCs w:val="24"/>
        </w:rPr>
        <w:t xml:space="preserve"> a</w:t>
      </w:r>
      <w:r w:rsidR="00C42681" w:rsidRPr="00342967">
        <w:rPr>
          <w:rFonts w:cs="Times New Roman"/>
          <w:szCs w:val="24"/>
        </w:rPr>
        <w:t xml:space="preserve"> dominant position over </w:t>
      </w:r>
      <w:r w:rsidR="007B44BD">
        <w:rPr>
          <w:rFonts w:cs="Times New Roman"/>
          <w:szCs w:val="24"/>
        </w:rPr>
        <w:t>others</w:t>
      </w:r>
      <w:r w:rsidR="00C42681" w:rsidRPr="00342967">
        <w:rPr>
          <w:rFonts w:cs="Times New Roman"/>
          <w:szCs w:val="24"/>
        </w:rPr>
        <w:t>. E</w:t>
      </w:r>
      <w:r w:rsidR="00960BD8" w:rsidRPr="00342967">
        <w:rPr>
          <w:rFonts w:cs="Times New Roman"/>
          <w:szCs w:val="24"/>
        </w:rPr>
        <w:t>ventually</w:t>
      </w:r>
      <w:r w:rsidR="00C42681" w:rsidRPr="00342967">
        <w:rPr>
          <w:rFonts w:cs="Times New Roman"/>
          <w:szCs w:val="24"/>
        </w:rPr>
        <w:t>, however,</w:t>
      </w:r>
      <w:r w:rsidR="0040243A" w:rsidRPr="00342967">
        <w:rPr>
          <w:rFonts w:cs="Times New Roman"/>
          <w:szCs w:val="24"/>
        </w:rPr>
        <w:t xml:space="preserve"> every </w:t>
      </w:r>
      <w:r w:rsidR="007B70D2">
        <w:rPr>
          <w:rFonts w:cs="Times New Roman"/>
          <w:szCs w:val="24"/>
        </w:rPr>
        <w:t xml:space="preserve">accumulation period is pervaded by contradictions. The process exhaust itself and the </w:t>
      </w:r>
      <w:r w:rsidR="0040243A" w:rsidRPr="00342967">
        <w:rPr>
          <w:rFonts w:cs="Times New Roman"/>
          <w:szCs w:val="24"/>
        </w:rPr>
        <w:t>SSA becomes its own hinderance.</w:t>
      </w:r>
      <w:r w:rsidR="00A7706F" w:rsidRPr="00342967">
        <w:rPr>
          <w:rFonts w:cs="Times New Roman"/>
          <w:szCs w:val="24"/>
        </w:rPr>
        <w:t xml:space="preserve"> </w:t>
      </w:r>
      <w:r w:rsidR="007B70D2">
        <w:rPr>
          <w:rFonts w:cs="Times New Roman"/>
          <w:szCs w:val="24"/>
        </w:rPr>
        <w:t xml:space="preserve">However, while </w:t>
      </w:r>
      <w:r w:rsidR="00A859A5" w:rsidRPr="00342967">
        <w:rPr>
          <w:rFonts w:cs="Times New Roman"/>
          <w:szCs w:val="24"/>
        </w:rPr>
        <w:t>SSA theory</w:t>
      </w:r>
      <w:r w:rsidR="007B70D2">
        <w:rPr>
          <w:rFonts w:cs="Times New Roman"/>
          <w:szCs w:val="24"/>
        </w:rPr>
        <w:t xml:space="preserve"> offers important conceptual tools to account for accumulation patterns and concomitant institutional setting, it lacks the theoretical gear for making sense of political agency. Following from this, it cannot explain </w:t>
      </w:r>
      <w:r w:rsidR="00A859A5" w:rsidRPr="00342967">
        <w:rPr>
          <w:rFonts w:cs="Times New Roman"/>
          <w:szCs w:val="24"/>
        </w:rPr>
        <w:t>w</w:t>
      </w:r>
      <w:r w:rsidR="0037156F" w:rsidRPr="00342967">
        <w:rPr>
          <w:rFonts w:cs="Times New Roman"/>
          <w:szCs w:val="24"/>
        </w:rPr>
        <w:t>hat happens after an SSA has become its own hindrance and economic growth is stagnating</w:t>
      </w:r>
      <w:r w:rsidR="00A859A5" w:rsidRPr="00342967">
        <w:rPr>
          <w:rFonts w:cs="Times New Roman"/>
          <w:szCs w:val="24"/>
        </w:rPr>
        <w:t xml:space="preserve">. This is where Gramsci’s understanding of </w:t>
      </w:r>
      <w:r w:rsidR="007B70D2">
        <w:rPr>
          <w:rFonts w:cs="Times New Roman"/>
          <w:szCs w:val="24"/>
        </w:rPr>
        <w:t>political agency will</w:t>
      </w:r>
      <w:r w:rsidR="00A859A5" w:rsidRPr="00342967">
        <w:rPr>
          <w:rFonts w:cs="Times New Roman"/>
          <w:szCs w:val="24"/>
        </w:rPr>
        <w:t xml:space="preserve"> used</w:t>
      </w:r>
      <w:r w:rsidR="009017D2" w:rsidRPr="00342967">
        <w:rPr>
          <w:rFonts w:cs="Times New Roman"/>
          <w:szCs w:val="24"/>
        </w:rPr>
        <w:t xml:space="preserve"> to understand </w:t>
      </w:r>
      <w:r w:rsidR="00A13540" w:rsidRPr="00342967">
        <w:rPr>
          <w:rFonts w:cs="Times New Roman"/>
          <w:szCs w:val="24"/>
        </w:rPr>
        <w:t xml:space="preserve">the </w:t>
      </w:r>
      <w:r w:rsidR="00ED54E8" w:rsidRPr="00342967">
        <w:rPr>
          <w:rFonts w:cs="Times New Roman"/>
          <w:szCs w:val="24"/>
        </w:rPr>
        <w:t xml:space="preserve">attempts </w:t>
      </w:r>
      <w:r w:rsidR="007B70D2">
        <w:rPr>
          <w:rFonts w:cs="Times New Roman"/>
          <w:szCs w:val="24"/>
        </w:rPr>
        <w:t xml:space="preserve">by state institutions </w:t>
      </w:r>
      <w:r w:rsidR="00ED54E8" w:rsidRPr="00342967">
        <w:rPr>
          <w:rFonts w:cs="Times New Roman"/>
          <w:szCs w:val="24"/>
        </w:rPr>
        <w:t xml:space="preserve">to either maintain an incumbent SSA or to </w:t>
      </w:r>
      <w:r w:rsidR="007B70D2">
        <w:rPr>
          <w:rFonts w:cs="Times New Roman"/>
          <w:szCs w:val="24"/>
        </w:rPr>
        <w:t xml:space="preserve">facilitate the establishment of </w:t>
      </w:r>
      <w:r w:rsidR="00EB6AF7" w:rsidRPr="00342967">
        <w:rPr>
          <w:rFonts w:cs="Times New Roman"/>
          <w:szCs w:val="24"/>
        </w:rPr>
        <w:t>a new one.</w:t>
      </w:r>
    </w:p>
    <w:p w14:paraId="1A38CCC7" w14:textId="714077D5" w:rsidR="00C57130" w:rsidRPr="00342967" w:rsidRDefault="008A6B1C" w:rsidP="00D904F7">
      <w:pPr>
        <w:jc w:val="both"/>
        <w:rPr>
          <w:rFonts w:cs="Times New Roman"/>
          <w:szCs w:val="24"/>
        </w:rPr>
      </w:pPr>
      <w:r w:rsidRPr="00342967">
        <w:rPr>
          <w:rFonts w:cs="Times New Roman"/>
          <w:szCs w:val="24"/>
        </w:rPr>
        <w:t>Empirically,</w:t>
      </w:r>
      <w:r w:rsidR="004B5CE7" w:rsidRPr="00342967">
        <w:rPr>
          <w:rFonts w:cs="Times New Roman"/>
          <w:szCs w:val="24"/>
        </w:rPr>
        <w:t xml:space="preserve"> </w:t>
      </w:r>
      <w:r w:rsidR="00497054">
        <w:rPr>
          <w:rFonts w:cs="Times New Roman"/>
          <w:szCs w:val="24"/>
        </w:rPr>
        <w:t xml:space="preserve">several </w:t>
      </w:r>
      <w:r w:rsidR="004B5CE7" w:rsidRPr="00342967">
        <w:rPr>
          <w:rFonts w:cs="Times New Roman"/>
          <w:szCs w:val="24"/>
        </w:rPr>
        <w:t xml:space="preserve">sources are used to gather evidence. </w:t>
      </w:r>
      <w:r w:rsidR="007E548A" w:rsidRPr="00342967">
        <w:rPr>
          <w:rFonts w:cs="Times New Roman"/>
          <w:szCs w:val="24"/>
        </w:rPr>
        <w:t xml:space="preserve">The current SSA is delineated using the extensive literature that exist </w:t>
      </w:r>
      <w:r w:rsidR="00E1711B" w:rsidRPr="00342967">
        <w:rPr>
          <w:rFonts w:cs="Times New Roman"/>
          <w:szCs w:val="24"/>
        </w:rPr>
        <w:t xml:space="preserve">on Neoliberalism, both from SSA scholars and scholars in general that have written about Neoliberalism. </w:t>
      </w:r>
      <w:r w:rsidR="000F6782" w:rsidRPr="00342967">
        <w:rPr>
          <w:rFonts w:cs="Times New Roman"/>
          <w:szCs w:val="24"/>
        </w:rPr>
        <w:t xml:space="preserve">Evidence on agency is collected by an extensive document analysis </w:t>
      </w:r>
      <w:r w:rsidR="008011E0" w:rsidRPr="00342967">
        <w:rPr>
          <w:rFonts w:cs="Times New Roman"/>
          <w:szCs w:val="24"/>
        </w:rPr>
        <w:t xml:space="preserve">and a process tracing analysis using </w:t>
      </w:r>
      <w:r w:rsidR="00780B3C">
        <w:rPr>
          <w:rFonts w:cs="Times New Roman"/>
          <w:szCs w:val="24"/>
        </w:rPr>
        <w:t>several</w:t>
      </w:r>
      <w:r w:rsidR="00497054">
        <w:rPr>
          <w:rFonts w:cs="Times New Roman"/>
          <w:szCs w:val="24"/>
        </w:rPr>
        <w:t xml:space="preserve"> grey </w:t>
      </w:r>
      <w:r w:rsidR="003F2F5D" w:rsidRPr="00342967">
        <w:rPr>
          <w:rFonts w:cs="Times New Roman"/>
          <w:szCs w:val="24"/>
        </w:rPr>
        <w:t>document</w:t>
      </w:r>
      <w:r w:rsidR="00497054">
        <w:rPr>
          <w:rFonts w:cs="Times New Roman"/>
          <w:szCs w:val="24"/>
        </w:rPr>
        <w:t>s,</w:t>
      </w:r>
      <w:r w:rsidR="003F2F5D" w:rsidRPr="00342967">
        <w:rPr>
          <w:rFonts w:cs="Times New Roman"/>
          <w:szCs w:val="24"/>
        </w:rPr>
        <w:t xml:space="preserve"> among which the </w:t>
      </w:r>
      <w:r w:rsidR="000F6782" w:rsidRPr="00342967">
        <w:rPr>
          <w:rFonts w:cs="Times New Roman"/>
          <w:szCs w:val="24"/>
        </w:rPr>
        <w:t>response</w:t>
      </w:r>
      <w:r w:rsidR="00666C93" w:rsidRPr="00342967">
        <w:rPr>
          <w:rFonts w:cs="Times New Roman"/>
          <w:szCs w:val="24"/>
        </w:rPr>
        <w:t>s</w:t>
      </w:r>
      <w:r w:rsidR="000F6782" w:rsidRPr="00342967">
        <w:rPr>
          <w:rFonts w:cs="Times New Roman"/>
          <w:szCs w:val="24"/>
        </w:rPr>
        <w:t xml:space="preserve"> of various </w:t>
      </w:r>
      <w:r w:rsidR="00497054">
        <w:rPr>
          <w:rFonts w:cs="Times New Roman"/>
          <w:szCs w:val="24"/>
        </w:rPr>
        <w:t xml:space="preserve">financial sector, business and societal </w:t>
      </w:r>
      <w:r w:rsidR="008011E0" w:rsidRPr="00342967">
        <w:rPr>
          <w:rFonts w:cs="Times New Roman"/>
          <w:szCs w:val="24"/>
        </w:rPr>
        <w:t>actors</w:t>
      </w:r>
      <w:r w:rsidR="000F6782" w:rsidRPr="00342967">
        <w:rPr>
          <w:rFonts w:cs="Times New Roman"/>
          <w:szCs w:val="24"/>
        </w:rPr>
        <w:t xml:space="preserve"> </w:t>
      </w:r>
      <w:r w:rsidR="008011E0" w:rsidRPr="00342967">
        <w:rPr>
          <w:rFonts w:cs="Times New Roman"/>
          <w:szCs w:val="24"/>
        </w:rPr>
        <w:t>on</w:t>
      </w:r>
      <w:r w:rsidR="000F6782" w:rsidRPr="00342967">
        <w:rPr>
          <w:rFonts w:cs="Times New Roman"/>
          <w:szCs w:val="24"/>
        </w:rPr>
        <w:t xml:space="preserve"> the Green Paper published by the European Commissio</w:t>
      </w:r>
      <w:r w:rsidR="003F2F5D" w:rsidRPr="00342967">
        <w:rPr>
          <w:rFonts w:cs="Times New Roman"/>
          <w:szCs w:val="24"/>
        </w:rPr>
        <w:t>n and</w:t>
      </w:r>
      <w:r w:rsidR="00426B9B" w:rsidRPr="00342967">
        <w:rPr>
          <w:rFonts w:cs="Times New Roman"/>
          <w:szCs w:val="24"/>
        </w:rPr>
        <w:t xml:space="preserve"> position papers</w:t>
      </w:r>
      <w:r w:rsidR="003F2F5D" w:rsidRPr="00342967">
        <w:rPr>
          <w:rFonts w:cs="Times New Roman"/>
          <w:szCs w:val="24"/>
        </w:rPr>
        <w:t xml:space="preserve"> of various actors on</w:t>
      </w:r>
      <w:r w:rsidR="00426B9B" w:rsidRPr="00342967">
        <w:rPr>
          <w:rFonts w:cs="Times New Roman"/>
          <w:szCs w:val="24"/>
        </w:rPr>
        <w:t xml:space="preserve"> CMU</w:t>
      </w:r>
      <w:r w:rsidR="000F6782" w:rsidRPr="00342967">
        <w:rPr>
          <w:rFonts w:cs="Times New Roman"/>
          <w:szCs w:val="24"/>
        </w:rPr>
        <w:t xml:space="preserve">. </w:t>
      </w:r>
      <w:r w:rsidR="00E04835" w:rsidRPr="00342967">
        <w:rPr>
          <w:rFonts w:cs="Times New Roman"/>
          <w:szCs w:val="24"/>
        </w:rPr>
        <w:t>P</w:t>
      </w:r>
      <w:r w:rsidR="00A0438C" w:rsidRPr="00342967">
        <w:rPr>
          <w:rFonts w:cs="Times New Roman"/>
          <w:szCs w:val="24"/>
        </w:rPr>
        <w:t>rocess tracing is</w:t>
      </w:r>
      <w:r w:rsidR="00E04835" w:rsidRPr="00342967">
        <w:rPr>
          <w:rFonts w:cs="Times New Roman"/>
          <w:szCs w:val="24"/>
        </w:rPr>
        <w:t xml:space="preserve"> particularly</w:t>
      </w:r>
      <w:r w:rsidR="00A0438C" w:rsidRPr="00342967">
        <w:rPr>
          <w:rFonts w:cs="Times New Roman"/>
          <w:szCs w:val="24"/>
        </w:rPr>
        <w:t xml:space="preserve"> used to uncover </w:t>
      </w:r>
      <w:r w:rsidR="00497054">
        <w:rPr>
          <w:rFonts w:cs="Times New Roman"/>
          <w:szCs w:val="24"/>
        </w:rPr>
        <w:t xml:space="preserve">the origins and actor constellations in support of </w:t>
      </w:r>
      <w:r w:rsidR="00312671" w:rsidRPr="00342967">
        <w:rPr>
          <w:rFonts w:cs="Times New Roman"/>
          <w:szCs w:val="24"/>
        </w:rPr>
        <w:t>policy proposal</w:t>
      </w:r>
      <w:r w:rsidR="00497054">
        <w:rPr>
          <w:rFonts w:cs="Times New Roman"/>
          <w:szCs w:val="24"/>
        </w:rPr>
        <w:t>s</w:t>
      </w:r>
      <w:r w:rsidR="00312671" w:rsidRPr="00342967">
        <w:rPr>
          <w:rFonts w:cs="Times New Roman"/>
          <w:szCs w:val="24"/>
        </w:rPr>
        <w:t xml:space="preserve"> from the Commission and to discover what </w:t>
      </w:r>
      <w:r w:rsidR="00497054">
        <w:rPr>
          <w:rFonts w:cs="Times New Roman"/>
          <w:szCs w:val="24"/>
        </w:rPr>
        <w:t>ensuing changes have been made in response to contesting forces</w:t>
      </w:r>
      <w:r w:rsidR="00386346" w:rsidRPr="00342967">
        <w:rPr>
          <w:rFonts w:cs="Times New Roman"/>
          <w:szCs w:val="24"/>
        </w:rPr>
        <w:t xml:space="preserve">. </w:t>
      </w:r>
    </w:p>
    <w:p w14:paraId="383781A2" w14:textId="293FD8E7" w:rsidR="002B58CB" w:rsidRPr="00342967" w:rsidRDefault="00F55A2F" w:rsidP="00D904F7">
      <w:pPr>
        <w:jc w:val="both"/>
        <w:rPr>
          <w:rFonts w:cs="Times New Roman"/>
          <w:szCs w:val="24"/>
          <w:lang w:val="en-GB"/>
        </w:rPr>
      </w:pPr>
      <w:r w:rsidRPr="00342967">
        <w:rPr>
          <w:rFonts w:cs="Times New Roman"/>
          <w:szCs w:val="24"/>
          <w:lang w:val="en-GB"/>
        </w:rPr>
        <w:t xml:space="preserve">The structure of the thesis is as follows. </w:t>
      </w:r>
      <w:r w:rsidR="00EA3394" w:rsidRPr="00342967">
        <w:rPr>
          <w:rFonts w:cs="Times New Roman"/>
          <w:szCs w:val="24"/>
          <w:lang w:val="en-GB"/>
        </w:rPr>
        <w:t xml:space="preserve">In the next chapter, the </w:t>
      </w:r>
      <w:r w:rsidR="00120A72">
        <w:rPr>
          <w:rFonts w:cs="Times New Roman"/>
          <w:szCs w:val="24"/>
          <w:lang w:val="en-GB"/>
        </w:rPr>
        <w:t>explanatory</w:t>
      </w:r>
      <w:r w:rsidR="00DA1EAF">
        <w:rPr>
          <w:rFonts w:cs="Times New Roman"/>
          <w:szCs w:val="24"/>
          <w:lang w:val="en-GB"/>
        </w:rPr>
        <w:t xml:space="preserve"> limits of mainstream theories of European integration are being discussed, followed by the </w:t>
      </w:r>
      <w:r w:rsidR="00EA3394" w:rsidRPr="00342967">
        <w:rPr>
          <w:rFonts w:cs="Times New Roman"/>
          <w:szCs w:val="24"/>
          <w:lang w:val="en-GB"/>
        </w:rPr>
        <w:t>critical theory of Social S</w:t>
      </w:r>
      <w:r w:rsidR="00DA1EAF">
        <w:rPr>
          <w:rFonts w:cs="Times New Roman"/>
          <w:szCs w:val="24"/>
          <w:lang w:val="en-GB"/>
        </w:rPr>
        <w:t>tructures of Accumulation (SSA) and</w:t>
      </w:r>
      <w:r w:rsidR="00EA3394" w:rsidRPr="00342967">
        <w:rPr>
          <w:rFonts w:cs="Times New Roman"/>
          <w:szCs w:val="24"/>
          <w:lang w:val="en-GB"/>
        </w:rPr>
        <w:t xml:space="preserve"> </w:t>
      </w:r>
      <w:r w:rsidR="00A321F5" w:rsidRPr="00342967">
        <w:rPr>
          <w:rFonts w:cs="Times New Roman"/>
          <w:szCs w:val="24"/>
          <w:lang w:val="en-GB"/>
        </w:rPr>
        <w:t xml:space="preserve">Gramsci’s understanding of agency. In the second chapter, </w:t>
      </w:r>
      <w:r w:rsidR="00A321F5" w:rsidRPr="00342967">
        <w:rPr>
          <w:rFonts w:cs="Times New Roman"/>
          <w:szCs w:val="24"/>
          <w:lang w:val="en-GB"/>
        </w:rPr>
        <w:lastRenderedPageBreak/>
        <w:t xml:space="preserve">a more thorough discussion follows </w:t>
      </w:r>
      <w:r w:rsidR="00EA3394" w:rsidRPr="00342967">
        <w:rPr>
          <w:rFonts w:cs="Times New Roman"/>
          <w:szCs w:val="24"/>
          <w:lang w:val="en-GB"/>
        </w:rPr>
        <w:t>of the ontology</w:t>
      </w:r>
      <w:r w:rsidR="009533BD" w:rsidRPr="00342967">
        <w:rPr>
          <w:rFonts w:cs="Times New Roman"/>
          <w:szCs w:val="24"/>
          <w:lang w:val="en-GB"/>
        </w:rPr>
        <w:t xml:space="preserve"> of critical theory joined by a discussion of epistemology and </w:t>
      </w:r>
      <w:r w:rsidR="00BE3375" w:rsidRPr="00342967">
        <w:rPr>
          <w:rFonts w:cs="Times New Roman"/>
          <w:szCs w:val="24"/>
          <w:lang w:val="en-GB"/>
        </w:rPr>
        <w:t>the operationalisation of key concepts in both SSA theory and Gramsci’s agency.</w:t>
      </w:r>
      <w:r w:rsidR="00EA3394" w:rsidRPr="00342967">
        <w:rPr>
          <w:rFonts w:cs="Times New Roman"/>
          <w:szCs w:val="24"/>
          <w:lang w:val="en-GB"/>
        </w:rPr>
        <w:t xml:space="preserve"> The chapter thereafter will contain the empirical analysis</w:t>
      </w:r>
      <w:r w:rsidR="00BE3375" w:rsidRPr="00342967">
        <w:rPr>
          <w:rFonts w:cs="Times New Roman"/>
          <w:szCs w:val="24"/>
          <w:lang w:val="en-GB"/>
        </w:rPr>
        <w:t xml:space="preserve"> where </w:t>
      </w:r>
      <w:r w:rsidR="003D725A" w:rsidRPr="00342967">
        <w:rPr>
          <w:rFonts w:cs="Times New Roman"/>
          <w:szCs w:val="24"/>
          <w:lang w:val="en-GB"/>
        </w:rPr>
        <w:t>an answer to the explanandum is formulated</w:t>
      </w:r>
      <w:r w:rsidR="00EA3394" w:rsidRPr="00342967">
        <w:rPr>
          <w:rFonts w:cs="Times New Roman"/>
          <w:szCs w:val="24"/>
          <w:lang w:val="en-GB"/>
        </w:rPr>
        <w:t xml:space="preserve">. </w:t>
      </w:r>
      <w:r w:rsidR="00C864F4" w:rsidRPr="00342967">
        <w:rPr>
          <w:rFonts w:cs="Times New Roman"/>
          <w:szCs w:val="24"/>
          <w:lang w:val="en-GB"/>
        </w:rPr>
        <w:t>In the last chapter the research question will be answered</w:t>
      </w:r>
      <w:r w:rsidR="003D725A" w:rsidRPr="00342967">
        <w:rPr>
          <w:rFonts w:cs="Times New Roman"/>
          <w:szCs w:val="24"/>
          <w:lang w:val="en-GB"/>
        </w:rPr>
        <w:t xml:space="preserve"> and a deliberation on issues </w:t>
      </w:r>
      <w:r w:rsidR="000830DB" w:rsidRPr="00342967">
        <w:rPr>
          <w:rFonts w:cs="Times New Roman"/>
          <w:szCs w:val="24"/>
          <w:lang w:val="en-GB"/>
        </w:rPr>
        <w:t>related to this thesis and further considerations</w:t>
      </w:r>
      <w:r w:rsidR="00716603" w:rsidRPr="00342967">
        <w:rPr>
          <w:rFonts w:cs="Times New Roman"/>
          <w:szCs w:val="24"/>
          <w:lang w:val="en-GB"/>
        </w:rPr>
        <w:t xml:space="preserve"> are offered</w:t>
      </w:r>
      <w:r w:rsidR="000830DB" w:rsidRPr="00342967">
        <w:rPr>
          <w:rFonts w:cs="Times New Roman"/>
          <w:szCs w:val="24"/>
          <w:lang w:val="en-GB"/>
        </w:rPr>
        <w:t xml:space="preserve">. </w:t>
      </w:r>
    </w:p>
    <w:p w14:paraId="5D68089A" w14:textId="77777777" w:rsidR="002B58CB" w:rsidRPr="00342967" w:rsidRDefault="002B58CB">
      <w:pPr>
        <w:spacing w:line="259" w:lineRule="auto"/>
        <w:rPr>
          <w:rFonts w:cs="Times New Roman"/>
          <w:szCs w:val="24"/>
          <w:lang w:val="en-GB"/>
        </w:rPr>
      </w:pPr>
      <w:r w:rsidRPr="00342967">
        <w:rPr>
          <w:rFonts w:cs="Times New Roman"/>
          <w:szCs w:val="24"/>
          <w:lang w:val="en-GB"/>
        </w:rPr>
        <w:br w:type="page"/>
      </w:r>
    </w:p>
    <w:p w14:paraId="4474FA78" w14:textId="2921F1E7" w:rsidR="00EA3394" w:rsidRPr="00342967" w:rsidRDefault="67B93890" w:rsidP="002B58CB">
      <w:pPr>
        <w:pStyle w:val="Kop1"/>
      </w:pPr>
      <w:bookmarkStart w:id="7" w:name="_Toc518333103"/>
      <w:r w:rsidRPr="00342967">
        <w:lastRenderedPageBreak/>
        <w:t>Chapter 1: Theoretical discussion</w:t>
      </w:r>
      <w:bookmarkEnd w:id="7"/>
    </w:p>
    <w:p w14:paraId="1233F3AE" w14:textId="394C6CE9" w:rsidR="005D2D3A" w:rsidRDefault="002F0471" w:rsidP="00D904F7">
      <w:pPr>
        <w:jc w:val="both"/>
        <w:rPr>
          <w:rFonts w:cs="Times New Roman"/>
          <w:szCs w:val="24"/>
          <w:lang w:val="en-GB"/>
        </w:rPr>
      </w:pPr>
      <w:r>
        <w:rPr>
          <w:rFonts w:cs="Times New Roman"/>
          <w:szCs w:val="24"/>
          <w:lang w:val="en-GB"/>
        </w:rPr>
        <w:t>The proposal of t</w:t>
      </w:r>
      <w:r w:rsidR="00EA3394" w:rsidRPr="00342967">
        <w:rPr>
          <w:rFonts w:cs="Times New Roman"/>
          <w:szCs w:val="24"/>
          <w:lang w:val="en-GB"/>
        </w:rPr>
        <w:t xml:space="preserve">he Commission to launch </w:t>
      </w:r>
      <w:r w:rsidR="00844C8B">
        <w:rPr>
          <w:rFonts w:cs="Times New Roman"/>
          <w:szCs w:val="24"/>
          <w:lang w:val="en-GB"/>
        </w:rPr>
        <w:t>CMU</w:t>
      </w:r>
      <w:r w:rsidR="00EA3394" w:rsidRPr="00342967">
        <w:rPr>
          <w:rFonts w:cs="Times New Roman"/>
          <w:szCs w:val="24"/>
          <w:lang w:val="en-GB"/>
        </w:rPr>
        <w:t xml:space="preserve"> </w:t>
      </w:r>
      <w:r w:rsidR="00E52C59" w:rsidRPr="00342967">
        <w:rPr>
          <w:rFonts w:cs="Times New Roman"/>
          <w:szCs w:val="24"/>
          <w:lang w:val="en-GB"/>
        </w:rPr>
        <w:t xml:space="preserve">is </w:t>
      </w:r>
      <w:r>
        <w:rPr>
          <w:rFonts w:cs="Times New Roman"/>
          <w:szCs w:val="24"/>
          <w:lang w:val="en-GB"/>
        </w:rPr>
        <w:t xml:space="preserve">a further </w:t>
      </w:r>
      <w:r w:rsidR="00E52C59" w:rsidRPr="00342967">
        <w:rPr>
          <w:rFonts w:cs="Times New Roman"/>
          <w:szCs w:val="24"/>
          <w:lang w:val="en-GB"/>
        </w:rPr>
        <w:t xml:space="preserve">step in the European integration process, and as such, </w:t>
      </w:r>
      <w:r w:rsidR="00EA3394" w:rsidRPr="00342967">
        <w:rPr>
          <w:rFonts w:cs="Times New Roman"/>
          <w:szCs w:val="24"/>
          <w:lang w:val="en-GB"/>
        </w:rPr>
        <w:t>mainstream</w:t>
      </w:r>
      <w:r w:rsidR="000926F8" w:rsidRPr="00342967">
        <w:rPr>
          <w:rFonts w:cs="Times New Roman"/>
          <w:szCs w:val="24"/>
          <w:lang w:val="en-GB"/>
        </w:rPr>
        <w:t xml:space="preserve"> European</w:t>
      </w:r>
      <w:r w:rsidR="00EA3394" w:rsidRPr="00342967">
        <w:rPr>
          <w:rFonts w:cs="Times New Roman"/>
          <w:szCs w:val="24"/>
          <w:lang w:val="en-GB"/>
        </w:rPr>
        <w:t xml:space="preserve"> integration theories </w:t>
      </w:r>
      <w:r>
        <w:rPr>
          <w:rFonts w:cs="Times New Roman"/>
          <w:szCs w:val="24"/>
          <w:lang w:val="en-GB"/>
        </w:rPr>
        <w:t xml:space="preserve">focussing on explaining integration </w:t>
      </w:r>
      <w:r w:rsidR="00EA3394" w:rsidRPr="00342967">
        <w:rPr>
          <w:rFonts w:cs="Times New Roman"/>
          <w:szCs w:val="24"/>
          <w:lang w:val="en-GB"/>
        </w:rPr>
        <w:t>could provide insights. Two major theories that have characterized the field of European integration are neofunctionalism</w:t>
      </w:r>
      <w:r w:rsidR="00327740" w:rsidRPr="00342967">
        <w:rPr>
          <w:rFonts w:cs="Times New Roman"/>
          <w:szCs w:val="24"/>
          <w:lang w:val="en-GB"/>
        </w:rPr>
        <w:t xml:space="preserve"> (Haas,</w:t>
      </w:r>
      <w:r w:rsidR="001F0E3F" w:rsidRPr="00342967">
        <w:rPr>
          <w:rFonts w:cs="Times New Roman"/>
          <w:szCs w:val="24"/>
          <w:lang w:val="en-GB"/>
        </w:rPr>
        <w:t xml:space="preserve"> </w:t>
      </w:r>
      <w:r w:rsidR="00327740" w:rsidRPr="00342967">
        <w:rPr>
          <w:rFonts w:cs="Times New Roman"/>
          <w:szCs w:val="24"/>
          <w:lang w:val="en-GB"/>
        </w:rPr>
        <w:t>1958</w:t>
      </w:r>
      <w:r w:rsidR="00D21C1B" w:rsidRPr="00342967">
        <w:rPr>
          <w:rFonts w:cs="Times New Roman"/>
          <w:szCs w:val="24"/>
          <w:lang w:val="en-GB"/>
        </w:rPr>
        <w:t>; Lindberg, 1963</w:t>
      </w:r>
      <w:r w:rsidR="00327740" w:rsidRPr="00342967">
        <w:rPr>
          <w:rFonts w:cs="Times New Roman"/>
          <w:szCs w:val="24"/>
          <w:lang w:val="en-GB"/>
        </w:rPr>
        <w:t>)</w:t>
      </w:r>
      <w:r w:rsidR="00EA3394" w:rsidRPr="00342967">
        <w:rPr>
          <w:rFonts w:cs="Times New Roman"/>
          <w:szCs w:val="24"/>
          <w:lang w:val="en-GB"/>
        </w:rPr>
        <w:t xml:space="preserve"> and liberal intergovernmentalism</w:t>
      </w:r>
      <w:r w:rsidR="00AF3E92" w:rsidRPr="00342967">
        <w:rPr>
          <w:rFonts w:cs="Times New Roman"/>
          <w:szCs w:val="24"/>
          <w:lang w:val="en-GB"/>
        </w:rPr>
        <w:t xml:space="preserve"> (Moravcsik, 1993)</w:t>
      </w:r>
      <w:r w:rsidR="00EA3394" w:rsidRPr="00342967">
        <w:rPr>
          <w:rFonts w:cs="Times New Roman"/>
          <w:szCs w:val="24"/>
          <w:lang w:val="en-GB"/>
        </w:rPr>
        <w:t xml:space="preserve">. Neofunctionalism was one of the earliest theories of regional integration and has often been the starting point for European integration studies (Niemann and Schmitter, 2009, p.45). </w:t>
      </w:r>
      <w:r w:rsidR="008B696C" w:rsidRPr="00342967">
        <w:rPr>
          <w:rFonts w:cs="Times New Roman"/>
          <w:szCs w:val="24"/>
          <w:lang w:val="en-GB"/>
        </w:rPr>
        <w:t>The theory</w:t>
      </w:r>
      <w:r w:rsidR="000A12E2" w:rsidRPr="00342967">
        <w:rPr>
          <w:rFonts w:cs="Times New Roman"/>
          <w:szCs w:val="24"/>
          <w:lang w:val="en-GB"/>
        </w:rPr>
        <w:t xml:space="preserve"> emerged as a response on the establishment of the European Coal and Steel Community (ECSC) and the European Economic Community (EEC)</w:t>
      </w:r>
      <w:r w:rsidR="00607A8B" w:rsidRPr="00342967">
        <w:rPr>
          <w:rFonts w:cs="Times New Roman"/>
          <w:szCs w:val="24"/>
          <w:lang w:val="en-GB"/>
        </w:rPr>
        <w:t xml:space="preserve">. The theory was at it prime during the 1960 but shortly after lost its credibility </w:t>
      </w:r>
      <w:r w:rsidR="00885AB6" w:rsidRPr="00342967">
        <w:rPr>
          <w:rFonts w:cs="Times New Roman"/>
          <w:szCs w:val="24"/>
          <w:lang w:val="en-GB"/>
        </w:rPr>
        <w:t>after real world events</w:t>
      </w:r>
      <w:r>
        <w:rPr>
          <w:rFonts w:cs="Times New Roman"/>
          <w:szCs w:val="24"/>
          <w:lang w:val="en-GB"/>
        </w:rPr>
        <w:t xml:space="preserve"> (such as the infamous empty chair crisis) </w:t>
      </w:r>
      <w:r w:rsidR="00607A8B" w:rsidRPr="00342967">
        <w:rPr>
          <w:rFonts w:cs="Times New Roman"/>
          <w:szCs w:val="24"/>
          <w:lang w:val="en-GB"/>
        </w:rPr>
        <w:t xml:space="preserve">started to contradict the theory. </w:t>
      </w:r>
      <w:r w:rsidR="00DE3364" w:rsidRPr="00342967">
        <w:rPr>
          <w:rFonts w:cs="Times New Roman"/>
          <w:szCs w:val="24"/>
          <w:lang w:val="en-GB"/>
        </w:rPr>
        <w:t xml:space="preserve">Neofunctionalist in the 1960 and 70s made attempts to update their theory without much success which led </w:t>
      </w:r>
      <w:r w:rsidR="0062584B" w:rsidRPr="00342967">
        <w:rPr>
          <w:rFonts w:cs="Times New Roman"/>
          <w:szCs w:val="24"/>
          <w:lang w:val="en-GB"/>
        </w:rPr>
        <w:t xml:space="preserve">Haas, to founding father of the theory, to </w:t>
      </w:r>
      <w:r w:rsidR="0077141D" w:rsidRPr="00342967">
        <w:rPr>
          <w:rFonts w:cs="Times New Roman"/>
          <w:szCs w:val="24"/>
          <w:lang w:val="en-GB"/>
        </w:rPr>
        <w:t>denounce</w:t>
      </w:r>
      <w:r w:rsidR="0062584B" w:rsidRPr="00342967">
        <w:rPr>
          <w:rFonts w:cs="Times New Roman"/>
          <w:szCs w:val="24"/>
          <w:lang w:val="en-GB"/>
        </w:rPr>
        <w:t xml:space="preserve"> the theory obsolete. Nonetheless, the theory made a significant comeback</w:t>
      </w:r>
      <w:r w:rsidR="009938DE" w:rsidRPr="00342967">
        <w:rPr>
          <w:rFonts w:cs="Times New Roman"/>
          <w:szCs w:val="24"/>
          <w:lang w:val="en-GB"/>
        </w:rPr>
        <w:t xml:space="preserve"> a decade later after</w:t>
      </w:r>
      <w:r w:rsidR="007308FF" w:rsidRPr="00342967">
        <w:rPr>
          <w:rFonts w:cs="Times New Roman"/>
          <w:szCs w:val="24"/>
          <w:lang w:val="en-GB"/>
        </w:rPr>
        <w:t xml:space="preserve"> a </w:t>
      </w:r>
      <w:r w:rsidR="009938DE" w:rsidRPr="00342967">
        <w:rPr>
          <w:rFonts w:cs="Times New Roman"/>
          <w:szCs w:val="24"/>
          <w:lang w:val="en-GB"/>
        </w:rPr>
        <w:t>renewed spirit in the</w:t>
      </w:r>
      <w:r w:rsidR="007308FF" w:rsidRPr="00342967">
        <w:rPr>
          <w:rFonts w:cs="Times New Roman"/>
          <w:szCs w:val="24"/>
          <w:lang w:val="en-GB"/>
        </w:rPr>
        <w:t xml:space="preserve"> process of</w:t>
      </w:r>
      <w:r w:rsidR="009938DE" w:rsidRPr="00342967">
        <w:rPr>
          <w:rFonts w:cs="Times New Roman"/>
          <w:szCs w:val="24"/>
          <w:lang w:val="en-GB"/>
        </w:rPr>
        <w:t xml:space="preserve"> European Integration. Ever since its comeback</w:t>
      </w:r>
      <w:r>
        <w:rPr>
          <w:rFonts w:cs="Times New Roman"/>
          <w:szCs w:val="24"/>
          <w:lang w:val="en-GB"/>
        </w:rPr>
        <w:t>,</w:t>
      </w:r>
      <w:r w:rsidR="009938DE" w:rsidRPr="00342967">
        <w:rPr>
          <w:rFonts w:cs="Times New Roman"/>
          <w:szCs w:val="24"/>
          <w:lang w:val="en-GB"/>
        </w:rPr>
        <w:t xml:space="preserve"> it has had a central role in </w:t>
      </w:r>
      <w:r w:rsidR="00026F14" w:rsidRPr="00342967">
        <w:rPr>
          <w:rFonts w:cs="Times New Roman"/>
          <w:szCs w:val="24"/>
          <w:lang w:val="en-GB"/>
        </w:rPr>
        <w:t xml:space="preserve">the theories of European Integration. </w:t>
      </w:r>
    </w:p>
    <w:p w14:paraId="56B9A688" w14:textId="05FDCCFE" w:rsidR="00EA3394" w:rsidRPr="00342967" w:rsidRDefault="00EA3394" w:rsidP="00D904F7">
      <w:pPr>
        <w:jc w:val="both"/>
        <w:rPr>
          <w:rFonts w:cs="Times New Roman"/>
          <w:szCs w:val="24"/>
          <w:lang w:val="en-GB"/>
        </w:rPr>
      </w:pPr>
      <w:r w:rsidRPr="00342967">
        <w:rPr>
          <w:rFonts w:cs="Times New Roman"/>
          <w:szCs w:val="24"/>
          <w:lang w:val="en-GB"/>
        </w:rPr>
        <w:t xml:space="preserve">Liberal Intergovernmentalism gained attention ever since it first emerged and is </w:t>
      </w:r>
      <w:r w:rsidR="00FF555F" w:rsidRPr="00342967">
        <w:rPr>
          <w:rFonts w:cs="Times New Roman"/>
          <w:szCs w:val="24"/>
          <w:lang w:val="en-GB"/>
        </w:rPr>
        <w:t xml:space="preserve">sometimes </w:t>
      </w:r>
      <w:r w:rsidRPr="00342967">
        <w:rPr>
          <w:rFonts w:cs="Times New Roman"/>
          <w:szCs w:val="24"/>
          <w:lang w:val="en-GB"/>
        </w:rPr>
        <w:t>labelled as the baseline theory in the study of regional integration (Moravcsik and Schimmelfennig</w:t>
      </w:r>
      <w:r w:rsidR="004A69C2" w:rsidRPr="00342967">
        <w:rPr>
          <w:rFonts w:cs="Times New Roman"/>
          <w:szCs w:val="24"/>
          <w:lang w:val="en-GB"/>
        </w:rPr>
        <w:t xml:space="preserve">, </w:t>
      </w:r>
      <w:r w:rsidRPr="00342967">
        <w:rPr>
          <w:rFonts w:cs="Times New Roman"/>
          <w:szCs w:val="24"/>
          <w:lang w:val="en-GB"/>
        </w:rPr>
        <w:t>2009, p.67). Moravcsik (1995) himself calls the theory “… the indispensable and fundamental point of departure for any general explanation of regional integration”.</w:t>
      </w:r>
      <w:r w:rsidR="009F3D3A" w:rsidRPr="00342967">
        <w:rPr>
          <w:rFonts w:cs="Times New Roman"/>
          <w:szCs w:val="24"/>
          <w:lang w:val="en-GB"/>
        </w:rPr>
        <w:t xml:space="preserve"> </w:t>
      </w:r>
      <w:r w:rsidR="004A408C" w:rsidRPr="00342967">
        <w:rPr>
          <w:rFonts w:cs="Times New Roman"/>
          <w:szCs w:val="24"/>
          <w:lang w:val="en-GB"/>
        </w:rPr>
        <w:t>Liberal intergovernmentalism</w:t>
      </w:r>
      <w:r w:rsidR="00C84EC1" w:rsidRPr="00342967">
        <w:rPr>
          <w:rFonts w:cs="Times New Roman"/>
          <w:szCs w:val="24"/>
          <w:lang w:val="en-GB"/>
        </w:rPr>
        <w:t xml:space="preserve"> borrows from</w:t>
      </w:r>
      <w:r w:rsidR="000103B2" w:rsidRPr="00342967">
        <w:rPr>
          <w:rFonts w:cs="Times New Roman"/>
          <w:szCs w:val="24"/>
          <w:lang w:val="en-GB"/>
        </w:rPr>
        <w:t xml:space="preserve"> the</w:t>
      </w:r>
      <w:r w:rsidR="00C84EC1" w:rsidRPr="00342967">
        <w:rPr>
          <w:rFonts w:cs="Times New Roman"/>
          <w:szCs w:val="24"/>
          <w:lang w:val="en-GB"/>
        </w:rPr>
        <w:t xml:space="preserve"> </w:t>
      </w:r>
      <w:r w:rsidR="000103B2" w:rsidRPr="00342967">
        <w:rPr>
          <w:rFonts w:cs="Times New Roman"/>
          <w:szCs w:val="24"/>
          <w:lang w:val="en-GB"/>
        </w:rPr>
        <w:t>intergovernmentalism</w:t>
      </w:r>
      <w:r w:rsidR="004A408C" w:rsidRPr="00342967">
        <w:rPr>
          <w:rFonts w:cs="Times New Roman"/>
          <w:szCs w:val="24"/>
          <w:lang w:val="en-GB"/>
        </w:rPr>
        <w:t xml:space="preserve"> </w:t>
      </w:r>
      <w:r w:rsidR="000103B2" w:rsidRPr="00342967">
        <w:rPr>
          <w:rFonts w:cs="Times New Roman"/>
          <w:szCs w:val="24"/>
          <w:lang w:val="en-GB"/>
        </w:rPr>
        <w:t>theory by Hoffman</w:t>
      </w:r>
      <w:r w:rsidR="00E36AB4" w:rsidRPr="00342967">
        <w:rPr>
          <w:rFonts w:cs="Times New Roman"/>
          <w:szCs w:val="24"/>
          <w:lang w:val="en-GB"/>
        </w:rPr>
        <w:t xml:space="preserve"> (1965)</w:t>
      </w:r>
      <w:r w:rsidR="00671D33" w:rsidRPr="00342967">
        <w:rPr>
          <w:rFonts w:cs="Times New Roman"/>
          <w:szCs w:val="24"/>
          <w:lang w:val="en-GB"/>
        </w:rPr>
        <w:t xml:space="preserve"> which </w:t>
      </w:r>
      <w:r w:rsidR="00885BB2" w:rsidRPr="00342967">
        <w:rPr>
          <w:rFonts w:cs="Times New Roman"/>
          <w:szCs w:val="24"/>
          <w:lang w:val="en-GB"/>
        </w:rPr>
        <w:t xml:space="preserve">offered </w:t>
      </w:r>
      <w:r w:rsidR="00671D33" w:rsidRPr="00342967">
        <w:rPr>
          <w:rFonts w:cs="Times New Roman"/>
          <w:szCs w:val="24"/>
          <w:lang w:val="en-GB"/>
        </w:rPr>
        <w:t>critique</w:t>
      </w:r>
      <w:r w:rsidR="00885BB2" w:rsidRPr="00342967">
        <w:rPr>
          <w:rFonts w:cs="Times New Roman"/>
          <w:szCs w:val="24"/>
          <w:lang w:val="en-GB"/>
        </w:rPr>
        <w:t xml:space="preserve"> on the then prevailing</w:t>
      </w:r>
      <w:r w:rsidR="00671D33" w:rsidRPr="00342967">
        <w:rPr>
          <w:rFonts w:cs="Times New Roman"/>
          <w:szCs w:val="24"/>
          <w:lang w:val="en-GB"/>
        </w:rPr>
        <w:t xml:space="preserve"> neofunctionalist ideas</w:t>
      </w:r>
      <w:r w:rsidR="00885BB2" w:rsidRPr="00342967">
        <w:rPr>
          <w:rFonts w:cs="Times New Roman"/>
          <w:szCs w:val="24"/>
          <w:lang w:val="en-GB"/>
        </w:rPr>
        <w:t xml:space="preserve">. </w:t>
      </w:r>
      <w:r w:rsidR="00DD41FB" w:rsidRPr="00342967">
        <w:rPr>
          <w:rFonts w:cs="Times New Roman"/>
          <w:szCs w:val="24"/>
          <w:lang w:val="en-GB"/>
        </w:rPr>
        <w:t>However, intergovernmentalism</w:t>
      </w:r>
      <w:r w:rsidR="004F0760" w:rsidRPr="00342967">
        <w:rPr>
          <w:rFonts w:cs="Times New Roman"/>
          <w:szCs w:val="24"/>
          <w:lang w:val="en-GB"/>
        </w:rPr>
        <w:t xml:space="preserve"> had the same problems as neofunctionalism, the </w:t>
      </w:r>
      <w:r w:rsidR="00355E95" w:rsidRPr="00342967">
        <w:rPr>
          <w:rFonts w:cs="Times New Roman"/>
          <w:szCs w:val="24"/>
          <w:lang w:val="en-GB"/>
        </w:rPr>
        <w:t xml:space="preserve">theory no longer proved able to </w:t>
      </w:r>
      <w:r w:rsidR="00000D3A" w:rsidRPr="00342967">
        <w:rPr>
          <w:rFonts w:cs="Times New Roman"/>
          <w:szCs w:val="24"/>
          <w:lang w:val="en-GB"/>
        </w:rPr>
        <w:t>make sense of real world events</w:t>
      </w:r>
      <w:r w:rsidR="004F0760" w:rsidRPr="00342967">
        <w:rPr>
          <w:rFonts w:cs="Times New Roman"/>
          <w:szCs w:val="24"/>
          <w:lang w:val="en-GB"/>
        </w:rPr>
        <w:t>. Faced with this challenge, Moravc</w:t>
      </w:r>
      <w:r w:rsidR="00EB6BC0" w:rsidRPr="00342967">
        <w:rPr>
          <w:rFonts w:cs="Times New Roman"/>
          <w:szCs w:val="24"/>
          <w:lang w:val="en-GB"/>
        </w:rPr>
        <w:t>sik took it upon himself to update the theory of intergovernmentalism.</w:t>
      </w:r>
      <w:r w:rsidR="0083114C" w:rsidRPr="00342967">
        <w:rPr>
          <w:rFonts w:cs="Times New Roman"/>
          <w:szCs w:val="24"/>
          <w:lang w:val="en-GB"/>
        </w:rPr>
        <w:t xml:space="preserve"> </w:t>
      </w:r>
      <w:r w:rsidR="00DD77A8" w:rsidRPr="00342967">
        <w:rPr>
          <w:rFonts w:cs="Times New Roman"/>
          <w:szCs w:val="24"/>
          <w:lang w:val="en-GB"/>
        </w:rPr>
        <w:t xml:space="preserve">In 1993 </w:t>
      </w:r>
      <w:r w:rsidR="00036872" w:rsidRPr="00342967">
        <w:rPr>
          <w:rFonts w:cs="Times New Roman"/>
          <w:szCs w:val="24"/>
          <w:lang w:val="en-GB"/>
        </w:rPr>
        <w:t xml:space="preserve">Moravcsik launched the update version of intergovernmentalism with more focus on domestic </w:t>
      </w:r>
      <w:r w:rsidR="00560B3C" w:rsidRPr="00342967">
        <w:rPr>
          <w:rFonts w:cs="Times New Roman"/>
          <w:szCs w:val="24"/>
          <w:lang w:val="en-GB"/>
        </w:rPr>
        <w:t xml:space="preserve">interest rather than national and christened it </w:t>
      </w:r>
      <w:r w:rsidR="00A04433" w:rsidRPr="00342967">
        <w:rPr>
          <w:rFonts w:cs="Times New Roman"/>
          <w:szCs w:val="24"/>
          <w:lang w:val="en-GB"/>
        </w:rPr>
        <w:t>l</w:t>
      </w:r>
      <w:r w:rsidR="00560B3C" w:rsidRPr="00342967">
        <w:rPr>
          <w:rFonts w:cs="Times New Roman"/>
          <w:szCs w:val="24"/>
          <w:lang w:val="en-GB"/>
        </w:rPr>
        <w:t xml:space="preserve">iberal </w:t>
      </w:r>
      <w:r w:rsidR="00A04433" w:rsidRPr="00342967">
        <w:rPr>
          <w:rFonts w:cs="Times New Roman"/>
          <w:szCs w:val="24"/>
          <w:lang w:val="en-GB"/>
        </w:rPr>
        <w:t>i</w:t>
      </w:r>
      <w:r w:rsidR="00560B3C" w:rsidRPr="00342967">
        <w:rPr>
          <w:rFonts w:cs="Times New Roman"/>
          <w:szCs w:val="24"/>
          <w:lang w:val="en-GB"/>
        </w:rPr>
        <w:t xml:space="preserve">ntergovernmentalism. </w:t>
      </w:r>
      <w:r w:rsidR="004F0760" w:rsidRPr="00342967">
        <w:rPr>
          <w:rFonts w:cs="Times New Roman"/>
          <w:szCs w:val="24"/>
          <w:lang w:val="en-GB"/>
        </w:rPr>
        <w:t xml:space="preserve"> </w:t>
      </w:r>
    </w:p>
    <w:p w14:paraId="2B36A08D" w14:textId="50253B20" w:rsidR="00EA3394" w:rsidRPr="00342967" w:rsidRDefault="00EA3394" w:rsidP="00D904F7">
      <w:pPr>
        <w:jc w:val="both"/>
        <w:rPr>
          <w:rFonts w:cs="Times New Roman"/>
          <w:szCs w:val="24"/>
          <w:lang w:val="en-GB"/>
        </w:rPr>
      </w:pPr>
      <w:r w:rsidRPr="00342967">
        <w:rPr>
          <w:rFonts w:cs="Times New Roman"/>
          <w:szCs w:val="24"/>
          <w:lang w:val="en-GB"/>
        </w:rPr>
        <w:t>In this chapter, the specifics of both</w:t>
      </w:r>
      <w:r w:rsidR="00000D3A" w:rsidRPr="00342967">
        <w:rPr>
          <w:rFonts w:cs="Times New Roman"/>
          <w:szCs w:val="24"/>
          <w:lang w:val="en-GB"/>
        </w:rPr>
        <w:t xml:space="preserve"> mainstream</w:t>
      </w:r>
      <w:r w:rsidRPr="00342967">
        <w:rPr>
          <w:rFonts w:cs="Times New Roman"/>
          <w:szCs w:val="24"/>
          <w:lang w:val="en-GB"/>
        </w:rPr>
        <w:t xml:space="preserve"> theories will be discussed and criticized. Thereafter, an alternative</w:t>
      </w:r>
      <w:r w:rsidR="00000D3A" w:rsidRPr="00342967">
        <w:rPr>
          <w:rFonts w:cs="Times New Roman"/>
          <w:szCs w:val="24"/>
          <w:lang w:val="en-GB"/>
        </w:rPr>
        <w:t xml:space="preserve"> critical</w:t>
      </w:r>
      <w:r w:rsidRPr="00342967">
        <w:rPr>
          <w:rFonts w:cs="Times New Roman"/>
          <w:szCs w:val="24"/>
          <w:lang w:val="en-GB"/>
        </w:rPr>
        <w:t xml:space="preserve"> theoretical approach will be </w:t>
      </w:r>
      <w:r w:rsidR="002F0471">
        <w:rPr>
          <w:rFonts w:cs="Times New Roman"/>
          <w:szCs w:val="24"/>
          <w:lang w:val="en-GB"/>
        </w:rPr>
        <w:t>presented. As will be argued, t</w:t>
      </w:r>
      <w:r w:rsidRPr="00342967">
        <w:rPr>
          <w:rFonts w:cs="Times New Roman"/>
          <w:szCs w:val="24"/>
          <w:lang w:val="en-GB"/>
        </w:rPr>
        <w:t xml:space="preserve">o understand why the CMU emerged and why securitisation is being revived, it must be put in the </w:t>
      </w:r>
      <w:r w:rsidRPr="00342967">
        <w:rPr>
          <w:rFonts w:cs="Times New Roman"/>
          <w:szCs w:val="24"/>
          <w:lang w:val="en-GB"/>
        </w:rPr>
        <w:lastRenderedPageBreak/>
        <w:t xml:space="preserve">larger perspective of financialisation </w:t>
      </w:r>
      <w:r w:rsidR="003D48BD">
        <w:rPr>
          <w:rFonts w:cs="Times New Roman"/>
          <w:szCs w:val="24"/>
          <w:lang w:val="en-GB"/>
        </w:rPr>
        <w:t>and neoliberalism</w:t>
      </w:r>
      <w:r w:rsidRPr="00342967">
        <w:rPr>
          <w:rFonts w:cs="Times New Roman"/>
          <w:szCs w:val="24"/>
          <w:lang w:val="en-GB"/>
        </w:rPr>
        <w:t>. The theory of Social Structures of Accumulation and</w:t>
      </w:r>
      <w:r w:rsidR="00CC6FE7" w:rsidRPr="00342967">
        <w:rPr>
          <w:rFonts w:cs="Times New Roman"/>
          <w:szCs w:val="24"/>
          <w:lang w:val="en-GB"/>
        </w:rPr>
        <w:t xml:space="preserve"> the</w:t>
      </w:r>
      <w:r w:rsidRPr="00342967">
        <w:rPr>
          <w:rFonts w:cs="Times New Roman"/>
          <w:szCs w:val="24"/>
          <w:lang w:val="en-GB"/>
        </w:rPr>
        <w:t xml:space="preserve"> Gramscian</w:t>
      </w:r>
      <w:r w:rsidR="00CC6FE7" w:rsidRPr="00342967">
        <w:rPr>
          <w:rFonts w:cs="Times New Roman"/>
          <w:szCs w:val="24"/>
          <w:lang w:val="en-GB"/>
        </w:rPr>
        <w:t xml:space="preserve"> understanding of political</w:t>
      </w:r>
      <w:r w:rsidRPr="00342967">
        <w:rPr>
          <w:rFonts w:cs="Times New Roman"/>
          <w:szCs w:val="24"/>
          <w:lang w:val="en-GB"/>
        </w:rPr>
        <w:t xml:space="preserve"> agency theory will prove to be suitable for this application.</w:t>
      </w:r>
    </w:p>
    <w:p w14:paraId="69B9FF56" w14:textId="77777777" w:rsidR="00EA3394" w:rsidRPr="00342967" w:rsidRDefault="00EA3394" w:rsidP="00D904F7">
      <w:pPr>
        <w:pStyle w:val="Kop2"/>
        <w:jc w:val="both"/>
      </w:pPr>
      <w:bookmarkStart w:id="8" w:name="_Toc518333104"/>
      <w:r w:rsidRPr="00342967">
        <w:t>1.1 Traditional theories of European Integration</w:t>
      </w:r>
      <w:bookmarkEnd w:id="8"/>
    </w:p>
    <w:p w14:paraId="57824190" w14:textId="322E292A" w:rsidR="004F0DA1" w:rsidRPr="00342967" w:rsidRDefault="004F0DA1" w:rsidP="00D904F7">
      <w:pPr>
        <w:jc w:val="both"/>
        <w:rPr>
          <w:rFonts w:cs="Times New Roman"/>
          <w:szCs w:val="24"/>
          <w:lang w:val="en-GB"/>
        </w:rPr>
      </w:pPr>
      <w:r w:rsidRPr="00342967">
        <w:rPr>
          <w:lang w:val="en-GB"/>
        </w:rPr>
        <w:t xml:space="preserve">Neofunctionalism and Liberal intergovernmentalism belong to the rationalist paradigm of European integration studies. The main purpose of theories in the rationalist paradigm is to identify patterns of regularity in the social world </w:t>
      </w:r>
      <w:r w:rsidR="00922179" w:rsidRPr="00342967">
        <w:rPr>
          <w:lang w:val="en-GB"/>
        </w:rPr>
        <w:t>to</w:t>
      </w:r>
      <w:r w:rsidRPr="00342967">
        <w:rPr>
          <w:lang w:val="en-GB"/>
        </w:rPr>
        <w:t xml:space="preserve"> predict future events (Buch-Hansen, 2008, p.27). Rationalist theories often have the form of a set of causal claims that govern the social world. As a result, they narrow down the complex social world to a simplified model that can be empirically tested. With this epistemology, comes an ontology of ‘methodological individualism’. This ontology prescribes that the elementary unit of social life is the individual human action (Elster, 1989, p.13).</w:t>
      </w:r>
      <w:r w:rsidR="0009014B" w:rsidRPr="00342967">
        <w:rPr>
          <w:lang w:val="en-GB"/>
        </w:rPr>
        <w:t xml:space="preserve"> Before it is elaborated why this</w:t>
      </w:r>
      <w:r w:rsidR="00C903C6">
        <w:rPr>
          <w:lang w:val="en-GB"/>
        </w:rPr>
        <w:t xml:space="preserve"> ontology</w:t>
      </w:r>
      <w:r w:rsidR="0009014B" w:rsidRPr="00342967">
        <w:rPr>
          <w:lang w:val="en-GB"/>
        </w:rPr>
        <w:t xml:space="preserve"> is problematic, a general account of both theories </w:t>
      </w:r>
      <w:r w:rsidR="009B5BAD" w:rsidRPr="00342967">
        <w:rPr>
          <w:lang w:val="en-GB"/>
        </w:rPr>
        <w:t>follows</w:t>
      </w:r>
      <w:r w:rsidR="00C903C6">
        <w:rPr>
          <w:lang w:val="en-GB"/>
        </w:rPr>
        <w:t>.</w:t>
      </w:r>
    </w:p>
    <w:p w14:paraId="5E1990E4" w14:textId="6EFA6751" w:rsidR="00EA3394" w:rsidRPr="00342967" w:rsidRDefault="00EA3394" w:rsidP="00D904F7">
      <w:pPr>
        <w:jc w:val="both"/>
        <w:rPr>
          <w:rFonts w:cs="Times New Roman"/>
          <w:szCs w:val="24"/>
          <w:lang w:val="en-GB"/>
        </w:rPr>
      </w:pPr>
      <w:r w:rsidRPr="00342967">
        <w:rPr>
          <w:rFonts w:cs="Times New Roman"/>
          <w:szCs w:val="24"/>
          <w:lang w:val="en-GB"/>
        </w:rPr>
        <w:t>Neofunctionalism finds its intellectual roots in functionalist and federalist theories (</w:t>
      </w:r>
      <w:r w:rsidR="003944C8" w:rsidRPr="00342967">
        <w:rPr>
          <w:rFonts w:cs="Times New Roman"/>
          <w:szCs w:val="24"/>
          <w:lang w:val="en-GB"/>
        </w:rPr>
        <w:t>Haas, 1958; Lindberg</w:t>
      </w:r>
      <w:r w:rsidR="00371EA1" w:rsidRPr="00342967">
        <w:rPr>
          <w:rFonts w:cs="Times New Roman"/>
          <w:szCs w:val="24"/>
          <w:lang w:val="en-GB"/>
        </w:rPr>
        <w:t>, 1963</w:t>
      </w:r>
      <w:r w:rsidRPr="00342967">
        <w:rPr>
          <w:rFonts w:cs="Times New Roman"/>
          <w:szCs w:val="24"/>
          <w:lang w:val="en-GB"/>
        </w:rPr>
        <w:t xml:space="preserve">). At the core of the theory is the claim that integration is a continuous, self-propelling process towards a federal end goal (Van Apeldoorn </w:t>
      </w:r>
      <w:r w:rsidRPr="00342967">
        <w:rPr>
          <w:rFonts w:cs="Times New Roman"/>
          <w:i/>
          <w:szCs w:val="24"/>
          <w:lang w:val="en-GB"/>
        </w:rPr>
        <w:t>et al</w:t>
      </w:r>
      <w:r w:rsidR="005857CF">
        <w:rPr>
          <w:rFonts w:cs="Times New Roman"/>
          <w:i/>
          <w:szCs w:val="24"/>
          <w:lang w:val="en-GB"/>
        </w:rPr>
        <w:t>.</w:t>
      </w:r>
      <w:r w:rsidRPr="00342967">
        <w:rPr>
          <w:rFonts w:cs="Times New Roman"/>
          <w:i/>
          <w:szCs w:val="24"/>
          <w:lang w:val="en-GB"/>
        </w:rPr>
        <w:t>,</w:t>
      </w:r>
      <w:r w:rsidRPr="00342967">
        <w:rPr>
          <w:rFonts w:cs="Times New Roman"/>
          <w:szCs w:val="24"/>
          <w:lang w:val="en-GB"/>
        </w:rPr>
        <w:t xml:space="preserve"> 2003, p.21). In this core, its intellectual roots shine through in the (federalist) goal and (functionalist) mechanisms. The preferred end state of the theory, a federal structure, is not based on a specific social purpose but instead is justified by the fact that neofunctionalists see rational-bureaucratic technocracy as a desirable social driving force (Van Apeldoorn </w:t>
      </w:r>
      <w:r w:rsidRPr="00342967">
        <w:rPr>
          <w:rFonts w:cs="Times New Roman"/>
          <w:i/>
          <w:szCs w:val="24"/>
          <w:lang w:val="en-GB"/>
        </w:rPr>
        <w:t xml:space="preserve">et al, </w:t>
      </w:r>
      <w:r w:rsidRPr="00342967">
        <w:rPr>
          <w:rFonts w:cs="Times New Roman"/>
          <w:szCs w:val="24"/>
          <w:lang w:val="en-GB"/>
        </w:rPr>
        <w:t xml:space="preserve">2003, p.21). The self-propelling process of integration is set in motion by spillover effects. Three types of spillover can be distinguished: functional spillover, political spillover and cultivated spillover. Functional spillover refers to the functional mechanism where common policy in one sector generates the need for integration in others (Haas, 1958, p.297). Central in political spillover is a refocus from the national to the regional. Through European workgroups and committees, government officials become more interrelated and interdependent (Niemann and Schmitter, 2009, p.49). This will incentivize interest groups and government officials to move their focus from the national to the regional. Once this process has gained considerable progress, the supranational institutions will take over the agenda </w:t>
      </w:r>
      <w:r w:rsidRPr="00342967">
        <w:rPr>
          <w:rFonts w:cs="Times New Roman"/>
          <w:szCs w:val="24"/>
          <w:lang w:val="en-GB"/>
        </w:rPr>
        <w:lastRenderedPageBreak/>
        <w:t xml:space="preserve">setting function of the integration process. From that point onwards, the supranational organisations will lead the nation states rather than vice versa. This last process is called cultivated spillover (Niemann and Schmitter, p.50).  </w:t>
      </w:r>
    </w:p>
    <w:p w14:paraId="15D857E4" w14:textId="2B84A741" w:rsidR="00EA3394" w:rsidRPr="00342967" w:rsidRDefault="00EA3394" w:rsidP="00D904F7">
      <w:pPr>
        <w:jc w:val="both"/>
        <w:rPr>
          <w:rFonts w:cs="Times New Roman"/>
          <w:szCs w:val="24"/>
          <w:lang w:val="en-GB"/>
        </w:rPr>
      </w:pPr>
      <w:r w:rsidRPr="00342967">
        <w:rPr>
          <w:rFonts w:cs="Times New Roman"/>
          <w:szCs w:val="24"/>
          <w:lang w:val="en-GB"/>
        </w:rPr>
        <w:t xml:space="preserve">Neofunctionalism rejects the notion of a unitary state pursuing its interest and therefore does not see states as the sole actors in integration. Instead, integration comes about by various, diverse and changing interest groups who are not restricted to the domestic realm (Niemann and Schmitter, </w:t>
      </w:r>
      <w:r w:rsidR="00155593" w:rsidRPr="00342967">
        <w:rPr>
          <w:rFonts w:cs="Times New Roman"/>
          <w:szCs w:val="24"/>
          <w:lang w:val="en-GB"/>
        </w:rPr>
        <w:t xml:space="preserve">2009, </w:t>
      </w:r>
      <w:r w:rsidRPr="00342967">
        <w:rPr>
          <w:rFonts w:cs="Times New Roman"/>
          <w:szCs w:val="24"/>
          <w:lang w:val="en-GB"/>
        </w:rPr>
        <w:t xml:space="preserve">p.47). The interest groups are very much bound up with functionalist logic (Van Apeldoorn </w:t>
      </w:r>
      <w:r w:rsidRPr="00342967">
        <w:rPr>
          <w:rFonts w:cs="Times New Roman"/>
          <w:i/>
          <w:szCs w:val="24"/>
          <w:lang w:val="en-GB"/>
        </w:rPr>
        <w:t xml:space="preserve">et al, </w:t>
      </w:r>
      <w:r w:rsidRPr="00342967">
        <w:rPr>
          <w:rFonts w:cs="Times New Roman"/>
          <w:szCs w:val="24"/>
          <w:lang w:val="en-GB"/>
        </w:rPr>
        <w:t xml:space="preserve">2003, p.21). Interest groups develop preferences and goals to reach the predetermined end goal: a federal Europe. They do not formulate their preferences autonomously but with the aim to adapt to the inevitable result of supranationalism. Interest groups are thus seen as merely instrumental to the integration process (Van Apeldoorn </w:t>
      </w:r>
      <w:r w:rsidRPr="00342967">
        <w:rPr>
          <w:rFonts w:cs="Times New Roman"/>
          <w:i/>
          <w:szCs w:val="24"/>
          <w:lang w:val="en-GB"/>
        </w:rPr>
        <w:t xml:space="preserve">et al, </w:t>
      </w:r>
      <w:r w:rsidRPr="00342967">
        <w:rPr>
          <w:rFonts w:cs="Times New Roman"/>
          <w:szCs w:val="24"/>
          <w:lang w:val="en-GB"/>
        </w:rPr>
        <w:t xml:space="preserve">2003, p.21). That this view is too narrow is apparent. Societal actors and national governments can have very conflicting interest and ideologies potentially leading to various strategies for European integration (Van Apeldoorn </w:t>
      </w:r>
      <w:r w:rsidRPr="00342967">
        <w:rPr>
          <w:rFonts w:cs="Times New Roman"/>
          <w:i/>
          <w:szCs w:val="24"/>
          <w:lang w:val="en-GB"/>
        </w:rPr>
        <w:t xml:space="preserve">et al, </w:t>
      </w:r>
      <w:r w:rsidRPr="00342967">
        <w:rPr>
          <w:rFonts w:cs="Times New Roman"/>
          <w:szCs w:val="24"/>
          <w:lang w:val="en-GB"/>
        </w:rPr>
        <w:t xml:space="preserve">2003, p.22). In addition, no attention is paid to power differences between various societal actors and national governments. Some interest groups have undeniably more power than others and therefore also more influence on the process of European integration (Van Apeldoorn </w:t>
      </w:r>
      <w:r w:rsidRPr="00342967">
        <w:rPr>
          <w:rFonts w:cs="Times New Roman"/>
          <w:i/>
          <w:szCs w:val="24"/>
          <w:lang w:val="en-GB"/>
        </w:rPr>
        <w:t xml:space="preserve">et al, </w:t>
      </w:r>
      <w:r w:rsidRPr="00342967">
        <w:rPr>
          <w:rFonts w:cs="Times New Roman"/>
          <w:szCs w:val="24"/>
          <w:lang w:val="en-GB"/>
        </w:rPr>
        <w:t>2003, p.22).</w:t>
      </w:r>
    </w:p>
    <w:p w14:paraId="27B0903C" w14:textId="0958F0A1" w:rsidR="00EA3394" w:rsidRPr="00342967" w:rsidRDefault="00EA3394" w:rsidP="00D904F7">
      <w:pPr>
        <w:jc w:val="both"/>
        <w:rPr>
          <w:rFonts w:cs="Times New Roman"/>
          <w:szCs w:val="24"/>
          <w:lang w:val="en-GB"/>
        </w:rPr>
      </w:pPr>
      <w:r w:rsidRPr="00342967">
        <w:rPr>
          <w:rFonts w:cs="Times New Roman"/>
          <w:szCs w:val="24"/>
          <w:lang w:val="en-GB"/>
        </w:rPr>
        <w:t>Liberal intergovernmentalism (LI) is a merger between liberal domestic theory of preference formation and an intergovernmentalist theory of interstate bargaining (</w:t>
      </w:r>
      <w:r w:rsidR="00073D40" w:rsidRPr="00342967">
        <w:rPr>
          <w:rFonts w:cs="Times New Roman"/>
          <w:szCs w:val="24"/>
          <w:lang w:val="en-GB"/>
        </w:rPr>
        <w:t>Moravcsik, 1993</w:t>
      </w:r>
      <w:r w:rsidRPr="00342967">
        <w:rPr>
          <w:rFonts w:cs="Times New Roman"/>
          <w:szCs w:val="24"/>
          <w:lang w:val="en-GB"/>
        </w:rPr>
        <w:t xml:space="preserve">). The inclusion of liberal domestic theory </w:t>
      </w:r>
      <w:r w:rsidR="00E53B63" w:rsidRPr="00342967">
        <w:rPr>
          <w:rFonts w:cs="Times New Roman"/>
          <w:szCs w:val="24"/>
          <w:lang w:val="en-GB"/>
        </w:rPr>
        <w:t>makes it possible to open the</w:t>
      </w:r>
      <w:r w:rsidRPr="00342967">
        <w:rPr>
          <w:rFonts w:cs="Times New Roman"/>
          <w:szCs w:val="24"/>
          <w:lang w:val="en-GB"/>
        </w:rPr>
        <w:t xml:space="preserve"> black box of the unitary state with the aim to explain variation in substantive and institutional outcomes (Van Apeldoorn </w:t>
      </w:r>
      <w:r w:rsidRPr="00342967">
        <w:rPr>
          <w:rFonts w:cs="Times New Roman"/>
          <w:i/>
          <w:szCs w:val="24"/>
          <w:lang w:val="en-GB"/>
        </w:rPr>
        <w:t>et al</w:t>
      </w:r>
      <w:r w:rsidRPr="00342967">
        <w:rPr>
          <w:rFonts w:cs="Times New Roman"/>
          <w:szCs w:val="24"/>
          <w:lang w:val="en-GB"/>
        </w:rPr>
        <w:t xml:space="preserve">, 2003, p.24). The integration process occurs in three stages which makes </w:t>
      </w:r>
      <w:r w:rsidR="00FC51E5" w:rsidRPr="00342967">
        <w:rPr>
          <w:rFonts w:cs="Times New Roman"/>
          <w:szCs w:val="24"/>
          <w:lang w:val="en-GB"/>
        </w:rPr>
        <w:t>liberal intergovernmentalism</w:t>
      </w:r>
      <w:r w:rsidRPr="00342967">
        <w:rPr>
          <w:rFonts w:cs="Times New Roman"/>
          <w:szCs w:val="24"/>
          <w:lang w:val="en-GB"/>
        </w:rPr>
        <w:t xml:space="preserve"> a theoretical framework rather than a narrow theory that can explain a single political outcome (Morav</w:t>
      </w:r>
      <w:r w:rsidR="00FC51E5" w:rsidRPr="00342967">
        <w:rPr>
          <w:rFonts w:cs="Times New Roman"/>
          <w:szCs w:val="24"/>
          <w:lang w:val="en-GB"/>
        </w:rPr>
        <w:t>cs</w:t>
      </w:r>
      <w:r w:rsidRPr="00342967">
        <w:rPr>
          <w:rFonts w:cs="Times New Roman"/>
          <w:szCs w:val="24"/>
          <w:lang w:val="en-GB"/>
        </w:rPr>
        <w:t xml:space="preserve">ik and Schimmelfennig, </w:t>
      </w:r>
      <w:r w:rsidR="009025C3" w:rsidRPr="00342967">
        <w:rPr>
          <w:rFonts w:cs="Times New Roman"/>
          <w:szCs w:val="24"/>
          <w:lang w:val="en-GB"/>
        </w:rPr>
        <w:t xml:space="preserve">2009, </w:t>
      </w:r>
      <w:r w:rsidRPr="00342967">
        <w:rPr>
          <w:rFonts w:cs="Times New Roman"/>
          <w:szCs w:val="24"/>
          <w:lang w:val="en-GB"/>
        </w:rPr>
        <w:t>p.68).  In the first stage, states formulate their preferences. Preferences come about through competition between various domestic interest groups and societal actors (Morav</w:t>
      </w:r>
      <w:r w:rsidR="00FC51E5" w:rsidRPr="00342967">
        <w:rPr>
          <w:rFonts w:cs="Times New Roman"/>
          <w:szCs w:val="24"/>
          <w:lang w:val="en-GB"/>
        </w:rPr>
        <w:t>cs</w:t>
      </w:r>
      <w:r w:rsidRPr="00342967">
        <w:rPr>
          <w:rFonts w:cs="Times New Roman"/>
          <w:szCs w:val="24"/>
          <w:lang w:val="en-GB"/>
        </w:rPr>
        <w:t>ik and Schimmelfennig,</w:t>
      </w:r>
      <w:r w:rsidR="00282E38" w:rsidRPr="00342967">
        <w:rPr>
          <w:rFonts w:cs="Times New Roman"/>
          <w:szCs w:val="24"/>
          <w:lang w:val="en-GB"/>
        </w:rPr>
        <w:t xml:space="preserve"> 2009,</w:t>
      </w:r>
      <w:r w:rsidRPr="00342967">
        <w:rPr>
          <w:rFonts w:cs="Times New Roman"/>
          <w:szCs w:val="24"/>
          <w:lang w:val="en-GB"/>
        </w:rPr>
        <w:t xml:space="preserve"> p.68). In the second stage, bargaining takes place. The preferences of states rarely convergence and it is therefore that negotiation is necessary to achieve cooperation. On which terms cooperation comes about depends on the relative bargaining position of states. Generally, the bargaining position of a state is determined by the potential gains of cooperation. States that have relatively little to gain from </w:t>
      </w:r>
      <w:r w:rsidRPr="00342967">
        <w:rPr>
          <w:rFonts w:cs="Times New Roman"/>
          <w:szCs w:val="24"/>
          <w:lang w:val="en-GB"/>
        </w:rPr>
        <w:lastRenderedPageBreak/>
        <w:t>cooperation can coerce others by threatening with non-cooperation and thereby forcing the states that stand to gain a great deal to make concessions (Morav</w:t>
      </w:r>
      <w:r w:rsidR="00821CD4" w:rsidRPr="00342967">
        <w:rPr>
          <w:rFonts w:cs="Times New Roman"/>
          <w:szCs w:val="24"/>
          <w:lang w:val="en-GB"/>
        </w:rPr>
        <w:t>csi</w:t>
      </w:r>
      <w:r w:rsidRPr="00342967">
        <w:rPr>
          <w:rFonts w:cs="Times New Roman"/>
          <w:szCs w:val="24"/>
          <w:lang w:val="en-GB"/>
        </w:rPr>
        <w:t>k and Schimmelfennig, 2009, p.71). Once preferences have been formulated and bargaining has finished, cooperation materializes through institutions. Institutions are a necessary condition for durable cooperation amongst states (Morav</w:t>
      </w:r>
      <w:r w:rsidR="00821CD4" w:rsidRPr="00342967">
        <w:rPr>
          <w:rFonts w:cs="Times New Roman"/>
          <w:szCs w:val="24"/>
          <w:lang w:val="en-GB"/>
        </w:rPr>
        <w:t>cs</w:t>
      </w:r>
      <w:r w:rsidRPr="00342967">
        <w:rPr>
          <w:rFonts w:cs="Times New Roman"/>
          <w:szCs w:val="24"/>
          <w:lang w:val="en-GB"/>
        </w:rPr>
        <w:t>ik and Schimmelfennig, 2009, p.72). These are also the institutions that end up guiding the agency of the agents involved. The application and operationalisation of LI is issue specific. Preference formulation, bargaining and constructing of institutions all depend on the subject and can vary accordingly. Bargaining positions are, just like preferences, therefore also not fixed. Where on the one subject a state can have a strong position, it can have a weak position on the other.</w:t>
      </w:r>
    </w:p>
    <w:p w14:paraId="1CB88939" w14:textId="66231570" w:rsidR="00FD13B4" w:rsidRPr="00342967" w:rsidRDefault="00EA3394" w:rsidP="00FD13B4">
      <w:pPr>
        <w:jc w:val="both"/>
        <w:rPr>
          <w:lang w:val="en-GB"/>
        </w:rPr>
      </w:pPr>
      <w:r w:rsidRPr="00342967">
        <w:rPr>
          <w:rFonts w:cs="Times New Roman"/>
          <w:szCs w:val="24"/>
          <w:lang w:val="en-GB"/>
        </w:rPr>
        <w:t xml:space="preserve">What sets LI apart from Neofunctionalism is that it includes a theorization of preference formation. Where in Neofunctionalism preference formation is very much set in stone as it is assumed that all actors want the same end goal, in LI preferences can vary depending on the topic. As a result, the outcomes of the European integration process are therefore not fixed. A state determines its preference by aggregating all domestic preference in one coherent position. </w:t>
      </w:r>
      <w:r w:rsidR="001E2177" w:rsidRPr="00342967">
        <w:rPr>
          <w:rFonts w:cs="Times New Roman"/>
          <w:szCs w:val="24"/>
          <w:lang w:val="en-GB"/>
        </w:rPr>
        <w:t>Nonetheless, liberal intergovernmentalism does not contain a true notion of agency</w:t>
      </w:r>
      <w:r w:rsidR="0080795B" w:rsidRPr="00342967">
        <w:rPr>
          <w:rFonts w:cs="Times New Roman"/>
          <w:szCs w:val="24"/>
          <w:lang w:val="en-GB"/>
        </w:rPr>
        <w:t>, just as much as neofunctionalism does not</w:t>
      </w:r>
      <w:r w:rsidR="004D4415" w:rsidRPr="00342967">
        <w:rPr>
          <w:rFonts w:cs="Times New Roman"/>
          <w:szCs w:val="24"/>
          <w:lang w:val="en-GB"/>
        </w:rPr>
        <w:t>. This weakness is inherent to belonging</w:t>
      </w:r>
      <w:r w:rsidR="006F07BE" w:rsidRPr="00342967">
        <w:rPr>
          <w:rFonts w:cs="Times New Roman"/>
          <w:szCs w:val="24"/>
          <w:lang w:val="en-GB"/>
        </w:rPr>
        <w:t xml:space="preserve"> to the rationalist </w:t>
      </w:r>
      <w:r w:rsidR="004D4415" w:rsidRPr="00342967">
        <w:rPr>
          <w:rFonts w:cs="Times New Roman"/>
          <w:szCs w:val="24"/>
          <w:lang w:val="en-GB"/>
        </w:rPr>
        <w:t>paradigm.</w:t>
      </w:r>
      <w:r w:rsidR="0080795B" w:rsidRPr="00342967">
        <w:rPr>
          <w:rFonts w:cs="Times New Roman"/>
          <w:szCs w:val="24"/>
          <w:lang w:val="en-GB"/>
        </w:rPr>
        <w:t xml:space="preserve"> In the rationalist </w:t>
      </w:r>
      <w:r w:rsidR="00932F06" w:rsidRPr="00342967">
        <w:rPr>
          <w:rFonts w:cs="Times New Roman"/>
          <w:szCs w:val="24"/>
          <w:lang w:val="en-GB"/>
        </w:rPr>
        <w:t>paradigm the i</w:t>
      </w:r>
      <w:r w:rsidR="00FD13B4" w:rsidRPr="00342967">
        <w:rPr>
          <w:lang w:val="en-GB"/>
        </w:rPr>
        <w:t xml:space="preserve">ndividual is a rational human being that acts in a predictable fashion and is always seeking to maximize its utility. </w:t>
      </w:r>
      <w:r w:rsidR="00BB14BE">
        <w:rPr>
          <w:lang w:val="en-GB"/>
        </w:rPr>
        <w:t>I</w:t>
      </w:r>
      <w:r w:rsidR="00FD13B4" w:rsidRPr="00342967">
        <w:rPr>
          <w:lang w:val="en-GB"/>
        </w:rPr>
        <w:t>t also implies that the individual is always aware of the context in which it operates and that it fully understands the consequences of its actions (Buch-Hansen, 2008, p.27). There is, therefore, no variation among individuals; they all act in the same way when confronted with a similar situation. According to realist, this conception of the individual is merely a heuristic device, not a realist representation of the individual and it agency (Keohane, 1984, p.70). Nonetheless, this conception of the individual in rationalist theories is problematic because this distinction is only made in discourse, not in the actual application and interpretation of the theories. Consequently, the assumptions about the individual and agency tr</w:t>
      </w:r>
      <w:r w:rsidR="00932F06" w:rsidRPr="00342967">
        <w:rPr>
          <w:lang w:val="en-GB"/>
        </w:rPr>
        <w:t>a</w:t>
      </w:r>
      <w:r w:rsidR="00FD13B4" w:rsidRPr="00342967">
        <w:rPr>
          <w:lang w:val="en-GB"/>
        </w:rPr>
        <w:t xml:space="preserve">nslate into a social ontology that affects the content of rationalist theory (Buch-Hansen, 2008, p.28). </w:t>
      </w:r>
    </w:p>
    <w:p w14:paraId="6E74FEC2" w14:textId="7EA385A9" w:rsidR="00FD13B4" w:rsidRPr="00342967" w:rsidRDefault="00FD13B4" w:rsidP="00FD13B4">
      <w:pPr>
        <w:jc w:val="both"/>
        <w:rPr>
          <w:rFonts w:eastAsia="Times New Roman" w:cs="Times New Roman"/>
          <w:lang w:val="en-GB"/>
        </w:rPr>
      </w:pPr>
      <w:r w:rsidRPr="00342967">
        <w:rPr>
          <w:rFonts w:eastAsia="Times New Roman" w:cs="Times New Roman"/>
          <w:lang w:val="en-GB"/>
        </w:rPr>
        <w:t xml:space="preserve">It is because of this conception of agency that theories belonging to the rationalist paradigm are structuralist perspectives with a structural bias. It is already known how an agent is going to behave given the context as he is a utility maximizing, perfectly predictable, computing individual </w:t>
      </w:r>
      <w:r w:rsidRPr="00342967">
        <w:rPr>
          <w:rFonts w:eastAsia="Times New Roman" w:cs="Times New Roman"/>
          <w:lang w:val="en-GB"/>
        </w:rPr>
        <w:lastRenderedPageBreak/>
        <w:t xml:space="preserve">(Hindess, 1984, p.270). In other words, there is no variation among individual agents operating in the same context. </w:t>
      </w:r>
      <w:r w:rsidRPr="00342967">
        <w:rPr>
          <w:lang w:val="en-GB"/>
        </w:rPr>
        <w:t>What naturally flows from this is that to understand the behaviour of the individual it is not necessary to look at the actual agent but only at the context (Buch-Hansen, 2008</w:t>
      </w:r>
      <w:r w:rsidR="008F6701">
        <w:rPr>
          <w:lang w:val="en-GB"/>
        </w:rPr>
        <w:t>, p.28</w:t>
      </w:r>
      <w:r w:rsidRPr="00342967">
        <w:rPr>
          <w:lang w:val="en-GB"/>
        </w:rPr>
        <w:t>). Therefore, neofunctionalism and liberal intergovernmentalism, are not concerned with actual agency but with structures that determine the behaviour of individuals.</w:t>
      </w:r>
    </w:p>
    <w:p w14:paraId="204EF3A9" w14:textId="7E482FFF" w:rsidR="00EA3394" w:rsidRPr="00342967" w:rsidRDefault="00F73A8B" w:rsidP="00D904F7">
      <w:pPr>
        <w:jc w:val="both"/>
        <w:rPr>
          <w:rFonts w:cs="Times New Roman"/>
          <w:szCs w:val="24"/>
          <w:lang w:val="en-GB"/>
        </w:rPr>
      </w:pPr>
      <w:r w:rsidRPr="00342967">
        <w:rPr>
          <w:rFonts w:cs="Times New Roman"/>
          <w:szCs w:val="24"/>
          <w:lang w:val="en-GB"/>
        </w:rPr>
        <w:t>M</w:t>
      </w:r>
      <w:r w:rsidR="00816F29" w:rsidRPr="00342967">
        <w:rPr>
          <w:rFonts w:cs="Times New Roman"/>
          <w:szCs w:val="24"/>
          <w:lang w:val="en-GB"/>
        </w:rPr>
        <w:t xml:space="preserve">oravcsik argues that this problem with agency is not an urgent one </w:t>
      </w:r>
      <w:r w:rsidR="00D64F6E" w:rsidRPr="00342967">
        <w:rPr>
          <w:rFonts w:cs="Times New Roman"/>
          <w:szCs w:val="24"/>
          <w:lang w:val="en-GB"/>
        </w:rPr>
        <w:t xml:space="preserve">in Liberal Intergovernmentalism </w:t>
      </w:r>
      <w:r w:rsidR="00483F10">
        <w:rPr>
          <w:rFonts w:cs="Times New Roman"/>
          <w:szCs w:val="24"/>
          <w:lang w:val="en-GB"/>
        </w:rPr>
        <w:t xml:space="preserve">as </w:t>
      </w:r>
      <w:r w:rsidR="00D64F6E" w:rsidRPr="00342967">
        <w:rPr>
          <w:rFonts w:cs="Times New Roman"/>
          <w:szCs w:val="24"/>
          <w:lang w:val="en-GB"/>
        </w:rPr>
        <w:t>a structural theory of preference formation is employed</w:t>
      </w:r>
      <w:r w:rsidR="004C7B76" w:rsidRPr="00342967">
        <w:rPr>
          <w:rFonts w:cs="Times New Roman"/>
          <w:szCs w:val="24"/>
          <w:lang w:val="en-GB"/>
        </w:rPr>
        <w:t xml:space="preserve"> (Moravcsik, 1999, p.377)</w:t>
      </w:r>
      <w:r w:rsidR="00AC5343" w:rsidRPr="00342967">
        <w:rPr>
          <w:rFonts w:cs="Times New Roman"/>
          <w:szCs w:val="24"/>
          <w:lang w:val="en-GB"/>
        </w:rPr>
        <w:t xml:space="preserve">. This implies that structures such as trade flows, competitiveness and inflation rates predict </w:t>
      </w:r>
      <w:r w:rsidR="0004770F" w:rsidRPr="00342967">
        <w:rPr>
          <w:rFonts w:cs="Times New Roman"/>
          <w:szCs w:val="24"/>
          <w:lang w:val="en-GB"/>
        </w:rPr>
        <w:t>what the economic preferences of individuals and governments are (</w:t>
      </w:r>
      <w:r w:rsidR="00C156F5" w:rsidRPr="00342967">
        <w:rPr>
          <w:rFonts w:cs="Times New Roman"/>
          <w:szCs w:val="24"/>
          <w:lang w:val="en-GB"/>
        </w:rPr>
        <w:t>Moravcsik, 1999, p.377</w:t>
      </w:r>
      <w:r w:rsidR="0004770F" w:rsidRPr="00342967">
        <w:rPr>
          <w:rFonts w:cs="Times New Roman"/>
          <w:szCs w:val="24"/>
          <w:lang w:val="en-GB"/>
        </w:rPr>
        <w:t>)</w:t>
      </w:r>
      <w:r w:rsidR="009A0019" w:rsidRPr="00342967">
        <w:rPr>
          <w:rFonts w:cs="Times New Roman"/>
          <w:szCs w:val="24"/>
          <w:lang w:val="en-GB"/>
        </w:rPr>
        <w:t>.</w:t>
      </w:r>
      <w:r w:rsidR="0004770F" w:rsidRPr="00342967">
        <w:rPr>
          <w:rFonts w:cs="Times New Roman"/>
          <w:szCs w:val="24"/>
          <w:lang w:val="en-GB"/>
        </w:rPr>
        <w:t xml:space="preserve"> </w:t>
      </w:r>
      <w:r w:rsidR="003A47E2" w:rsidRPr="00342967">
        <w:rPr>
          <w:rFonts w:cs="Times New Roman"/>
          <w:szCs w:val="24"/>
          <w:lang w:val="en-GB"/>
        </w:rPr>
        <w:t xml:space="preserve">Because preferences are derived from economic structures, changes in these structures are what </w:t>
      </w:r>
      <w:r w:rsidR="00DB1133" w:rsidRPr="00342967">
        <w:rPr>
          <w:rFonts w:cs="Times New Roman"/>
          <w:szCs w:val="24"/>
          <w:lang w:val="en-GB"/>
        </w:rPr>
        <w:t>determines changes in preferences.</w:t>
      </w:r>
      <w:r w:rsidR="00AC7817" w:rsidRPr="00342967">
        <w:rPr>
          <w:rFonts w:cs="Times New Roman"/>
          <w:szCs w:val="24"/>
          <w:lang w:val="en-GB"/>
        </w:rPr>
        <w:t xml:space="preserve"> Why this</w:t>
      </w:r>
      <w:r w:rsidR="007A60B1" w:rsidRPr="00342967">
        <w:rPr>
          <w:rFonts w:cs="Times New Roman"/>
          <w:szCs w:val="24"/>
          <w:lang w:val="en-GB"/>
        </w:rPr>
        <w:t xml:space="preserve"> remains</w:t>
      </w:r>
      <w:r w:rsidR="00AC7817" w:rsidRPr="00342967">
        <w:rPr>
          <w:rFonts w:cs="Times New Roman"/>
          <w:szCs w:val="24"/>
          <w:lang w:val="en-GB"/>
        </w:rPr>
        <w:t xml:space="preserve"> problematic is that changes in these structures are not theorized in Liberal Intergovernmentalism at all </w:t>
      </w:r>
      <w:r w:rsidR="00EA3394" w:rsidRPr="00342967">
        <w:rPr>
          <w:rFonts w:cs="Times New Roman"/>
          <w:szCs w:val="24"/>
          <w:lang w:val="en-GB"/>
        </w:rPr>
        <w:t>(Buch-Hansen, 200</w:t>
      </w:r>
      <w:r w:rsidR="00E377C1" w:rsidRPr="00342967">
        <w:rPr>
          <w:rFonts w:cs="Times New Roman"/>
          <w:szCs w:val="24"/>
          <w:lang w:val="en-GB"/>
        </w:rPr>
        <w:t>8</w:t>
      </w:r>
      <w:r w:rsidR="00EA3394" w:rsidRPr="00342967">
        <w:rPr>
          <w:rFonts w:cs="Times New Roman"/>
          <w:szCs w:val="24"/>
          <w:lang w:val="en-GB"/>
        </w:rPr>
        <w:t xml:space="preserve">, p.30). </w:t>
      </w:r>
      <w:r w:rsidR="00E80162" w:rsidRPr="00342967">
        <w:rPr>
          <w:rFonts w:cs="Times New Roman"/>
          <w:szCs w:val="24"/>
          <w:lang w:val="en-GB"/>
        </w:rPr>
        <w:t>A</w:t>
      </w:r>
      <w:r w:rsidR="00895A08" w:rsidRPr="00342967">
        <w:rPr>
          <w:rFonts w:cs="Times New Roman"/>
          <w:szCs w:val="24"/>
          <w:lang w:val="en-GB"/>
        </w:rPr>
        <w:t xml:space="preserve">gency is not included in the </w:t>
      </w:r>
      <w:r w:rsidR="009D6427" w:rsidRPr="00342967">
        <w:rPr>
          <w:rFonts w:cs="Times New Roman"/>
          <w:szCs w:val="24"/>
          <w:lang w:val="en-GB"/>
        </w:rPr>
        <w:t>theory,</w:t>
      </w:r>
      <w:r w:rsidR="00895A08" w:rsidRPr="00342967">
        <w:rPr>
          <w:rFonts w:cs="Times New Roman"/>
          <w:szCs w:val="24"/>
          <w:lang w:val="en-GB"/>
        </w:rPr>
        <w:t xml:space="preserve"> </w:t>
      </w:r>
      <w:r w:rsidR="009D6427" w:rsidRPr="00342967">
        <w:rPr>
          <w:rFonts w:cs="Times New Roman"/>
          <w:szCs w:val="24"/>
          <w:lang w:val="en-GB"/>
        </w:rPr>
        <w:t>and</w:t>
      </w:r>
      <w:r w:rsidR="00895A08" w:rsidRPr="00342967">
        <w:rPr>
          <w:rFonts w:cs="Times New Roman"/>
          <w:szCs w:val="24"/>
          <w:lang w:val="en-GB"/>
        </w:rPr>
        <w:t xml:space="preserve"> preference</w:t>
      </w:r>
      <w:r w:rsidR="00E80162" w:rsidRPr="00342967">
        <w:rPr>
          <w:rFonts w:cs="Times New Roman"/>
          <w:szCs w:val="24"/>
          <w:lang w:val="en-GB"/>
        </w:rPr>
        <w:t>s</w:t>
      </w:r>
      <w:r w:rsidR="00895A08" w:rsidRPr="00342967">
        <w:rPr>
          <w:rFonts w:cs="Times New Roman"/>
          <w:szCs w:val="24"/>
          <w:lang w:val="en-GB"/>
        </w:rPr>
        <w:t xml:space="preserve"> derived from structures that should replace agency </w:t>
      </w:r>
      <w:r w:rsidR="00E80162" w:rsidRPr="00342967">
        <w:rPr>
          <w:rFonts w:cs="Times New Roman"/>
          <w:szCs w:val="24"/>
          <w:lang w:val="en-GB"/>
        </w:rPr>
        <w:t>are</w:t>
      </w:r>
      <w:r w:rsidR="00895A08" w:rsidRPr="00342967">
        <w:rPr>
          <w:rFonts w:cs="Times New Roman"/>
          <w:szCs w:val="24"/>
          <w:lang w:val="en-GB"/>
        </w:rPr>
        <w:t xml:space="preserve"> also not included.</w:t>
      </w:r>
      <w:r w:rsidR="00E80162" w:rsidRPr="00342967">
        <w:rPr>
          <w:rFonts w:cs="Times New Roman"/>
          <w:szCs w:val="24"/>
          <w:lang w:val="en-GB"/>
        </w:rPr>
        <w:t xml:space="preserve"> Consequently, </w:t>
      </w:r>
      <w:r w:rsidR="007A60B1" w:rsidRPr="00342967">
        <w:rPr>
          <w:rFonts w:cs="Times New Roman"/>
          <w:szCs w:val="24"/>
          <w:lang w:val="en-GB"/>
        </w:rPr>
        <w:t xml:space="preserve">the </w:t>
      </w:r>
      <w:r w:rsidR="00E80162" w:rsidRPr="00342967">
        <w:rPr>
          <w:rFonts w:cs="Times New Roman"/>
          <w:szCs w:val="24"/>
          <w:lang w:val="en-GB"/>
        </w:rPr>
        <w:t>theory of Liberal intergovernmentalism is severely flawed.</w:t>
      </w:r>
      <w:r w:rsidR="00787F36" w:rsidRPr="00342967">
        <w:rPr>
          <w:rFonts w:cs="Times New Roman"/>
          <w:szCs w:val="24"/>
          <w:lang w:val="en-GB"/>
        </w:rPr>
        <w:t xml:space="preserve"> </w:t>
      </w:r>
      <w:r w:rsidR="00EA3394" w:rsidRPr="00342967">
        <w:rPr>
          <w:rFonts w:cs="Times New Roman"/>
          <w:szCs w:val="24"/>
          <w:lang w:val="en-GB"/>
        </w:rPr>
        <w:t xml:space="preserve">In addition, the conception of society and state-society relations in Liberal Intergovernmentalism are rather limited. The actors involved in preference formation are all assumed to be perfectly rational and to be capable of voicing their preference, that is, not to be hindered by any power differences between actors. In other words, the theory has a very clinical view of domestic politics and completely ignores structural power relations (Van Apeldoorn </w:t>
      </w:r>
      <w:r w:rsidR="00EA3394" w:rsidRPr="00342967">
        <w:rPr>
          <w:rFonts w:cs="Times New Roman"/>
          <w:i/>
          <w:szCs w:val="24"/>
          <w:lang w:val="en-GB"/>
        </w:rPr>
        <w:t xml:space="preserve">et al, </w:t>
      </w:r>
      <w:r w:rsidR="00EA3394" w:rsidRPr="00342967">
        <w:rPr>
          <w:rFonts w:cs="Times New Roman"/>
          <w:szCs w:val="24"/>
          <w:lang w:val="en-GB"/>
        </w:rPr>
        <w:t>2003, p.25). The conception of the theory of state-society relations is reduced to a market place where societal arrangements are the result of exchange of choices (</w:t>
      </w:r>
      <w:r w:rsidR="00C156F5" w:rsidRPr="00342967">
        <w:rPr>
          <w:rFonts w:cs="Times New Roman"/>
          <w:szCs w:val="24"/>
          <w:lang w:val="en-GB"/>
        </w:rPr>
        <w:t xml:space="preserve">Van Apeldoorn </w:t>
      </w:r>
      <w:r w:rsidR="00C156F5" w:rsidRPr="00342967">
        <w:rPr>
          <w:rFonts w:cs="Times New Roman"/>
          <w:i/>
          <w:szCs w:val="24"/>
          <w:lang w:val="en-GB"/>
        </w:rPr>
        <w:t xml:space="preserve">et al, </w:t>
      </w:r>
      <w:r w:rsidR="00C156F5" w:rsidRPr="00342967">
        <w:rPr>
          <w:rFonts w:cs="Times New Roman"/>
          <w:szCs w:val="24"/>
          <w:lang w:val="en-GB"/>
        </w:rPr>
        <w:t>2003, p.25</w:t>
      </w:r>
      <w:r w:rsidR="00EA3394" w:rsidRPr="00342967">
        <w:rPr>
          <w:rFonts w:cs="Times New Roman"/>
          <w:szCs w:val="24"/>
          <w:lang w:val="en-GB"/>
        </w:rPr>
        <w:t xml:space="preserve">). </w:t>
      </w:r>
    </w:p>
    <w:p w14:paraId="0FE6682C" w14:textId="420B7EA2" w:rsidR="00EA3394" w:rsidRPr="00342967" w:rsidRDefault="00EA3394" w:rsidP="00D904F7">
      <w:pPr>
        <w:jc w:val="both"/>
        <w:rPr>
          <w:rFonts w:cs="Times New Roman"/>
          <w:szCs w:val="24"/>
          <w:lang w:val="en-GB"/>
        </w:rPr>
      </w:pPr>
      <w:r w:rsidRPr="00342967">
        <w:rPr>
          <w:rFonts w:cs="Times New Roman"/>
          <w:szCs w:val="24"/>
          <w:lang w:val="en-GB"/>
        </w:rPr>
        <w:t xml:space="preserve">Besides the fact that the </w:t>
      </w:r>
      <w:r w:rsidR="009E3F75" w:rsidRPr="00342967">
        <w:rPr>
          <w:rFonts w:cs="Times New Roman"/>
          <w:szCs w:val="24"/>
          <w:lang w:val="en-GB"/>
        </w:rPr>
        <w:t>liberal intergovernmentalism and neofunctionalism</w:t>
      </w:r>
      <w:r w:rsidRPr="00342967">
        <w:rPr>
          <w:rFonts w:cs="Times New Roman"/>
          <w:szCs w:val="24"/>
          <w:lang w:val="en-GB"/>
        </w:rPr>
        <w:t xml:space="preserve"> are limited in their conceptualisation of agency they also have a clear normative aspect to them. Economic and political integration are a priori idealized as the ‘rational’ (Cafruny and Ryner, 2009, p.221).  Since both theories assume rationality, it naturally follows that states will always seek to expand integration. </w:t>
      </w:r>
      <w:r w:rsidR="00EE24D0">
        <w:rPr>
          <w:rFonts w:cs="Times New Roman"/>
          <w:szCs w:val="24"/>
          <w:lang w:val="en-GB"/>
        </w:rPr>
        <w:t>Therefore</w:t>
      </w:r>
      <w:r w:rsidRPr="00342967">
        <w:rPr>
          <w:rFonts w:cs="Times New Roman"/>
          <w:szCs w:val="24"/>
          <w:lang w:val="en-GB"/>
        </w:rPr>
        <w:t xml:space="preserve">, these theories are aimed </w:t>
      </w:r>
      <w:r w:rsidR="00661B8E">
        <w:rPr>
          <w:rFonts w:cs="Times New Roman"/>
          <w:szCs w:val="24"/>
          <w:lang w:val="en-GB"/>
        </w:rPr>
        <w:t xml:space="preserve">at </w:t>
      </w:r>
      <w:r w:rsidRPr="00342967">
        <w:rPr>
          <w:rFonts w:cs="Times New Roman"/>
          <w:szCs w:val="24"/>
          <w:lang w:val="en-GB"/>
        </w:rPr>
        <w:t xml:space="preserve">spelling out the conditions under which a politics of rationality could emerge that will aid the integration process. Instead of questioning the validity of integration, they take the desirability </w:t>
      </w:r>
      <w:r w:rsidR="00661B8E">
        <w:rPr>
          <w:rFonts w:cs="Times New Roman"/>
          <w:szCs w:val="24"/>
          <w:lang w:val="en-GB"/>
        </w:rPr>
        <w:t>of</w:t>
      </w:r>
      <w:r w:rsidRPr="00342967">
        <w:rPr>
          <w:rFonts w:cs="Times New Roman"/>
          <w:szCs w:val="24"/>
          <w:lang w:val="en-GB"/>
        </w:rPr>
        <w:t xml:space="preserve"> integration </w:t>
      </w:r>
      <w:r w:rsidR="00855D05" w:rsidRPr="00342967">
        <w:rPr>
          <w:rFonts w:cs="Times New Roman"/>
          <w:szCs w:val="24"/>
          <w:lang w:val="en-GB"/>
        </w:rPr>
        <w:t>for granted</w:t>
      </w:r>
      <w:r w:rsidRPr="00342967">
        <w:rPr>
          <w:rFonts w:cs="Times New Roman"/>
          <w:szCs w:val="24"/>
          <w:lang w:val="en-GB"/>
        </w:rPr>
        <w:t xml:space="preserve"> (Cafruny and Ryner,</w:t>
      </w:r>
      <w:r w:rsidR="00A60E9D" w:rsidRPr="00342967">
        <w:rPr>
          <w:rFonts w:cs="Times New Roman"/>
          <w:szCs w:val="24"/>
          <w:lang w:val="en-GB"/>
        </w:rPr>
        <w:t xml:space="preserve"> 2009, </w:t>
      </w:r>
      <w:r w:rsidRPr="00342967">
        <w:rPr>
          <w:rFonts w:cs="Times New Roman"/>
          <w:szCs w:val="24"/>
          <w:lang w:val="en-GB"/>
        </w:rPr>
        <w:t xml:space="preserve">p.223). </w:t>
      </w:r>
    </w:p>
    <w:p w14:paraId="1537284B" w14:textId="75F718CE" w:rsidR="00EA3394" w:rsidRPr="00342967" w:rsidRDefault="003E1CBD" w:rsidP="00D904F7">
      <w:pPr>
        <w:jc w:val="both"/>
        <w:rPr>
          <w:rFonts w:cs="Times New Roman"/>
          <w:szCs w:val="24"/>
        </w:rPr>
      </w:pPr>
      <w:r w:rsidRPr="00342967">
        <w:rPr>
          <w:rFonts w:cs="Times New Roman"/>
          <w:szCs w:val="24"/>
          <w:lang w:val="en-GB"/>
        </w:rPr>
        <w:lastRenderedPageBreak/>
        <w:t xml:space="preserve">Critical theory on the other hand, does not contain these weaknesses. </w:t>
      </w:r>
      <w:r w:rsidR="00426383" w:rsidRPr="00342967">
        <w:rPr>
          <w:rFonts w:cs="Times New Roman"/>
          <w:szCs w:val="24"/>
          <w:lang w:val="en-GB"/>
        </w:rPr>
        <w:t xml:space="preserve">There is no paradigm in critical theory that </w:t>
      </w:r>
      <w:r w:rsidR="000E5562" w:rsidRPr="00342967">
        <w:rPr>
          <w:rFonts w:cs="Times New Roman"/>
          <w:szCs w:val="24"/>
          <w:lang w:val="en-GB"/>
        </w:rPr>
        <w:t>has a preconception about how individuals ought to behave. Critical theory begins from the realisation that to m</w:t>
      </w:r>
      <w:r w:rsidR="00EA3394" w:rsidRPr="00342967">
        <w:rPr>
          <w:rFonts w:cs="Times New Roman"/>
          <w:szCs w:val="24"/>
        </w:rPr>
        <w:t>ak</w:t>
      </w:r>
      <w:r w:rsidR="000E5562" w:rsidRPr="00342967">
        <w:rPr>
          <w:rFonts w:cs="Times New Roman"/>
          <w:szCs w:val="24"/>
        </w:rPr>
        <w:t>e</w:t>
      </w:r>
      <w:r w:rsidR="00EA3394" w:rsidRPr="00342967">
        <w:rPr>
          <w:rFonts w:cs="Times New Roman"/>
          <w:szCs w:val="24"/>
        </w:rPr>
        <w:t xml:space="preserve"> sense of the social world</w:t>
      </w:r>
      <w:r w:rsidR="005913A0" w:rsidRPr="00342967">
        <w:rPr>
          <w:rFonts w:cs="Times New Roman"/>
          <w:szCs w:val="24"/>
        </w:rPr>
        <w:t xml:space="preserve"> an</w:t>
      </w:r>
      <w:r w:rsidR="00EA3394" w:rsidRPr="00342967">
        <w:rPr>
          <w:rFonts w:cs="Times New Roman"/>
          <w:szCs w:val="24"/>
        </w:rPr>
        <w:t xml:space="preserve"> understanding of the social underpinnings of society</w:t>
      </w:r>
      <w:r w:rsidR="005913A0" w:rsidRPr="00342967">
        <w:rPr>
          <w:rFonts w:cs="Times New Roman"/>
          <w:szCs w:val="24"/>
        </w:rPr>
        <w:t xml:space="preserve"> is necessary</w:t>
      </w:r>
      <w:r w:rsidR="00EA3394" w:rsidRPr="00342967">
        <w:rPr>
          <w:rFonts w:cs="Times New Roman"/>
          <w:szCs w:val="24"/>
        </w:rPr>
        <w:t xml:space="preserve">. </w:t>
      </w:r>
      <w:r w:rsidR="005913A0" w:rsidRPr="00342967">
        <w:rPr>
          <w:rFonts w:cs="Times New Roman"/>
          <w:szCs w:val="24"/>
        </w:rPr>
        <w:t>This underpinning of society</w:t>
      </w:r>
      <w:r w:rsidR="00EA3394" w:rsidRPr="00342967">
        <w:rPr>
          <w:rFonts w:cs="Times New Roman"/>
          <w:szCs w:val="24"/>
        </w:rPr>
        <w:t xml:space="preserve"> remains hidden for the mainstream theories. Social power, both in its material and ideological dimensions, derived from the social </w:t>
      </w:r>
      <w:r w:rsidR="00BD5BE5" w:rsidRPr="00342967">
        <w:rPr>
          <w:rFonts w:cs="Times New Roman"/>
          <w:szCs w:val="24"/>
        </w:rPr>
        <w:t>groups</w:t>
      </w:r>
      <w:r w:rsidR="00EA3394" w:rsidRPr="00342967">
        <w:rPr>
          <w:rFonts w:cs="Times New Roman"/>
          <w:szCs w:val="24"/>
        </w:rPr>
        <w:t xml:space="preserve"> that underpin state power should be at the center of interes</w:t>
      </w:r>
      <w:r w:rsidR="00F02BC9" w:rsidRPr="00342967">
        <w:rPr>
          <w:rFonts w:cs="Times New Roman"/>
          <w:szCs w:val="24"/>
        </w:rPr>
        <w:t>t</w:t>
      </w:r>
      <w:r w:rsidR="00EA3394" w:rsidRPr="00342967">
        <w:rPr>
          <w:rFonts w:cs="Times New Roman"/>
          <w:szCs w:val="24"/>
        </w:rPr>
        <w:t>.</w:t>
      </w:r>
      <w:r w:rsidR="00372FF5" w:rsidRPr="00342967">
        <w:rPr>
          <w:rFonts w:cs="Times New Roman"/>
          <w:szCs w:val="24"/>
        </w:rPr>
        <w:t xml:space="preserve"> </w:t>
      </w:r>
      <w:r w:rsidR="00E30DB6" w:rsidRPr="00342967">
        <w:rPr>
          <w:rFonts w:cs="Times New Roman"/>
          <w:szCs w:val="24"/>
        </w:rPr>
        <w:t xml:space="preserve">At the same time, critical theory acknowledges that this underpinning of social reality is constantly changing </w:t>
      </w:r>
      <w:r w:rsidR="0021147E" w:rsidRPr="00342967">
        <w:rPr>
          <w:rFonts w:cs="Times New Roman"/>
          <w:szCs w:val="24"/>
        </w:rPr>
        <w:t xml:space="preserve">due to the interplay between agency and structure. </w:t>
      </w:r>
      <w:r w:rsidR="00836CC3" w:rsidRPr="00342967">
        <w:rPr>
          <w:rFonts w:cs="Times New Roman"/>
          <w:szCs w:val="24"/>
        </w:rPr>
        <w:t>One such structure is of particular importance and that is capitalism. C</w:t>
      </w:r>
      <w:r w:rsidR="00FB2C77" w:rsidRPr="00342967">
        <w:rPr>
          <w:rFonts w:cs="Times New Roman"/>
          <w:szCs w:val="24"/>
        </w:rPr>
        <w:t xml:space="preserve">apitalism </w:t>
      </w:r>
      <w:r w:rsidR="00836CC3" w:rsidRPr="00342967">
        <w:rPr>
          <w:rFonts w:cs="Times New Roman"/>
          <w:szCs w:val="24"/>
        </w:rPr>
        <w:t xml:space="preserve">is not a neutral </w:t>
      </w:r>
      <w:r w:rsidR="00C677E4" w:rsidRPr="00342967">
        <w:rPr>
          <w:rFonts w:cs="Times New Roman"/>
          <w:szCs w:val="24"/>
        </w:rPr>
        <w:t xml:space="preserve">and </w:t>
      </w:r>
      <w:r w:rsidR="001C54A1" w:rsidRPr="00342967">
        <w:rPr>
          <w:rFonts w:cs="Times New Roman"/>
          <w:szCs w:val="24"/>
        </w:rPr>
        <w:t>rigid</w:t>
      </w:r>
      <w:r w:rsidR="00FB2C77" w:rsidRPr="00342967">
        <w:rPr>
          <w:rFonts w:cs="Times New Roman"/>
          <w:szCs w:val="24"/>
        </w:rPr>
        <w:t xml:space="preserve"> </w:t>
      </w:r>
      <w:r w:rsidR="001C54A1" w:rsidRPr="00342967">
        <w:rPr>
          <w:rFonts w:cs="Times New Roman"/>
          <w:szCs w:val="24"/>
        </w:rPr>
        <w:t>system that does not change over time</w:t>
      </w:r>
      <w:r w:rsidR="00836CC3" w:rsidRPr="00342967">
        <w:rPr>
          <w:rFonts w:cs="Times New Roman"/>
          <w:szCs w:val="24"/>
        </w:rPr>
        <w:t xml:space="preserve"> and exists in isolation.</w:t>
      </w:r>
      <w:r w:rsidR="00A76D1D" w:rsidRPr="00342967">
        <w:rPr>
          <w:rFonts w:cs="Times New Roman"/>
          <w:szCs w:val="24"/>
        </w:rPr>
        <w:t xml:space="preserve"> Capitalism </w:t>
      </w:r>
      <w:r w:rsidR="00836CC3" w:rsidRPr="00342967">
        <w:rPr>
          <w:rFonts w:cs="Times New Roman"/>
          <w:szCs w:val="24"/>
        </w:rPr>
        <w:t xml:space="preserve">is </w:t>
      </w:r>
      <w:r w:rsidR="00A76D1D" w:rsidRPr="00342967">
        <w:rPr>
          <w:rFonts w:cs="Times New Roman"/>
          <w:szCs w:val="24"/>
        </w:rPr>
        <w:t xml:space="preserve">historically contingent and </w:t>
      </w:r>
      <w:r w:rsidR="00D33AE8">
        <w:rPr>
          <w:rFonts w:cs="Times New Roman"/>
          <w:szCs w:val="24"/>
        </w:rPr>
        <w:t>comes with particular</w:t>
      </w:r>
      <w:r w:rsidR="00A76D1D" w:rsidRPr="00342967">
        <w:rPr>
          <w:rFonts w:cs="Times New Roman"/>
          <w:szCs w:val="24"/>
        </w:rPr>
        <w:t xml:space="preserve"> power relations in society.</w:t>
      </w:r>
      <w:r w:rsidR="000D5FD4" w:rsidRPr="00342967">
        <w:rPr>
          <w:rFonts w:cs="Times New Roman"/>
          <w:szCs w:val="24"/>
        </w:rPr>
        <w:t xml:space="preserve"> These power relations are</w:t>
      </w:r>
      <w:r w:rsidR="00A3652D" w:rsidRPr="00342967">
        <w:rPr>
          <w:rFonts w:cs="Times New Roman"/>
          <w:szCs w:val="24"/>
        </w:rPr>
        <w:t xml:space="preserve"> in capitalism</w:t>
      </w:r>
      <w:r w:rsidR="006826C9" w:rsidRPr="00342967">
        <w:rPr>
          <w:rFonts w:cs="Times New Roman"/>
          <w:szCs w:val="24"/>
        </w:rPr>
        <w:t xml:space="preserve">, by definition, asymmetrical and </w:t>
      </w:r>
      <w:r w:rsidR="00D33AE8">
        <w:rPr>
          <w:rFonts w:cs="Times New Roman"/>
          <w:szCs w:val="24"/>
        </w:rPr>
        <w:t>thus affect</w:t>
      </w:r>
      <w:r w:rsidR="006826C9" w:rsidRPr="00342967">
        <w:rPr>
          <w:rFonts w:cs="Times New Roman"/>
          <w:szCs w:val="24"/>
        </w:rPr>
        <w:t xml:space="preserve"> the course of European integration.</w:t>
      </w:r>
      <w:r w:rsidR="00A345A1" w:rsidRPr="00342967">
        <w:rPr>
          <w:rFonts w:cs="Times New Roman"/>
          <w:szCs w:val="24"/>
        </w:rPr>
        <w:t xml:space="preserve"> </w:t>
      </w:r>
      <w:r w:rsidR="00862DED" w:rsidRPr="00342967">
        <w:rPr>
          <w:rFonts w:cs="Times New Roman"/>
          <w:szCs w:val="24"/>
        </w:rPr>
        <w:t xml:space="preserve">To overcome all these weaknesses and </w:t>
      </w:r>
      <w:r w:rsidR="00B37039" w:rsidRPr="00342967">
        <w:rPr>
          <w:rFonts w:cs="Times New Roman"/>
          <w:szCs w:val="24"/>
        </w:rPr>
        <w:t xml:space="preserve">to understand the broader whole in which the CMU takes place </w:t>
      </w:r>
      <w:r w:rsidR="00EA3394" w:rsidRPr="00342967">
        <w:rPr>
          <w:rFonts w:cs="Times New Roman"/>
          <w:szCs w:val="24"/>
        </w:rPr>
        <w:t>a critical</w:t>
      </w:r>
      <w:r w:rsidR="00B37039" w:rsidRPr="00342967">
        <w:rPr>
          <w:rFonts w:cs="Times New Roman"/>
          <w:szCs w:val="24"/>
        </w:rPr>
        <w:t xml:space="preserve"> political economy</w:t>
      </w:r>
      <w:r w:rsidR="00EA3394" w:rsidRPr="00342967">
        <w:rPr>
          <w:rFonts w:cs="Times New Roman"/>
          <w:szCs w:val="24"/>
        </w:rPr>
        <w:t xml:space="preserve"> approach is necessary. </w:t>
      </w:r>
    </w:p>
    <w:p w14:paraId="00118397" w14:textId="424E7DB1" w:rsidR="00EA3394" w:rsidRPr="00342967" w:rsidRDefault="00EA3394" w:rsidP="00D904F7">
      <w:pPr>
        <w:pStyle w:val="Kop2"/>
        <w:jc w:val="both"/>
      </w:pPr>
      <w:bookmarkStart w:id="9" w:name="_Toc518333105"/>
      <w:r w:rsidRPr="00342967">
        <w:t xml:space="preserve">1.2 Situating CMU in </w:t>
      </w:r>
      <w:r w:rsidR="00F02405" w:rsidRPr="00342967">
        <w:t>the broader capitalist context</w:t>
      </w:r>
      <w:bookmarkEnd w:id="9"/>
    </w:p>
    <w:p w14:paraId="7375D93F" w14:textId="57C0C4E6" w:rsidR="0060692C" w:rsidRPr="00342967" w:rsidRDefault="00773B3D" w:rsidP="00D904F7">
      <w:pPr>
        <w:jc w:val="both"/>
        <w:rPr>
          <w:rFonts w:cs="Times New Roman"/>
          <w:szCs w:val="24"/>
          <w:lang w:val="en-GB"/>
        </w:rPr>
      </w:pPr>
      <w:r w:rsidRPr="00342967">
        <w:rPr>
          <w:rFonts w:cs="Times New Roman"/>
          <w:szCs w:val="24"/>
          <w:lang w:val="en-GB"/>
        </w:rPr>
        <w:t xml:space="preserve">European integration from a critical political economy perspective </w:t>
      </w:r>
      <w:r w:rsidR="00270C3D" w:rsidRPr="00342967">
        <w:rPr>
          <w:rFonts w:cs="Times New Roman"/>
          <w:szCs w:val="24"/>
          <w:lang w:val="en-GB"/>
        </w:rPr>
        <w:t>does not see European Integration in isolation but as part of</w:t>
      </w:r>
      <w:r w:rsidR="00F34A55" w:rsidRPr="00342967">
        <w:rPr>
          <w:rFonts w:cs="Times New Roman"/>
          <w:szCs w:val="24"/>
          <w:lang w:val="en-GB"/>
        </w:rPr>
        <w:t xml:space="preserve"> the dynamics of global capitalism (Van Apeldoorn and Horn, 2018, p.5). </w:t>
      </w:r>
      <w:r w:rsidR="00997722" w:rsidRPr="00342967">
        <w:rPr>
          <w:rFonts w:cs="Times New Roman"/>
          <w:szCs w:val="24"/>
          <w:lang w:val="en-GB"/>
        </w:rPr>
        <w:t xml:space="preserve">European integration takes place in a global capitalist context that both </w:t>
      </w:r>
      <w:r w:rsidR="001D3511" w:rsidRPr="00342967">
        <w:rPr>
          <w:rFonts w:cs="Times New Roman"/>
          <w:szCs w:val="24"/>
          <w:lang w:val="en-GB"/>
        </w:rPr>
        <w:t xml:space="preserve">affects and </w:t>
      </w:r>
      <w:r w:rsidR="0086083C">
        <w:rPr>
          <w:rFonts w:cs="Times New Roman"/>
          <w:szCs w:val="24"/>
          <w:lang w:val="en-GB"/>
        </w:rPr>
        <w:t xml:space="preserve">shapes </w:t>
      </w:r>
      <w:r w:rsidR="001D3511" w:rsidRPr="00342967">
        <w:rPr>
          <w:rFonts w:cs="Times New Roman"/>
          <w:szCs w:val="24"/>
          <w:lang w:val="en-GB"/>
        </w:rPr>
        <w:t>integration in both form and content. The form of the integration refers to how integration takes place</w:t>
      </w:r>
      <w:r w:rsidR="00AD11FB" w:rsidRPr="00342967">
        <w:rPr>
          <w:rFonts w:cs="Times New Roman"/>
          <w:szCs w:val="24"/>
          <w:lang w:val="en-GB"/>
        </w:rPr>
        <w:t>, that is in what institutional context</w:t>
      </w:r>
      <w:r w:rsidR="00D27B80" w:rsidRPr="00342967">
        <w:rPr>
          <w:rFonts w:cs="Times New Roman"/>
          <w:szCs w:val="24"/>
          <w:lang w:val="en-GB"/>
        </w:rPr>
        <w:t xml:space="preserve">. The content of European integration are the substantive policy outcomes of the </w:t>
      </w:r>
      <w:r w:rsidR="004476C9" w:rsidRPr="00342967">
        <w:rPr>
          <w:rFonts w:cs="Times New Roman"/>
          <w:szCs w:val="24"/>
          <w:lang w:val="en-GB"/>
        </w:rPr>
        <w:t>integration process.</w:t>
      </w:r>
      <w:r w:rsidR="000B40E7" w:rsidRPr="00342967">
        <w:rPr>
          <w:rFonts w:cs="Times New Roman"/>
          <w:szCs w:val="24"/>
          <w:lang w:val="en-GB"/>
        </w:rPr>
        <w:t xml:space="preserve"> What is at the centre of attention for critical political economy in European integration is </w:t>
      </w:r>
      <w:r w:rsidR="00857372" w:rsidRPr="00342967">
        <w:rPr>
          <w:rFonts w:cs="Times New Roman"/>
          <w:szCs w:val="24"/>
          <w:lang w:val="en-GB"/>
        </w:rPr>
        <w:t xml:space="preserve">what social inequalities and conflict emanate from the specific </w:t>
      </w:r>
      <w:r w:rsidR="000B40E7" w:rsidRPr="00342967">
        <w:rPr>
          <w:rFonts w:cs="Times New Roman"/>
          <w:szCs w:val="24"/>
          <w:lang w:val="en-GB"/>
        </w:rPr>
        <w:t>form and content of the integration process</w:t>
      </w:r>
      <w:r w:rsidR="00857372" w:rsidRPr="00342967">
        <w:rPr>
          <w:rFonts w:cs="Times New Roman"/>
          <w:szCs w:val="24"/>
          <w:lang w:val="en-GB"/>
        </w:rPr>
        <w:t xml:space="preserve"> (Van Apeldoorn and Horn, 2018, p.5)</w:t>
      </w:r>
      <w:r w:rsidR="002203D8" w:rsidRPr="00342967">
        <w:rPr>
          <w:rFonts w:cs="Times New Roman"/>
          <w:szCs w:val="24"/>
          <w:lang w:val="en-GB"/>
        </w:rPr>
        <w:t xml:space="preserve">. Critical political economy has a great contribution to make </w:t>
      </w:r>
      <w:r w:rsidR="0006505D" w:rsidRPr="00342967">
        <w:rPr>
          <w:rFonts w:cs="Times New Roman"/>
          <w:szCs w:val="24"/>
          <w:lang w:val="en-GB"/>
        </w:rPr>
        <w:t xml:space="preserve">in understanding the contradictions that have characterized European economic and financial integration </w:t>
      </w:r>
      <w:r w:rsidR="002160EE" w:rsidRPr="00342967">
        <w:rPr>
          <w:rFonts w:cs="Times New Roman"/>
          <w:szCs w:val="24"/>
          <w:lang w:val="en-GB"/>
        </w:rPr>
        <w:t xml:space="preserve">and how </w:t>
      </w:r>
      <w:r w:rsidR="003773C2" w:rsidRPr="00342967">
        <w:rPr>
          <w:rFonts w:cs="Times New Roman"/>
          <w:szCs w:val="24"/>
          <w:lang w:val="en-GB"/>
        </w:rPr>
        <w:t>these contradictions</w:t>
      </w:r>
      <w:r w:rsidR="002160EE" w:rsidRPr="00342967">
        <w:rPr>
          <w:rFonts w:cs="Times New Roman"/>
          <w:szCs w:val="24"/>
          <w:lang w:val="en-GB"/>
        </w:rPr>
        <w:t xml:space="preserve"> hinder </w:t>
      </w:r>
      <w:r w:rsidR="00977D84" w:rsidRPr="00342967">
        <w:rPr>
          <w:rFonts w:cs="Times New Roman"/>
          <w:szCs w:val="24"/>
          <w:lang w:val="en-GB"/>
        </w:rPr>
        <w:t xml:space="preserve">the firm resolution of the problems facing Europe </w:t>
      </w:r>
      <w:r w:rsidR="00C156F5">
        <w:rPr>
          <w:rFonts w:cs="Times New Roman"/>
          <w:szCs w:val="24"/>
          <w:lang w:val="en-GB"/>
        </w:rPr>
        <w:t>(</w:t>
      </w:r>
      <w:r w:rsidR="00C156F5" w:rsidRPr="00342967">
        <w:rPr>
          <w:rFonts w:cs="Times New Roman"/>
          <w:szCs w:val="24"/>
          <w:lang w:val="en-GB"/>
        </w:rPr>
        <w:t>Van Apeldoorn and Horn, 2018, p.5</w:t>
      </w:r>
      <w:r w:rsidR="003773C2" w:rsidRPr="00342967">
        <w:rPr>
          <w:rFonts w:cs="Times New Roman"/>
          <w:szCs w:val="24"/>
          <w:lang w:val="en-GB"/>
        </w:rPr>
        <w:t>)</w:t>
      </w:r>
      <w:r w:rsidR="007F09D1" w:rsidRPr="00342967">
        <w:rPr>
          <w:rFonts w:cs="Times New Roman"/>
          <w:szCs w:val="24"/>
          <w:lang w:val="en-GB"/>
        </w:rPr>
        <w:t>.</w:t>
      </w:r>
      <w:r w:rsidR="00316061" w:rsidRPr="00342967">
        <w:rPr>
          <w:rFonts w:cs="Times New Roman"/>
          <w:szCs w:val="24"/>
          <w:lang w:val="en-GB"/>
        </w:rPr>
        <w:t xml:space="preserve"> The theories that will be applied to the case of CMU are Social Structures of Accumulation </w:t>
      </w:r>
      <w:r w:rsidR="0056388E" w:rsidRPr="00342967">
        <w:rPr>
          <w:rFonts w:cs="Times New Roman"/>
          <w:szCs w:val="24"/>
          <w:lang w:val="en-GB"/>
        </w:rPr>
        <w:t xml:space="preserve">(SSA) </w:t>
      </w:r>
      <w:r w:rsidR="00316061" w:rsidRPr="00342967">
        <w:rPr>
          <w:rFonts w:cs="Times New Roman"/>
          <w:szCs w:val="24"/>
          <w:lang w:val="en-GB"/>
        </w:rPr>
        <w:t xml:space="preserve">and Gramsci’s understanding of agency. </w:t>
      </w:r>
      <w:r w:rsidR="0056388E" w:rsidRPr="00342967">
        <w:rPr>
          <w:rFonts w:cs="Times New Roman"/>
          <w:szCs w:val="24"/>
          <w:lang w:val="en-GB"/>
        </w:rPr>
        <w:t>First SSA theory will be delineated followed by an account of Gramsci</w:t>
      </w:r>
      <w:r w:rsidR="007F5B04" w:rsidRPr="00342967">
        <w:rPr>
          <w:rFonts w:cs="Times New Roman"/>
          <w:szCs w:val="24"/>
          <w:lang w:val="en-GB"/>
        </w:rPr>
        <w:t>.</w:t>
      </w:r>
      <w:r w:rsidR="0056388E" w:rsidRPr="00342967">
        <w:rPr>
          <w:rFonts w:cs="Times New Roman"/>
          <w:szCs w:val="24"/>
          <w:lang w:val="en-GB"/>
        </w:rPr>
        <w:t xml:space="preserve"> </w:t>
      </w:r>
    </w:p>
    <w:p w14:paraId="6E95E546" w14:textId="099D5295" w:rsidR="00EA3394" w:rsidRPr="00342967" w:rsidRDefault="00EA3394" w:rsidP="00D904F7">
      <w:pPr>
        <w:jc w:val="both"/>
        <w:rPr>
          <w:rFonts w:cs="Times New Roman"/>
          <w:szCs w:val="24"/>
          <w:lang w:val="en-GB"/>
        </w:rPr>
      </w:pPr>
      <w:r w:rsidRPr="00342967">
        <w:rPr>
          <w:rFonts w:cs="Times New Roman"/>
          <w:szCs w:val="24"/>
          <w:lang w:val="en-GB"/>
        </w:rPr>
        <w:lastRenderedPageBreak/>
        <w:t xml:space="preserve">Social structures of accumulation (SSA) theory emerged around the 1970s in the backdrop of a crisis of global capitalism. The name SSA refers to the social structure of accumulation (SSA) which are all the institutions that govern and support the process of capital accumulation. The theory originated </w:t>
      </w:r>
      <w:r w:rsidR="00FC76C5" w:rsidRPr="00342967">
        <w:rPr>
          <w:rFonts w:cs="Times New Roman"/>
          <w:szCs w:val="24"/>
          <w:lang w:val="en-GB"/>
        </w:rPr>
        <w:t xml:space="preserve">in the United States </w:t>
      </w:r>
      <w:r w:rsidRPr="00342967">
        <w:rPr>
          <w:rFonts w:cs="Times New Roman"/>
          <w:szCs w:val="24"/>
          <w:lang w:val="en-GB"/>
        </w:rPr>
        <w:t>as a response to conventional equilibrium economics and conventional Marxism</w:t>
      </w:r>
      <w:r w:rsidR="00687664" w:rsidRPr="00342967">
        <w:rPr>
          <w:rFonts w:cs="Times New Roman"/>
          <w:szCs w:val="24"/>
          <w:lang w:val="en-GB"/>
        </w:rPr>
        <w:t xml:space="preserve"> and </w:t>
      </w:r>
      <w:r w:rsidR="0068447E" w:rsidRPr="00342967">
        <w:rPr>
          <w:rFonts w:cs="Times New Roman"/>
          <w:szCs w:val="24"/>
          <w:lang w:val="en-GB"/>
        </w:rPr>
        <w:t xml:space="preserve">is </w:t>
      </w:r>
      <w:r w:rsidR="00687664" w:rsidRPr="00342967">
        <w:rPr>
          <w:rFonts w:cs="Times New Roman"/>
          <w:szCs w:val="24"/>
          <w:lang w:val="en-GB"/>
        </w:rPr>
        <w:t xml:space="preserve">built on institutional insights </w:t>
      </w:r>
      <w:r w:rsidR="00F22026" w:rsidRPr="00342967">
        <w:rPr>
          <w:rFonts w:cs="Times New Roman"/>
          <w:szCs w:val="24"/>
          <w:lang w:val="en-GB"/>
        </w:rPr>
        <w:t>emerging in economics</w:t>
      </w:r>
      <w:r w:rsidRPr="00342967">
        <w:rPr>
          <w:rFonts w:cs="Times New Roman"/>
          <w:szCs w:val="24"/>
          <w:lang w:val="en-GB"/>
        </w:rPr>
        <w:t>. Mainstream economics proved unable to explain why capitalist economies experience crises of unusual depth and length like the crisis of the 1970s and Marxism could only explain the severe crisis on the condition that it would be followed by a socialist revolution. SSA theory is an alternative approach to explain both the long periods of growth and the vast periods of stagnation by relating long periods of growth and retraction to fundamental changes in the institutional environment (McDonough</w:t>
      </w:r>
      <w:r w:rsidR="003C04F1" w:rsidRPr="00342967">
        <w:rPr>
          <w:rFonts w:cs="Times New Roman"/>
          <w:szCs w:val="24"/>
          <w:lang w:val="en-GB"/>
        </w:rPr>
        <w:t xml:space="preserve"> </w:t>
      </w:r>
      <w:r w:rsidR="003C04F1" w:rsidRPr="00342967">
        <w:rPr>
          <w:rFonts w:cs="Times New Roman"/>
          <w:i/>
          <w:szCs w:val="24"/>
          <w:lang w:val="en-GB"/>
        </w:rPr>
        <w:t>et al</w:t>
      </w:r>
      <w:r w:rsidRPr="00342967">
        <w:rPr>
          <w:rFonts w:cs="Times New Roman"/>
          <w:szCs w:val="24"/>
          <w:lang w:val="en-GB"/>
        </w:rPr>
        <w:t>, 2010, p.1)</w:t>
      </w:r>
      <w:r w:rsidR="00FF50C8" w:rsidRPr="00342967">
        <w:rPr>
          <w:rFonts w:cs="Times New Roman"/>
          <w:szCs w:val="24"/>
          <w:lang w:val="en-GB"/>
        </w:rPr>
        <w:t xml:space="preserve">. SSA theory does so by using a </w:t>
      </w:r>
      <w:r w:rsidRPr="00342967">
        <w:rPr>
          <w:rFonts w:cs="Times New Roman"/>
          <w:szCs w:val="24"/>
          <w:lang w:val="en-GB"/>
        </w:rPr>
        <w:t xml:space="preserve">stage analysis of the evolution of capitalist systems (Kotz, 2017, p.5). The post war expansion of the economy was the result of the implementation of Keynesianism. The great stagflation of the 1970 marked the end of Keynesianism and the post war SSA. The predominant mode of production was no longer able to produce sustained and durable economic growth. Stagnation had become the status quo and Keynesian tools, such as fiscal expansion, proved incapable of bringing the economy back to a path of growth and expansion. </w:t>
      </w:r>
      <w:r w:rsidR="00FF50C8" w:rsidRPr="00342967">
        <w:rPr>
          <w:rFonts w:cs="Times New Roman"/>
          <w:szCs w:val="24"/>
          <w:lang w:val="en-GB"/>
        </w:rPr>
        <w:t xml:space="preserve">This marked the end of this SSA and this particular stage of capitalism. </w:t>
      </w:r>
    </w:p>
    <w:p w14:paraId="07899A41" w14:textId="7DF7E408" w:rsidR="00EA3394" w:rsidRPr="00342967" w:rsidRDefault="00EA3394" w:rsidP="00D904F7">
      <w:pPr>
        <w:jc w:val="both"/>
        <w:rPr>
          <w:rFonts w:cs="Times New Roman"/>
          <w:szCs w:val="24"/>
          <w:lang w:val="en-GB"/>
        </w:rPr>
      </w:pPr>
      <w:r w:rsidRPr="00342967">
        <w:rPr>
          <w:rFonts w:cs="Times New Roman"/>
          <w:szCs w:val="24"/>
          <w:lang w:val="en-GB"/>
        </w:rPr>
        <w:t xml:space="preserve">The fact that Keynesianism, after being successful for decades, suddenly failed is </w:t>
      </w:r>
      <w:r w:rsidR="00FF50C8" w:rsidRPr="00342967">
        <w:rPr>
          <w:rFonts w:cs="Times New Roman"/>
          <w:szCs w:val="24"/>
          <w:lang w:val="en-GB"/>
        </w:rPr>
        <w:t>accounted for in the theory</w:t>
      </w:r>
      <w:r w:rsidRPr="00342967">
        <w:rPr>
          <w:rFonts w:cs="Times New Roman"/>
          <w:szCs w:val="24"/>
          <w:lang w:val="en-GB"/>
        </w:rPr>
        <w:t xml:space="preserve">. Every SSA will eventually become its own nemesis. At first the SSA will secure profit-making and long-run expectations. Higher profits and a stable future increase investment levels and this in turns makes the economy expand. An expanding economy will have a positive impact on the SSA which will be reinforced and further entrenched in the political economy. Eventually, this process stops functioning and rather than aiding growth the SSA will become a hinderance to growth. Every SSA will have its unique reasons why it stops working but </w:t>
      </w:r>
      <w:r w:rsidR="00D00020" w:rsidRPr="00342967">
        <w:rPr>
          <w:rFonts w:cs="Times New Roman"/>
          <w:szCs w:val="24"/>
          <w:lang w:val="en-GB"/>
        </w:rPr>
        <w:t xml:space="preserve">universal reasons are </w:t>
      </w:r>
      <w:r w:rsidRPr="00342967">
        <w:rPr>
          <w:rFonts w:cs="Times New Roman"/>
          <w:szCs w:val="24"/>
          <w:lang w:val="en-GB"/>
        </w:rPr>
        <w:t xml:space="preserve">intensified class struggle, increasing competition </w:t>
      </w:r>
      <w:r w:rsidR="00A85E82">
        <w:rPr>
          <w:rFonts w:cs="Times New Roman"/>
          <w:szCs w:val="24"/>
          <w:lang w:val="en-GB"/>
        </w:rPr>
        <w:t>and</w:t>
      </w:r>
      <w:r w:rsidRPr="00342967">
        <w:rPr>
          <w:rFonts w:cs="Times New Roman"/>
          <w:szCs w:val="24"/>
          <w:lang w:val="en-GB"/>
        </w:rPr>
        <w:t xml:space="preserve"> natural tendencies of capitalism (McDonough, 2010</w:t>
      </w:r>
      <w:r w:rsidR="003C04F1" w:rsidRPr="00342967">
        <w:rPr>
          <w:rFonts w:cs="Times New Roman"/>
          <w:szCs w:val="24"/>
          <w:lang w:val="en-GB"/>
        </w:rPr>
        <w:t xml:space="preserve"> </w:t>
      </w:r>
      <w:r w:rsidR="003C04F1" w:rsidRPr="00342967">
        <w:rPr>
          <w:rFonts w:cs="Times New Roman"/>
          <w:i/>
          <w:szCs w:val="24"/>
          <w:lang w:val="en-GB"/>
        </w:rPr>
        <w:t>et al</w:t>
      </w:r>
      <w:r w:rsidRPr="00342967">
        <w:rPr>
          <w:rFonts w:cs="Times New Roman"/>
          <w:szCs w:val="24"/>
          <w:lang w:val="en-GB"/>
        </w:rPr>
        <w:t xml:space="preserve">, p.3). Once this has happened, economic stagnation will be the status quo. Increasing conflict between classes with different interest and different power makes creating a new SSA a tentative process. Many proposals for new institutions will be presented and rejected until one set of institutions wins and forms a new SSA. </w:t>
      </w:r>
    </w:p>
    <w:p w14:paraId="44EF71C6" w14:textId="6809D654" w:rsidR="00EA3394" w:rsidRPr="00342967" w:rsidRDefault="00EA3394" w:rsidP="00D904F7">
      <w:pPr>
        <w:jc w:val="both"/>
        <w:rPr>
          <w:rFonts w:cs="Times New Roman"/>
          <w:szCs w:val="24"/>
          <w:lang w:val="en-GB"/>
        </w:rPr>
      </w:pPr>
      <w:r w:rsidRPr="00342967">
        <w:rPr>
          <w:rFonts w:cs="Times New Roman"/>
          <w:szCs w:val="24"/>
          <w:lang w:val="en-GB"/>
        </w:rPr>
        <w:lastRenderedPageBreak/>
        <w:t xml:space="preserve">Central concepts </w:t>
      </w:r>
      <w:r w:rsidR="00F22026" w:rsidRPr="00342967">
        <w:rPr>
          <w:rFonts w:cs="Times New Roman"/>
          <w:szCs w:val="24"/>
          <w:lang w:val="en-GB"/>
        </w:rPr>
        <w:t>of</w:t>
      </w:r>
      <w:r w:rsidRPr="00342967">
        <w:rPr>
          <w:rFonts w:cs="Times New Roman"/>
          <w:szCs w:val="24"/>
          <w:lang w:val="en-GB"/>
        </w:rPr>
        <w:t xml:space="preserve"> several Marxists theories are present in SSA theory (Kotz </w:t>
      </w:r>
      <w:r w:rsidRPr="00342967">
        <w:rPr>
          <w:rFonts w:cs="Times New Roman"/>
          <w:i/>
          <w:szCs w:val="24"/>
          <w:lang w:val="en-GB"/>
        </w:rPr>
        <w:t>et al</w:t>
      </w:r>
      <w:r w:rsidR="00316B1E" w:rsidRPr="00342967">
        <w:rPr>
          <w:rFonts w:cs="Times New Roman"/>
          <w:i/>
          <w:szCs w:val="24"/>
          <w:lang w:val="en-GB"/>
        </w:rPr>
        <w:t>.</w:t>
      </w:r>
      <w:r w:rsidRPr="00342967">
        <w:rPr>
          <w:rFonts w:cs="Times New Roman"/>
          <w:szCs w:val="24"/>
          <w:lang w:val="en-GB"/>
        </w:rPr>
        <w:t xml:space="preserve">, 1994, p.3). The most important shared feature is that both theories see capitalism as an inherently unstable system. Other similarities are the interdependence of the economic, political and ideological aspects, the idea that the development of a system tends to undermine that system in the long run and the exercise of class power and struggle as key determinants of economic, social and political outcomes (Kotz </w:t>
      </w:r>
      <w:r w:rsidRPr="00342967">
        <w:rPr>
          <w:rFonts w:cs="Times New Roman"/>
          <w:i/>
          <w:szCs w:val="24"/>
          <w:lang w:val="en-GB"/>
        </w:rPr>
        <w:t>et al.</w:t>
      </w:r>
      <w:r w:rsidRPr="00342967">
        <w:rPr>
          <w:rFonts w:cs="Times New Roman"/>
          <w:szCs w:val="24"/>
          <w:lang w:val="en-GB"/>
        </w:rPr>
        <w:t>,</w:t>
      </w:r>
      <w:r w:rsidR="00316B1E" w:rsidRPr="00342967">
        <w:rPr>
          <w:rFonts w:cs="Times New Roman"/>
          <w:szCs w:val="24"/>
          <w:lang w:val="en-GB"/>
        </w:rPr>
        <w:t xml:space="preserve"> 1994,</w:t>
      </w:r>
      <w:r w:rsidRPr="00342967">
        <w:rPr>
          <w:rFonts w:cs="Times New Roman"/>
          <w:szCs w:val="24"/>
          <w:lang w:val="en-GB"/>
        </w:rPr>
        <w:t xml:space="preserve"> p.3). However, SSA distinguishes itself from Marxism in one crucial aspects, and that is that in SSA theory </w:t>
      </w:r>
      <w:r w:rsidR="00E77E21" w:rsidRPr="00342967">
        <w:rPr>
          <w:rFonts w:cs="Times New Roman"/>
          <w:szCs w:val="24"/>
          <w:lang w:val="en-GB"/>
        </w:rPr>
        <w:t>the</w:t>
      </w:r>
      <w:r w:rsidRPr="00342967">
        <w:rPr>
          <w:rFonts w:cs="Times New Roman"/>
          <w:szCs w:val="24"/>
          <w:lang w:val="en-GB"/>
        </w:rPr>
        <w:t xml:space="preserve"> inevitable tendency for capitalism to be superseded by a socialist society</w:t>
      </w:r>
      <w:r w:rsidR="00E77E21" w:rsidRPr="00342967">
        <w:rPr>
          <w:rFonts w:cs="Times New Roman"/>
          <w:szCs w:val="24"/>
          <w:lang w:val="en-GB"/>
        </w:rPr>
        <w:t xml:space="preserve"> is absent</w:t>
      </w:r>
      <w:r w:rsidRPr="00342967">
        <w:rPr>
          <w:rFonts w:cs="Times New Roman"/>
          <w:szCs w:val="24"/>
          <w:lang w:val="en-GB"/>
        </w:rPr>
        <w:t xml:space="preserve">. In addition, in traditional Marxist theories, one single mechanistic cause is responsible for revolution (Kotz </w:t>
      </w:r>
      <w:r w:rsidRPr="00342967">
        <w:rPr>
          <w:rFonts w:cs="Times New Roman"/>
          <w:i/>
          <w:szCs w:val="24"/>
          <w:lang w:val="en-GB"/>
        </w:rPr>
        <w:t>et al.</w:t>
      </w:r>
      <w:r w:rsidRPr="00342967">
        <w:rPr>
          <w:rFonts w:cs="Times New Roman"/>
          <w:szCs w:val="24"/>
          <w:lang w:val="en-GB"/>
        </w:rPr>
        <w:t>,</w:t>
      </w:r>
      <w:r w:rsidR="00316B1E" w:rsidRPr="00342967">
        <w:rPr>
          <w:rFonts w:cs="Times New Roman"/>
          <w:szCs w:val="24"/>
          <w:lang w:val="en-GB"/>
        </w:rPr>
        <w:t xml:space="preserve"> 2009,</w:t>
      </w:r>
      <w:r w:rsidRPr="00342967">
        <w:rPr>
          <w:rFonts w:cs="Times New Roman"/>
          <w:szCs w:val="24"/>
          <w:lang w:val="en-GB"/>
        </w:rPr>
        <w:t xml:space="preserve"> p.3.). In SSA theory, </w:t>
      </w:r>
      <w:r w:rsidR="00157CE8" w:rsidRPr="00342967">
        <w:rPr>
          <w:rFonts w:cs="Times New Roman"/>
          <w:szCs w:val="24"/>
          <w:lang w:val="en-GB"/>
        </w:rPr>
        <w:t xml:space="preserve">the focus is on explaining the continuous renewal of capitalist accumulation and </w:t>
      </w:r>
      <w:r w:rsidRPr="00342967">
        <w:rPr>
          <w:rFonts w:cs="Times New Roman"/>
          <w:szCs w:val="24"/>
          <w:lang w:val="en-GB"/>
        </w:rPr>
        <w:t xml:space="preserve">various reasons can cause stages of capitalism to supersede each other. Despite this crucial difference between Marxist theory and SSA theory, Kotz </w:t>
      </w:r>
      <w:r w:rsidR="00316B1E" w:rsidRPr="00342967">
        <w:rPr>
          <w:rFonts w:cs="Times New Roman"/>
          <w:szCs w:val="24"/>
          <w:lang w:val="en-GB"/>
        </w:rPr>
        <w:t xml:space="preserve">(2017, p.4) </w:t>
      </w:r>
      <w:r w:rsidRPr="00342967">
        <w:rPr>
          <w:rFonts w:cs="Times New Roman"/>
          <w:szCs w:val="24"/>
          <w:lang w:val="en-GB"/>
        </w:rPr>
        <w:t>argues that “the insights of SSA theory ultimately depend on its connections to key</w:t>
      </w:r>
      <w:r w:rsidR="0086083C">
        <w:rPr>
          <w:rFonts w:cs="Times New Roman"/>
          <w:szCs w:val="24"/>
          <w:lang w:val="en-GB"/>
        </w:rPr>
        <w:t xml:space="preserve"> principles of Marxist theory.”</w:t>
      </w:r>
      <w:r w:rsidRPr="00342967">
        <w:rPr>
          <w:rFonts w:cs="Times New Roman"/>
          <w:szCs w:val="24"/>
          <w:lang w:val="en-GB"/>
        </w:rPr>
        <w:t xml:space="preserve"> Similar to Keynesianism, SSA theory also sees the investment decision in a capitalist system as inherently unstable due to changing expectations and changing macroeconomic circumstances (McDonough </w:t>
      </w:r>
      <w:r w:rsidRPr="00342967">
        <w:rPr>
          <w:rFonts w:cs="Times New Roman"/>
          <w:i/>
          <w:szCs w:val="24"/>
          <w:lang w:val="en-GB"/>
        </w:rPr>
        <w:t xml:space="preserve">et al, </w:t>
      </w:r>
      <w:r w:rsidRPr="00342967">
        <w:rPr>
          <w:rFonts w:cs="Times New Roman"/>
          <w:szCs w:val="24"/>
          <w:lang w:val="en-GB"/>
        </w:rPr>
        <w:t xml:space="preserve">2010, p.2). </w:t>
      </w:r>
      <w:r w:rsidR="00F06B5C" w:rsidRPr="00342967">
        <w:rPr>
          <w:rFonts w:cs="Times New Roman"/>
          <w:szCs w:val="24"/>
          <w:lang w:val="en-GB"/>
        </w:rPr>
        <w:t>B</w:t>
      </w:r>
      <w:r w:rsidRPr="00342967">
        <w:rPr>
          <w:rFonts w:cs="Times New Roman"/>
          <w:szCs w:val="24"/>
          <w:lang w:val="en-GB"/>
        </w:rPr>
        <w:t>oth</w:t>
      </w:r>
      <w:r w:rsidR="0086083C">
        <w:rPr>
          <w:rFonts w:cs="Times New Roman"/>
          <w:szCs w:val="24"/>
          <w:lang w:val="en-GB"/>
        </w:rPr>
        <w:t xml:space="preserve"> theories</w:t>
      </w:r>
      <w:r w:rsidRPr="00342967">
        <w:rPr>
          <w:rFonts w:cs="Times New Roman"/>
          <w:szCs w:val="24"/>
          <w:lang w:val="en-GB"/>
        </w:rPr>
        <w:t xml:space="preserve"> argue that capitalism is prone to self-reinforcing periods of stagnation of which the economy cannot escape without external help. This Keynesianism relationship between investment decisions and the regulatory environment is </w:t>
      </w:r>
      <w:r w:rsidR="0086083C">
        <w:rPr>
          <w:rFonts w:cs="Times New Roman"/>
          <w:szCs w:val="24"/>
          <w:lang w:val="en-GB"/>
        </w:rPr>
        <w:t xml:space="preserve">fundamental to SSA theory. Yet, </w:t>
      </w:r>
      <w:r w:rsidRPr="00342967">
        <w:rPr>
          <w:rFonts w:cs="Times New Roman"/>
          <w:szCs w:val="24"/>
          <w:lang w:val="en-GB"/>
        </w:rPr>
        <w:t xml:space="preserve">SSA </w:t>
      </w:r>
      <w:r w:rsidR="0086083C">
        <w:rPr>
          <w:rFonts w:cs="Times New Roman"/>
          <w:szCs w:val="24"/>
          <w:lang w:val="en-GB"/>
        </w:rPr>
        <w:t xml:space="preserve">also </w:t>
      </w:r>
      <w:r w:rsidRPr="00342967">
        <w:rPr>
          <w:rFonts w:cs="Times New Roman"/>
          <w:szCs w:val="24"/>
          <w:lang w:val="en-GB"/>
        </w:rPr>
        <w:t>differs from</w:t>
      </w:r>
      <w:r w:rsidR="0086083C">
        <w:rPr>
          <w:rFonts w:cs="Times New Roman"/>
          <w:szCs w:val="24"/>
          <w:lang w:val="en-GB"/>
        </w:rPr>
        <w:t xml:space="preserve"> </w:t>
      </w:r>
      <w:r w:rsidR="0086083C" w:rsidRPr="00342967">
        <w:rPr>
          <w:rFonts w:cs="Times New Roman"/>
          <w:szCs w:val="24"/>
          <w:lang w:val="en-GB"/>
        </w:rPr>
        <w:t>Keynesianism</w:t>
      </w:r>
      <w:r w:rsidR="0086083C">
        <w:rPr>
          <w:rFonts w:cs="Times New Roman"/>
          <w:szCs w:val="24"/>
          <w:lang w:val="en-GB"/>
        </w:rPr>
        <w:t>. Keynesian theory mainly focuses</w:t>
      </w:r>
      <w:r w:rsidRPr="00342967">
        <w:rPr>
          <w:rFonts w:cs="Times New Roman"/>
          <w:szCs w:val="24"/>
          <w:lang w:val="en-GB"/>
        </w:rPr>
        <w:t xml:space="preserve"> on demand problems</w:t>
      </w:r>
      <w:r w:rsidR="0086083C">
        <w:rPr>
          <w:rFonts w:cs="Times New Roman"/>
          <w:szCs w:val="24"/>
          <w:lang w:val="en-GB"/>
        </w:rPr>
        <w:t xml:space="preserve"> and thus also tends to see solutions </w:t>
      </w:r>
      <w:r w:rsidRPr="00342967">
        <w:rPr>
          <w:rFonts w:cs="Times New Roman"/>
          <w:szCs w:val="24"/>
          <w:lang w:val="en-GB"/>
        </w:rPr>
        <w:t xml:space="preserve">at the demand side of the economy. SSA rejects this narrow perspective, and instead </w:t>
      </w:r>
      <w:r w:rsidR="00260080" w:rsidRPr="00342967">
        <w:rPr>
          <w:rFonts w:cs="Times New Roman"/>
          <w:szCs w:val="24"/>
          <w:lang w:val="en-GB"/>
        </w:rPr>
        <w:t>considers institutions on both the demand and supply side</w:t>
      </w:r>
      <w:r w:rsidR="00DF271D" w:rsidRPr="00342967">
        <w:rPr>
          <w:rFonts w:cs="Times New Roman"/>
          <w:szCs w:val="24"/>
          <w:lang w:val="en-GB"/>
        </w:rPr>
        <w:t xml:space="preserve"> of the economy </w:t>
      </w:r>
      <w:r w:rsidRPr="00342967">
        <w:rPr>
          <w:rFonts w:cs="Times New Roman"/>
          <w:szCs w:val="24"/>
          <w:lang w:val="en-GB"/>
        </w:rPr>
        <w:t xml:space="preserve">in its </w:t>
      </w:r>
      <w:r w:rsidR="00DF271D" w:rsidRPr="00342967">
        <w:rPr>
          <w:rFonts w:cs="Times New Roman"/>
          <w:szCs w:val="24"/>
          <w:lang w:val="en-GB"/>
        </w:rPr>
        <w:t>analysis</w:t>
      </w:r>
      <w:r w:rsidRPr="00342967">
        <w:rPr>
          <w:rFonts w:cs="Times New Roman"/>
          <w:szCs w:val="24"/>
          <w:lang w:val="en-GB"/>
        </w:rPr>
        <w:t xml:space="preserve">. One other influence from traditional economics that has clear showings in SSA theory is institutionalism. Institutionalism regard the specific design and features of an economy to differ across time and place (Kotz </w:t>
      </w:r>
      <w:r w:rsidRPr="00342967">
        <w:rPr>
          <w:rFonts w:cs="Times New Roman"/>
          <w:i/>
          <w:szCs w:val="24"/>
          <w:lang w:val="en-GB"/>
        </w:rPr>
        <w:t>et al</w:t>
      </w:r>
      <w:r w:rsidR="00C24A96" w:rsidRPr="00342967">
        <w:rPr>
          <w:rFonts w:cs="Times New Roman"/>
          <w:i/>
          <w:szCs w:val="24"/>
          <w:lang w:val="en-GB"/>
        </w:rPr>
        <w:t>.</w:t>
      </w:r>
      <w:r w:rsidRPr="00342967">
        <w:rPr>
          <w:rFonts w:cs="Times New Roman"/>
          <w:szCs w:val="24"/>
          <w:lang w:val="en-GB"/>
        </w:rPr>
        <w:t>, 1994, p.3). They study the historical evolution of economic systems and thus assume economic specifications to be historically contingent. SSA theory includes both these insights but differs with respect to the application. Where institutionalists are very modest in what they believe their theory can explain, SSA theory has a</w:t>
      </w:r>
      <w:r w:rsidR="00423D1F">
        <w:rPr>
          <w:rFonts w:cs="Times New Roman"/>
          <w:szCs w:val="24"/>
          <w:lang w:val="en-GB"/>
        </w:rPr>
        <w:t xml:space="preserve"> much greater openness to broader explanations </w:t>
      </w:r>
      <w:r w:rsidRPr="00342967">
        <w:rPr>
          <w:rFonts w:cs="Times New Roman"/>
          <w:szCs w:val="24"/>
          <w:lang w:val="en-GB"/>
        </w:rPr>
        <w:t xml:space="preserve">about economic development. </w:t>
      </w:r>
    </w:p>
    <w:p w14:paraId="30ECA1AE" w14:textId="67F9A4B8" w:rsidR="00EA3394" w:rsidRPr="00342967" w:rsidRDefault="00EA3394" w:rsidP="00D904F7">
      <w:pPr>
        <w:jc w:val="both"/>
        <w:rPr>
          <w:rFonts w:cs="Times New Roman"/>
          <w:szCs w:val="24"/>
          <w:lang w:val="en-GB"/>
        </w:rPr>
      </w:pPr>
      <w:r w:rsidRPr="00342967">
        <w:rPr>
          <w:rFonts w:cs="Times New Roman"/>
          <w:szCs w:val="24"/>
          <w:lang w:val="en-GB"/>
        </w:rPr>
        <w:t xml:space="preserve">In accordance with Keynesianism and Marxism, SSA theory sees many problems with capitalism but argues that they can be neutralized by composing a right set of institutions that solve class conflict and creates long-run stability for investment decisions (McDonough </w:t>
      </w:r>
      <w:r w:rsidRPr="00342967">
        <w:rPr>
          <w:rFonts w:cs="Times New Roman"/>
          <w:i/>
          <w:szCs w:val="24"/>
          <w:lang w:val="en-GB"/>
        </w:rPr>
        <w:t xml:space="preserve">et al, </w:t>
      </w:r>
      <w:r w:rsidRPr="00342967">
        <w:rPr>
          <w:rFonts w:cs="Times New Roman"/>
          <w:szCs w:val="24"/>
          <w:lang w:val="en-GB"/>
        </w:rPr>
        <w:t xml:space="preserve">2010, p.2). This </w:t>
      </w:r>
      <w:r w:rsidRPr="00342967">
        <w:rPr>
          <w:rFonts w:cs="Times New Roman"/>
          <w:szCs w:val="24"/>
          <w:lang w:val="en-GB"/>
        </w:rPr>
        <w:lastRenderedPageBreak/>
        <w:t xml:space="preserve">set of institutions is the social structure of accumulation. For SSA to be a meaningful concept it is necessary to define its boundaries. Without well-defined boundaries the concept could mean anything and could encompass the whole set of institutions, norms and values that guide society. The outer boundary of SSA is therefore defined as all social structures involved in the accumulation process (Gordon </w:t>
      </w:r>
      <w:r w:rsidRPr="00342967">
        <w:rPr>
          <w:rFonts w:cs="Times New Roman"/>
          <w:i/>
          <w:szCs w:val="24"/>
          <w:lang w:val="en-GB"/>
        </w:rPr>
        <w:t>et al</w:t>
      </w:r>
      <w:r w:rsidR="00DA396F" w:rsidRPr="00342967">
        <w:rPr>
          <w:rFonts w:cs="Times New Roman"/>
          <w:i/>
          <w:szCs w:val="24"/>
          <w:lang w:val="en-GB"/>
        </w:rPr>
        <w:t>.</w:t>
      </w:r>
      <w:r w:rsidRPr="00342967">
        <w:rPr>
          <w:rFonts w:cs="Times New Roman"/>
          <w:i/>
          <w:szCs w:val="24"/>
          <w:lang w:val="en-GB"/>
        </w:rPr>
        <w:t xml:space="preserve">, </w:t>
      </w:r>
      <w:r w:rsidRPr="00342967">
        <w:rPr>
          <w:rFonts w:cs="Times New Roman"/>
          <w:szCs w:val="24"/>
          <w:lang w:val="en-GB"/>
        </w:rPr>
        <w:t xml:space="preserve">1994, p.15). This outer boundary is, in practice hard to define as there are institutions in society that indirectly impinge on the accumulation process but are not directly related to it. Therefore, judgement is necessary to define its exact specifics. The inner boundary is necessary to separate the accumulation process itself from the environment in which it takes place (Gordon </w:t>
      </w:r>
      <w:r w:rsidRPr="00342967">
        <w:rPr>
          <w:rFonts w:cs="Times New Roman"/>
          <w:i/>
          <w:szCs w:val="24"/>
          <w:lang w:val="en-GB"/>
        </w:rPr>
        <w:t>et al</w:t>
      </w:r>
      <w:r w:rsidR="00DA396F" w:rsidRPr="00342967">
        <w:rPr>
          <w:rFonts w:cs="Times New Roman"/>
          <w:i/>
          <w:szCs w:val="24"/>
          <w:lang w:val="en-GB"/>
        </w:rPr>
        <w:t>.</w:t>
      </w:r>
      <w:r w:rsidRPr="00342967">
        <w:rPr>
          <w:rFonts w:cs="Times New Roman"/>
          <w:szCs w:val="24"/>
          <w:lang w:val="en-GB"/>
        </w:rPr>
        <w:t>,</w:t>
      </w:r>
      <w:r w:rsidR="00DA396F" w:rsidRPr="00342967">
        <w:rPr>
          <w:rFonts w:cs="Times New Roman"/>
          <w:szCs w:val="24"/>
          <w:lang w:val="en-GB"/>
        </w:rPr>
        <w:t xml:space="preserve"> 1994,</w:t>
      </w:r>
      <w:r w:rsidRPr="00342967">
        <w:rPr>
          <w:rFonts w:cs="Times New Roman"/>
          <w:szCs w:val="24"/>
          <w:lang w:val="en-GB"/>
        </w:rPr>
        <w:t xml:space="preserve"> p.15). It thus separates the actual profit-making process from the institutional context in which that process takes place. </w:t>
      </w:r>
    </w:p>
    <w:p w14:paraId="01036782" w14:textId="0E83CCE3" w:rsidR="00EA3394" w:rsidRPr="00342967" w:rsidRDefault="00EA3394" w:rsidP="00D904F7">
      <w:pPr>
        <w:jc w:val="both"/>
        <w:rPr>
          <w:rFonts w:cs="Times New Roman"/>
          <w:szCs w:val="24"/>
          <w:lang w:val="en-GB"/>
        </w:rPr>
      </w:pPr>
      <w:r w:rsidRPr="00342967">
        <w:rPr>
          <w:rFonts w:cs="Times New Roman"/>
          <w:szCs w:val="24"/>
          <w:lang w:val="en-GB"/>
        </w:rPr>
        <w:t>SSA theory follows traditional Marxi</w:t>
      </w:r>
      <w:r w:rsidR="00F845FC" w:rsidRPr="00342967">
        <w:rPr>
          <w:rFonts w:cs="Times New Roman"/>
          <w:szCs w:val="24"/>
          <w:lang w:val="en-GB"/>
        </w:rPr>
        <w:t>st</w:t>
      </w:r>
      <w:r w:rsidRPr="00342967">
        <w:rPr>
          <w:rFonts w:cs="Times New Roman"/>
          <w:szCs w:val="24"/>
          <w:lang w:val="en-GB"/>
        </w:rPr>
        <w:t xml:space="preserve"> theory to describe the accumulation process (Gordon </w:t>
      </w:r>
      <w:r w:rsidRPr="00342967">
        <w:rPr>
          <w:rFonts w:cs="Times New Roman"/>
          <w:i/>
          <w:szCs w:val="24"/>
          <w:lang w:val="en-GB"/>
        </w:rPr>
        <w:t>et al</w:t>
      </w:r>
      <w:r w:rsidRPr="00342967">
        <w:rPr>
          <w:rFonts w:cs="Times New Roman"/>
          <w:szCs w:val="24"/>
          <w:lang w:val="en-GB"/>
        </w:rPr>
        <w:t xml:space="preserve">, 1994, p.14). The accumulation process can be disaggregated into three stages. In the first stage capitalist that want to make a profit need to invest. Capital is being invested in machinery, raw material, labour power, building and any other commodity needed for production to take place. In the second step the actual production takes place. Crucially in this stage is the organisation of the labour process which has the task to transform inputs into outputs. In the last step, capitalist transform the output into money. The products, produced by the labour force, are sold on the market and capitalist reconvert their property back into capital. This process is continuous, and the reconverted capital will be used to invest in more commodities and inputs to produce even more output. The system ensuring money and credit is one institutions that is important for every step in the accumulation process. Money is necessary to make the exchange and credit for the time between investment and return (Gordon </w:t>
      </w:r>
      <w:r w:rsidRPr="00342967">
        <w:rPr>
          <w:rFonts w:cs="Times New Roman"/>
          <w:i/>
          <w:szCs w:val="24"/>
          <w:lang w:val="en-GB"/>
        </w:rPr>
        <w:t xml:space="preserve">et al, </w:t>
      </w:r>
      <w:r w:rsidRPr="00342967">
        <w:rPr>
          <w:rFonts w:cs="Times New Roman"/>
          <w:szCs w:val="24"/>
          <w:lang w:val="en-GB"/>
        </w:rPr>
        <w:t>1994, p.14). The extent of state involvement is also an institution that affects all three stages. States can affect the profitability of investment by granting subsidies</w:t>
      </w:r>
      <w:r w:rsidR="00A72FEB">
        <w:rPr>
          <w:rFonts w:cs="Times New Roman"/>
          <w:szCs w:val="24"/>
          <w:lang w:val="en-GB"/>
        </w:rPr>
        <w:t xml:space="preserve">, </w:t>
      </w:r>
      <w:r w:rsidRPr="00342967">
        <w:rPr>
          <w:rFonts w:cs="Times New Roman"/>
          <w:szCs w:val="24"/>
          <w:lang w:val="en-GB"/>
        </w:rPr>
        <w:t xml:space="preserve">issuing taxes and </w:t>
      </w:r>
      <w:r w:rsidR="00A72FEB">
        <w:rPr>
          <w:rFonts w:cs="Times New Roman"/>
          <w:szCs w:val="24"/>
          <w:lang w:val="en-GB"/>
        </w:rPr>
        <w:t>by</w:t>
      </w:r>
      <w:r w:rsidR="003F24E1">
        <w:rPr>
          <w:rFonts w:cs="Times New Roman"/>
          <w:szCs w:val="24"/>
          <w:lang w:val="en-GB"/>
        </w:rPr>
        <w:t xml:space="preserve"> affecting</w:t>
      </w:r>
      <w:r w:rsidRPr="00342967">
        <w:rPr>
          <w:rFonts w:cs="Times New Roman"/>
          <w:szCs w:val="24"/>
          <w:lang w:val="en-GB"/>
        </w:rPr>
        <w:t xml:space="preserve"> the cost of labour. Finally, the structure of class struggle determines the accumulation process in each stage (Gordon </w:t>
      </w:r>
      <w:r w:rsidRPr="00342967">
        <w:rPr>
          <w:rFonts w:cs="Times New Roman"/>
          <w:i/>
          <w:szCs w:val="24"/>
          <w:lang w:val="en-GB"/>
        </w:rPr>
        <w:t>et al</w:t>
      </w:r>
      <w:r w:rsidR="00EF65CB" w:rsidRPr="00342967">
        <w:rPr>
          <w:rFonts w:cs="Times New Roman"/>
          <w:i/>
          <w:szCs w:val="24"/>
          <w:lang w:val="en-GB"/>
        </w:rPr>
        <w:t>.</w:t>
      </w:r>
      <w:r w:rsidRPr="00342967">
        <w:rPr>
          <w:rFonts w:cs="Times New Roman"/>
          <w:szCs w:val="24"/>
          <w:lang w:val="en-GB"/>
        </w:rPr>
        <w:t xml:space="preserve">, 1994, p.14). Zooming in, the supply of inputs depends on labour laws and supply, natural resource supply and intermediate goods supply (Gordon </w:t>
      </w:r>
      <w:r w:rsidRPr="00342967">
        <w:rPr>
          <w:rFonts w:cs="Times New Roman"/>
          <w:i/>
          <w:szCs w:val="24"/>
          <w:lang w:val="en-GB"/>
        </w:rPr>
        <w:t>et al</w:t>
      </w:r>
      <w:r w:rsidR="00EF65CB" w:rsidRPr="00342967">
        <w:rPr>
          <w:rFonts w:cs="Times New Roman"/>
          <w:i/>
          <w:szCs w:val="24"/>
          <w:lang w:val="en-GB"/>
        </w:rPr>
        <w:t>.</w:t>
      </w:r>
      <w:r w:rsidRPr="00342967">
        <w:rPr>
          <w:rFonts w:cs="Times New Roman"/>
          <w:i/>
          <w:szCs w:val="24"/>
          <w:lang w:val="en-GB"/>
        </w:rPr>
        <w:t xml:space="preserve">, </w:t>
      </w:r>
      <w:r w:rsidR="00057073" w:rsidRPr="00342967">
        <w:rPr>
          <w:rFonts w:cs="Times New Roman"/>
          <w:szCs w:val="24"/>
          <w:lang w:val="en-GB"/>
        </w:rPr>
        <w:t>1994</w:t>
      </w:r>
      <w:r w:rsidRPr="00342967">
        <w:rPr>
          <w:rFonts w:cs="Times New Roman"/>
          <w:szCs w:val="24"/>
          <w:lang w:val="en-GB"/>
        </w:rPr>
        <w:t xml:space="preserve">, p.14). The institutions governing the second stage are mostly in the hands of the capitalist themselves such as the management structure and the organisation of the labour process (Gordon </w:t>
      </w:r>
      <w:r w:rsidRPr="00342967">
        <w:rPr>
          <w:rFonts w:cs="Times New Roman"/>
          <w:i/>
          <w:szCs w:val="24"/>
          <w:lang w:val="en-GB"/>
        </w:rPr>
        <w:t>et al</w:t>
      </w:r>
      <w:r w:rsidR="00EF65CB" w:rsidRPr="00342967">
        <w:rPr>
          <w:rFonts w:cs="Times New Roman"/>
          <w:i/>
          <w:szCs w:val="24"/>
          <w:lang w:val="en-GB"/>
        </w:rPr>
        <w:t>.</w:t>
      </w:r>
      <w:r w:rsidRPr="00342967">
        <w:rPr>
          <w:rFonts w:cs="Times New Roman"/>
          <w:i/>
          <w:szCs w:val="24"/>
          <w:lang w:val="en-GB"/>
        </w:rPr>
        <w:t xml:space="preserve">, </w:t>
      </w:r>
      <w:r w:rsidR="00057073" w:rsidRPr="00342967">
        <w:rPr>
          <w:rFonts w:cs="Times New Roman"/>
          <w:szCs w:val="24"/>
          <w:lang w:val="en-GB"/>
        </w:rPr>
        <w:t>1994</w:t>
      </w:r>
      <w:r w:rsidRPr="00342967">
        <w:rPr>
          <w:rFonts w:cs="Times New Roman"/>
          <w:szCs w:val="24"/>
          <w:lang w:val="en-GB"/>
        </w:rPr>
        <w:t>, p.14). For the final stage, the reconverting stage, the structure of final demand is crucial</w:t>
      </w:r>
      <w:r w:rsidR="003F4773" w:rsidRPr="00342967">
        <w:rPr>
          <w:rFonts w:cs="Times New Roman"/>
          <w:szCs w:val="24"/>
          <w:lang w:val="en-GB"/>
        </w:rPr>
        <w:t>, i</w:t>
      </w:r>
      <w:r w:rsidRPr="00342967">
        <w:rPr>
          <w:rFonts w:cs="Times New Roman"/>
          <w:szCs w:val="24"/>
          <w:lang w:val="en-GB"/>
        </w:rPr>
        <w:t xml:space="preserve">f no customers exist, the accumulation process fails. </w:t>
      </w:r>
      <w:r w:rsidRPr="00342967">
        <w:rPr>
          <w:rFonts w:cs="Times New Roman"/>
          <w:szCs w:val="24"/>
          <w:lang w:val="en-GB"/>
        </w:rPr>
        <w:lastRenderedPageBreak/>
        <w:t xml:space="preserve">Other institutions active in this stage are the structure of competition, that is, monopoly or competition, and the structure of distribution networks (Gordon </w:t>
      </w:r>
      <w:r w:rsidRPr="00342967">
        <w:rPr>
          <w:rFonts w:cs="Times New Roman"/>
          <w:i/>
          <w:szCs w:val="24"/>
          <w:lang w:val="en-GB"/>
        </w:rPr>
        <w:t xml:space="preserve">et al, </w:t>
      </w:r>
      <w:r w:rsidR="00057073" w:rsidRPr="00342967">
        <w:rPr>
          <w:rFonts w:cs="Times New Roman"/>
          <w:szCs w:val="24"/>
          <w:lang w:val="en-GB"/>
        </w:rPr>
        <w:t>1994</w:t>
      </w:r>
      <w:r w:rsidRPr="00342967">
        <w:rPr>
          <w:rFonts w:cs="Times New Roman"/>
          <w:szCs w:val="24"/>
          <w:lang w:val="en-GB"/>
        </w:rPr>
        <w:t xml:space="preserve">, p.14).  </w:t>
      </w:r>
    </w:p>
    <w:p w14:paraId="7AA68ACA" w14:textId="39A97374" w:rsidR="00EA3394" w:rsidRPr="00342967" w:rsidRDefault="00AA2D97" w:rsidP="00D904F7">
      <w:pPr>
        <w:jc w:val="both"/>
        <w:rPr>
          <w:rFonts w:cs="Times New Roman"/>
          <w:szCs w:val="24"/>
          <w:lang w:val="en-GB"/>
        </w:rPr>
      </w:pPr>
      <w:r w:rsidRPr="00342967">
        <w:rPr>
          <w:rFonts w:cs="Times New Roman"/>
          <w:szCs w:val="24"/>
          <w:lang w:val="en-GB"/>
        </w:rPr>
        <w:t>The</w:t>
      </w:r>
      <w:r w:rsidR="00EA3394" w:rsidRPr="00342967">
        <w:rPr>
          <w:rFonts w:cs="Times New Roman"/>
          <w:szCs w:val="24"/>
          <w:lang w:val="en-GB"/>
        </w:rPr>
        <w:t xml:space="preserve"> institutions</w:t>
      </w:r>
      <w:r w:rsidRPr="00342967">
        <w:rPr>
          <w:rFonts w:cs="Times New Roman"/>
          <w:szCs w:val="24"/>
          <w:lang w:val="en-GB"/>
        </w:rPr>
        <w:t xml:space="preserve"> that make up an SSA</w:t>
      </w:r>
      <w:r w:rsidR="00EA3394" w:rsidRPr="00342967">
        <w:rPr>
          <w:rFonts w:cs="Times New Roman"/>
          <w:szCs w:val="24"/>
          <w:lang w:val="en-GB"/>
        </w:rPr>
        <w:t xml:space="preserve"> are not merely a selection of independent institutions</w:t>
      </w:r>
      <w:r w:rsidR="00F845FC" w:rsidRPr="00342967">
        <w:rPr>
          <w:rFonts w:cs="Times New Roman"/>
          <w:szCs w:val="24"/>
          <w:lang w:val="en-GB"/>
        </w:rPr>
        <w:t xml:space="preserve"> but</w:t>
      </w:r>
      <w:r w:rsidR="00EA3394" w:rsidRPr="00342967">
        <w:rPr>
          <w:rFonts w:cs="Times New Roman"/>
          <w:szCs w:val="24"/>
          <w:lang w:val="en-GB"/>
        </w:rPr>
        <w:t xml:space="preserve"> form a unified structure. When an SSA collapses it is not a failure of one institutions but a failure of the structure (Lippit, 2010, p.54). This implies a structural integrity of any SSA. Kotz (1994, p.65-67) argues that this integrity is achieved by a core of institutions that form the basis of the SSA and on which other institutions are subsequently built. McDonough (1994</w:t>
      </w:r>
      <w:r w:rsidR="00177DDD" w:rsidRPr="00342967">
        <w:rPr>
          <w:rFonts w:cs="Times New Roman"/>
          <w:szCs w:val="24"/>
          <w:lang w:val="en-GB"/>
        </w:rPr>
        <w:t>, p</w:t>
      </w:r>
      <w:r w:rsidR="00FA785D" w:rsidRPr="00342967">
        <w:rPr>
          <w:rFonts w:cs="Times New Roman"/>
          <w:szCs w:val="24"/>
          <w:lang w:val="en-GB"/>
        </w:rPr>
        <w:t>.76-77)</w:t>
      </w:r>
      <w:r w:rsidR="00EA3394" w:rsidRPr="00342967">
        <w:rPr>
          <w:rFonts w:cs="Times New Roman"/>
          <w:szCs w:val="24"/>
          <w:lang w:val="en-GB"/>
        </w:rPr>
        <w:t xml:space="preserve"> argues it</w:t>
      </w:r>
      <w:r w:rsidR="003F6D0B" w:rsidRPr="00342967">
        <w:rPr>
          <w:rFonts w:cs="Times New Roman"/>
          <w:szCs w:val="24"/>
          <w:lang w:val="en-GB"/>
        </w:rPr>
        <w:t xml:space="preserve"> is</w:t>
      </w:r>
      <w:r w:rsidR="00EA3394" w:rsidRPr="00342967">
        <w:rPr>
          <w:rFonts w:cs="Times New Roman"/>
          <w:szCs w:val="24"/>
          <w:lang w:val="en-GB"/>
        </w:rPr>
        <w:t xml:space="preserve"> not a set of institutions that forms the basis, instead a single institution or exogenous event can serve as the unifying principl</w:t>
      </w:r>
      <w:r w:rsidR="00FA785D" w:rsidRPr="00342967">
        <w:rPr>
          <w:rFonts w:cs="Times New Roman"/>
          <w:szCs w:val="24"/>
          <w:lang w:val="en-GB"/>
        </w:rPr>
        <w:t>e</w:t>
      </w:r>
      <w:r w:rsidR="00EA3394" w:rsidRPr="00342967">
        <w:rPr>
          <w:rFonts w:cs="Times New Roman"/>
          <w:szCs w:val="24"/>
          <w:lang w:val="en-GB"/>
        </w:rPr>
        <w:t>. Problematic with the former approach is that it only can account for the structural integrity between core and peripheral institutions but not for the integrity of the set of institutions that form the core (Lippit, 2010, p.55). The latter approach by McDonough can account for this since the focus is not on a core of institutions but on a single one. However, this approach is too simplified and ignores the interplay between institutions and the fact that institutions are not completely independent entities. It is therefore that Lippit (2010, p</w:t>
      </w:r>
      <w:r w:rsidR="00FA785D" w:rsidRPr="00342967">
        <w:rPr>
          <w:rFonts w:cs="Times New Roman"/>
          <w:szCs w:val="24"/>
          <w:lang w:val="en-GB"/>
        </w:rPr>
        <w:t>.</w:t>
      </w:r>
      <w:r w:rsidR="00EA3394" w:rsidRPr="00342967">
        <w:rPr>
          <w:rFonts w:cs="Times New Roman"/>
          <w:szCs w:val="24"/>
          <w:lang w:val="en-GB"/>
        </w:rPr>
        <w:t>56) validates the claim of structural integrity as follows, “There is an ongoing process of institutional formation and institutional change that is brought about by the interaction among (1) the internal contradictions of any specified institutions, (2) the other institutions that coexist with it, (3) exogenous events, and (4) the full range of social processes”. All of these elements mutually determine on another”. Institutions, thus, never operate in a vacuum nor are they independent of each other.</w:t>
      </w:r>
    </w:p>
    <w:p w14:paraId="7C0A040A" w14:textId="1A69D1A4" w:rsidR="00835B6E" w:rsidRPr="00342967" w:rsidRDefault="00EA3394" w:rsidP="00D904F7">
      <w:pPr>
        <w:jc w:val="both"/>
        <w:rPr>
          <w:rFonts w:cs="Times New Roman"/>
          <w:szCs w:val="24"/>
          <w:lang w:val="en-GB"/>
        </w:rPr>
      </w:pPr>
      <w:r w:rsidRPr="00342967">
        <w:rPr>
          <w:rFonts w:cs="Times New Roman"/>
          <w:szCs w:val="24"/>
          <w:lang w:val="en-GB"/>
        </w:rPr>
        <w:t xml:space="preserve">The alternating period between </w:t>
      </w:r>
      <w:r w:rsidR="0050374D" w:rsidRPr="00342967">
        <w:rPr>
          <w:rFonts w:cs="Times New Roman"/>
          <w:szCs w:val="24"/>
          <w:lang w:val="en-GB"/>
        </w:rPr>
        <w:t>the failure of the old institutional structure and success of a new institutional structure</w:t>
      </w:r>
      <w:r w:rsidRPr="00342967">
        <w:rPr>
          <w:rFonts w:cs="Times New Roman"/>
          <w:szCs w:val="24"/>
          <w:lang w:val="en-GB"/>
        </w:rPr>
        <w:t xml:space="preserve"> is labelled </w:t>
      </w:r>
      <w:r w:rsidR="0050374D" w:rsidRPr="00342967">
        <w:rPr>
          <w:rFonts w:cs="Times New Roman"/>
          <w:szCs w:val="24"/>
          <w:lang w:val="en-GB"/>
        </w:rPr>
        <w:t>a</w:t>
      </w:r>
      <w:r w:rsidRPr="00342967">
        <w:rPr>
          <w:rFonts w:cs="Times New Roman"/>
          <w:szCs w:val="24"/>
          <w:lang w:val="en-GB"/>
        </w:rPr>
        <w:t xml:space="preserve"> long swing or long wave. The first word</w:t>
      </w:r>
      <w:r w:rsidR="0050374D" w:rsidRPr="00342967">
        <w:rPr>
          <w:rFonts w:cs="Times New Roman"/>
          <w:szCs w:val="24"/>
          <w:lang w:val="en-GB"/>
        </w:rPr>
        <w:t xml:space="preserve"> of this label</w:t>
      </w:r>
      <w:r w:rsidRPr="00342967">
        <w:rPr>
          <w:rFonts w:cs="Times New Roman"/>
          <w:szCs w:val="24"/>
          <w:lang w:val="en-GB"/>
        </w:rPr>
        <w:t xml:space="preserve"> implies that SSAs are in place a long time before they are replaced with a successor.</w:t>
      </w:r>
      <w:r w:rsidR="0050374D" w:rsidRPr="00342967">
        <w:rPr>
          <w:rFonts w:cs="Times New Roman"/>
          <w:szCs w:val="24"/>
          <w:lang w:val="en-GB"/>
        </w:rPr>
        <w:t xml:space="preserve"> Empirically</w:t>
      </w:r>
      <w:r w:rsidR="00B63CE2" w:rsidRPr="00342967">
        <w:rPr>
          <w:rFonts w:cs="Times New Roman"/>
          <w:szCs w:val="24"/>
          <w:lang w:val="en-GB"/>
        </w:rPr>
        <w:t>, the last three SSAs (Pre-29’-crisis, Keynesianism, Neoliberalism) have all been in place for over three decades.</w:t>
      </w:r>
      <w:r w:rsidRPr="00342967">
        <w:rPr>
          <w:rFonts w:cs="Times New Roman"/>
          <w:szCs w:val="24"/>
          <w:lang w:val="en-GB"/>
        </w:rPr>
        <w:t xml:space="preserve"> The theory, however, cannot say anything </w:t>
      </w:r>
      <w:r w:rsidR="00B63CE2" w:rsidRPr="00342967">
        <w:rPr>
          <w:rFonts w:cs="Times New Roman"/>
          <w:szCs w:val="24"/>
          <w:lang w:val="en-GB"/>
        </w:rPr>
        <w:t xml:space="preserve">specific </w:t>
      </w:r>
      <w:r w:rsidRPr="00342967">
        <w:rPr>
          <w:rFonts w:cs="Times New Roman"/>
          <w:szCs w:val="24"/>
          <w:lang w:val="en-GB"/>
        </w:rPr>
        <w:t xml:space="preserve">about </w:t>
      </w:r>
      <w:r w:rsidRPr="00342967">
        <w:rPr>
          <w:rFonts w:cs="Times New Roman"/>
          <w:i/>
          <w:szCs w:val="24"/>
          <w:lang w:val="en-GB"/>
        </w:rPr>
        <w:t>how</w:t>
      </w:r>
      <w:r w:rsidRPr="00342967">
        <w:rPr>
          <w:rFonts w:cs="Times New Roman"/>
          <w:szCs w:val="24"/>
          <w:lang w:val="en-GB"/>
        </w:rPr>
        <w:t xml:space="preserve"> long an SSA is in place before it collapses. That depends on the internal contradictions and exogenous events (Lippit, 2010, p.62). Among SSA theorist there is fierce debate about whether </w:t>
      </w:r>
      <w:r w:rsidRPr="00342967">
        <w:rPr>
          <w:rFonts w:cs="Times New Roman"/>
          <w:i/>
          <w:szCs w:val="24"/>
          <w:lang w:val="en-GB"/>
        </w:rPr>
        <w:t xml:space="preserve">long </w:t>
      </w:r>
      <w:r w:rsidRPr="00342967">
        <w:rPr>
          <w:rFonts w:cs="Times New Roman"/>
          <w:szCs w:val="24"/>
          <w:lang w:val="en-GB"/>
        </w:rPr>
        <w:t xml:space="preserve">swing or wave is </w:t>
      </w:r>
      <w:r w:rsidR="00CD4D4A" w:rsidRPr="00342967">
        <w:rPr>
          <w:rFonts w:cs="Times New Roman"/>
          <w:szCs w:val="24"/>
          <w:lang w:val="en-GB"/>
        </w:rPr>
        <w:t>a</w:t>
      </w:r>
      <w:r w:rsidRPr="00342967">
        <w:rPr>
          <w:rFonts w:cs="Times New Roman"/>
          <w:szCs w:val="24"/>
          <w:lang w:val="en-GB"/>
        </w:rPr>
        <w:t xml:space="preserve"> justified name. McDonough (1994) argues that SSA are only good at explaining stages of capitalism, not at explaining long periods of growth or retraction. In addition, he argues there is no reason to assume that SSAs will always be in place for a sustained period of time. Gordon </w:t>
      </w:r>
      <w:r w:rsidRPr="00342967">
        <w:rPr>
          <w:rFonts w:cs="Times New Roman"/>
          <w:i/>
          <w:szCs w:val="24"/>
          <w:lang w:val="en-GB"/>
        </w:rPr>
        <w:t xml:space="preserve">et </w:t>
      </w:r>
      <w:r w:rsidRPr="00342967">
        <w:rPr>
          <w:rFonts w:cs="Times New Roman"/>
          <w:i/>
          <w:szCs w:val="24"/>
          <w:lang w:val="en-GB"/>
        </w:rPr>
        <w:lastRenderedPageBreak/>
        <w:t xml:space="preserve">al. </w:t>
      </w:r>
      <w:r w:rsidRPr="00342967">
        <w:rPr>
          <w:rFonts w:cs="Times New Roman"/>
          <w:szCs w:val="24"/>
          <w:lang w:val="en-GB"/>
        </w:rPr>
        <w:t>(1982) do argue that SSAs have a long life</w:t>
      </w:r>
      <w:r w:rsidR="009D7BA2" w:rsidRPr="00342967">
        <w:rPr>
          <w:rFonts w:cs="Times New Roman"/>
          <w:szCs w:val="24"/>
          <w:lang w:val="en-GB"/>
        </w:rPr>
        <w:t xml:space="preserve">. Firstly, </w:t>
      </w:r>
      <w:r w:rsidR="00BA1A8B" w:rsidRPr="00342967">
        <w:rPr>
          <w:rFonts w:cs="Times New Roman"/>
          <w:szCs w:val="24"/>
          <w:lang w:val="en-GB"/>
        </w:rPr>
        <w:t xml:space="preserve">they argue, </w:t>
      </w:r>
      <w:r w:rsidRPr="00342967">
        <w:rPr>
          <w:rFonts w:cs="Times New Roman"/>
          <w:szCs w:val="24"/>
          <w:lang w:val="en-GB"/>
        </w:rPr>
        <w:t>by definition, institutions are durable</w:t>
      </w:r>
      <w:r w:rsidR="00835B6E" w:rsidRPr="00342967">
        <w:rPr>
          <w:rFonts w:cs="Times New Roman"/>
          <w:szCs w:val="24"/>
          <w:lang w:val="en-GB"/>
        </w:rPr>
        <w:t>,</w:t>
      </w:r>
      <w:r w:rsidRPr="00342967">
        <w:rPr>
          <w:rFonts w:cs="Times New Roman"/>
          <w:szCs w:val="24"/>
          <w:lang w:val="en-GB"/>
        </w:rPr>
        <w:t xml:space="preserve"> </w:t>
      </w:r>
      <w:r w:rsidR="00835B6E" w:rsidRPr="00342967">
        <w:rPr>
          <w:rFonts w:cs="Times New Roman"/>
          <w:szCs w:val="24"/>
          <w:lang w:val="en-GB"/>
        </w:rPr>
        <w:t>e</w:t>
      </w:r>
      <w:r w:rsidRPr="00342967">
        <w:rPr>
          <w:rFonts w:cs="Times New Roman"/>
          <w:szCs w:val="24"/>
          <w:lang w:val="en-GB"/>
        </w:rPr>
        <w:t xml:space="preserve">specially when institutions are interpreted in the broader sense of habits, customs and expectations. </w:t>
      </w:r>
      <w:r w:rsidR="00835B6E" w:rsidRPr="00342967">
        <w:rPr>
          <w:rFonts w:cs="Times New Roman"/>
          <w:szCs w:val="24"/>
          <w:lang w:val="en-GB"/>
        </w:rPr>
        <w:t>Secondly,</w:t>
      </w:r>
      <w:r w:rsidRPr="00342967">
        <w:rPr>
          <w:rFonts w:cs="Times New Roman"/>
          <w:szCs w:val="24"/>
          <w:lang w:val="en-GB"/>
        </w:rPr>
        <w:t xml:space="preserve"> only SSAs that benefit a large class or social group will make it. Therefore, the benefactors of the SSAs will actively fight any attempt to undermine the incumbent SSA and this tends to increase the longevity of the SSA. </w:t>
      </w:r>
      <w:r w:rsidR="00835B6E" w:rsidRPr="00342967">
        <w:rPr>
          <w:rFonts w:cs="Times New Roman"/>
          <w:szCs w:val="24"/>
          <w:lang w:val="en-GB"/>
        </w:rPr>
        <w:t>Thirdly,</w:t>
      </w:r>
      <w:r w:rsidRPr="00342967">
        <w:rPr>
          <w:rFonts w:cs="Times New Roman"/>
          <w:szCs w:val="24"/>
          <w:lang w:val="en-GB"/>
        </w:rPr>
        <w:t xml:space="preserve"> </w:t>
      </w:r>
      <w:r w:rsidR="00835B6E" w:rsidRPr="00342967">
        <w:rPr>
          <w:rFonts w:cs="Times New Roman"/>
          <w:szCs w:val="24"/>
          <w:lang w:val="en-GB"/>
        </w:rPr>
        <w:t>the institutions that make up and SSA</w:t>
      </w:r>
      <w:r w:rsidRPr="00342967">
        <w:rPr>
          <w:rFonts w:cs="Times New Roman"/>
          <w:szCs w:val="24"/>
          <w:lang w:val="en-GB"/>
        </w:rPr>
        <w:t xml:space="preserve"> are mutually reinforcing. They form a unified structure where the one institution supports the other which makes the structure as a whole more durable. </w:t>
      </w:r>
    </w:p>
    <w:p w14:paraId="045FAACB" w14:textId="5DF803AE" w:rsidR="00711666" w:rsidRPr="00342967" w:rsidRDefault="003A6B2D" w:rsidP="00D904F7">
      <w:pPr>
        <w:jc w:val="both"/>
        <w:rPr>
          <w:rFonts w:cs="Times New Roman"/>
          <w:szCs w:val="24"/>
          <w:lang w:val="en-GB"/>
        </w:rPr>
      </w:pPr>
      <w:r w:rsidRPr="00342967">
        <w:rPr>
          <w:rFonts w:cs="Times New Roman"/>
          <w:szCs w:val="24"/>
          <w:lang w:val="en-GB"/>
        </w:rPr>
        <w:t xml:space="preserve">Constructing a new SSA after the old SSA has failed is a long and tedious process for the exact same </w:t>
      </w:r>
      <w:r w:rsidR="006A4DB1">
        <w:rPr>
          <w:rFonts w:cs="Times New Roman"/>
          <w:szCs w:val="24"/>
          <w:lang w:val="en-GB"/>
        </w:rPr>
        <w:t>reasons</w:t>
      </w:r>
      <w:r w:rsidR="00ED2BF7" w:rsidRPr="00342967">
        <w:rPr>
          <w:rFonts w:cs="Times New Roman"/>
          <w:szCs w:val="24"/>
          <w:lang w:val="en-GB"/>
        </w:rPr>
        <w:t xml:space="preserve"> why an SSA is usually in place for a sustained period of time.</w:t>
      </w:r>
      <w:r w:rsidR="00EA3394" w:rsidRPr="00342967">
        <w:rPr>
          <w:rFonts w:cs="Times New Roman"/>
          <w:szCs w:val="24"/>
          <w:lang w:val="en-GB"/>
        </w:rPr>
        <w:t xml:space="preserve"> Reforming institutions, especially broad institutions, takes a long time. The same holds true for crafting a unified structure of mutually reinforcing institutions. But perhaps the </w:t>
      </w:r>
      <w:r w:rsidR="00D56A51" w:rsidRPr="00342967">
        <w:rPr>
          <w:rFonts w:cs="Times New Roman"/>
          <w:szCs w:val="24"/>
          <w:lang w:val="en-GB"/>
        </w:rPr>
        <w:t>dreariest</w:t>
      </w:r>
      <w:r w:rsidR="00EA3394" w:rsidRPr="00342967">
        <w:rPr>
          <w:rFonts w:cs="Times New Roman"/>
          <w:szCs w:val="24"/>
          <w:lang w:val="en-GB"/>
        </w:rPr>
        <w:t xml:space="preserve"> part of crafting a new SSA is solving the class conflict (Kotz, 1994, p.55). </w:t>
      </w:r>
      <w:r w:rsidR="00ED2BF7" w:rsidRPr="00342967">
        <w:rPr>
          <w:rFonts w:cs="Times New Roman"/>
          <w:szCs w:val="24"/>
          <w:lang w:val="en-GB"/>
        </w:rPr>
        <w:t>But</w:t>
      </w:r>
      <w:r w:rsidR="00D56A51" w:rsidRPr="00342967">
        <w:rPr>
          <w:rFonts w:cs="Times New Roman"/>
          <w:szCs w:val="24"/>
          <w:lang w:val="en-GB"/>
        </w:rPr>
        <w:t xml:space="preserve"> </w:t>
      </w:r>
      <w:r w:rsidR="00EA3394" w:rsidRPr="00342967">
        <w:rPr>
          <w:rFonts w:cs="Times New Roman"/>
          <w:szCs w:val="24"/>
          <w:lang w:val="en-GB"/>
        </w:rPr>
        <w:t>society is faced with many other struggles that impinge upon the institutional structure and SSA formation than class conflict alone (Lippit, 2010, p.64). Social security issues, gender</w:t>
      </w:r>
      <w:r w:rsidR="005C6031" w:rsidRPr="00342967">
        <w:rPr>
          <w:rFonts w:cs="Times New Roman"/>
          <w:szCs w:val="24"/>
          <w:lang w:val="en-GB"/>
        </w:rPr>
        <w:t xml:space="preserve">, </w:t>
      </w:r>
      <w:r w:rsidR="00EA3394" w:rsidRPr="00342967">
        <w:rPr>
          <w:rFonts w:cs="Times New Roman"/>
          <w:szCs w:val="24"/>
          <w:lang w:val="en-GB"/>
        </w:rPr>
        <w:t xml:space="preserve">racial </w:t>
      </w:r>
      <w:r w:rsidR="005C6031" w:rsidRPr="00342967">
        <w:rPr>
          <w:rFonts w:cs="Times New Roman"/>
          <w:szCs w:val="24"/>
          <w:lang w:val="en-GB"/>
        </w:rPr>
        <w:t>and</w:t>
      </w:r>
      <w:r w:rsidR="00EA3394" w:rsidRPr="00342967">
        <w:rPr>
          <w:rFonts w:cs="Times New Roman"/>
          <w:szCs w:val="24"/>
          <w:lang w:val="en-GB"/>
        </w:rPr>
        <w:t xml:space="preserve"> generational conflicts are examples of such other struggles. While Kotz (1994) applies an essentialist view on SSA formation, that is class formation is the largest problem, Lippit (2010) argues that the formation of an SSA is anti</w:t>
      </w:r>
      <w:r w:rsidR="0002219F">
        <w:rPr>
          <w:rFonts w:cs="Times New Roman"/>
          <w:szCs w:val="24"/>
          <w:lang w:val="en-GB"/>
        </w:rPr>
        <w:t>-</w:t>
      </w:r>
      <w:r w:rsidR="00EA3394" w:rsidRPr="00342967">
        <w:rPr>
          <w:rFonts w:cs="Times New Roman"/>
          <w:szCs w:val="24"/>
          <w:lang w:val="en-GB"/>
        </w:rPr>
        <w:t>essentialist; more problems need solving than just class conflict alone.</w:t>
      </w:r>
      <w:r w:rsidR="00711666" w:rsidRPr="00342967">
        <w:rPr>
          <w:rFonts w:cs="Times New Roman"/>
          <w:szCs w:val="24"/>
          <w:lang w:val="en-GB"/>
        </w:rPr>
        <w:t xml:space="preserve"> </w:t>
      </w:r>
    </w:p>
    <w:p w14:paraId="1AACDA94" w14:textId="6D2D99E7" w:rsidR="00EA3394" w:rsidRPr="00342967" w:rsidRDefault="002174AA" w:rsidP="00D904F7">
      <w:pPr>
        <w:jc w:val="both"/>
        <w:rPr>
          <w:rFonts w:cs="Times New Roman"/>
          <w:szCs w:val="24"/>
          <w:lang w:val="en-GB"/>
        </w:rPr>
      </w:pPr>
      <w:r w:rsidRPr="00342967">
        <w:rPr>
          <w:rFonts w:cs="Times New Roman"/>
          <w:szCs w:val="24"/>
          <w:lang w:val="en-GB"/>
        </w:rPr>
        <w:t xml:space="preserve">An SSA, however, does not necessarily have to be superseded immediately once it has entered the stagnation </w:t>
      </w:r>
      <w:r w:rsidR="0080674B" w:rsidRPr="00342967">
        <w:rPr>
          <w:rFonts w:cs="Times New Roman"/>
          <w:szCs w:val="24"/>
          <w:lang w:val="en-GB"/>
        </w:rPr>
        <w:t>phase</w:t>
      </w:r>
      <w:r w:rsidRPr="00342967">
        <w:rPr>
          <w:rFonts w:cs="Times New Roman"/>
          <w:szCs w:val="24"/>
          <w:lang w:val="en-GB"/>
        </w:rPr>
        <w:t>.</w:t>
      </w:r>
      <w:r w:rsidR="0080674B" w:rsidRPr="00342967">
        <w:rPr>
          <w:rFonts w:cs="Times New Roman"/>
          <w:szCs w:val="24"/>
          <w:lang w:val="en-GB"/>
        </w:rPr>
        <w:t xml:space="preserve"> SSAs can continue in that phase for a long time, but economic growth will notably</w:t>
      </w:r>
      <w:r w:rsidR="00852AC4">
        <w:rPr>
          <w:rFonts w:cs="Times New Roman"/>
          <w:szCs w:val="24"/>
          <w:lang w:val="en-GB"/>
        </w:rPr>
        <w:t xml:space="preserve"> be</w:t>
      </w:r>
      <w:r w:rsidR="0080674B" w:rsidRPr="00342967">
        <w:rPr>
          <w:rFonts w:cs="Times New Roman"/>
          <w:szCs w:val="24"/>
          <w:lang w:val="en-GB"/>
        </w:rPr>
        <w:t xml:space="preserve"> absent. SSA theory, however, </w:t>
      </w:r>
      <w:r w:rsidR="000F7F48" w:rsidRPr="00342967">
        <w:rPr>
          <w:rFonts w:cs="Times New Roman"/>
          <w:szCs w:val="24"/>
          <w:lang w:val="en-GB"/>
        </w:rPr>
        <w:t>does not clearly spell out what happens after an SSA fails</w:t>
      </w:r>
      <w:r w:rsidR="0013009F">
        <w:rPr>
          <w:rFonts w:cs="Times New Roman"/>
          <w:szCs w:val="24"/>
          <w:lang w:val="en-GB"/>
        </w:rPr>
        <w:t xml:space="preserve"> and is at this point at its weakest</w:t>
      </w:r>
      <w:r w:rsidR="000F7F48" w:rsidRPr="00342967">
        <w:rPr>
          <w:rFonts w:cs="Times New Roman"/>
          <w:szCs w:val="24"/>
          <w:lang w:val="en-GB"/>
        </w:rPr>
        <w:t xml:space="preserve">. </w:t>
      </w:r>
      <w:r w:rsidR="00EA3394" w:rsidRPr="00342967">
        <w:rPr>
          <w:rFonts w:cs="Times New Roman"/>
          <w:szCs w:val="24"/>
          <w:lang w:val="en-GB"/>
        </w:rPr>
        <w:t xml:space="preserve">SSA theorist only acknowledge that the development of an SSA depends on class and non-class conflicts and social power relations stemming from the accumulation process. Real agency that explains the construction </w:t>
      </w:r>
      <w:r w:rsidR="00B644D0" w:rsidRPr="00342967">
        <w:rPr>
          <w:rFonts w:cs="Times New Roman"/>
          <w:szCs w:val="24"/>
          <w:lang w:val="en-GB"/>
        </w:rPr>
        <w:t>or the preserving of an SSA</w:t>
      </w:r>
      <w:r w:rsidR="00EA3394" w:rsidRPr="00342967">
        <w:rPr>
          <w:rFonts w:cs="Times New Roman"/>
          <w:szCs w:val="24"/>
          <w:lang w:val="en-GB"/>
        </w:rPr>
        <w:t xml:space="preserve"> is lacking. It is therefore that the theory need to be complemented. Gramscian theory </w:t>
      </w:r>
      <w:r w:rsidR="00624FD8" w:rsidRPr="00342967">
        <w:rPr>
          <w:rFonts w:cs="Times New Roman"/>
          <w:szCs w:val="24"/>
          <w:lang w:val="en-GB"/>
        </w:rPr>
        <w:t>offers a t</w:t>
      </w:r>
      <w:r w:rsidR="00EA3394" w:rsidRPr="00342967">
        <w:rPr>
          <w:rFonts w:cs="Times New Roman"/>
          <w:szCs w:val="24"/>
          <w:lang w:val="en-GB"/>
        </w:rPr>
        <w:t xml:space="preserve">heory of politics </w:t>
      </w:r>
      <w:r w:rsidR="00602788" w:rsidRPr="00342967">
        <w:rPr>
          <w:rFonts w:cs="Times New Roman"/>
          <w:szCs w:val="24"/>
          <w:lang w:val="en-GB"/>
        </w:rPr>
        <w:t xml:space="preserve">and </w:t>
      </w:r>
      <w:r w:rsidR="00EA3394" w:rsidRPr="00342967">
        <w:rPr>
          <w:rFonts w:cs="Times New Roman"/>
          <w:szCs w:val="24"/>
          <w:lang w:val="en-GB"/>
        </w:rPr>
        <w:t xml:space="preserve">the tools to analyse behaviour of </w:t>
      </w:r>
      <w:r w:rsidR="00624FD8" w:rsidRPr="00342967">
        <w:rPr>
          <w:rFonts w:cs="Times New Roman"/>
          <w:szCs w:val="24"/>
          <w:lang w:val="en-GB"/>
        </w:rPr>
        <w:t xml:space="preserve">political </w:t>
      </w:r>
      <w:r w:rsidR="00EA3394" w:rsidRPr="00342967">
        <w:rPr>
          <w:rFonts w:cs="Times New Roman"/>
          <w:szCs w:val="24"/>
          <w:lang w:val="en-GB"/>
        </w:rPr>
        <w:t>agents</w:t>
      </w:r>
      <w:r w:rsidR="00624FD8" w:rsidRPr="00342967">
        <w:rPr>
          <w:rFonts w:cs="Times New Roman"/>
          <w:szCs w:val="24"/>
          <w:lang w:val="en-GB"/>
        </w:rPr>
        <w:t xml:space="preserve"> in interplay with state structures</w:t>
      </w:r>
      <w:r w:rsidR="00EA3394" w:rsidRPr="00342967">
        <w:rPr>
          <w:rFonts w:cs="Times New Roman"/>
          <w:szCs w:val="24"/>
          <w:lang w:val="en-GB"/>
        </w:rPr>
        <w:t xml:space="preserve">. The social relations of production are central to the political analysis in Gramscian theory. It incorporates class struggle stemming from the social relations of production to explain agency and how social relations come about. </w:t>
      </w:r>
      <w:r w:rsidR="00830F3F" w:rsidRPr="00342967">
        <w:rPr>
          <w:rFonts w:cs="Times New Roman"/>
          <w:szCs w:val="24"/>
          <w:lang w:val="en-GB"/>
        </w:rPr>
        <w:t>By adding Gramsci to SSA theory, this major gap in SSA theory will be filled</w:t>
      </w:r>
      <w:r w:rsidR="006B45A9" w:rsidRPr="00342967">
        <w:rPr>
          <w:rFonts w:cs="Times New Roman"/>
          <w:szCs w:val="24"/>
          <w:lang w:val="en-GB"/>
        </w:rPr>
        <w:t xml:space="preserve">. </w:t>
      </w:r>
    </w:p>
    <w:p w14:paraId="744A0FB8" w14:textId="15EB04F8" w:rsidR="00EA3394" w:rsidRPr="00342967" w:rsidRDefault="00EA3394" w:rsidP="00D904F7">
      <w:pPr>
        <w:pStyle w:val="Kop2"/>
        <w:jc w:val="both"/>
        <w:rPr>
          <w:lang w:val="en-GB"/>
        </w:rPr>
      </w:pPr>
      <w:bookmarkStart w:id="10" w:name="_Toc518333106"/>
      <w:r w:rsidRPr="00342967">
        <w:rPr>
          <w:lang w:val="en-GB"/>
        </w:rPr>
        <w:lastRenderedPageBreak/>
        <w:t>1.3 Filling the</w:t>
      </w:r>
      <w:r w:rsidR="00F148DA" w:rsidRPr="00342967">
        <w:rPr>
          <w:lang w:val="en-GB"/>
        </w:rPr>
        <w:t xml:space="preserve"> agency</w:t>
      </w:r>
      <w:r w:rsidRPr="00342967">
        <w:rPr>
          <w:lang w:val="en-GB"/>
        </w:rPr>
        <w:t xml:space="preserve"> gap</w:t>
      </w:r>
      <w:r w:rsidR="00F148DA" w:rsidRPr="00342967">
        <w:rPr>
          <w:lang w:val="en-GB"/>
        </w:rPr>
        <w:t xml:space="preserve"> of SSA theory</w:t>
      </w:r>
      <w:r w:rsidRPr="00342967">
        <w:rPr>
          <w:lang w:val="en-GB"/>
        </w:rPr>
        <w:t xml:space="preserve"> with Gramsci</w:t>
      </w:r>
      <w:bookmarkEnd w:id="10"/>
    </w:p>
    <w:p w14:paraId="732039EA" w14:textId="5A6DFE0F" w:rsidR="00FA115A" w:rsidRPr="00342967" w:rsidRDefault="007519AF" w:rsidP="00D904F7">
      <w:pPr>
        <w:jc w:val="both"/>
        <w:rPr>
          <w:rFonts w:cs="Times New Roman"/>
          <w:szCs w:val="24"/>
          <w:lang w:val="en-GB"/>
        </w:rPr>
      </w:pPr>
      <w:r w:rsidRPr="00342967">
        <w:rPr>
          <w:rFonts w:cs="Times New Roman"/>
          <w:szCs w:val="24"/>
          <w:lang w:val="en-GB"/>
        </w:rPr>
        <w:t>Gramsci theory</w:t>
      </w:r>
      <w:r w:rsidR="008812B2" w:rsidRPr="00342967">
        <w:rPr>
          <w:rFonts w:cs="Times New Roman"/>
          <w:szCs w:val="24"/>
          <w:lang w:val="en-GB"/>
        </w:rPr>
        <w:t xml:space="preserve">, as the name suggest, is </w:t>
      </w:r>
      <w:r w:rsidR="006B45A9" w:rsidRPr="00342967">
        <w:rPr>
          <w:rFonts w:cs="Times New Roman"/>
          <w:szCs w:val="24"/>
          <w:lang w:val="en-GB"/>
        </w:rPr>
        <w:t>based on the writings</w:t>
      </w:r>
      <w:r w:rsidR="008812B2" w:rsidRPr="00342967">
        <w:rPr>
          <w:rFonts w:cs="Times New Roman"/>
          <w:szCs w:val="24"/>
          <w:lang w:val="en-GB"/>
        </w:rPr>
        <w:t xml:space="preserve"> by Antonio Gramsci</w:t>
      </w:r>
      <w:r w:rsidR="00581409" w:rsidRPr="00342967">
        <w:rPr>
          <w:rFonts w:cs="Times New Roman"/>
          <w:szCs w:val="24"/>
          <w:lang w:val="en-GB"/>
        </w:rPr>
        <w:t xml:space="preserve"> and is one of the major Marxist thinkers.</w:t>
      </w:r>
      <w:r w:rsidR="00925799" w:rsidRPr="00342967">
        <w:rPr>
          <w:rFonts w:cs="Times New Roman"/>
          <w:szCs w:val="24"/>
          <w:lang w:val="en-GB"/>
        </w:rPr>
        <w:t xml:space="preserve"> </w:t>
      </w:r>
      <w:r w:rsidR="00422497" w:rsidRPr="00342967">
        <w:rPr>
          <w:rFonts w:cs="Times New Roman"/>
          <w:szCs w:val="24"/>
          <w:lang w:val="en-GB"/>
        </w:rPr>
        <w:t>D</w:t>
      </w:r>
      <w:r w:rsidR="00241DF7" w:rsidRPr="00342967">
        <w:rPr>
          <w:rFonts w:cs="Times New Roman"/>
          <w:szCs w:val="24"/>
          <w:lang w:val="en-GB"/>
        </w:rPr>
        <w:t>uring the rise of fascism in Italy</w:t>
      </w:r>
      <w:r w:rsidR="00F73523" w:rsidRPr="00342967">
        <w:rPr>
          <w:rFonts w:cs="Times New Roman"/>
          <w:szCs w:val="24"/>
          <w:lang w:val="en-GB"/>
        </w:rPr>
        <w:t>,</w:t>
      </w:r>
      <w:r w:rsidR="00241DF7" w:rsidRPr="00342967">
        <w:rPr>
          <w:rFonts w:cs="Times New Roman"/>
          <w:szCs w:val="24"/>
          <w:lang w:val="en-GB"/>
        </w:rPr>
        <w:t xml:space="preserve"> </w:t>
      </w:r>
      <w:r w:rsidR="00422497" w:rsidRPr="00342967">
        <w:rPr>
          <w:rFonts w:cs="Times New Roman"/>
          <w:szCs w:val="24"/>
          <w:lang w:val="en-GB"/>
        </w:rPr>
        <w:t>Gramsci was the leader of the Italian Communist party</w:t>
      </w:r>
      <w:r w:rsidR="00F75E71" w:rsidRPr="00342967">
        <w:rPr>
          <w:rFonts w:cs="Times New Roman"/>
          <w:szCs w:val="24"/>
          <w:lang w:val="en-GB"/>
        </w:rPr>
        <w:t xml:space="preserve"> and a</w:t>
      </w:r>
      <w:r w:rsidR="0079301E" w:rsidRPr="00342967">
        <w:rPr>
          <w:rFonts w:cs="Times New Roman"/>
          <w:szCs w:val="24"/>
          <w:lang w:val="en-GB"/>
        </w:rPr>
        <w:t xml:space="preserve">fter fascism </w:t>
      </w:r>
      <w:r w:rsidR="00F73523" w:rsidRPr="00342967">
        <w:rPr>
          <w:rFonts w:cs="Times New Roman"/>
          <w:szCs w:val="24"/>
          <w:lang w:val="en-GB"/>
        </w:rPr>
        <w:t>had become</w:t>
      </w:r>
      <w:r w:rsidR="0079301E" w:rsidRPr="00342967">
        <w:rPr>
          <w:rFonts w:cs="Times New Roman"/>
          <w:szCs w:val="24"/>
          <w:lang w:val="en-GB"/>
        </w:rPr>
        <w:t xml:space="preserve"> the dominant </w:t>
      </w:r>
      <w:r w:rsidR="00785A4F" w:rsidRPr="00342967">
        <w:rPr>
          <w:rFonts w:cs="Times New Roman"/>
          <w:szCs w:val="24"/>
          <w:lang w:val="en-GB"/>
        </w:rPr>
        <w:t>ideology</w:t>
      </w:r>
      <w:r w:rsidR="0079301E" w:rsidRPr="00342967">
        <w:rPr>
          <w:rFonts w:cs="Times New Roman"/>
          <w:szCs w:val="24"/>
          <w:lang w:val="en-GB"/>
        </w:rPr>
        <w:t xml:space="preserve"> in Italian politics, Gramsci was arrested and put in jail. It is in this time in jail that Gramsci wrote his most famous Prison Notebooks</w:t>
      </w:r>
      <w:r w:rsidR="00B6139F" w:rsidRPr="00342967">
        <w:rPr>
          <w:rFonts w:cs="Times New Roman"/>
          <w:szCs w:val="24"/>
          <w:lang w:val="en-GB"/>
        </w:rPr>
        <w:t xml:space="preserve"> in which he developed</w:t>
      </w:r>
      <w:r w:rsidR="006550B9" w:rsidRPr="00342967">
        <w:rPr>
          <w:rFonts w:cs="Times New Roman"/>
          <w:szCs w:val="24"/>
          <w:lang w:val="en-GB"/>
        </w:rPr>
        <w:t xml:space="preserve"> a Marxist theory of politics</w:t>
      </w:r>
      <w:r w:rsidR="004623FB" w:rsidRPr="00342967">
        <w:rPr>
          <w:rFonts w:cs="Times New Roman"/>
          <w:szCs w:val="24"/>
          <w:lang w:val="en-GB"/>
        </w:rPr>
        <w:t xml:space="preserve">. </w:t>
      </w:r>
      <w:r w:rsidR="00E64709" w:rsidRPr="00342967">
        <w:rPr>
          <w:rFonts w:cs="Times New Roman"/>
          <w:szCs w:val="24"/>
          <w:lang w:val="en-GB"/>
        </w:rPr>
        <w:t xml:space="preserve">Other Marxist writers such as </w:t>
      </w:r>
      <w:r w:rsidR="00FE0BEC" w:rsidRPr="00342967">
        <w:rPr>
          <w:rFonts w:cs="Times New Roman"/>
          <w:szCs w:val="24"/>
          <w:lang w:val="en-GB"/>
        </w:rPr>
        <w:t xml:space="preserve">Marx and Engels wrote extensively about politics but never developed a full theory of politics </w:t>
      </w:r>
      <w:r w:rsidR="00A3341F" w:rsidRPr="00342967">
        <w:rPr>
          <w:rFonts w:cs="Times New Roman"/>
          <w:szCs w:val="24"/>
          <w:lang w:val="en-GB"/>
        </w:rPr>
        <w:t xml:space="preserve">as they were convinced that politics could not be understood from </w:t>
      </w:r>
      <w:r w:rsidR="00FE2856" w:rsidRPr="00342967">
        <w:rPr>
          <w:rFonts w:cs="Times New Roman"/>
          <w:szCs w:val="24"/>
          <w:lang w:val="en-GB"/>
        </w:rPr>
        <w:t xml:space="preserve">itself but only through the material conditions in which it was rooted. </w:t>
      </w:r>
      <w:r w:rsidR="002D4B5A" w:rsidRPr="00342967">
        <w:rPr>
          <w:rFonts w:cs="Times New Roman"/>
          <w:szCs w:val="24"/>
          <w:lang w:val="en-GB"/>
        </w:rPr>
        <w:t>Gramsci departed from this th</w:t>
      </w:r>
      <w:r w:rsidR="000045B1" w:rsidRPr="00342967">
        <w:rPr>
          <w:rFonts w:cs="Times New Roman"/>
          <w:szCs w:val="24"/>
          <w:lang w:val="en-GB"/>
        </w:rPr>
        <w:t>ought</w:t>
      </w:r>
      <w:r w:rsidR="00A25660" w:rsidRPr="00342967">
        <w:rPr>
          <w:rFonts w:cs="Times New Roman"/>
          <w:szCs w:val="24"/>
          <w:lang w:val="en-GB"/>
        </w:rPr>
        <w:t xml:space="preserve"> as</w:t>
      </w:r>
      <w:r w:rsidR="000045B1" w:rsidRPr="00342967">
        <w:rPr>
          <w:rFonts w:cs="Times New Roman"/>
          <w:szCs w:val="24"/>
          <w:lang w:val="en-GB"/>
        </w:rPr>
        <w:t xml:space="preserve"> for him politics is ‘the central human activity, the means by which the single consciousness is brought into contact with the social and natural world in all its forms</w:t>
      </w:r>
      <w:r w:rsidR="0019505E" w:rsidRPr="00342967">
        <w:rPr>
          <w:rFonts w:cs="Times New Roman"/>
          <w:szCs w:val="24"/>
          <w:lang w:val="en-GB"/>
        </w:rPr>
        <w:t>.’</w:t>
      </w:r>
      <w:r w:rsidR="000045B1" w:rsidRPr="00342967">
        <w:rPr>
          <w:rFonts w:cs="Times New Roman"/>
          <w:szCs w:val="24"/>
          <w:lang w:val="en-GB"/>
        </w:rPr>
        <w:t xml:space="preserve"> </w:t>
      </w:r>
      <w:r w:rsidR="001B08DA" w:rsidRPr="00342967">
        <w:rPr>
          <w:rFonts w:cs="Times New Roman"/>
          <w:szCs w:val="24"/>
          <w:lang w:val="en-GB"/>
        </w:rPr>
        <w:t>(</w:t>
      </w:r>
      <w:r w:rsidR="0060009A" w:rsidRPr="00342967">
        <w:rPr>
          <w:rFonts w:cs="Times New Roman"/>
          <w:szCs w:val="24"/>
          <w:lang w:val="en-GB"/>
        </w:rPr>
        <w:t>Gramsci, 1971, p.xxiii).</w:t>
      </w:r>
      <w:r w:rsidR="006550B9" w:rsidRPr="00342967">
        <w:rPr>
          <w:rFonts w:cs="Times New Roman"/>
          <w:szCs w:val="24"/>
          <w:lang w:val="en-GB"/>
        </w:rPr>
        <w:t xml:space="preserve"> </w:t>
      </w:r>
      <w:r w:rsidR="00853954" w:rsidRPr="00342967">
        <w:rPr>
          <w:rFonts w:cs="Times New Roman"/>
          <w:szCs w:val="24"/>
          <w:lang w:val="en-GB"/>
        </w:rPr>
        <w:t xml:space="preserve">What sets Gramsci apart from other Marxist thinkers is thus that his work focuses </w:t>
      </w:r>
      <w:r w:rsidR="00423D1F">
        <w:rPr>
          <w:rFonts w:cs="Times New Roman"/>
          <w:szCs w:val="24"/>
          <w:lang w:val="en-GB"/>
        </w:rPr>
        <w:t xml:space="preserve">more </w:t>
      </w:r>
      <w:r w:rsidR="00853954" w:rsidRPr="00342967">
        <w:rPr>
          <w:rFonts w:cs="Times New Roman"/>
          <w:szCs w:val="24"/>
          <w:lang w:val="en-GB"/>
        </w:rPr>
        <w:t xml:space="preserve">on politics rather than </w:t>
      </w:r>
      <w:r w:rsidR="00423D1F">
        <w:rPr>
          <w:rFonts w:cs="Times New Roman"/>
          <w:szCs w:val="24"/>
          <w:lang w:val="en-GB"/>
        </w:rPr>
        <w:t xml:space="preserve">solely </w:t>
      </w:r>
      <w:r w:rsidR="00853954" w:rsidRPr="00342967">
        <w:rPr>
          <w:rFonts w:cs="Times New Roman"/>
          <w:szCs w:val="24"/>
          <w:lang w:val="en-GB"/>
        </w:rPr>
        <w:t>on economic development</w:t>
      </w:r>
      <w:r w:rsidR="00423D1F">
        <w:rPr>
          <w:rFonts w:cs="Times New Roman"/>
          <w:szCs w:val="24"/>
          <w:lang w:val="en-GB"/>
        </w:rPr>
        <w:t xml:space="preserve">. </w:t>
      </w:r>
    </w:p>
    <w:p w14:paraId="2686FDC5" w14:textId="148C837B" w:rsidR="00EA3394" w:rsidRPr="00342967" w:rsidRDefault="00EA3394" w:rsidP="00D904F7">
      <w:pPr>
        <w:jc w:val="both"/>
        <w:rPr>
          <w:rFonts w:cs="Times New Roman"/>
          <w:szCs w:val="24"/>
          <w:lang w:val="en-GB"/>
        </w:rPr>
      </w:pPr>
      <w:r w:rsidRPr="00342967">
        <w:rPr>
          <w:rFonts w:cs="Times New Roman"/>
          <w:szCs w:val="24"/>
          <w:lang w:val="en-GB"/>
        </w:rPr>
        <w:t>According to Gramsci, society consists of three levels were power is consolidated: the economic structure, civil society and political society (</w:t>
      </w:r>
      <w:r w:rsidR="00EC0108" w:rsidRPr="00342967">
        <w:rPr>
          <w:rFonts w:cs="Times New Roman"/>
          <w:szCs w:val="24"/>
          <w:lang w:val="en-GB"/>
        </w:rPr>
        <w:t>Gramsci, 1971, p.12</w:t>
      </w:r>
      <w:r w:rsidRPr="00342967">
        <w:rPr>
          <w:rFonts w:cs="Times New Roman"/>
          <w:szCs w:val="24"/>
          <w:lang w:val="en-GB"/>
        </w:rPr>
        <w:t>). The economic structure is the actual production that takes place and determines the material conditions in society. Civil society and political society are part of the superstructure where the formulation of ideas and ideology takes place</w:t>
      </w:r>
      <w:r w:rsidR="00C04B11" w:rsidRPr="00342967">
        <w:rPr>
          <w:rFonts w:cs="Times New Roman"/>
          <w:szCs w:val="24"/>
          <w:lang w:val="en-GB"/>
        </w:rPr>
        <w:t xml:space="preserve">. Civil society and political society differ with respect to </w:t>
      </w:r>
      <w:r w:rsidR="00BC6EEE" w:rsidRPr="00342967">
        <w:rPr>
          <w:rFonts w:cs="Times New Roman"/>
          <w:szCs w:val="24"/>
          <w:lang w:val="en-GB"/>
        </w:rPr>
        <w:t>the agents active in each sphere</w:t>
      </w:r>
      <w:r w:rsidR="008904DD" w:rsidRPr="00342967">
        <w:rPr>
          <w:rFonts w:cs="Times New Roman"/>
          <w:szCs w:val="24"/>
          <w:lang w:val="en-GB"/>
        </w:rPr>
        <w:t>.</w:t>
      </w:r>
      <w:r w:rsidR="00BC6EEE" w:rsidRPr="00342967">
        <w:rPr>
          <w:rFonts w:cs="Times New Roman"/>
          <w:szCs w:val="24"/>
          <w:lang w:val="en-GB"/>
        </w:rPr>
        <w:t xml:space="preserve"> </w:t>
      </w:r>
      <w:r w:rsidR="008904DD" w:rsidRPr="00342967">
        <w:rPr>
          <w:rFonts w:cs="Times New Roman"/>
          <w:szCs w:val="24"/>
          <w:lang w:val="en-GB"/>
        </w:rPr>
        <w:t>I</w:t>
      </w:r>
      <w:r w:rsidR="00BC6EEE" w:rsidRPr="00342967">
        <w:rPr>
          <w:rFonts w:cs="Times New Roman"/>
          <w:szCs w:val="24"/>
          <w:lang w:val="en-GB"/>
        </w:rPr>
        <w:t>n</w:t>
      </w:r>
      <w:r w:rsidRPr="00342967">
        <w:rPr>
          <w:rFonts w:cs="Times New Roman"/>
          <w:szCs w:val="24"/>
          <w:lang w:val="en-GB"/>
        </w:rPr>
        <w:t xml:space="preserve"> civil society</w:t>
      </w:r>
      <w:r w:rsidR="00BC6EEE" w:rsidRPr="00342967">
        <w:rPr>
          <w:rFonts w:cs="Times New Roman"/>
          <w:szCs w:val="24"/>
          <w:lang w:val="en-GB"/>
        </w:rPr>
        <w:t xml:space="preserve"> </w:t>
      </w:r>
      <w:r w:rsidRPr="00342967">
        <w:rPr>
          <w:rFonts w:cs="Times New Roman"/>
          <w:szCs w:val="24"/>
          <w:lang w:val="en-GB"/>
        </w:rPr>
        <w:t>private actors are active and in political society public actors</w:t>
      </w:r>
      <w:r w:rsidR="0023540A" w:rsidRPr="00342967">
        <w:rPr>
          <w:rFonts w:cs="Times New Roman"/>
          <w:szCs w:val="24"/>
          <w:lang w:val="en-GB"/>
        </w:rPr>
        <w:t xml:space="preserve"> (</w:t>
      </w:r>
      <w:r w:rsidR="00C156F5" w:rsidRPr="00342967">
        <w:rPr>
          <w:rFonts w:cs="Times New Roman"/>
          <w:szCs w:val="24"/>
          <w:lang w:val="en-GB"/>
        </w:rPr>
        <w:t>Gramsci, 1971, p.12</w:t>
      </w:r>
      <w:r w:rsidR="0023540A" w:rsidRPr="00342967">
        <w:rPr>
          <w:rFonts w:cs="Times New Roman"/>
          <w:szCs w:val="24"/>
          <w:lang w:val="en-GB"/>
        </w:rPr>
        <w:t>)</w:t>
      </w:r>
      <w:r w:rsidR="00BC6EEE" w:rsidRPr="00342967">
        <w:rPr>
          <w:rFonts w:cs="Times New Roman"/>
          <w:szCs w:val="24"/>
          <w:lang w:val="en-GB"/>
        </w:rPr>
        <w:t>.</w:t>
      </w:r>
      <w:r w:rsidR="00423D1F">
        <w:rPr>
          <w:rFonts w:cs="Times New Roman"/>
          <w:szCs w:val="24"/>
          <w:lang w:val="en-GB"/>
        </w:rPr>
        <w:t xml:space="preserve"> </w:t>
      </w:r>
      <w:r w:rsidRPr="00342967">
        <w:rPr>
          <w:rFonts w:cs="Times New Roman"/>
          <w:szCs w:val="24"/>
          <w:lang w:val="en-GB"/>
        </w:rPr>
        <w:t>Civil society is the realm where the economic structure is linked to the political society or the state</w:t>
      </w:r>
      <w:r w:rsidR="00E16FC9" w:rsidRPr="00342967">
        <w:rPr>
          <w:rFonts w:cs="Times New Roman"/>
          <w:szCs w:val="24"/>
          <w:lang w:val="en-GB"/>
        </w:rPr>
        <w:t>. Civil society is also the realm</w:t>
      </w:r>
      <w:r w:rsidRPr="00342967">
        <w:rPr>
          <w:rFonts w:cs="Times New Roman"/>
          <w:szCs w:val="24"/>
          <w:lang w:val="en-GB"/>
        </w:rPr>
        <w:t xml:space="preserve"> where classes develop their interest and ideal aspirations</w:t>
      </w:r>
      <w:r w:rsidR="00C72CBF" w:rsidRPr="00342967">
        <w:rPr>
          <w:rFonts w:cs="Times New Roman"/>
          <w:szCs w:val="24"/>
          <w:lang w:val="en-GB"/>
        </w:rPr>
        <w:t xml:space="preserve"> (Talani, 2016, p.73)</w:t>
      </w:r>
      <w:r w:rsidRPr="00342967">
        <w:rPr>
          <w:rFonts w:cs="Times New Roman"/>
          <w:szCs w:val="24"/>
          <w:lang w:val="en-GB"/>
        </w:rPr>
        <w:t xml:space="preserve">. </w:t>
      </w:r>
      <w:r w:rsidR="00FA2EEF" w:rsidRPr="00342967">
        <w:rPr>
          <w:rFonts w:cs="Times New Roman"/>
          <w:szCs w:val="24"/>
          <w:lang w:val="en-GB"/>
        </w:rPr>
        <w:t xml:space="preserve">In </w:t>
      </w:r>
      <w:r w:rsidRPr="00342967">
        <w:rPr>
          <w:rFonts w:cs="Times New Roman"/>
          <w:szCs w:val="24"/>
          <w:lang w:val="en-GB"/>
        </w:rPr>
        <w:t>civil society the interest</w:t>
      </w:r>
      <w:r w:rsidR="00D55040">
        <w:rPr>
          <w:rFonts w:cs="Times New Roman"/>
          <w:szCs w:val="24"/>
          <w:lang w:val="en-GB"/>
        </w:rPr>
        <w:t>s</w:t>
      </w:r>
      <w:r w:rsidRPr="00342967">
        <w:rPr>
          <w:rFonts w:cs="Times New Roman"/>
          <w:szCs w:val="24"/>
          <w:lang w:val="en-GB"/>
        </w:rPr>
        <w:t xml:space="preserve"> of economic groups </w:t>
      </w:r>
      <w:r w:rsidR="00FA2EEF" w:rsidRPr="00342967">
        <w:rPr>
          <w:rFonts w:cs="Times New Roman"/>
          <w:szCs w:val="24"/>
          <w:lang w:val="en-GB"/>
        </w:rPr>
        <w:t xml:space="preserve">are transformed </w:t>
      </w:r>
      <w:r w:rsidRPr="00342967">
        <w:rPr>
          <w:rFonts w:cs="Times New Roman"/>
          <w:szCs w:val="24"/>
          <w:lang w:val="en-GB"/>
        </w:rPr>
        <w:t>into political demands by finding a common ideological framework (</w:t>
      </w:r>
      <w:r w:rsidR="00C156F5" w:rsidRPr="00342967">
        <w:rPr>
          <w:rFonts w:cs="Times New Roman"/>
          <w:szCs w:val="24"/>
          <w:lang w:val="en-GB"/>
        </w:rPr>
        <w:t>Talani, 2016, p.73</w:t>
      </w:r>
      <w:r w:rsidRPr="00342967">
        <w:rPr>
          <w:rFonts w:cs="Times New Roman"/>
          <w:szCs w:val="24"/>
          <w:lang w:val="en-GB"/>
        </w:rPr>
        <w:t xml:space="preserve">). </w:t>
      </w:r>
      <w:r w:rsidR="00FA2EEF" w:rsidRPr="00342967">
        <w:rPr>
          <w:rFonts w:cs="Times New Roman"/>
          <w:szCs w:val="24"/>
          <w:lang w:val="en-GB"/>
        </w:rPr>
        <w:t>S</w:t>
      </w:r>
      <w:r w:rsidRPr="00342967">
        <w:rPr>
          <w:rFonts w:cs="Times New Roman"/>
          <w:szCs w:val="24"/>
          <w:lang w:val="en-GB"/>
        </w:rPr>
        <w:t>ocial groups</w:t>
      </w:r>
      <w:r w:rsidR="00FA2EEF" w:rsidRPr="00342967">
        <w:rPr>
          <w:rFonts w:cs="Times New Roman"/>
          <w:szCs w:val="24"/>
          <w:lang w:val="en-GB"/>
        </w:rPr>
        <w:t xml:space="preserve"> in civil society</w:t>
      </w:r>
      <w:r w:rsidRPr="00342967">
        <w:rPr>
          <w:rFonts w:cs="Times New Roman"/>
          <w:szCs w:val="24"/>
          <w:lang w:val="en-GB"/>
        </w:rPr>
        <w:t xml:space="preserve"> are not completely free in formulating ideas and ideology</w:t>
      </w:r>
      <w:r w:rsidR="00FA2EEF" w:rsidRPr="00342967">
        <w:rPr>
          <w:rFonts w:cs="Times New Roman"/>
          <w:szCs w:val="24"/>
          <w:lang w:val="en-GB"/>
        </w:rPr>
        <w:t xml:space="preserve">, </w:t>
      </w:r>
      <w:r w:rsidRPr="00342967">
        <w:rPr>
          <w:rFonts w:cs="Times New Roman"/>
          <w:szCs w:val="24"/>
          <w:lang w:val="en-GB"/>
        </w:rPr>
        <w:t>they are constrained by their position in the economic structure. Their role in the relations of production determines the development of their ideas. For social groups to put their interest and ideal aspirations into practice, dominance over political society is necessary. The conceptualisation of political society is quite complex.</w:t>
      </w:r>
      <w:r w:rsidR="00E15619" w:rsidRPr="00342967">
        <w:rPr>
          <w:rFonts w:cs="Times New Roman"/>
          <w:szCs w:val="24"/>
          <w:lang w:val="en-GB"/>
        </w:rPr>
        <w:t xml:space="preserve"> The state is the actor in the political </w:t>
      </w:r>
      <w:r w:rsidR="003C5D4F" w:rsidRPr="00342967">
        <w:rPr>
          <w:rFonts w:cs="Times New Roman"/>
          <w:szCs w:val="24"/>
          <w:lang w:val="en-GB"/>
        </w:rPr>
        <w:t>society,</w:t>
      </w:r>
      <w:r w:rsidR="00E15619" w:rsidRPr="00342967">
        <w:rPr>
          <w:rFonts w:cs="Times New Roman"/>
          <w:szCs w:val="24"/>
          <w:lang w:val="en-GB"/>
        </w:rPr>
        <w:t xml:space="preserve"> but two conceptions of the state exist within Gramscianism.</w:t>
      </w:r>
      <w:r w:rsidRPr="00342967">
        <w:rPr>
          <w:rFonts w:cs="Times New Roman"/>
          <w:szCs w:val="24"/>
          <w:lang w:val="en-GB"/>
        </w:rPr>
        <w:t xml:space="preserve"> The simple interpretation of the state is that it makes up all the formal institutions that govern political life. The wider interpretation of the State is that it consists of both civil society </w:t>
      </w:r>
      <w:r w:rsidRPr="00342967">
        <w:rPr>
          <w:rFonts w:cs="Times New Roman"/>
          <w:szCs w:val="24"/>
          <w:lang w:val="en-GB"/>
        </w:rPr>
        <w:lastRenderedPageBreak/>
        <w:t xml:space="preserve">and political society. According to Gramsci, the civil and political society cannot be disentangled. </w:t>
      </w:r>
      <w:r w:rsidR="0064760C" w:rsidRPr="00342967">
        <w:rPr>
          <w:rFonts w:cs="Times New Roman"/>
          <w:szCs w:val="24"/>
          <w:lang w:val="en-GB"/>
        </w:rPr>
        <w:t xml:space="preserve">To understand this conception of the state, first the concept of hegemony needs to be elaborated on. </w:t>
      </w:r>
    </w:p>
    <w:p w14:paraId="23C23227" w14:textId="3EF5CFEA" w:rsidR="00EA3394" w:rsidRPr="00342967" w:rsidRDefault="00EA3394" w:rsidP="00D904F7">
      <w:pPr>
        <w:jc w:val="both"/>
        <w:rPr>
          <w:rFonts w:cs="Times New Roman"/>
          <w:szCs w:val="24"/>
          <w:lang w:val="en-GB"/>
        </w:rPr>
      </w:pPr>
      <w:r w:rsidRPr="00342967">
        <w:rPr>
          <w:rFonts w:cs="Times New Roman"/>
          <w:szCs w:val="24"/>
          <w:lang w:val="en-GB"/>
        </w:rPr>
        <w:t xml:space="preserve">The concept of hegemony in Gramscian theory differs from hegemony used in common discourse. Hegemony according to Gramsci is </w:t>
      </w:r>
      <w:r w:rsidR="00303065" w:rsidRPr="00342967">
        <w:rPr>
          <w:rFonts w:cs="Times New Roman"/>
          <w:szCs w:val="24"/>
          <w:lang w:val="en-GB"/>
        </w:rPr>
        <w:t>the intellectual and moral leadership</w:t>
      </w:r>
      <w:r w:rsidR="00DF65E2" w:rsidRPr="00342967">
        <w:rPr>
          <w:rFonts w:cs="Times New Roman"/>
          <w:szCs w:val="24"/>
          <w:lang w:val="en-GB"/>
        </w:rPr>
        <w:t xml:space="preserve"> which the dominant group exercises throughout society </w:t>
      </w:r>
      <w:r w:rsidR="006C6777" w:rsidRPr="00342967">
        <w:rPr>
          <w:rFonts w:cs="Times New Roman"/>
          <w:szCs w:val="24"/>
          <w:lang w:val="en-GB"/>
        </w:rPr>
        <w:t>and the general direction</w:t>
      </w:r>
      <w:r w:rsidR="005E70C5" w:rsidRPr="00342967">
        <w:rPr>
          <w:rFonts w:cs="Times New Roman"/>
          <w:szCs w:val="24"/>
          <w:lang w:val="en-GB"/>
        </w:rPr>
        <w:t xml:space="preserve"> society takes exercised through the State and </w:t>
      </w:r>
      <w:r w:rsidR="008C3272" w:rsidRPr="00342967">
        <w:rPr>
          <w:rFonts w:cs="Times New Roman"/>
          <w:szCs w:val="24"/>
          <w:lang w:val="en-GB"/>
        </w:rPr>
        <w:t>juridical</w:t>
      </w:r>
      <w:r w:rsidR="005E70C5" w:rsidRPr="00342967">
        <w:rPr>
          <w:rFonts w:cs="Times New Roman"/>
          <w:szCs w:val="24"/>
          <w:lang w:val="en-GB"/>
        </w:rPr>
        <w:t xml:space="preserve"> government (Gramsci, 1971, p.12). </w:t>
      </w:r>
      <w:r w:rsidRPr="00342967">
        <w:rPr>
          <w:rFonts w:cs="Times New Roman"/>
          <w:szCs w:val="24"/>
          <w:lang w:val="en-GB"/>
        </w:rPr>
        <w:t>Hegemony operates thus in the social life and is not merely an expression of power relations as is the case in realist theories. Instead, hegemony is derived from the relations of production</w:t>
      </w:r>
      <w:r w:rsidR="00062ADF" w:rsidRPr="00342967">
        <w:rPr>
          <w:rFonts w:cs="Times New Roman"/>
          <w:szCs w:val="24"/>
          <w:lang w:val="en-GB"/>
        </w:rPr>
        <w:t xml:space="preserve"> and</w:t>
      </w:r>
      <w:r w:rsidRPr="00342967">
        <w:rPr>
          <w:rFonts w:cs="Times New Roman"/>
          <w:szCs w:val="24"/>
          <w:lang w:val="en-GB"/>
        </w:rPr>
        <w:t xml:space="preserve"> </w:t>
      </w:r>
      <w:r w:rsidR="00062ADF" w:rsidRPr="00342967">
        <w:rPr>
          <w:rFonts w:cs="Times New Roman"/>
          <w:szCs w:val="24"/>
          <w:lang w:val="en-GB"/>
        </w:rPr>
        <w:t>i</w:t>
      </w:r>
      <w:r w:rsidRPr="00342967">
        <w:rPr>
          <w:rFonts w:cs="Times New Roman"/>
          <w:szCs w:val="24"/>
          <w:lang w:val="en-GB"/>
        </w:rPr>
        <w:t>t is therefore that the concept of hegemony is completely socio-economic (Talani, 201</w:t>
      </w:r>
      <w:r w:rsidR="006A2D11" w:rsidRPr="00342967">
        <w:rPr>
          <w:rFonts w:cs="Times New Roman"/>
          <w:szCs w:val="24"/>
          <w:lang w:val="en-GB"/>
        </w:rPr>
        <w:t>6</w:t>
      </w:r>
      <w:r w:rsidRPr="00342967">
        <w:rPr>
          <w:rFonts w:cs="Times New Roman"/>
          <w:szCs w:val="24"/>
          <w:lang w:val="en-GB"/>
        </w:rPr>
        <w:t>, p.75). Achieving hegemony requires mediation between various social groups with different interests and ideal aspirations (Talani, 201</w:t>
      </w:r>
      <w:r w:rsidR="006A2D11" w:rsidRPr="00342967">
        <w:rPr>
          <w:rFonts w:cs="Times New Roman"/>
          <w:szCs w:val="24"/>
          <w:lang w:val="en-GB"/>
        </w:rPr>
        <w:t>6</w:t>
      </w:r>
      <w:r w:rsidRPr="00342967">
        <w:rPr>
          <w:rFonts w:cs="Times New Roman"/>
          <w:szCs w:val="24"/>
          <w:lang w:val="en-GB"/>
        </w:rPr>
        <w:t xml:space="preserve">, p.76). Social groups form interests on the basis on their position in the mode of production and ideal aspirations are developed in civil society. To create hegemony, alliances need to be built between various social groups. Only if consensual power is at the forefront, hegemony will prevail (Cox, 1983). Gramsci distinguishes between hegemony by consent and hegemony by coercion. A hegemony is always a combination of both as power is understood to be “half man and half beast”, however, a hegemony based on coercion only will never be a stable hegemony. </w:t>
      </w:r>
      <w:r w:rsidR="00313FC0" w:rsidRPr="00342967">
        <w:rPr>
          <w:rFonts w:cs="Times New Roman"/>
          <w:szCs w:val="24"/>
          <w:lang w:val="en-GB"/>
        </w:rPr>
        <w:t>Hegemony not only affects civil society but also political society. Ideas and ideologies that are formulated in civil society control the behaviour of the state.</w:t>
      </w:r>
      <w:r w:rsidR="005C437C" w:rsidRPr="00342967">
        <w:rPr>
          <w:rFonts w:cs="Times New Roman"/>
          <w:szCs w:val="24"/>
          <w:lang w:val="en-GB"/>
        </w:rPr>
        <w:t xml:space="preserve"> Th</w:t>
      </w:r>
      <w:r w:rsidR="0099793A">
        <w:rPr>
          <w:rFonts w:cs="Times New Roman"/>
          <w:szCs w:val="24"/>
          <w:lang w:val="en-GB"/>
        </w:rPr>
        <w:t>at</w:t>
      </w:r>
      <w:r w:rsidR="005C437C" w:rsidRPr="00342967">
        <w:rPr>
          <w:rFonts w:cs="Times New Roman"/>
          <w:szCs w:val="24"/>
          <w:lang w:val="en-GB"/>
        </w:rPr>
        <w:t xml:space="preserve"> is why Gramsci argued that civil and political society cannot be disentangled</w:t>
      </w:r>
      <w:r w:rsidR="001C0813" w:rsidRPr="00342967">
        <w:rPr>
          <w:rFonts w:cs="Times New Roman"/>
          <w:szCs w:val="24"/>
          <w:lang w:val="en-GB"/>
        </w:rPr>
        <w:t>, because</w:t>
      </w:r>
      <w:r w:rsidR="00313FC0" w:rsidRPr="00342967">
        <w:rPr>
          <w:rFonts w:cs="Times New Roman"/>
          <w:szCs w:val="24"/>
          <w:lang w:val="en-GB"/>
        </w:rPr>
        <w:t xml:space="preserve"> </w:t>
      </w:r>
      <w:r w:rsidR="005C437C" w:rsidRPr="00342967">
        <w:rPr>
          <w:rFonts w:cs="Times New Roman"/>
          <w:szCs w:val="24"/>
          <w:lang w:val="en-GB"/>
        </w:rPr>
        <w:t>t</w:t>
      </w:r>
      <w:r w:rsidR="00313FC0" w:rsidRPr="00342967">
        <w:rPr>
          <w:rFonts w:cs="Times New Roman"/>
          <w:szCs w:val="24"/>
          <w:lang w:val="en-GB"/>
        </w:rPr>
        <w:t>he state is constrained by the hegemony</w:t>
      </w:r>
      <w:r w:rsidR="001C0813" w:rsidRPr="00342967">
        <w:rPr>
          <w:rFonts w:cs="Times New Roman"/>
          <w:szCs w:val="24"/>
          <w:lang w:val="en-GB"/>
        </w:rPr>
        <w:t>.</w:t>
      </w:r>
      <w:r w:rsidR="00313FC0" w:rsidRPr="00342967">
        <w:rPr>
          <w:rFonts w:cs="Times New Roman"/>
          <w:szCs w:val="24"/>
          <w:lang w:val="en-GB"/>
        </w:rPr>
        <w:t xml:space="preserve"> </w:t>
      </w:r>
      <w:r w:rsidR="001C0813" w:rsidRPr="00342967">
        <w:rPr>
          <w:rFonts w:cs="Times New Roman"/>
          <w:szCs w:val="24"/>
          <w:lang w:val="en-GB"/>
        </w:rPr>
        <w:t>I</w:t>
      </w:r>
      <w:r w:rsidR="00313FC0" w:rsidRPr="00342967">
        <w:rPr>
          <w:rFonts w:cs="Times New Roman"/>
          <w:szCs w:val="24"/>
          <w:lang w:val="en-GB"/>
        </w:rPr>
        <w:t>t would</w:t>
      </w:r>
      <w:r w:rsidR="001C0813" w:rsidRPr="00342967">
        <w:rPr>
          <w:rFonts w:cs="Times New Roman"/>
          <w:szCs w:val="24"/>
          <w:lang w:val="en-GB"/>
        </w:rPr>
        <w:t>, therefore,</w:t>
      </w:r>
      <w:r w:rsidR="00313FC0" w:rsidRPr="00342967">
        <w:rPr>
          <w:rFonts w:cs="Times New Roman"/>
          <w:szCs w:val="24"/>
          <w:lang w:val="en-GB"/>
        </w:rPr>
        <w:t xml:space="preserve"> be unproductive to limit the interpretation of the state to merely th</w:t>
      </w:r>
      <w:r w:rsidR="001C0813" w:rsidRPr="00342967">
        <w:rPr>
          <w:rFonts w:cs="Times New Roman"/>
          <w:szCs w:val="24"/>
          <w:lang w:val="en-GB"/>
        </w:rPr>
        <w:t>at of the</w:t>
      </w:r>
      <w:r w:rsidR="00313FC0" w:rsidRPr="00342967">
        <w:rPr>
          <w:rFonts w:cs="Times New Roman"/>
          <w:szCs w:val="24"/>
          <w:lang w:val="en-GB"/>
        </w:rPr>
        <w:t xml:space="preserve"> government. </w:t>
      </w:r>
    </w:p>
    <w:p w14:paraId="66D4C492" w14:textId="0F752CE9" w:rsidR="00096D92" w:rsidRPr="00342967" w:rsidRDefault="00EA3394" w:rsidP="00D904F7">
      <w:pPr>
        <w:jc w:val="both"/>
        <w:rPr>
          <w:rFonts w:cs="Times New Roman"/>
          <w:szCs w:val="24"/>
          <w:lang w:val="en-GB"/>
        </w:rPr>
      </w:pPr>
      <w:r w:rsidRPr="00342967">
        <w:rPr>
          <w:rFonts w:cs="Times New Roman"/>
          <w:szCs w:val="24"/>
          <w:lang w:val="en-GB"/>
        </w:rPr>
        <w:t>Establishing a hegemony requires three steps (Talani, 201</w:t>
      </w:r>
      <w:r w:rsidR="006A2D11" w:rsidRPr="00342967">
        <w:rPr>
          <w:rFonts w:cs="Times New Roman"/>
          <w:szCs w:val="24"/>
          <w:lang w:val="en-GB"/>
        </w:rPr>
        <w:t>6</w:t>
      </w:r>
      <w:r w:rsidRPr="00342967">
        <w:rPr>
          <w:rFonts w:cs="Times New Roman"/>
          <w:szCs w:val="24"/>
          <w:lang w:val="en-GB"/>
        </w:rPr>
        <w:t>, p.76). First, social groups should develop their interest and ideal aspirations. Without this realisation, becoming a hegemonic power is impossible. Social groups must know their position in the economy and politics. Secondly, alliances must be formed with competing social groups and forces must be joined. Alliances are more than simply a combination of social groups, rather it is a dialectical unity between structure and superstructure with a common ideology that conquers the differences that exist between the groups forming the alliance (Talani, 201</w:t>
      </w:r>
      <w:r w:rsidR="006A2D11" w:rsidRPr="00342967">
        <w:rPr>
          <w:rFonts w:cs="Times New Roman"/>
          <w:szCs w:val="24"/>
          <w:lang w:val="en-GB"/>
        </w:rPr>
        <w:t>6</w:t>
      </w:r>
      <w:r w:rsidRPr="00342967">
        <w:rPr>
          <w:rFonts w:cs="Times New Roman"/>
          <w:szCs w:val="24"/>
          <w:lang w:val="en-GB"/>
        </w:rPr>
        <w:t>, p.76). Gramsci calls this a historic</w:t>
      </w:r>
      <w:r w:rsidR="001F6615" w:rsidRPr="00342967">
        <w:rPr>
          <w:rFonts w:cs="Times New Roman"/>
          <w:szCs w:val="24"/>
          <w:lang w:val="en-GB"/>
        </w:rPr>
        <w:t>al</w:t>
      </w:r>
      <w:r w:rsidRPr="00342967">
        <w:rPr>
          <w:rFonts w:cs="Times New Roman"/>
          <w:szCs w:val="24"/>
          <w:lang w:val="en-GB"/>
        </w:rPr>
        <w:t xml:space="preserve"> bloc. The difference between hegemony and a historic</w:t>
      </w:r>
      <w:r w:rsidR="001F6615" w:rsidRPr="00342967">
        <w:rPr>
          <w:rFonts w:cs="Times New Roman"/>
          <w:szCs w:val="24"/>
          <w:lang w:val="en-GB"/>
        </w:rPr>
        <w:t>al</w:t>
      </w:r>
      <w:r w:rsidRPr="00342967">
        <w:rPr>
          <w:rFonts w:cs="Times New Roman"/>
          <w:szCs w:val="24"/>
          <w:lang w:val="en-GB"/>
        </w:rPr>
        <w:t xml:space="preserve"> bloc is that hegemony refers to the leading position of a particular social class </w:t>
      </w:r>
      <w:r w:rsidR="00286D09" w:rsidRPr="00342967">
        <w:rPr>
          <w:rFonts w:cs="Times New Roman"/>
          <w:szCs w:val="24"/>
          <w:lang w:val="en-GB"/>
        </w:rPr>
        <w:t>while</w:t>
      </w:r>
      <w:r w:rsidRPr="00342967">
        <w:rPr>
          <w:rFonts w:cs="Times New Roman"/>
          <w:szCs w:val="24"/>
          <w:lang w:val="en-GB"/>
        </w:rPr>
        <w:t xml:space="preserve"> the historic</w:t>
      </w:r>
      <w:r w:rsidR="002E7D1F" w:rsidRPr="00342967">
        <w:rPr>
          <w:rFonts w:cs="Times New Roman"/>
          <w:szCs w:val="24"/>
          <w:lang w:val="en-GB"/>
        </w:rPr>
        <w:t>al</w:t>
      </w:r>
      <w:r w:rsidRPr="00342967">
        <w:rPr>
          <w:rFonts w:cs="Times New Roman"/>
          <w:szCs w:val="24"/>
          <w:lang w:val="en-GB"/>
        </w:rPr>
        <w:t xml:space="preserve"> bloc emerges because of hegemony and refers to the </w:t>
      </w:r>
      <w:r w:rsidRPr="00342967">
        <w:rPr>
          <w:rFonts w:cs="Times New Roman"/>
          <w:szCs w:val="24"/>
          <w:lang w:val="en-GB"/>
        </w:rPr>
        <w:lastRenderedPageBreak/>
        <w:t>materialist conditions and ideas of the hegemony. Organic intellectuals play a crucial role in the formation of a historic</w:t>
      </w:r>
      <w:r w:rsidR="002E7D1F" w:rsidRPr="00342967">
        <w:rPr>
          <w:rFonts w:cs="Times New Roman"/>
          <w:szCs w:val="24"/>
          <w:lang w:val="en-GB"/>
        </w:rPr>
        <w:t>al</w:t>
      </w:r>
      <w:r w:rsidRPr="00342967">
        <w:rPr>
          <w:rFonts w:cs="Times New Roman"/>
          <w:szCs w:val="24"/>
          <w:lang w:val="en-GB"/>
        </w:rPr>
        <w:t xml:space="preserve"> bloc. Once more, the conceptualisation of Gramsci differs from common discourse. For Gramsci, all people are intellectuals but not all perform the social function of intellectuals, that is not all intellectuals are academics (</w:t>
      </w:r>
      <w:r w:rsidR="00EA2A68" w:rsidRPr="00342967">
        <w:rPr>
          <w:rFonts w:cs="Times New Roman"/>
          <w:szCs w:val="24"/>
          <w:lang w:val="en-GB"/>
        </w:rPr>
        <w:t xml:space="preserve">Gramsci, 1971, </w:t>
      </w:r>
      <w:r w:rsidR="00B0007F" w:rsidRPr="00342967">
        <w:rPr>
          <w:rFonts w:cs="Times New Roman"/>
          <w:szCs w:val="24"/>
          <w:lang w:val="en-GB"/>
        </w:rPr>
        <w:t>p.9</w:t>
      </w:r>
      <w:r w:rsidRPr="00342967">
        <w:rPr>
          <w:rFonts w:cs="Times New Roman"/>
          <w:szCs w:val="24"/>
          <w:lang w:val="en-GB"/>
        </w:rPr>
        <w:t xml:space="preserve">). Organic intellectuals emerge from and represent particular social groups. Because of their unique proximity to powerful forces in production they can concretize and develop ideas and plans to organize the social </w:t>
      </w:r>
      <w:r w:rsidR="001B39A5" w:rsidRPr="00342967">
        <w:rPr>
          <w:rFonts w:cs="Times New Roman"/>
          <w:szCs w:val="24"/>
          <w:lang w:val="en-GB"/>
        </w:rPr>
        <w:t>groups</w:t>
      </w:r>
      <w:r w:rsidRPr="00342967">
        <w:rPr>
          <w:rFonts w:cs="Times New Roman"/>
          <w:szCs w:val="24"/>
          <w:lang w:val="en-GB"/>
        </w:rPr>
        <w:t xml:space="preserve"> they originate from and to unify the interest and ideal aspirations among them (Bieler, 2006, p.79). Vital, however, is also that the organic intellectuals are successful at formulation why their proposed hegemony is also beneficial for the entire society. In the third step the hegemony needs to be consolidated. To do so, the hegemonic power must ensure economic growth and prosperity (Talani, 201</w:t>
      </w:r>
      <w:r w:rsidR="006A2D11" w:rsidRPr="00342967">
        <w:rPr>
          <w:rFonts w:cs="Times New Roman"/>
          <w:szCs w:val="24"/>
          <w:lang w:val="en-GB"/>
        </w:rPr>
        <w:t>6</w:t>
      </w:r>
      <w:r w:rsidRPr="00342967">
        <w:rPr>
          <w:rFonts w:cs="Times New Roman"/>
          <w:szCs w:val="24"/>
          <w:lang w:val="en-GB"/>
        </w:rPr>
        <w:t xml:space="preserve">, p.76). Therefore, only organic intellectuals in close proximity to forces in production </w:t>
      </w:r>
      <w:r w:rsidR="006C2799" w:rsidRPr="00342967">
        <w:rPr>
          <w:rFonts w:cs="Times New Roman"/>
          <w:szCs w:val="24"/>
          <w:lang w:val="en-GB"/>
        </w:rPr>
        <w:t>can</w:t>
      </w:r>
      <w:r w:rsidRPr="00342967">
        <w:rPr>
          <w:rFonts w:cs="Times New Roman"/>
          <w:szCs w:val="24"/>
          <w:lang w:val="en-GB"/>
        </w:rPr>
        <w:t xml:space="preserve"> create a long lasting and durable hegemony. </w:t>
      </w:r>
      <w:r w:rsidR="009276FA" w:rsidRPr="00342967">
        <w:rPr>
          <w:rFonts w:cs="Times New Roman"/>
          <w:szCs w:val="24"/>
          <w:lang w:val="en-GB"/>
        </w:rPr>
        <w:t xml:space="preserve"> </w:t>
      </w:r>
    </w:p>
    <w:p w14:paraId="69952FD2" w14:textId="26A49D13" w:rsidR="00D64FD2" w:rsidRPr="00342967" w:rsidRDefault="00D64FD2" w:rsidP="00D904F7">
      <w:pPr>
        <w:pStyle w:val="Kop2"/>
        <w:jc w:val="both"/>
        <w:rPr>
          <w:lang w:val="en-GB"/>
        </w:rPr>
      </w:pPr>
      <w:bookmarkStart w:id="11" w:name="_Toc518333107"/>
      <w:r w:rsidRPr="00342967">
        <w:rPr>
          <w:lang w:val="en-GB"/>
        </w:rPr>
        <w:t xml:space="preserve">1.4 </w:t>
      </w:r>
      <w:r w:rsidR="000C0AEB" w:rsidRPr="00342967">
        <w:rPr>
          <w:lang w:val="en-GB"/>
        </w:rPr>
        <w:t>Culmination of the theories</w:t>
      </w:r>
      <w:bookmarkEnd w:id="11"/>
      <w:r w:rsidR="000C0AEB" w:rsidRPr="00342967">
        <w:rPr>
          <w:lang w:val="en-GB"/>
        </w:rPr>
        <w:t xml:space="preserve"> </w:t>
      </w:r>
    </w:p>
    <w:p w14:paraId="4B4BEAD9" w14:textId="7C088CB0" w:rsidR="00196D6A" w:rsidRPr="00342967" w:rsidRDefault="00C6053F" w:rsidP="00D904F7">
      <w:pPr>
        <w:jc w:val="both"/>
        <w:rPr>
          <w:lang w:val="en-GB"/>
        </w:rPr>
      </w:pPr>
      <w:r w:rsidRPr="00342967">
        <w:rPr>
          <w:lang w:val="en-GB"/>
        </w:rPr>
        <w:t xml:space="preserve">The two discussed theories </w:t>
      </w:r>
      <w:r w:rsidR="00670D8F" w:rsidRPr="00342967">
        <w:rPr>
          <w:lang w:val="en-GB"/>
        </w:rPr>
        <w:t>have a synergy effect when used together</w:t>
      </w:r>
      <w:r w:rsidR="000F57CF" w:rsidRPr="00342967">
        <w:rPr>
          <w:lang w:val="en-GB"/>
        </w:rPr>
        <w:t xml:space="preserve">. To make this synergy more explicit the theoretical framework, incorporating both theories, will be developed in this section. </w:t>
      </w:r>
      <w:r w:rsidR="00CA1736">
        <w:rPr>
          <w:lang w:val="en-GB"/>
        </w:rPr>
        <w:t xml:space="preserve">But before this is done </w:t>
      </w:r>
      <w:r w:rsidR="00FC44AF">
        <w:rPr>
          <w:lang w:val="en-GB"/>
        </w:rPr>
        <w:t xml:space="preserve">one extra elements needs to be added to the theoretical framework; the role of the European Commission. </w:t>
      </w:r>
      <w:r w:rsidR="00196D6A" w:rsidRPr="00342967">
        <w:rPr>
          <w:rFonts w:cs="Times New Roman"/>
          <w:szCs w:val="24"/>
          <w:lang w:val="en-GB"/>
        </w:rPr>
        <w:t>Poulantzas offers an extensive theorisation of the state that is closely related to Gramsci’s understanding of the State but more refined. The state is a social relation rather than an instrument or a subject and the distinctive form of the capitalist state is grounded in the capital relations of production (Jessop, 2007, p.126). More precisely, the state is the material condensation of the balance among class forces and is therefore not a neutral entity (</w:t>
      </w:r>
      <w:r w:rsidR="00C156F5" w:rsidRPr="00342967">
        <w:rPr>
          <w:rFonts w:cs="Times New Roman"/>
          <w:szCs w:val="24"/>
          <w:lang w:val="en-GB"/>
        </w:rPr>
        <w:t>Jessop, 2007, p.126</w:t>
      </w:r>
      <w:r w:rsidR="00196D6A" w:rsidRPr="00342967">
        <w:rPr>
          <w:rFonts w:cs="Times New Roman"/>
          <w:szCs w:val="24"/>
          <w:lang w:val="en-GB"/>
        </w:rPr>
        <w:t xml:space="preserve">). To the extent that the state can be described as a materialistic subject, it is an institutional ensemble ridden with contradictions. This does not mean, however, that the state is a collection of independent branches. As Poulantzas puts it: ‘the state does not constitute a mere assembly of detachable parts: it exhibits an apparatus unity which is normally designated by the term centralization or centralism, which is related to the fissiparous unity of state power’ (Poulantzas, 1978, p.136). This unity is not created by formal rules or laws but rather by the ability of the dominant class to switch power around within the state system (Jessop, 2007, p.128). The dominant apparatus creates this unity by shifting the separate parts of the institutional ensemble in </w:t>
      </w:r>
      <w:r w:rsidR="00196D6A" w:rsidRPr="00342967">
        <w:rPr>
          <w:rFonts w:cs="Times New Roman"/>
          <w:szCs w:val="24"/>
          <w:lang w:val="en-GB"/>
        </w:rPr>
        <w:lastRenderedPageBreak/>
        <w:t>such a way that they will serve and suit the interest of the hegemonic fraction (Poulantzas, 1978, 137). This reorganisation of the state can potentially change the modes of representation, its mode of intervention, the social base, the dominant state project and much more (Jessop, 1999, p.55). By reorganising the state, the focus of the state can be shifted in such a way that the interest of the dominant class has prominence over others. This is what Jessop refers to as strategic selectivity of the State (Jessop, 1999, p.55).</w:t>
      </w:r>
    </w:p>
    <w:p w14:paraId="330DC459" w14:textId="34A57B75" w:rsidR="000C0AEB" w:rsidRPr="00342967" w:rsidRDefault="00BB06FE" w:rsidP="00D904F7">
      <w:pPr>
        <w:jc w:val="both"/>
        <w:rPr>
          <w:lang w:val="en-GB"/>
        </w:rPr>
      </w:pPr>
      <w:r w:rsidRPr="00342967">
        <w:rPr>
          <w:lang w:val="en-GB"/>
        </w:rPr>
        <w:t>As a culmination</w:t>
      </w:r>
      <w:r w:rsidR="00B20395" w:rsidRPr="00342967">
        <w:rPr>
          <w:lang w:val="en-GB"/>
        </w:rPr>
        <w:t xml:space="preserve">, </w:t>
      </w:r>
      <w:r w:rsidR="00423D1F">
        <w:rPr>
          <w:lang w:val="en-GB"/>
        </w:rPr>
        <w:t>c</w:t>
      </w:r>
      <w:r w:rsidR="00FC44AF" w:rsidRPr="00342967">
        <w:rPr>
          <w:lang w:val="en-GB"/>
        </w:rPr>
        <w:t>apitalism is characterised by a set of institutions that govern the accumulation process. This set of institutions is called the social structure of accumulation. Every SSA is characterized by a different pattern of capital accumulation. From this pattern of accumulation, social forces will emanate that will gain a dominant position in society. The ontological focal point central in this thesis is thus that agency is grounded in the social relations of production emanating from the pattern of accumulation. As the incumbent pattern of accumulation is in favour of this social group, it is in their interest to maintain the incumbent SSA. Gramsci’s understanding of agency will allow for an analysis of the agency of the dominant social force</w:t>
      </w:r>
      <w:r w:rsidR="002243A8">
        <w:rPr>
          <w:lang w:val="en-GB"/>
        </w:rPr>
        <w:t xml:space="preserve"> and how they affect the state</w:t>
      </w:r>
      <w:r w:rsidR="008C453D" w:rsidRPr="00342967">
        <w:rPr>
          <w:lang w:val="en-GB"/>
        </w:rPr>
        <w:t>. Through this dominant position in society</w:t>
      </w:r>
      <w:r w:rsidR="00780222" w:rsidRPr="00342967">
        <w:rPr>
          <w:lang w:val="en-GB"/>
        </w:rPr>
        <w:t xml:space="preserve">, the dominant social group can affect the State in such a way that it will mostly take care of their interests. </w:t>
      </w:r>
    </w:p>
    <w:p w14:paraId="6546EBE3" w14:textId="4B7E128B" w:rsidR="00247E38" w:rsidRPr="00342967" w:rsidRDefault="00247E38" w:rsidP="00D904F7">
      <w:pPr>
        <w:jc w:val="both"/>
        <w:rPr>
          <w:lang w:val="en-GB"/>
        </w:rPr>
      </w:pPr>
      <w:r w:rsidRPr="00342967">
        <w:rPr>
          <w:lang w:val="en-GB"/>
        </w:rPr>
        <w:t xml:space="preserve">Before </w:t>
      </w:r>
      <w:r w:rsidR="007646A5" w:rsidRPr="00342967">
        <w:rPr>
          <w:lang w:val="en-GB"/>
        </w:rPr>
        <w:t xml:space="preserve">the empirical analysis starts, first the </w:t>
      </w:r>
      <w:r w:rsidR="00020AC8" w:rsidRPr="00342967">
        <w:rPr>
          <w:lang w:val="en-GB"/>
        </w:rPr>
        <w:t xml:space="preserve">epistemological and ontological stance of </w:t>
      </w:r>
      <w:r w:rsidR="007646A5" w:rsidRPr="00342967">
        <w:rPr>
          <w:lang w:val="en-GB"/>
        </w:rPr>
        <w:t>critical theory is further discussed.</w:t>
      </w:r>
      <w:r w:rsidR="008968D6">
        <w:rPr>
          <w:lang w:val="en-GB"/>
        </w:rPr>
        <w:t xml:space="preserve"> What</w:t>
      </w:r>
      <w:r w:rsidR="00F33BD1" w:rsidRPr="00342967">
        <w:rPr>
          <w:lang w:val="en-GB"/>
        </w:rPr>
        <w:t xml:space="preserve"> follows is a discussion about the methodology used to </w:t>
      </w:r>
      <w:r w:rsidR="0064681D" w:rsidRPr="00342967">
        <w:rPr>
          <w:lang w:val="en-GB"/>
        </w:rPr>
        <w:t xml:space="preserve">acquire </w:t>
      </w:r>
      <w:r w:rsidR="00F33BD1" w:rsidRPr="00342967">
        <w:rPr>
          <w:lang w:val="en-GB"/>
        </w:rPr>
        <w:t xml:space="preserve">the knowledge </w:t>
      </w:r>
      <w:r w:rsidR="00451A08" w:rsidRPr="00342967">
        <w:rPr>
          <w:lang w:val="en-GB"/>
        </w:rPr>
        <w:t>necessary to find an answer to the explanandum.</w:t>
      </w:r>
      <w:r w:rsidR="008968D6">
        <w:rPr>
          <w:lang w:val="en-GB"/>
        </w:rPr>
        <w:t xml:space="preserve"> The last step involves the operationalisation. Before the theories can be used in the empirical </w:t>
      </w:r>
      <w:r w:rsidR="008968D6" w:rsidRPr="00342967">
        <w:rPr>
          <w:lang w:val="en-GB"/>
        </w:rPr>
        <w:t>it is necessary to operationalise the concepts in the theory</w:t>
      </w:r>
      <w:r w:rsidR="00423D1F">
        <w:rPr>
          <w:lang w:val="en-GB"/>
        </w:rPr>
        <w:t>.</w:t>
      </w:r>
    </w:p>
    <w:p w14:paraId="20020D34" w14:textId="77777777" w:rsidR="00D7547F" w:rsidRPr="00342967" w:rsidRDefault="00D7547F" w:rsidP="00D904F7">
      <w:pPr>
        <w:spacing w:line="259" w:lineRule="auto"/>
        <w:jc w:val="both"/>
        <w:rPr>
          <w:lang w:val="en-GB"/>
        </w:rPr>
      </w:pPr>
      <w:r w:rsidRPr="00342967">
        <w:rPr>
          <w:lang w:val="en-GB"/>
        </w:rPr>
        <w:br w:type="page"/>
      </w:r>
    </w:p>
    <w:p w14:paraId="3FD7792B" w14:textId="39CF9C09" w:rsidR="00EA3394" w:rsidRPr="00342967" w:rsidRDefault="00EA3394" w:rsidP="00D904F7">
      <w:pPr>
        <w:pStyle w:val="Kop1"/>
        <w:jc w:val="both"/>
        <w:rPr>
          <w:lang w:val="en-GB"/>
        </w:rPr>
      </w:pPr>
      <w:bookmarkStart w:id="12" w:name="_Toc518333108"/>
      <w:r w:rsidRPr="00342967">
        <w:rPr>
          <w:lang w:val="en-GB"/>
        </w:rPr>
        <w:lastRenderedPageBreak/>
        <w:t>Chapter 2: Epistemology, methodology and operationalisation</w:t>
      </w:r>
      <w:bookmarkEnd w:id="12"/>
    </w:p>
    <w:p w14:paraId="00F212CB" w14:textId="663AA6E0" w:rsidR="00B42618" w:rsidRPr="00342967" w:rsidRDefault="00B42618" w:rsidP="00D904F7">
      <w:pPr>
        <w:jc w:val="both"/>
        <w:rPr>
          <w:lang w:val="en-GB"/>
        </w:rPr>
      </w:pPr>
      <w:r w:rsidRPr="00342967">
        <w:rPr>
          <w:lang w:val="en-GB"/>
        </w:rPr>
        <w:t>The social structures of accumulation theory and Gramscianism are both critical theor</w:t>
      </w:r>
      <w:r w:rsidR="00C423A8" w:rsidRPr="00342967">
        <w:rPr>
          <w:lang w:val="en-GB"/>
        </w:rPr>
        <w:t>ies</w:t>
      </w:r>
      <w:r w:rsidRPr="00342967">
        <w:rPr>
          <w:lang w:val="en-GB"/>
        </w:rPr>
        <w:t>. The ontology, epistemology and methodology of critical theories differ radically from theories such as neofunctionalism and liberal intergovernmentalism. Although th</w:t>
      </w:r>
      <w:r w:rsidR="0061610E" w:rsidRPr="00342967">
        <w:rPr>
          <w:lang w:val="en-GB"/>
        </w:rPr>
        <w:t>e first</w:t>
      </w:r>
      <w:r w:rsidRPr="00342967">
        <w:rPr>
          <w:lang w:val="en-GB"/>
        </w:rPr>
        <w:t xml:space="preserve"> section is focused on epistemological considerations, a discussion of epistemology in critical science cannot be done without an extensive discussion about</w:t>
      </w:r>
      <w:r w:rsidR="00DD239A" w:rsidRPr="00342967">
        <w:rPr>
          <w:lang w:val="en-GB"/>
        </w:rPr>
        <w:t xml:space="preserve"> critical</w:t>
      </w:r>
      <w:r w:rsidRPr="00342967">
        <w:rPr>
          <w:lang w:val="en-GB"/>
        </w:rPr>
        <w:t xml:space="preserve"> ontology. Since critical ontology also has large implications for methodology, that will be discussed here as well. </w:t>
      </w:r>
      <w:r w:rsidR="00DD239A" w:rsidRPr="00342967">
        <w:rPr>
          <w:lang w:val="en-GB"/>
        </w:rPr>
        <w:t>The last section of this chapter will discuss how the concepts discussed in the theoretical chapter will be operationalized</w:t>
      </w:r>
      <w:r w:rsidR="005C2704" w:rsidRPr="00342967">
        <w:rPr>
          <w:lang w:val="en-GB"/>
        </w:rPr>
        <w:t xml:space="preserve"> for those concepts to be used in the empirical enquiry. </w:t>
      </w:r>
    </w:p>
    <w:p w14:paraId="5AF50D5B" w14:textId="5A6C4689" w:rsidR="00451486" w:rsidRPr="00342967" w:rsidRDefault="00451486" w:rsidP="00D904F7">
      <w:pPr>
        <w:pStyle w:val="Kop2"/>
        <w:jc w:val="both"/>
        <w:rPr>
          <w:lang w:val="en-GB"/>
        </w:rPr>
      </w:pPr>
      <w:bookmarkStart w:id="13" w:name="_Toc518333109"/>
      <w:r w:rsidRPr="00342967">
        <w:rPr>
          <w:lang w:val="en-GB"/>
        </w:rPr>
        <w:t>2.1 Critical realist epistemology</w:t>
      </w:r>
      <w:bookmarkEnd w:id="13"/>
    </w:p>
    <w:p w14:paraId="56144E7E" w14:textId="184EBAFB" w:rsidR="00F55857" w:rsidRPr="00342967" w:rsidRDefault="00671E65" w:rsidP="00D904F7">
      <w:pPr>
        <w:jc w:val="both"/>
        <w:rPr>
          <w:lang w:val="en-GB"/>
        </w:rPr>
      </w:pPr>
      <w:r w:rsidRPr="00342967">
        <w:rPr>
          <w:lang w:val="en-GB"/>
        </w:rPr>
        <w:t>C</w:t>
      </w:r>
      <w:r w:rsidR="00B42618" w:rsidRPr="00342967">
        <w:rPr>
          <w:lang w:val="en-GB"/>
        </w:rPr>
        <w:t>ritical</w:t>
      </w:r>
      <w:r w:rsidRPr="00342967">
        <w:rPr>
          <w:lang w:val="en-GB"/>
        </w:rPr>
        <w:t xml:space="preserve"> in critical research</w:t>
      </w:r>
      <w:r w:rsidR="00B42618" w:rsidRPr="00342967">
        <w:rPr>
          <w:lang w:val="en-GB"/>
        </w:rPr>
        <w:t xml:space="preserve"> is not a synonym for critique. Critiquing prevailing thoughts and conceptions is central to any form of science and is therefore not what sets critical science apart from other social sciences. What is does mean to be critical is to question the existing social order rather than accepting it as given (Wigger and Horn, 2016, p.41). </w:t>
      </w:r>
      <w:r w:rsidR="001639DF" w:rsidRPr="00342967">
        <w:rPr>
          <w:lang w:val="en-GB"/>
        </w:rPr>
        <w:t>What naturally follows from this is that c</w:t>
      </w:r>
      <w:r w:rsidR="00B42618" w:rsidRPr="00342967">
        <w:rPr>
          <w:lang w:val="en-GB"/>
        </w:rPr>
        <w:t>ritical science seeks to explore alternative futures and has a clear emancipat</w:t>
      </w:r>
      <w:r w:rsidR="001639DF" w:rsidRPr="00342967">
        <w:rPr>
          <w:lang w:val="en-GB"/>
        </w:rPr>
        <w:t>ory goal</w:t>
      </w:r>
      <w:r w:rsidR="00B42618" w:rsidRPr="00342967">
        <w:rPr>
          <w:lang w:val="en-GB"/>
        </w:rPr>
        <w:t xml:space="preserve"> (</w:t>
      </w:r>
      <w:r w:rsidR="00C156F5" w:rsidRPr="00342967">
        <w:rPr>
          <w:lang w:val="en-GB"/>
        </w:rPr>
        <w:t>Wigger and Horn, 2016, p.4</w:t>
      </w:r>
      <w:r w:rsidR="00C156F5">
        <w:rPr>
          <w:lang w:val="en-GB"/>
        </w:rPr>
        <w:t>2</w:t>
      </w:r>
      <w:r w:rsidR="00B42618" w:rsidRPr="00342967">
        <w:rPr>
          <w:lang w:val="en-GB"/>
        </w:rPr>
        <w:t>). Marx</w:t>
      </w:r>
      <w:r w:rsidR="00F55857" w:rsidRPr="00342967">
        <w:rPr>
          <w:lang w:val="en-GB"/>
        </w:rPr>
        <w:t xml:space="preserve"> (1845</w:t>
      </w:r>
      <w:r w:rsidR="003130E9" w:rsidRPr="00342967">
        <w:rPr>
          <w:lang w:val="en-GB"/>
        </w:rPr>
        <w:t xml:space="preserve"> [</w:t>
      </w:r>
      <w:r w:rsidR="00E33CB1" w:rsidRPr="00342967">
        <w:rPr>
          <w:lang w:val="en-GB"/>
        </w:rPr>
        <w:t>1969]</w:t>
      </w:r>
      <w:r w:rsidR="00F55857" w:rsidRPr="00342967">
        <w:rPr>
          <w:lang w:val="en-GB"/>
        </w:rPr>
        <w:t>, p.667)</w:t>
      </w:r>
      <w:r w:rsidR="00B6771D" w:rsidRPr="00342967">
        <w:rPr>
          <w:lang w:val="en-GB"/>
        </w:rPr>
        <w:t xml:space="preserve">, the </w:t>
      </w:r>
      <w:r w:rsidR="00F55857" w:rsidRPr="00342967">
        <w:rPr>
          <w:lang w:val="en-GB"/>
        </w:rPr>
        <w:t>founder of critical research,</w:t>
      </w:r>
      <w:r w:rsidR="00025A3D" w:rsidRPr="00342967">
        <w:rPr>
          <w:lang w:val="en-GB"/>
        </w:rPr>
        <w:t xml:space="preserve"> formulated this </w:t>
      </w:r>
      <w:r w:rsidR="000B017E" w:rsidRPr="00342967">
        <w:rPr>
          <w:lang w:val="en-GB"/>
        </w:rPr>
        <w:t>as follows</w:t>
      </w:r>
      <w:r w:rsidR="00B42618" w:rsidRPr="00342967">
        <w:rPr>
          <w:lang w:val="en-GB"/>
        </w:rPr>
        <w:t xml:space="preserve"> ‘philosophers have only interpreted the world in various ways; the point is to change it’.</w:t>
      </w:r>
      <w:r w:rsidR="00F55857" w:rsidRPr="00342967">
        <w:rPr>
          <w:lang w:val="en-GB"/>
        </w:rPr>
        <w:t xml:space="preserve"> </w:t>
      </w:r>
    </w:p>
    <w:p w14:paraId="4829ED9D" w14:textId="77777777" w:rsidR="00222439" w:rsidRDefault="00B42618" w:rsidP="00D904F7">
      <w:pPr>
        <w:jc w:val="both"/>
        <w:rPr>
          <w:rFonts w:cs="Times New Roman"/>
          <w:szCs w:val="24"/>
          <w:lang w:val="en-GB"/>
        </w:rPr>
      </w:pPr>
      <w:r w:rsidRPr="00342967">
        <w:rPr>
          <w:lang w:val="en-GB"/>
        </w:rPr>
        <w:t>In critical theory, ontology is given primacy of epistemology. Ontology deals with the question what we perceive social reality to be</w:t>
      </w:r>
      <w:r w:rsidR="000B017E" w:rsidRPr="00342967">
        <w:rPr>
          <w:lang w:val="en-GB"/>
        </w:rPr>
        <w:t>, e</w:t>
      </w:r>
      <w:r w:rsidRPr="00342967">
        <w:rPr>
          <w:lang w:val="en-GB"/>
        </w:rPr>
        <w:t>pistemology with how we can acquire knowledge about this social reality. In c</w:t>
      </w:r>
      <w:r w:rsidRPr="00342967">
        <w:rPr>
          <w:rFonts w:cs="Times New Roman"/>
          <w:szCs w:val="24"/>
          <w:lang w:val="en-GB"/>
        </w:rPr>
        <w:t>ritical ontology social reality is a construction of complex power relations that stem from the interplay of structure and agency. These power relations are revealed in both ideational and material dimensions (Wigger and Horn, 2016, p.38). This social reality cannot be accessed from a perfectly neutral point of view a</w:t>
      </w:r>
      <w:r w:rsidR="00F34F67" w:rsidRPr="00342967">
        <w:rPr>
          <w:rFonts w:cs="Times New Roman"/>
          <w:szCs w:val="24"/>
          <w:lang w:val="en-GB"/>
        </w:rPr>
        <w:t xml:space="preserve">ccording to </w:t>
      </w:r>
      <w:r w:rsidRPr="00342967">
        <w:rPr>
          <w:rFonts w:cs="Times New Roman"/>
          <w:szCs w:val="24"/>
          <w:lang w:val="en-GB"/>
        </w:rPr>
        <w:t>critical science</w:t>
      </w:r>
      <w:r w:rsidR="00F34F67" w:rsidRPr="00342967">
        <w:rPr>
          <w:rFonts w:cs="Times New Roman"/>
          <w:szCs w:val="24"/>
          <w:lang w:val="en-GB"/>
        </w:rPr>
        <w:t xml:space="preserve"> and therefore the notion of neutrality so dearly </w:t>
      </w:r>
      <w:r w:rsidR="002F4B47" w:rsidRPr="00342967">
        <w:rPr>
          <w:rFonts w:cs="Times New Roman"/>
          <w:szCs w:val="24"/>
          <w:lang w:val="en-GB"/>
        </w:rPr>
        <w:t>cherished by positivists is rejected. T</w:t>
      </w:r>
      <w:r w:rsidR="0018031E" w:rsidRPr="00342967">
        <w:rPr>
          <w:rFonts w:cs="Times New Roman"/>
          <w:szCs w:val="24"/>
          <w:lang w:val="en-GB"/>
        </w:rPr>
        <w:t>he reason why this is not possible is because the research is always affected by the social world around</w:t>
      </w:r>
      <w:r w:rsidR="007E1E65" w:rsidRPr="00342967">
        <w:rPr>
          <w:rFonts w:cs="Times New Roman"/>
          <w:szCs w:val="24"/>
          <w:lang w:val="en-GB"/>
        </w:rPr>
        <w:t>.</w:t>
      </w:r>
      <w:r w:rsidR="00474712" w:rsidRPr="00342967">
        <w:rPr>
          <w:rFonts w:cs="Times New Roman"/>
          <w:szCs w:val="24"/>
          <w:lang w:val="en-GB"/>
        </w:rPr>
        <w:t xml:space="preserve"> </w:t>
      </w:r>
      <w:r w:rsidR="001526E3" w:rsidRPr="00342967">
        <w:rPr>
          <w:rFonts w:cs="Times New Roman"/>
          <w:szCs w:val="24"/>
          <w:lang w:val="en-GB"/>
        </w:rPr>
        <w:t xml:space="preserve">Both what is perceived, and the perceiver are pre-formed by historical developments and it is therefore </w:t>
      </w:r>
      <w:r w:rsidR="001526E3" w:rsidRPr="00342967">
        <w:rPr>
          <w:rFonts w:cs="Times New Roman"/>
          <w:szCs w:val="24"/>
          <w:lang w:val="en-GB"/>
        </w:rPr>
        <w:lastRenderedPageBreak/>
        <w:t>impossible to distance yourself from this reality</w:t>
      </w:r>
      <w:r w:rsidR="000E5F22" w:rsidRPr="00342967">
        <w:rPr>
          <w:rFonts w:cs="Times New Roman"/>
          <w:szCs w:val="24"/>
          <w:lang w:val="en-GB"/>
        </w:rPr>
        <w:t xml:space="preserve"> (Horkheimer, 19</w:t>
      </w:r>
      <w:r w:rsidR="00310B3F" w:rsidRPr="00342967">
        <w:rPr>
          <w:rFonts w:cs="Times New Roman"/>
          <w:szCs w:val="24"/>
          <w:lang w:val="en-GB"/>
        </w:rPr>
        <w:t>37 [1989]</w:t>
      </w:r>
      <w:r w:rsidR="000E5F22" w:rsidRPr="00342967">
        <w:rPr>
          <w:rFonts w:cs="Times New Roman"/>
          <w:szCs w:val="24"/>
          <w:lang w:val="en-GB"/>
        </w:rPr>
        <w:t>, p.200)</w:t>
      </w:r>
      <w:r w:rsidR="001526E3" w:rsidRPr="00342967">
        <w:rPr>
          <w:rFonts w:cs="Times New Roman"/>
          <w:szCs w:val="24"/>
          <w:lang w:val="en-GB"/>
        </w:rPr>
        <w:t xml:space="preserve">. </w:t>
      </w:r>
      <w:r w:rsidR="00474712" w:rsidRPr="00342967">
        <w:rPr>
          <w:rFonts w:cs="Times New Roman"/>
          <w:szCs w:val="24"/>
          <w:lang w:val="en-GB"/>
        </w:rPr>
        <w:t xml:space="preserve">Moreover, </w:t>
      </w:r>
      <w:r w:rsidR="001526E3" w:rsidRPr="00342967">
        <w:rPr>
          <w:rFonts w:cs="Times New Roman"/>
          <w:szCs w:val="24"/>
          <w:lang w:val="en-GB"/>
        </w:rPr>
        <w:t xml:space="preserve">any ontology, also critical ontology, is normative, it is therefore better to be open about this than to hide behind a false sense of neutrality. </w:t>
      </w:r>
    </w:p>
    <w:p w14:paraId="6433A95E" w14:textId="69324264" w:rsidR="00B42618" w:rsidRPr="00342967" w:rsidRDefault="00B42618" w:rsidP="00D904F7">
      <w:pPr>
        <w:jc w:val="both"/>
        <w:rPr>
          <w:lang w:val="en-GB"/>
        </w:rPr>
      </w:pPr>
      <w:r w:rsidRPr="00342967">
        <w:rPr>
          <w:lang w:val="en-GB"/>
        </w:rPr>
        <w:t>The critical ontology that is used in this thesis is called critical realism and is besides a critical ontology also a philosophy of science. Critical realism offers a dialectical understanding of structure and agency, the material and the ideational underpinnings of social reality (Wigger and Horn, 2016, p.44). Social phenomena are the outcome of the interplay and the interrelation between structure, agency and material and ideational dimensions (</w:t>
      </w:r>
      <w:r w:rsidR="00C156F5" w:rsidRPr="00342967">
        <w:rPr>
          <w:lang w:val="en-GB"/>
        </w:rPr>
        <w:t>Wigger and Horn, 2016, p.44</w:t>
      </w:r>
      <w:r w:rsidRPr="00342967">
        <w:rPr>
          <w:lang w:val="en-GB"/>
        </w:rPr>
        <w:t>). Only through unravelling the interplay and interrelation is it possible to understand political outcomes. Ontologically</w:t>
      </w:r>
      <w:r w:rsidR="006A48B4" w:rsidRPr="00342967">
        <w:rPr>
          <w:lang w:val="en-GB"/>
        </w:rPr>
        <w:t xml:space="preserve"> speaking</w:t>
      </w:r>
      <w:r w:rsidRPr="00342967">
        <w:rPr>
          <w:lang w:val="en-GB"/>
        </w:rPr>
        <w:t>, structures pre-date agency</w:t>
      </w:r>
      <w:r w:rsidR="006A48B4" w:rsidRPr="00342967">
        <w:rPr>
          <w:lang w:val="en-GB"/>
        </w:rPr>
        <w:t>.</w:t>
      </w:r>
      <w:r w:rsidRPr="00342967">
        <w:rPr>
          <w:lang w:val="en-GB"/>
        </w:rPr>
        <w:t xml:space="preserve"> </w:t>
      </w:r>
      <w:r w:rsidR="006A48B4" w:rsidRPr="00342967">
        <w:rPr>
          <w:lang w:val="en-GB"/>
        </w:rPr>
        <w:t>N</w:t>
      </w:r>
      <w:r w:rsidRPr="00342967">
        <w:rPr>
          <w:lang w:val="en-GB"/>
        </w:rPr>
        <w:t>onetheless</w:t>
      </w:r>
      <w:r w:rsidR="006A48B4" w:rsidRPr="00342967">
        <w:rPr>
          <w:lang w:val="en-GB"/>
        </w:rPr>
        <w:t>,</w:t>
      </w:r>
      <w:r w:rsidRPr="00342967">
        <w:rPr>
          <w:lang w:val="en-GB"/>
        </w:rPr>
        <w:t xml:space="preserve"> structures are the outcome of human activities and behaviour undertaken in the past. Agents are confronted with these structures </w:t>
      </w:r>
      <w:r w:rsidR="0044787F" w:rsidRPr="00342967">
        <w:rPr>
          <w:lang w:val="en-GB"/>
        </w:rPr>
        <w:t>that</w:t>
      </w:r>
      <w:r w:rsidRPr="00342967">
        <w:rPr>
          <w:lang w:val="en-GB"/>
        </w:rPr>
        <w:t xml:space="preserve"> either facilitate or contain their social activities. Agents, however, also affect structures. Structures explicitly do not deterministically determine agency. Rather, structures can be altered and transformed by agents through their social activities</w:t>
      </w:r>
      <w:r w:rsidR="00B46DE3" w:rsidRPr="00342967">
        <w:rPr>
          <w:lang w:val="en-GB"/>
        </w:rPr>
        <w:t xml:space="preserve"> (Wigger and Horn, 2016, p.44).</w:t>
      </w:r>
      <w:r w:rsidR="00F01F56" w:rsidRPr="00342967">
        <w:rPr>
          <w:lang w:val="en-GB"/>
        </w:rPr>
        <w:t xml:space="preserve"> </w:t>
      </w:r>
      <w:r w:rsidRPr="00342967">
        <w:rPr>
          <w:lang w:val="en-GB"/>
        </w:rPr>
        <w:t>It is because of this constant interplay between agency and structure that social reality cannot be understood as static but rather as a constant changing reality.</w:t>
      </w:r>
    </w:p>
    <w:p w14:paraId="2CF56ADE" w14:textId="77777777" w:rsidR="00B42618" w:rsidRPr="00342967" w:rsidRDefault="00B42618" w:rsidP="00D904F7">
      <w:pPr>
        <w:jc w:val="both"/>
        <w:rPr>
          <w:rFonts w:cs="Times New Roman"/>
          <w:szCs w:val="24"/>
          <w:lang w:val="en-GB"/>
        </w:rPr>
      </w:pPr>
      <w:r w:rsidRPr="00342967">
        <w:rPr>
          <w:lang w:val="en-GB"/>
        </w:rPr>
        <w:t>The fundamental starting point of any critical realistic enquiry is identifying and revealing structures and power relations that lead to a specific course of events (Patomäki and Wight, 2000, p.223). This process of identifying and revealing is called retroduction. Retroduction starts from the level of the social phenomenon and moves to the fundamental level of structure, agency and power relations at play that are responsible for the phenomenon (Wigger and Horn, 2016, p.46) This is not a single procedure but a continuous process of confrontation between theoretical presumptions and evidence (Jessop, 2005, p.43). C</w:t>
      </w:r>
      <w:r w:rsidRPr="00342967">
        <w:rPr>
          <w:rFonts w:cs="Times New Roman"/>
          <w:szCs w:val="24"/>
          <w:lang w:val="en-GB"/>
        </w:rPr>
        <w:t xml:space="preserve">ritical theory distinguishes between the real, the actual and the empirical in the process of retroduction (Wigger and Horn, 2016, p.46). The real are all the structures in society that have causal consequences. It is the task of theory to reveal </w:t>
      </w:r>
      <w:r w:rsidRPr="00342967">
        <w:rPr>
          <w:rFonts w:cs="Times New Roman"/>
          <w:i/>
          <w:szCs w:val="24"/>
          <w:lang w:val="en-GB"/>
        </w:rPr>
        <w:t>the real</w:t>
      </w:r>
      <w:r w:rsidRPr="00342967">
        <w:rPr>
          <w:rFonts w:cs="Times New Roman"/>
          <w:szCs w:val="24"/>
          <w:lang w:val="en-GB"/>
        </w:rPr>
        <w:t xml:space="preserve"> and to be a guidance to the researcher. </w:t>
      </w:r>
      <w:r w:rsidRPr="00342967">
        <w:rPr>
          <w:rFonts w:cs="Times New Roman"/>
          <w:i/>
          <w:szCs w:val="24"/>
          <w:lang w:val="en-GB"/>
        </w:rPr>
        <w:t>The actual</w:t>
      </w:r>
      <w:r w:rsidRPr="00342967">
        <w:rPr>
          <w:rFonts w:cs="Times New Roman"/>
          <w:szCs w:val="24"/>
          <w:lang w:val="en-GB"/>
        </w:rPr>
        <w:t xml:space="preserve"> are the events that are set in motion by the real. The actual events that are picked up by observation are referred to as </w:t>
      </w:r>
      <w:r w:rsidRPr="00342967">
        <w:rPr>
          <w:rFonts w:cs="Times New Roman"/>
          <w:i/>
          <w:szCs w:val="24"/>
          <w:lang w:val="en-GB"/>
        </w:rPr>
        <w:t xml:space="preserve">the empirical </w:t>
      </w:r>
      <w:r w:rsidRPr="00342967">
        <w:rPr>
          <w:rFonts w:cs="Times New Roman"/>
          <w:szCs w:val="24"/>
          <w:lang w:val="en-GB"/>
        </w:rPr>
        <w:t xml:space="preserve">(Jessop, 2005, p.41). Embedded in this distinction is that reality also exist outside the observational reach of the researcher which makes that it is impossible to gain complete knowledge about social reality (Wigger and Horn, 2016, p.46). </w:t>
      </w:r>
    </w:p>
    <w:p w14:paraId="5E1199D1" w14:textId="77777777" w:rsidR="00B42618" w:rsidRPr="00342967" w:rsidRDefault="00B42618" w:rsidP="00D904F7">
      <w:pPr>
        <w:jc w:val="both"/>
        <w:rPr>
          <w:rFonts w:cs="Times New Roman"/>
          <w:szCs w:val="24"/>
          <w:lang w:val="en-GB"/>
        </w:rPr>
      </w:pPr>
      <w:r w:rsidRPr="00342967">
        <w:rPr>
          <w:rFonts w:cs="Times New Roman"/>
          <w:szCs w:val="24"/>
          <w:lang w:val="en-GB"/>
        </w:rPr>
        <w:lastRenderedPageBreak/>
        <w:t xml:space="preserve">The critical realist ontology has implications for epistemology and consequently for the methodology. Critical theory rejects the notion of a ‘world out there’ that can be observed. Therefore, empiricism, that is testing hypothesis derived from theories, is an incompatible methodology. The methodology that is used in critical realism is the method of abstraction, but this is rather a methodological dimension than a clear methodology. A theory provides the research with an image of social reality to assess the real and to move from description of the social phenomenon to the abstraction of possible causes (Wigger and Horn, 2016, p.47). The move from theoretical concepts to concrete events is by no means a generalisation. Because of the constant changing social reality, the concept of concrete events needs to be constantly re-concretised (Cox, 1986, p.209). The choice of actual methods to gather empirical evidence is an open question. The approach to methodology by critical realism is very open minded, as long as the methodology contributes to the gathering of evidence it is an acceptable methodology. </w:t>
      </w:r>
    </w:p>
    <w:p w14:paraId="6446D897" w14:textId="77777777" w:rsidR="00B42618" w:rsidRPr="00342967" w:rsidRDefault="00B42618" w:rsidP="00D904F7">
      <w:pPr>
        <w:jc w:val="both"/>
        <w:rPr>
          <w:rFonts w:eastAsiaTheme="majorEastAsia" w:cstheme="majorBidi"/>
          <w:b/>
          <w:sz w:val="26"/>
          <w:szCs w:val="32"/>
          <w:lang w:val="en-GB"/>
        </w:rPr>
      </w:pPr>
      <w:r w:rsidRPr="00342967">
        <w:t xml:space="preserve">Applying a critical realist ontology to this thesis has far reaching consequences on how to proceed. Since social reality is constantly changing and can also not be fully observed and because there is no such thing as neutrality in science, it is impossible to derive hypotheses from the selected theories and to test them on their validity. Therefore, retroduction will be the way forward. The starting point will be the decision by the European Commission to propose the CMU and to revive securitisation and from there on forward structure, agency and power and social relations with causal consequences will be revealed. </w:t>
      </w:r>
    </w:p>
    <w:p w14:paraId="0CF007C1" w14:textId="1C3E8BE1" w:rsidR="00B42618" w:rsidRPr="00342967" w:rsidRDefault="00B42618" w:rsidP="00D904F7">
      <w:pPr>
        <w:pStyle w:val="Kop2"/>
        <w:jc w:val="both"/>
        <w:rPr>
          <w:lang w:val="en-GB"/>
        </w:rPr>
      </w:pPr>
      <w:bookmarkStart w:id="14" w:name="_Toc518333110"/>
      <w:r w:rsidRPr="00342967">
        <w:rPr>
          <w:lang w:val="en-GB"/>
        </w:rPr>
        <w:t>2.</w:t>
      </w:r>
      <w:r w:rsidR="008968D6">
        <w:rPr>
          <w:lang w:val="en-GB"/>
        </w:rPr>
        <w:t>2</w:t>
      </w:r>
      <w:r w:rsidRPr="00342967">
        <w:rPr>
          <w:lang w:val="en-GB"/>
        </w:rPr>
        <w:t xml:space="preserve"> Methodology</w:t>
      </w:r>
      <w:bookmarkEnd w:id="14"/>
    </w:p>
    <w:p w14:paraId="6F6623FE" w14:textId="42B08FBC" w:rsidR="00B42618" w:rsidRPr="00342967" w:rsidRDefault="00B42618" w:rsidP="00D904F7">
      <w:pPr>
        <w:jc w:val="both"/>
        <w:rPr>
          <w:rFonts w:cs="Times New Roman"/>
          <w:szCs w:val="24"/>
          <w:lang w:val="en-GB"/>
        </w:rPr>
      </w:pPr>
      <w:r w:rsidRPr="00342967">
        <w:rPr>
          <w:rFonts w:cs="Times New Roman"/>
          <w:szCs w:val="24"/>
          <w:lang w:val="en-GB"/>
        </w:rPr>
        <w:t xml:space="preserve">The methodology that will be used to gather empirical evidence is data triangulation. Data triangulation means using different sources of information to answer the same question. By using more data sources, a completer picture is created, and the outcome has greater validity. This is best illustrated with the slightly adapted analogy of the elephant and the blind men. A group of blind men who have never encountered an elephant before start to touch the elephant in order to conceptualise what it looks like. Each man touches a different part of the body and describes what he is feeling. The first blind man touches the trunk and says that the elephant is like a giant snake. The next blind man touches the foot of the elephant and argues it’s a big horse, and so on. None </w:t>
      </w:r>
      <w:r w:rsidRPr="00342967">
        <w:rPr>
          <w:rFonts w:cs="Times New Roman"/>
          <w:szCs w:val="24"/>
          <w:lang w:val="en-GB"/>
        </w:rPr>
        <w:lastRenderedPageBreak/>
        <w:t xml:space="preserve">of the blind men have on their own a complete picture of the elephant but if they combine their individual observations they arrive at the right conceptualisation of the elephant. Data triangulation works exactly like this, by combining multiple data sources a complete answer to the research question can be formulated. </w:t>
      </w:r>
    </w:p>
    <w:p w14:paraId="0BF21235" w14:textId="1CF7A416" w:rsidR="00B42618" w:rsidRPr="00342967" w:rsidRDefault="00B42618" w:rsidP="00D904F7">
      <w:pPr>
        <w:jc w:val="both"/>
        <w:rPr>
          <w:rFonts w:cs="Times New Roman"/>
          <w:szCs w:val="24"/>
          <w:lang w:val="en-GB"/>
        </w:rPr>
      </w:pPr>
      <w:r w:rsidRPr="00342967">
        <w:rPr>
          <w:rFonts w:cs="Times New Roman"/>
          <w:szCs w:val="24"/>
          <w:lang w:val="en-GB"/>
        </w:rPr>
        <w:t>First, secondary literature is used to sketch the broader capitalist context in which the introduction of CMU and the revival of securitisation is best understood. The most important institution of the Neoliberal SSA will be discussed and outlined. An extensive document analysis is performed on the responses on the Green Paper o</w:t>
      </w:r>
      <w:r w:rsidR="00986ABE">
        <w:rPr>
          <w:rFonts w:cs="Times New Roman"/>
          <w:szCs w:val="24"/>
          <w:lang w:val="en-GB"/>
        </w:rPr>
        <w:t>f</w:t>
      </w:r>
      <w:r w:rsidRPr="00342967">
        <w:rPr>
          <w:rFonts w:cs="Times New Roman"/>
          <w:szCs w:val="24"/>
          <w:lang w:val="en-GB"/>
        </w:rPr>
        <w:t xml:space="preserve"> the CMU published by the European Commission. In these documents the general tenor of the response is of interest, how do the respondents react on the proposals of the Commission. Are they very critical on the proposals or extremely positive? What suggestions do the respondents make to improve the proposals by the Commission, and what are the policy areas these suggestions mostly focus on? Besides a document analysis, process tracing is used to uncover what type of class agents and capital fractions articulated what type of interest, where interest overlap as well as what is contested by whom. Moreover, it is used to discover where certain policy proposals from the Commission originated from, and finally, to uncover what changes have been made according to the response the Commission received and where these changes came from. </w:t>
      </w:r>
    </w:p>
    <w:p w14:paraId="24CF708F" w14:textId="78E19BA7" w:rsidR="0009748F" w:rsidRPr="00342967" w:rsidRDefault="00B42618" w:rsidP="00D904F7">
      <w:pPr>
        <w:jc w:val="both"/>
        <w:rPr>
          <w:rFonts w:cs="Times New Roman"/>
          <w:szCs w:val="24"/>
          <w:lang w:val="en-GB"/>
        </w:rPr>
      </w:pPr>
      <w:r w:rsidRPr="00342967">
        <w:rPr>
          <w:rFonts w:cs="Times New Roman"/>
          <w:szCs w:val="24"/>
          <w:lang w:val="en-GB"/>
        </w:rPr>
        <w:t>The Green Paper on CMU and the final action plan are the suitable documents to perform this analysis. A Green Paper is a document</w:t>
      </w:r>
      <w:r w:rsidR="001D2C10">
        <w:rPr>
          <w:rFonts w:cs="Times New Roman"/>
          <w:szCs w:val="24"/>
          <w:lang w:val="en-GB"/>
        </w:rPr>
        <w:t xml:space="preserve"> by the European Commission</w:t>
      </w:r>
      <w:r w:rsidRPr="00342967">
        <w:rPr>
          <w:rFonts w:cs="Times New Roman"/>
          <w:szCs w:val="24"/>
          <w:lang w:val="en-GB"/>
        </w:rPr>
        <w:t xml:space="preserve"> delineating an initial policy proposal. After it has been published, its open for consultation. Every company, government institutions, NGO, academic and lobby groups who wants to respond may do so. Many banks, financial lobby groups and other financial intermediaries took this opportunity and responded to the questions outlined in the document. The European Commission also published alongside the CMU Green Paper a special consultation document where respondents could send in their thoughts about securitisation in particular. The document delineates a framework for securitisation the Commission calls </w:t>
      </w:r>
      <w:r w:rsidR="001D2C10">
        <w:rPr>
          <w:rFonts w:cs="Times New Roman"/>
          <w:szCs w:val="24"/>
          <w:lang w:val="en-GB"/>
        </w:rPr>
        <w:t>‘</w:t>
      </w:r>
      <w:r w:rsidRPr="00342967">
        <w:rPr>
          <w:rFonts w:cs="Times New Roman"/>
          <w:szCs w:val="24"/>
          <w:lang w:val="en-GB"/>
        </w:rPr>
        <w:t>STS</w:t>
      </w:r>
      <w:r w:rsidR="001D2C10">
        <w:rPr>
          <w:rFonts w:cs="Times New Roman"/>
          <w:szCs w:val="24"/>
          <w:lang w:val="en-GB"/>
        </w:rPr>
        <w:t>’</w:t>
      </w:r>
      <w:r w:rsidRPr="00342967">
        <w:rPr>
          <w:rFonts w:cs="Times New Roman"/>
          <w:szCs w:val="24"/>
          <w:lang w:val="en-GB"/>
        </w:rPr>
        <w:t xml:space="preserve"> which stands for </w:t>
      </w:r>
      <w:r w:rsidR="001D2C10">
        <w:rPr>
          <w:rFonts w:cs="Times New Roman"/>
          <w:szCs w:val="24"/>
          <w:lang w:val="en-GB"/>
        </w:rPr>
        <w:t>‘</w:t>
      </w:r>
      <w:r w:rsidRPr="00342967">
        <w:rPr>
          <w:rFonts w:cs="Times New Roman"/>
          <w:szCs w:val="24"/>
          <w:lang w:val="en-GB"/>
        </w:rPr>
        <w:t>simplified, transparent and standardized</w:t>
      </w:r>
      <w:r w:rsidR="001D2C10">
        <w:rPr>
          <w:rFonts w:cs="Times New Roman"/>
          <w:szCs w:val="24"/>
          <w:lang w:val="en-GB"/>
        </w:rPr>
        <w:t>’</w:t>
      </w:r>
      <w:r w:rsidRPr="00342967">
        <w:rPr>
          <w:rFonts w:cs="Times New Roman"/>
          <w:szCs w:val="24"/>
          <w:lang w:val="en-GB"/>
        </w:rPr>
        <w:t xml:space="preserve"> (European Commission, 2015c).</w:t>
      </w:r>
      <w:r w:rsidR="00714636" w:rsidRPr="00342967">
        <w:rPr>
          <w:rFonts w:cs="Times New Roman"/>
          <w:szCs w:val="24"/>
          <w:lang w:val="en-GB"/>
        </w:rPr>
        <w:t xml:space="preserve"> The process tracing is, however, not limited to these documents. Position papers and communications by relevant actors such as Finance Watch and Prime Collateralised Securities are used. </w:t>
      </w:r>
      <w:r w:rsidRPr="00342967">
        <w:rPr>
          <w:rFonts w:cs="Times New Roman"/>
          <w:szCs w:val="24"/>
          <w:lang w:val="en-GB"/>
        </w:rPr>
        <w:t xml:space="preserve"> </w:t>
      </w:r>
      <w:r w:rsidR="0009748F" w:rsidRPr="00342967">
        <w:rPr>
          <w:rFonts w:cs="Times New Roman"/>
          <w:szCs w:val="24"/>
          <w:lang w:val="en-GB"/>
        </w:rPr>
        <w:t xml:space="preserve">The data from the secondary literature on the SSA, the document analysis and </w:t>
      </w:r>
      <w:r w:rsidR="0009748F" w:rsidRPr="00342967">
        <w:rPr>
          <w:rFonts w:cs="Times New Roman"/>
          <w:szCs w:val="24"/>
          <w:lang w:val="en-GB"/>
        </w:rPr>
        <w:lastRenderedPageBreak/>
        <w:t xml:space="preserve">the process tracing are then combined into an explanatory narrative </w:t>
      </w:r>
      <w:r w:rsidR="00714636" w:rsidRPr="00342967">
        <w:rPr>
          <w:rFonts w:cs="Times New Roman"/>
          <w:szCs w:val="24"/>
          <w:lang w:val="en-GB"/>
        </w:rPr>
        <w:t>to explain</w:t>
      </w:r>
      <w:r w:rsidR="0009748F" w:rsidRPr="00342967">
        <w:rPr>
          <w:rFonts w:cs="Times New Roman"/>
          <w:szCs w:val="24"/>
          <w:lang w:val="en-GB"/>
        </w:rPr>
        <w:t xml:space="preserve"> why the European Commission made the decision to introduce </w:t>
      </w:r>
      <w:r w:rsidR="00597751">
        <w:rPr>
          <w:rFonts w:cs="Times New Roman"/>
          <w:szCs w:val="24"/>
          <w:lang w:val="en-GB"/>
        </w:rPr>
        <w:t>CMU</w:t>
      </w:r>
      <w:r w:rsidR="0009748F" w:rsidRPr="00342967">
        <w:rPr>
          <w:rFonts w:cs="Times New Roman"/>
          <w:szCs w:val="24"/>
          <w:lang w:val="en-GB"/>
        </w:rPr>
        <w:t xml:space="preserve"> and the revival of securitisation. </w:t>
      </w:r>
    </w:p>
    <w:p w14:paraId="60B13672" w14:textId="21CF108E" w:rsidR="00B42618" w:rsidRPr="00342967" w:rsidRDefault="00B42618" w:rsidP="00D904F7">
      <w:pPr>
        <w:jc w:val="both"/>
        <w:rPr>
          <w:rFonts w:cs="Times New Roman"/>
          <w:szCs w:val="24"/>
          <w:lang w:val="en-GB"/>
        </w:rPr>
      </w:pPr>
      <w:r w:rsidRPr="00342967">
        <w:rPr>
          <w:rFonts w:cs="Times New Roman"/>
          <w:szCs w:val="24"/>
          <w:lang w:val="en-GB"/>
        </w:rPr>
        <w:t xml:space="preserve">For </w:t>
      </w:r>
      <w:r w:rsidR="00F64767" w:rsidRPr="00342967">
        <w:rPr>
          <w:rFonts w:cs="Times New Roman"/>
          <w:szCs w:val="24"/>
          <w:lang w:val="en-GB"/>
        </w:rPr>
        <w:t>financial capital, a proxy is selected for each separate branch within the financial sector</w:t>
      </w:r>
      <w:r w:rsidRPr="00342967">
        <w:rPr>
          <w:rFonts w:cs="Times New Roman"/>
          <w:szCs w:val="24"/>
          <w:lang w:val="en-GB"/>
        </w:rPr>
        <w:t>. For the banking sector, BNP Paribas, Deutsche Bank and Goldman Sachs have been selected. KPMG has been chosen to represent the consultancy sector. For industry associations and lobby groups, the European Financial Services Roundtable (EFR)</w:t>
      </w:r>
      <w:r w:rsidR="00A32C24" w:rsidRPr="00342967">
        <w:rPr>
          <w:rFonts w:cs="Times New Roman"/>
          <w:szCs w:val="24"/>
          <w:lang w:val="en-GB"/>
        </w:rPr>
        <w:t xml:space="preserve"> and the </w:t>
      </w:r>
      <w:r w:rsidR="005F4A3F" w:rsidRPr="00342967">
        <w:rPr>
          <w:rFonts w:cs="Times New Roman"/>
          <w:szCs w:val="24"/>
          <w:lang w:val="en-GB"/>
        </w:rPr>
        <w:t>Asset Mana</w:t>
      </w:r>
      <w:r w:rsidR="006C4F64" w:rsidRPr="00342967">
        <w:rPr>
          <w:rFonts w:cs="Times New Roman"/>
          <w:szCs w:val="24"/>
          <w:lang w:val="en-GB"/>
        </w:rPr>
        <w:t>gement and Investment council</w:t>
      </w:r>
      <w:r w:rsidR="007E1DF7" w:rsidRPr="00342967">
        <w:rPr>
          <w:rFonts w:cs="Times New Roman"/>
          <w:szCs w:val="24"/>
          <w:lang w:val="en-GB"/>
        </w:rPr>
        <w:t xml:space="preserve"> (AMIC)</w:t>
      </w:r>
      <w:r w:rsidR="008F1568" w:rsidRPr="00342967">
        <w:rPr>
          <w:rFonts w:cs="Times New Roman"/>
          <w:szCs w:val="24"/>
          <w:lang w:val="en-GB"/>
        </w:rPr>
        <w:t xml:space="preserve"> are selected. The former is </w:t>
      </w:r>
      <w:r w:rsidR="007D3A6C" w:rsidRPr="00342967">
        <w:rPr>
          <w:rFonts w:cs="Times New Roman"/>
          <w:szCs w:val="24"/>
          <w:lang w:val="en-GB"/>
        </w:rPr>
        <w:t>an</w:t>
      </w:r>
      <w:r w:rsidR="008F1568" w:rsidRPr="00342967">
        <w:rPr>
          <w:rFonts w:cs="Times New Roman"/>
          <w:szCs w:val="24"/>
          <w:lang w:val="en-GB"/>
        </w:rPr>
        <w:t xml:space="preserve"> industry association representing banks and insurers and the latter a</w:t>
      </w:r>
      <w:r w:rsidR="00F442CF" w:rsidRPr="00342967">
        <w:rPr>
          <w:rFonts w:cs="Times New Roman"/>
          <w:szCs w:val="24"/>
          <w:lang w:val="en-GB"/>
        </w:rPr>
        <w:t>n</w:t>
      </w:r>
      <w:r w:rsidR="008F1568" w:rsidRPr="00342967">
        <w:rPr>
          <w:rFonts w:cs="Times New Roman"/>
          <w:szCs w:val="24"/>
          <w:lang w:val="en-GB"/>
        </w:rPr>
        <w:t xml:space="preserve"> interest group for buyers of securities.</w:t>
      </w:r>
      <w:r w:rsidR="001852AA" w:rsidRPr="00342967">
        <w:rPr>
          <w:rFonts w:cs="Times New Roman"/>
          <w:szCs w:val="24"/>
          <w:lang w:val="en-GB"/>
        </w:rPr>
        <w:t xml:space="preserve"> The interest of society in general </w:t>
      </w:r>
      <w:r w:rsidR="00D45773" w:rsidRPr="00342967">
        <w:rPr>
          <w:rFonts w:cs="Times New Roman"/>
          <w:szCs w:val="24"/>
          <w:lang w:val="en-GB"/>
        </w:rPr>
        <w:t>are re</w:t>
      </w:r>
      <w:r w:rsidR="00E61FA0" w:rsidRPr="00342967">
        <w:rPr>
          <w:rFonts w:cs="Times New Roman"/>
          <w:szCs w:val="24"/>
          <w:lang w:val="en-GB"/>
        </w:rPr>
        <w:t>presented by</w:t>
      </w:r>
      <w:r w:rsidRPr="00342967">
        <w:rPr>
          <w:rFonts w:cs="Times New Roman"/>
          <w:szCs w:val="24"/>
          <w:lang w:val="en-GB"/>
        </w:rPr>
        <w:t xml:space="preserve"> Finance Watch</w:t>
      </w:r>
      <w:r w:rsidR="00D45773" w:rsidRPr="00342967">
        <w:rPr>
          <w:rFonts w:cs="Times New Roman"/>
          <w:szCs w:val="24"/>
          <w:lang w:val="en-GB"/>
        </w:rPr>
        <w:t>, an alliance of various trade unions, NGOs</w:t>
      </w:r>
      <w:r w:rsidR="00F442CF" w:rsidRPr="00342967">
        <w:rPr>
          <w:rFonts w:cs="Times New Roman"/>
          <w:szCs w:val="24"/>
          <w:lang w:val="en-GB"/>
        </w:rPr>
        <w:t xml:space="preserve"> and other civil society actors and a group of academics</w:t>
      </w:r>
      <w:r w:rsidR="001852AA" w:rsidRPr="00342967">
        <w:rPr>
          <w:rFonts w:cs="Times New Roman"/>
          <w:szCs w:val="24"/>
          <w:lang w:val="en-GB"/>
        </w:rPr>
        <w:t>. Finally, the interest</w:t>
      </w:r>
      <w:r w:rsidR="00FC07CE" w:rsidRPr="00342967">
        <w:rPr>
          <w:rFonts w:cs="Times New Roman"/>
          <w:szCs w:val="24"/>
          <w:lang w:val="en-GB"/>
        </w:rPr>
        <w:t>s</w:t>
      </w:r>
      <w:r w:rsidR="001852AA" w:rsidRPr="00342967">
        <w:rPr>
          <w:rFonts w:cs="Times New Roman"/>
          <w:szCs w:val="24"/>
          <w:lang w:val="en-GB"/>
        </w:rPr>
        <w:t xml:space="preserve"> of industrial capital </w:t>
      </w:r>
      <w:r w:rsidR="00FC07CE" w:rsidRPr="00342967">
        <w:rPr>
          <w:rFonts w:cs="Times New Roman"/>
          <w:szCs w:val="24"/>
          <w:lang w:val="en-GB"/>
        </w:rPr>
        <w:t>are</w:t>
      </w:r>
      <w:r w:rsidR="001852AA" w:rsidRPr="00342967">
        <w:rPr>
          <w:rFonts w:cs="Times New Roman"/>
          <w:szCs w:val="24"/>
          <w:lang w:val="en-GB"/>
        </w:rPr>
        <w:t xml:space="preserve"> covered by </w:t>
      </w:r>
      <w:r w:rsidR="00BF1757" w:rsidRPr="00342967">
        <w:rPr>
          <w:rFonts w:cs="Times New Roman"/>
          <w:szCs w:val="24"/>
          <w:lang w:val="en-GB"/>
        </w:rPr>
        <w:t>two industry associations</w:t>
      </w:r>
      <w:r w:rsidR="001852AA" w:rsidRPr="00342967">
        <w:rPr>
          <w:rFonts w:cs="Times New Roman"/>
          <w:szCs w:val="24"/>
          <w:lang w:val="en-GB"/>
        </w:rPr>
        <w:t>.</w:t>
      </w:r>
    </w:p>
    <w:p w14:paraId="07865A98" w14:textId="36AA21D3" w:rsidR="00EA6777" w:rsidRPr="00342967" w:rsidRDefault="00B42618" w:rsidP="00D904F7">
      <w:pPr>
        <w:jc w:val="both"/>
        <w:rPr>
          <w:rFonts w:cs="Times New Roman"/>
          <w:szCs w:val="24"/>
          <w:lang w:val="en-GB"/>
        </w:rPr>
      </w:pPr>
      <w:r w:rsidRPr="00342967">
        <w:rPr>
          <w:rFonts w:cs="Times New Roman"/>
          <w:szCs w:val="24"/>
          <w:lang w:val="en-GB"/>
        </w:rPr>
        <w:t>The explanatory logic in the analysis is that the current SSA is characterized by financialisation</w:t>
      </w:r>
      <w:r w:rsidR="0012722A" w:rsidRPr="00342967">
        <w:rPr>
          <w:rFonts w:cs="Times New Roman"/>
          <w:szCs w:val="24"/>
          <w:lang w:val="en-GB"/>
        </w:rPr>
        <w:t>. T</w:t>
      </w:r>
      <w:r w:rsidRPr="00342967">
        <w:rPr>
          <w:rFonts w:cs="Times New Roman"/>
          <w:szCs w:val="24"/>
          <w:lang w:val="en-GB"/>
        </w:rPr>
        <w:t>he dominant capital accumulation</w:t>
      </w:r>
      <w:r w:rsidR="0012722A" w:rsidRPr="00342967">
        <w:rPr>
          <w:rFonts w:cs="Times New Roman"/>
          <w:szCs w:val="24"/>
          <w:lang w:val="en-GB"/>
        </w:rPr>
        <w:t xml:space="preserve"> in financialisation </w:t>
      </w:r>
      <w:r w:rsidR="00954782" w:rsidRPr="00342967">
        <w:rPr>
          <w:rFonts w:cs="Times New Roman"/>
          <w:szCs w:val="24"/>
          <w:lang w:val="en-GB"/>
        </w:rPr>
        <w:t>is</w:t>
      </w:r>
      <w:r w:rsidRPr="00342967">
        <w:rPr>
          <w:rFonts w:cs="Times New Roman"/>
          <w:szCs w:val="24"/>
          <w:lang w:val="en-GB"/>
        </w:rPr>
        <w:t xml:space="preserve"> through the circulation of financial capital rather than through commodity production. The social power relations, emanating from this dominant capital accumulation, are strongly in favour of financial capital and the dominant type of capital accumulation has granted them a powerful position. The current SSA however is now in decline as the institutions that once made rapid financial capital accumulation possible are now becoming a hinderance to it. Financial capital is very adamant on maintaining the current SSA as they do not want to give up their strong position in society. </w:t>
      </w:r>
      <w:r w:rsidR="00954782" w:rsidRPr="00342967">
        <w:rPr>
          <w:rFonts w:cs="Times New Roman"/>
          <w:szCs w:val="24"/>
          <w:lang w:val="en-GB"/>
        </w:rPr>
        <w:t xml:space="preserve">The dominant position financial capital has gained in society grants them the ability to affect and steer </w:t>
      </w:r>
      <w:r w:rsidRPr="00342967">
        <w:rPr>
          <w:rFonts w:cs="Times New Roman"/>
          <w:szCs w:val="24"/>
          <w:lang w:val="en-GB"/>
        </w:rPr>
        <w:t>the direction of society.</w:t>
      </w:r>
      <w:r w:rsidR="009F4656" w:rsidRPr="00342967">
        <w:rPr>
          <w:rFonts w:cs="Times New Roman"/>
          <w:szCs w:val="24"/>
          <w:lang w:val="en-GB"/>
        </w:rPr>
        <w:t xml:space="preserve"> The European Commission is also not unaffected by this dominant position</w:t>
      </w:r>
      <w:r w:rsidR="00810957" w:rsidRPr="00342967">
        <w:rPr>
          <w:rFonts w:cs="Times New Roman"/>
          <w:szCs w:val="24"/>
          <w:lang w:val="en-GB"/>
        </w:rPr>
        <w:t>. Financial capital</w:t>
      </w:r>
      <w:r w:rsidR="002C1E88" w:rsidRPr="00342967">
        <w:rPr>
          <w:rFonts w:cs="Times New Roman"/>
          <w:szCs w:val="24"/>
          <w:lang w:val="en-GB"/>
        </w:rPr>
        <w:t xml:space="preserve"> will continue to use their power to alter the strategic selectivity of the Commission in </w:t>
      </w:r>
      <w:r w:rsidR="00152490" w:rsidRPr="00342967">
        <w:rPr>
          <w:rFonts w:cs="Times New Roman"/>
          <w:szCs w:val="24"/>
          <w:lang w:val="en-GB"/>
        </w:rPr>
        <w:t xml:space="preserve">such a way that the financialisation of the economy can continue. </w:t>
      </w:r>
      <w:r w:rsidR="00CD5A56" w:rsidRPr="00342967">
        <w:rPr>
          <w:rFonts w:cs="Times New Roman"/>
          <w:szCs w:val="24"/>
          <w:lang w:val="en-GB"/>
        </w:rPr>
        <w:t xml:space="preserve">As a result, the European Commission </w:t>
      </w:r>
      <w:r w:rsidR="00E4053E">
        <w:rPr>
          <w:rFonts w:cs="Times New Roman"/>
          <w:szCs w:val="24"/>
          <w:lang w:val="en-GB"/>
        </w:rPr>
        <w:t>acted to</w:t>
      </w:r>
      <w:r w:rsidR="000E08B5" w:rsidRPr="00342967">
        <w:rPr>
          <w:rFonts w:cs="Times New Roman"/>
          <w:szCs w:val="24"/>
          <w:lang w:val="en-GB"/>
        </w:rPr>
        <w:t xml:space="preserve"> satisf</w:t>
      </w:r>
      <w:r w:rsidR="00E4053E">
        <w:rPr>
          <w:rFonts w:cs="Times New Roman"/>
          <w:szCs w:val="24"/>
          <w:lang w:val="en-GB"/>
        </w:rPr>
        <w:t>y</w:t>
      </w:r>
      <w:r w:rsidR="000E08B5" w:rsidRPr="00342967">
        <w:rPr>
          <w:rFonts w:cs="Times New Roman"/>
          <w:szCs w:val="24"/>
          <w:lang w:val="en-GB"/>
        </w:rPr>
        <w:t xml:space="preserve"> the wishes and goals of financial capital.</w:t>
      </w:r>
    </w:p>
    <w:p w14:paraId="734BE76F" w14:textId="710089F2" w:rsidR="00B42618" w:rsidRPr="00342967" w:rsidRDefault="00B42618" w:rsidP="00D904F7">
      <w:pPr>
        <w:pStyle w:val="Kop2"/>
        <w:jc w:val="both"/>
        <w:rPr>
          <w:lang w:val="en-GB"/>
        </w:rPr>
      </w:pPr>
      <w:bookmarkStart w:id="15" w:name="_Toc518333111"/>
      <w:r w:rsidRPr="00342967">
        <w:rPr>
          <w:lang w:val="en-GB"/>
        </w:rPr>
        <w:t>2.</w:t>
      </w:r>
      <w:r w:rsidR="008968D6">
        <w:rPr>
          <w:lang w:val="en-GB"/>
        </w:rPr>
        <w:t>3</w:t>
      </w:r>
      <w:r w:rsidRPr="00342967">
        <w:rPr>
          <w:lang w:val="en-GB"/>
        </w:rPr>
        <w:t xml:space="preserve"> Operationalisation</w:t>
      </w:r>
      <w:bookmarkEnd w:id="15"/>
    </w:p>
    <w:p w14:paraId="3BB3197D" w14:textId="3B827207" w:rsidR="005E760A" w:rsidRPr="00342967" w:rsidRDefault="005E760A" w:rsidP="00D904F7">
      <w:pPr>
        <w:jc w:val="both"/>
        <w:rPr>
          <w:rFonts w:cs="Times New Roman"/>
          <w:szCs w:val="24"/>
          <w:lang w:val="en-GB"/>
        </w:rPr>
      </w:pPr>
      <w:r w:rsidRPr="00342967">
        <w:rPr>
          <w:rFonts w:cs="Times New Roman"/>
          <w:szCs w:val="24"/>
          <w:lang w:val="en-GB"/>
        </w:rPr>
        <w:t xml:space="preserve">To understand and to be able to use the concepts of the outlined theories to the concrete situation of the CMU an operationalisation is necessary. Operationalising theoretical concepts is indicating how theoretical concepts are made measurable and distinguishable in the empirical. Not all </w:t>
      </w:r>
      <w:r w:rsidRPr="00342967">
        <w:rPr>
          <w:rFonts w:cs="Times New Roman"/>
          <w:szCs w:val="24"/>
          <w:lang w:val="en-GB"/>
        </w:rPr>
        <w:lastRenderedPageBreak/>
        <w:t>concepts discussed in the theoretical chapter need to be operationalised because from Gramscian theory, only the relevant parts to understand agency will be used.</w:t>
      </w:r>
      <w:r w:rsidR="0042367D" w:rsidRPr="00342967">
        <w:rPr>
          <w:rFonts w:cs="Times New Roman"/>
          <w:szCs w:val="24"/>
          <w:lang w:val="en-GB"/>
        </w:rPr>
        <w:t xml:space="preserve"> The concept of </w:t>
      </w:r>
      <w:r w:rsidR="001116FC" w:rsidRPr="00342967">
        <w:rPr>
          <w:rFonts w:cs="Times New Roman"/>
          <w:szCs w:val="24"/>
          <w:lang w:val="en-GB"/>
        </w:rPr>
        <w:t>historical bloc</w:t>
      </w:r>
      <w:r w:rsidR="003600C9" w:rsidRPr="00342967">
        <w:rPr>
          <w:rFonts w:cs="Times New Roman"/>
          <w:szCs w:val="24"/>
          <w:lang w:val="en-GB"/>
        </w:rPr>
        <w:t xml:space="preserve">, for example, </w:t>
      </w:r>
      <w:r w:rsidR="00DE52D8" w:rsidRPr="00342967">
        <w:rPr>
          <w:rFonts w:cs="Times New Roman"/>
          <w:szCs w:val="24"/>
          <w:lang w:val="en-GB"/>
        </w:rPr>
        <w:t>tr</w:t>
      </w:r>
      <w:r w:rsidR="00097DCE" w:rsidRPr="00342967">
        <w:rPr>
          <w:rFonts w:cs="Times New Roman"/>
          <w:szCs w:val="24"/>
          <w:lang w:val="en-GB"/>
        </w:rPr>
        <w:t>ies</w:t>
      </w:r>
      <w:r w:rsidR="00DE52D8" w:rsidRPr="00342967">
        <w:rPr>
          <w:rFonts w:cs="Times New Roman"/>
          <w:szCs w:val="24"/>
          <w:lang w:val="en-GB"/>
        </w:rPr>
        <w:t xml:space="preserve"> to </w:t>
      </w:r>
      <w:r w:rsidR="008328B9" w:rsidRPr="00342967">
        <w:rPr>
          <w:rFonts w:cs="Times New Roman"/>
          <w:szCs w:val="24"/>
          <w:lang w:val="en-GB"/>
        </w:rPr>
        <w:t xml:space="preserve">understand the </w:t>
      </w:r>
      <w:r w:rsidR="00E91830" w:rsidRPr="00342967">
        <w:rPr>
          <w:rFonts w:cs="Times New Roman"/>
          <w:szCs w:val="24"/>
          <w:lang w:val="en-GB"/>
        </w:rPr>
        <w:t xml:space="preserve">economic, political, cultural and ideological processes within </w:t>
      </w:r>
      <w:r w:rsidR="0067063E" w:rsidRPr="00342967">
        <w:rPr>
          <w:rFonts w:cs="Times New Roman"/>
          <w:szCs w:val="24"/>
          <w:lang w:val="en-GB"/>
        </w:rPr>
        <w:t>a particular stage of capitalism (</w:t>
      </w:r>
      <w:r w:rsidR="007916F2" w:rsidRPr="00342967">
        <w:rPr>
          <w:rFonts w:cs="Times New Roman"/>
          <w:szCs w:val="24"/>
          <w:lang w:val="en-GB"/>
        </w:rPr>
        <w:t>Bieling, 2013, p.285</w:t>
      </w:r>
      <w:r w:rsidR="0067063E" w:rsidRPr="00342967">
        <w:rPr>
          <w:rFonts w:cs="Times New Roman"/>
          <w:szCs w:val="24"/>
          <w:lang w:val="en-GB"/>
        </w:rPr>
        <w:t>)</w:t>
      </w:r>
      <w:r w:rsidR="00A70561" w:rsidRPr="00342967">
        <w:rPr>
          <w:rFonts w:cs="Times New Roman"/>
          <w:szCs w:val="24"/>
          <w:lang w:val="en-GB"/>
        </w:rPr>
        <w:t xml:space="preserve">, but in this thesis the theory of SSA does largely that. What is missing from the concept of SSA that is incorporated in </w:t>
      </w:r>
      <w:r w:rsidR="002E7D1F" w:rsidRPr="00342967">
        <w:rPr>
          <w:rFonts w:cs="Times New Roman"/>
          <w:szCs w:val="24"/>
          <w:lang w:val="en-GB"/>
        </w:rPr>
        <w:t>historical bloc</w:t>
      </w:r>
      <w:r w:rsidR="00A70561" w:rsidRPr="00342967">
        <w:rPr>
          <w:rFonts w:cs="Times New Roman"/>
          <w:szCs w:val="24"/>
          <w:lang w:val="en-GB"/>
        </w:rPr>
        <w:t xml:space="preserve"> is social struggle. </w:t>
      </w:r>
      <w:r w:rsidR="00C92BA5" w:rsidRPr="00342967">
        <w:rPr>
          <w:rFonts w:cs="Times New Roman"/>
          <w:szCs w:val="24"/>
          <w:lang w:val="en-GB"/>
        </w:rPr>
        <w:t>This is exactly the aspect that is added to SSA theory by Gramsc</w:t>
      </w:r>
      <w:r w:rsidR="00BE71B6" w:rsidRPr="00342967">
        <w:rPr>
          <w:rFonts w:cs="Times New Roman"/>
          <w:szCs w:val="24"/>
          <w:lang w:val="en-GB"/>
        </w:rPr>
        <w:t>i’s</w:t>
      </w:r>
      <w:r w:rsidR="00B540D9" w:rsidRPr="00342967">
        <w:rPr>
          <w:rFonts w:cs="Times New Roman"/>
          <w:szCs w:val="24"/>
          <w:lang w:val="en-GB"/>
        </w:rPr>
        <w:t xml:space="preserve"> understanding of hegemony and the</w:t>
      </w:r>
      <w:r w:rsidR="00C92BA5" w:rsidRPr="00342967">
        <w:rPr>
          <w:rFonts w:cs="Times New Roman"/>
          <w:szCs w:val="24"/>
          <w:lang w:val="en-GB"/>
        </w:rPr>
        <w:t xml:space="preserve"> agency </w:t>
      </w:r>
      <w:r w:rsidR="00BE71B6" w:rsidRPr="00342967">
        <w:rPr>
          <w:rFonts w:cs="Times New Roman"/>
          <w:szCs w:val="24"/>
          <w:lang w:val="en-GB"/>
        </w:rPr>
        <w:t>derived from this hegemony aimed</w:t>
      </w:r>
      <w:r w:rsidR="00E67744" w:rsidRPr="00342967">
        <w:rPr>
          <w:rFonts w:cs="Times New Roman"/>
          <w:szCs w:val="24"/>
          <w:lang w:val="en-GB"/>
        </w:rPr>
        <w:t xml:space="preserve"> at reproducing the </w:t>
      </w:r>
      <w:r w:rsidR="00FE4557" w:rsidRPr="00342967">
        <w:rPr>
          <w:rFonts w:cs="Times New Roman"/>
          <w:szCs w:val="24"/>
          <w:lang w:val="en-GB"/>
        </w:rPr>
        <w:t>existing power relations. It</w:t>
      </w:r>
      <w:r w:rsidR="00C92BA5" w:rsidRPr="00342967">
        <w:rPr>
          <w:rFonts w:cs="Times New Roman"/>
          <w:szCs w:val="24"/>
          <w:lang w:val="en-GB"/>
        </w:rPr>
        <w:t xml:space="preserve"> is therefore that the </w:t>
      </w:r>
      <w:r w:rsidRPr="00342967">
        <w:rPr>
          <w:rFonts w:cs="Times New Roman"/>
          <w:szCs w:val="24"/>
          <w:lang w:val="en-GB"/>
        </w:rPr>
        <w:t xml:space="preserve">concepts that particularly need to be operationalized are the social structure of </w:t>
      </w:r>
      <w:r w:rsidR="00E10212" w:rsidRPr="00342967">
        <w:rPr>
          <w:rFonts w:cs="Times New Roman"/>
          <w:szCs w:val="24"/>
          <w:lang w:val="en-GB"/>
        </w:rPr>
        <w:t>accumulation,</w:t>
      </w:r>
      <w:r w:rsidR="00E160C8" w:rsidRPr="00342967">
        <w:rPr>
          <w:rFonts w:cs="Times New Roman"/>
          <w:szCs w:val="24"/>
          <w:lang w:val="en-GB"/>
        </w:rPr>
        <w:t xml:space="preserve"> </w:t>
      </w:r>
      <w:r w:rsidR="00E10212" w:rsidRPr="00342967">
        <w:rPr>
          <w:rFonts w:cs="Times New Roman"/>
          <w:szCs w:val="24"/>
          <w:lang w:val="en-GB"/>
        </w:rPr>
        <w:t>agency</w:t>
      </w:r>
      <w:r w:rsidR="00F80538" w:rsidRPr="00342967">
        <w:rPr>
          <w:rFonts w:cs="Times New Roman"/>
          <w:szCs w:val="24"/>
          <w:lang w:val="en-GB"/>
        </w:rPr>
        <w:t xml:space="preserve"> and social groups.</w:t>
      </w:r>
    </w:p>
    <w:p w14:paraId="60E5A3F4" w14:textId="3901A0EF" w:rsidR="005E760A" w:rsidRPr="00342967" w:rsidRDefault="005E760A" w:rsidP="00D904F7">
      <w:pPr>
        <w:jc w:val="both"/>
        <w:rPr>
          <w:rFonts w:cs="Times New Roman"/>
          <w:szCs w:val="24"/>
          <w:lang w:val="en-GB"/>
        </w:rPr>
      </w:pPr>
      <w:r w:rsidRPr="00342967">
        <w:rPr>
          <w:rFonts w:cs="Times New Roman"/>
          <w:szCs w:val="24"/>
          <w:lang w:val="en-GB"/>
        </w:rPr>
        <w:t>A social structure of accumulation is the set of institutions that make a particular pattern of capital accumulation possible. To operationalise the social structure of accumulation it is necessary to define what institutions make capital accumulation possible. As seen in the theory chapter, this process needs judgement as it is not immediately clear from first outlook. The institutions are by no means limited to economic institutions alone. Political, ideological and cultural institutions belong to the SSA as well (McDonough</w:t>
      </w:r>
      <w:r w:rsidR="00F537BF" w:rsidRPr="00342967">
        <w:rPr>
          <w:rFonts w:cs="Times New Roman"/>
          <w:szCs w:val="24"/>
          <w:lang w:val="en-GB"/>
        </w:rPr>
        <w:t xml:space="preserve"> </w:t>
      </w:r>
      <w:r w:rsidR="00F537BF" w:rsidRPr="00342967">
        <w:rPr>
          <w:rFonts w:cs="Times New Roman"/>
          <w:i/>
          <w:szCs w:val="24"/>
          <w:lang w:val="en-GB"/>
        </w:rPr>
        <w:t>et al.</w:t>
      </w:r>
      <w:r w:rsidRPr="00342967">
        <w:rPr>
          <w:rFonts w:cs="Times New Roman"/>
          <w:szCs w:val="24"/>
          <w:lang w:val="en-GB"/>
        </w:rPr>
        <w:t>, 2010, p.2). Examples of economic institutions are the organisation of markets and the structure of competition. The state is the most important political institution. Ideological institutions and cultural institutions are religion, political ideologies and the education system (McDonough</w:t>
      </w:r>
      <w:r w:rsidR="00F537BF" w:rsidRPr="00342967">
        <w:rPr>
          <w:rFonts w:cs="Times New Roman"/>
          <w:szCs w:val="24"/>
          <w:lang w:val="en-GB"/>
        </w:rPr>
        <w:t xml:space="preserve"> </w:t>
      </w:r>
      <w:r w:rsidR="00F537BF" w:rsidRPr="00342967">
        <w:rPr>
          <w:rFonts w:cs="Times New Roman"/>
          <w:i/>
          <w:szCs w:val="24"/>
          <w:lang w:val="en-GB"/>
        </w:rPr>
        <w:t>et al.</w:t>
      </w:r>
      <w:r w:rsidRPr="00342967">
        <w:rPr>
          <w:rFonts w:cs="Times New Roman"/>
          <w:szCs w:val="24"/>
          <w:lang w:val="en-GB"/>
        </w:rPr>
        <w:t xml:space="preserve">, 2010, p.2). By no means is this an exhaustive list of institutions part of the SSA. Institutions can be interpreted in a narrow sense where it refers to organisations such as the central bank or the IMF, or in a broader sense where it refers to customs, habits and expectations (Lippit, 2010, p.45). The broader sense can be further disaggregated into specific institutions or a whole system. An example of a broad specific institution is collective bargaining while a whole system could be labour regulations (Lippit, 2010, p.45). </w:t>
      </w:r>
    </w:p>
    <w:p w14:paraId="1B72F495" w14:textId="5A7BE807" w:rsidR="005D64EA" w:rsidRPr="00342967" w:rsidRDefault="005E760A" w:rsidP="00D904F7">
      <w:pPr>
        <w:jc w:val="both"/>
        <w:rPr>
          <w:rFonts w:cs="Times New Roman"/>
          <w:szCs w:val="24"/>
          <w:lang w:val="en-GB"/>
        </w:rPr>
      </w:pPr>
      <w:r w:rsidRPr="00342967">
        <w:rPr>
          <w:rFonts w:cs="Times New Roman"/>
          <w:szCs w:val="24"/>
          <w:lang w:val="en-GB"/>
        </w:rPr>
        <w:t>Agency are the political actions an agent undertakes in a particular structure and that affect said structure. The possible course of action of an agent are not unlimited as they are defined by the position of the particular agent in the economic structure, that is, how the agent relates to the relations of production. How agency can be recognized becomes clear when the operationalisation of a</w:t>
      </w:r>
      <w:r w:rsidR="0035007B" w:rsidRPr="00342967">
        <w:rPr>
          <w:rFonts w:cs="Times New Roman"/>
          <w:szCs w:val="24"/>
          <w:lang w:val="en-GB"/>
        </w:rPr>
        <w:t xml:space="preserve"> social group </w:t>
      </w:r>
      <w:r w:rsidRPr="00342967">
        <w:rPr>
          <w:rFonts w:cs="Times New Roman"/>
          <w:szCs w:val="24"/>
          <w:lang w:val="en-GB"/>
        </w:rPr>
        <w:t>is added to the story. Central in Gramsci’s theory are social groups. Social groups share a common ideology and have similar interests.</w:t>
      </w:r>
      <w:r w:rsidR="008B2CC1">
        <w:rPr>
          <w:rFonts w:cs="Times New Roman"/>
          <w:szCs w:val="24"/>
          <w:lang w:val="en-GB"/>
        </w:rPr>
        <w:t xml:space="preserve"> Social groups are operationalised in this thesis </w:t>
      </w:r>
      <w:r w:rsidR="008B2CC1">
        <w:rPr>
          <w:rFonts w:cs="Times New Roman"/>
          <w:szCs w:val="24"/>
          <w:lang w:val="en-GB"/>
        </w:rPr>
        <w:lastRenderedPageBreak/>
        <w:t>as financial capital, industry capital and</w:t>
      </w:r>
      <w:r w:rsidR="006D086A">
        <w:rPr>
          <w:rFonts w:cs="Times New Roman"/>
          <w:szCs w:val="24"/>
          <w:lang w:val="en-GB"/>
        </w:rPr>
        <w:t xml:space="preserve"> a combination of various civil society actors defending the interest of broader society.</w:t>
      </w:r>
      <w:r w:rsidRPr="00342967">
        <w:rPr>
          <w:rFonts w:cs="Times New Roman"/>
          <w:szCs w:val="24"/>
          <w:lang w:val="en-GB"/>
        </w:rPr>
        <w:t xml:space="preserve"> </w:t>
      </w:r>
      <w:r w:rsidR="00CC5D95" w:rsidRPr="00342967">
        <w:rPr>
          <w:rFonts w:cs="Times New Roman"/>
          <w:szCs w:val="24"/>
          <w:lang w:val="en-GB"/>
        </w:rPr>
        <w:t>S</w:t>
      </w:r>
      <w:r w:rsidR="00556295" w:rsidRPr="00342967">
        <w:rPr>
          <w:rFonts w:cs="Times New Roman"/>
          <w:szCs w:val="24"/>
          <w:lang w:val="en-GB"/>
        </w:rPr>
        <w:t xml:space="preserve">ocial groups do share a common voice but are not a unity. </w:t>
      </w:r>
      <w:r w:rsidR="0082034E" w:rsidRPr="00342967">
        <w:rPr>
          <w:rFonts w:cs="Times New Roman"/>
          <w:szCs w:val="24"/>
          <w:lang w:val="en-GB"/>
        </w:rPr>
        <w:t>Consequently,</w:t>
      </w:r>
      <w:r w:rsidR="00556295" w:rsidRPr="00342967">
        <w:rPr>
          <w:rFonts w:cs="Times New Roman"/>
          <w:szCs w:val="24"/>
          <w:lang w:val="en-GB"/>
        </w:rPr>
        <w:t xml:space="preserve"> they exist of </w:t>
      </w:r>
      <w:r w:rsidR="007E4936" w:rsidRPr="00342967">
        <w:rPr>
          <w:rFonts w:cs="Times New Roman"/>
          <w:szCs w:val="24"/>
          <w:lang w:val="en-GB"/>
        </w:rPr>
        <w:t>various</w:t>
      </w:r>
      <w:r w:rsidR="00556295" w:rsidRPr="00342967">
        <w:rPr>
          <w:rFonts w:cs="Times New Roman"/>
          <w:szCs w:val="24"/>
          <w:lang w:val="en-GB"/>
        </w:rPr>
        <w:t xml:space="preserve"> actors</w:t>
      </w:r>
      <w:r w:rsidR="0082034E" w:rsidRPr="00342967">
        <w:rPr>
          <w:rFonts w:cs="Times New Roman"/>
          <w:szCs w:val="24"/>
          <w:lang w:val="en-GB"/>
        </w:rPr>
        <w:t xml:space="preserve">. These actors in turn are operationalised as particular </w:t>
      </w:r>
      <w:r w:rsidRPr="00342967">
        <w:rPr>
          <w:rFonts w:cs="Times New Roman"/>
          <w:szCs w:val="24"/>
          <w:lang w:val="en-GB"/>
        </w:rPr>
        <w:t>institutions, companies, banks, NGOs, trade unions</w:t>
      </w:r>
      <w:r w:rsidR="0082034E" w:rsidRPr="00342967">
        <w:rPr>
          <w:rFonts w:cs="Times New Roman"/>
          <w:szCs w:val="24"/>
          <w:lang w:val="en-GB"/>
        </w:rPr>
        <w:t>, academics</w:t>
      </w:r>
      <w:r w:rsidRPr="00342967">
        <w:rPr>
          <w:rFonts w:cs="Times New Roman"/>
          <w:szCs w:val="24"/>
          <w:lang w:val="en-GB"/>
        </w:rPr>
        <w:t xml:space="preserve"> and industry associations that represent the interest of finance capital, industry capital and </w:t>
      </w:r>
      <w:r w:rsidR="007E4936" w:rsidRPr="00342967">
        <w:rPr>
          <w:rFonts w:cs="Times New Roman"/>
          <w:szCs w:val="24"/>
          <w:lang w:val="en-GB"/>
        </w:rPr>
        <w:t>society in general.</w:t>
      </w:r>
      <w:r w:rsidR="002E5049" w:rsidRPr="00342967">
        <w:rPr>
          <w:rFonts w:cs="Times New Roman"/>
          <w:szCs w:val="24"/>
          <w:lang w:val="en-GB"/>
        </w:rPr>
        <w:t xml:space="preserve"> </w:t>
      </w:r>
      <w:r w:rsidR="005D64EA" w:rsidRPr="00342967">
        <w:rPr>
          <w:rFonts w:cs="Times New Roman"/>
          <w:szCs w:val="24"/>
          <w:lang w:val="en-GB"/>
        </w:rPr>
        <w:t xml:space="preserve">The following chapter is the empirical chapter. This chapter starts with a recapitalisation of the explanandum </w:t>
      </w:r>
      <w:r w:rsidR="00DD4D46" w:rsidRPr="00342967">
        <w:rPr>
          <w:rFonts w:cs="Times New Roman"/>
          <w:szCs w:val="24"/>
          <w:lang w:val="en-GB"/>
        </w:rPr>
        <w:t xml:space="preserve">followed by the explanation why the Commission moved to reintroduce securitisation. </w:t>
      </w:r>
    </w:p>
    <w:p w14:paraId="46866CE0" w14:textId="77777777" w:rsidR="00C17E0D" w:rsidRPr="00342967" w:rsidRDefault="00C17E0D" w:rsidP="00D904F7">
      <w:pPr>
        <w:spacing w:line="259" w:lineRule="auto"/>
        <w:jc w:val="both"/>
        <w:rPr>
          <w:rFonts w:cs="Times New Roman"/>
          <w:szCs w:val="24"/>
          <w:lang w:val="en-GB"/>
        </w:rPr>
      </w:pPr>
      <w:r w:rsidRPr="00342967">
        <w:rPr>
          <w:rFonts w:cs="Times New Roman"/>
          <w:szCs w:val="24"/>
          <w:lang w:val="en-GB"/>
        </w:rPr>
        <w:br w:type="page"/>
      </w:r>
    </w:p>
    <w:p w14:paraId="2E0BAA96" w14:textId="75A6BC2E" w:rsidR="00C17E0D" w:rsidRPr="00342967" w:rsidRDefault="00C17E0D" w:rsidP="00D904F7">
      <w:pPr>
        <w:pStyle w:val="Kop1"/>
        <w:jc w:val="both"/>
        <w:rPr>
          <w:lang w:val="en-GB"/>
        </w:rPr>
      </w:pPr>
      <w:bookmarkStart w:id="16" w:name="_Toc518333112"/>
      <w:r w:rsidRPr="00342967">
        <w:rPr>
          <w:lang w:val="en-GB"/>
        </w:rPr>
        <w:lastRenderedPageBreak/>
        <w:t>Chapter 3: Empirical Analysis</w:t>
      </w:r>
      <w:bookmarkEnd w:id="16"/>
    </w:p>
    <w:p w14:paraId="00E80142" w14:textId="245209C9" w:rsidR="005506B2" w:rsidRPr="00342967" w:rsidRDefault="005506B2" w:rsidP="00D904F7">
      <w:pPr>
        <w:jc w:val="both"/>
        <w:rPr>
          <w:rFonts w:cs="Times New Roman"/>
          <w:szCs w:val="24"/>
          <w:lang w:val="en-GB"/>
        </w:rPr>
      </w:pPr>
      <w:r w:rsidRPr="00342967">
        <w:rPr>
          <w:rFonts w:cs="Times New Roman"/>
          <w:szCs w:val="24"/>
          <w:lang w:val="en-GB"/>
        </w:rPr>
        <w:t xml:space="preserve">In this thesis the objective is to find an answer to the question why the European Commission decided to revive the securitisation market as part of </w:t>
      </w:r>
      <w:r w:rsidR="00597751">
        <w:rPr>
          <w:rFonts w:cs="Times New Roman"/>
          <w:szCs w:val="24"/>
          <w:lang w:val="en-GB"/>
        </w:rPr>
        <w:t>CMU</w:t>
      </w:r>
      <w:r w:rsidRPr="00342967">
        <w:rPr>
          <w:rFonts w:cs="Times New Roman"/>
          <w:szCs w:val="24"/>
          <w:lang w:val="en-GB"/>
        </w:rPr>
        <w:t xml:space="preserve">. </w:t>
      </w:r>
      <w:r w:rsidR="00DE2853" w:rsidRPr="00342967">
        <w:rPr>
          <w:rFonts w:cs="Times New Roman"/>
          <w:szCs w:val="24"/>
          <w:lang w:val="en-GB"/>
        </w:rPr>
        <w:t>T</w:t>
      </w:r>
      <w:r w:rsidRPr="00342967">
        <w:rPr>
          <w:rFonts w:cs="Times New Roman"/>
          <w:szCs w:val="24"/>
          <w:lang w:val="en-GB"/>
        </w:rPr>
        <w:t xml:space="preserve">o do so, an outline of the explanandum is necessary to </w:t>
      </w:r>
      <w:r w:rsidR="00A81A91" w:rsidRPr="00342967">
        <w:rPr>
          <w:rFonts w:cs="Times New Roman"/>
          <w:szCs w:val="24"/>
          <w:lang w:val="en-GB"/>
        </w:rPr>
        <w:t>demonstrate</w:t>
      </w:r>
      <w:r w:rsidRPr="00342967">
        <w:rPr>
          <w:rFonts w:cs="Times New Roman"/>
          <w:szCs w:val="24"/>
          <w:lang w:val="en-GB"/>
        </w:rPr>
        <w:t xml:space="preserve"> why the decision by the Commission is so remarkable. Firstly, the process of securitisation is described in detail and it is explained why the financial sector </w:t>
      </w:r>
      <w:r w:rsidR="00A7186C" w:rsidRPr="00342967">
        <w:rPr>
          <w:rFonts w:cs="Times New Roman"/>
          <w:szCs w:val="24"/>
          <w:lang w:val="en-GB"/>
        </w:rPr>
        <w:t>looks preferably upon securitisation</w:t>
      </w:r>
      <w:r w:rsidRPr="00342967">
        <w:rPr>
          <w:rFonts w:cs="Times New Roman"/>
          <w:szCs w:val="24"/>
          <w:lang w:val="en-GB"/>
        </w:rPr>
        <w:t xml:space="preserve">. Secondly, it is demonstrated that securitisation played a large role in causing the devastating Global Financial Crisis that started in 2007/8. Thirdly, </w:t>
      </w:r>
      <w:r w:rsidR="00E04A40" w:rsidRPr="00342967">
        <w:rPr>
          <w:rFonts w:cs="Times New Roman"/>
          <w:szCs w:val="24"/>
          <w:lang w:val="en-GB"/>
        </w:rPr>
        <w:t>the arguments the Commission itself provides for the revival of securitisation are questioned and</w:t>
      </w:r>
      <w:r w:rsidRPr="00342967">
        <w:rPr>
          <w:rFonts w:cs="Times New Roman"/>
          <w:szCs w:val="24"/>
          <w:lang w:val="en-GB"/>
        </w:rPr>
        <w:t xml:space="preserve"> demonstrated to be questionable and </w:t>
      </w:r>
      <w:r w:rsidR="00E5568D">
        <w:rPr>
          <w:rFonts w:cs="Times New Roman"/>
          <w:szCs w:val="24"/>
          <w:lang w:val="en-GB"/>
        </w:rPr>
        <w:t>largely</w:t>
      </w:r>
      <w:r w:rsidRPr="00342967">
        <w:rPr>
          <w:rFonts w:cs="Times New Roman"/>
          <w:szCs w:val="24"/>
          <w:lang w:val="en-GB"/>
        </w:rPr>
        <w:t xml:space="preserve"> false. </w:t>
      </w:r>
    </w:p>
    <w:p w14:paraId="644E6B52" w14:textId="3AAB0E33" w:rsidR="000320E8" w:rsidRPr="00342967" w:rsidRDefault="000320E8" w:rsidP="00D904F7">
      <w:pPr>
        <w:pStyle w:val="Kop2"/>
        <w:jc w:val="both"/>
      </w:pPr>
      <w:bookmarkStart w:id="17" w:name="_Toc518333113"/>
      <w:r w:rsidRPr="00342967">
        <w:t>3.1 “The crack cocaine of the financial services industry”</w:t>
      </w:r>
      <w:bookmarkEnd w:id="17"/>
    </w:p>
    <w:p w14:paraId="07AED9D5" w14:textId="77ED3E56" w:rsidR="005506B2" w:rsidRPr="00342967" w:rsidRDefault="005506B2" w:rsidP="00D904F7">
      <w:pPr>
        <w:jc w:val="both"/>
        <w:rPr>
          <w:rFonts w:cs="Times New Roman"/>
          <w:szCs w:val="24"/>
          <w:lang w:val="en-GB"/>
        </w:rPr>
      </w:pPr>
      <w:r w:rsidRPr="00342967">
        <w:rPr>
          <w:rFonts w:cs="Times New Roman"/>
          <w:szCs w:val="24"/>
          <w:lang w:val="en-GB"/>
        </w:rPr>
        <w:t>Securitisation plays a large role in financiali</w:t>
      </w:r>
      <w:r w:rsidR="00640C31" w:rsidRPr="00342967">
        <w:rPr>
          <w:rFonts w:cs="Times New Roman"/>
          <w:szCs w:val="24"/>
          <w:lang w:val="en-GB"/>
        </w:rPr>
        <w:t>s</w:t>
      </w:r>
      <w:r w:rsidRPr="00342967">
        <w:rPr>
          <w:rFonts w:cs="Times New Roman"/>
          <w:szCs w:val="24"/>
          <w:lang w:val="en-GB"/>
        </w:rPr>
        <w:t>ation. A former financier in the City of London has called securitisation “the crack cocaine of the financial services industry” (Bowers, 2011).</w:t>
      </w:r>
      <w:r w:rsidR="001D2C10">
        <w:rPr>
          <w:rFonts w:cs="Times New Roman"/>
          <w:szCs w:val="24"/>
          <w:lang w:val="en-GB"/>
        </w:rPr>
        <w:t xml:space="preserve"> A report by the Transnational I</w:t>
      </w:r>
      <w:r w:rsidRPr="00342967">
        <w:rPr>
          <w:rFonts w:cs="Times New Roman"/>
          <w:szCs w:val="24"/>
          <w:lang w:val="en-GB"/>
        </w:rPr>
        <w:t>nstitute on financiali</w:t>
      </w:r>
      <w:r w:rsidR="00640C31" w:rsidRPr="00342967">
        <w:rPr>
          <w:rFonts w:cs="Times New Roman"/>
          <w:szCs w:val="24"/>
          <w:lang w:val="en-GB"/>
        </w:rPr>
        <w:t>s</w:t>
      </w:r>
      <w:r w:rsidRPr="00342967">
        <w:rPr>
          <w:rFonts w:cs="Times New Roman"/>
          <w:szCs w:val="24"/>
          <w:lang w:val="en-GB"/>
        </w:rPr>
        <w:t xml:space="preserve">ation called securitisation “the single most important innovation driving contemporary finance” (Transnational Institute, 2015, p.15). Securitisation is a complex process that involves a number of different stages and players. The process starts with a borrower who applies for a loan with a bank to purchase property or to refinance an existing mortgage. The bank that issues the loan is called the originator (Ashcraft and Schuermann, 2008, p.5). Initially, the originator services the borrower by supplying the funds to the borrower. The originator earns on the provision of the loan through the fees paid by the borrower. In the second step, the originator bundles a large pool of mortgages together to sell them to </w:t>
      </w:r>
      <w:r w:rsidR="003059C2" w:rsidRPr="00342967">
        <w:rPr>
          <w:rFonts w:cs="Times New Roman"/>
          <w:szCs w:val="24"/>
          <w:lang w:val="en-GB"/>
        </w:rPr>
        <w:t>the issuer</w:t>
      </w:r>
      <w:r w:rsidR="00D32E25" w:rsidRPr="00342967">
        <w:rPr>
          <w:rFonts w:cs="Times New Roman"/>
          <w:szCs w:val="24"/>
          <w:lang w:val="en-GB"/>
        </w:rPr>
        <w:t xml:space="preserve"> which will be </w:t>
      </w:r>
      <w:r w:rsidR="005F17CA" w:rsidRPr="00342967">
        <w:rPr>
          <w:rFonts w:cs="Times New Roman"/>
          <w:szCs w:val="24"/>
          <w:lang w:val="en-GB"/>
        </w:rPr>
        <w:t>selling the security products</w:t>
      </w:r>
      <w:r w:rsidRPr="00342967">
        <w:rPr>
          <w:rFonts w:cs="Times New Roman"/>
          <w:szCs w:val="24"/>
          <w:lang w:val="en-GB"/>
        </w:rPr>
        <w:t xml:space="preserve"> (Ashcraft and Schuermann, 2008, p.5). </w:t>
      </w:r>
      <w:r w:rsidR="003059C2" w:rsidRPr="00342967">
        <w:rPr>
          <w:rFonts w:cs="Times New Roman"/>
          <w:szCs w:val="24"/>
          <w:lang w:val="en-GB"/>
        </w:rPr>
        <w:t>When</w:t>
      </w:r>
      <w:r w:rsidRPr="00342967">
        <w:rPr>
          <w:rFonts w:cs="Times New Roman"/>
          <w:szCs w:val="24"/>
          <w:lang w:val="en-GB"/>
        </w:rPr>
        <w:t xml:space="preserve"> the originator sells the mortgages, it will immediately receive the present net value of the bundle of loans plus a premium. However, it is not necessary per se that the originator sells the loans to a separate issuer. The originator can also issue its own securities, in that case the originator also becomes the issuer. </w:t>
      </w:r>
    </w:p>
    <w:p w14:paraId="59E7622C" w14:textId="2744FE19" w:rsidR="005506B2" w:rsidRPr="00342967" w:rsidRDefault="00916726" w:rsidP="00D904F7">
      <w:pPr>
        <w:jc w:val="both"/>
        <w:rPr>
          <w:rFonts w:cs="Times New Roman"/>
          <w:szCs w:val="24"/>
          <w:lang w:val="en-GB"/>
        </w:rPr>
      </w:pPr>
      <w:r w:rsidRPr="00342967">
        <w:rPr>
          <w:rFonts w:cs="Times New Roman"/>
          <w:szCs w:val="24"/>
          <w:lang w:val="en-GB"/>
        </w:rPr>
        <w:t xml:space="preserve">In the case the originator also becomes the </w:t>
      </w:r>
      <w:r w:rsidR="005506B2" w:rsidRPr="00342967">
        <w:rPr>
          <w:rFonts w:cs="Times New Roman"/>
          <w:szCs w:val="24"/>
          <w:lang w:val="en-GB"/>
        </w:rPr>
        <w:t>issuer</w:t>
      </w:r>
      <w:r w:rsidRPr="00342967">
        <w:rPr>
          <w:rFonts w:cs="Times New Roman"/>
          <w:szCs w:val="24"/>
          <w:lang w:val="en-GB"/>
        </w:rPr>
        <w:t>, it</w:t>
      </w:r>
      <w:r w:rsidR="005506B2" w:rsidRPr="00342967">
        <w:rPr>
          <w:rFonts w:cs="Times New Roman"/>
          <w:szCs w:val="24"/>
          <w:lang w:val="en-GB"/>
        </w:rPr>
        <w:t xml:space="preserve"> does not put the acquired pool of loans on its own balance sheet, instead it creates what is called a special purpose vehicle (SPV). This SPV will formally acquire the loans and will also carry the loans on its balance sheet (Ashcraft and </w:t>
      </w:r>
      <w:r w:rsidR="005506B2" w:rsidRPr="00342967">
        <w:rPr>
          <w:rFonts w:cs="Times New Roman"/>
          <w:szCs w:val="24"/>
          <w:lang w:val="en-GB"/>
        </w:rPr>
        <w:lastRenderedPageBreak/>
        <w:t>Schuermann, 2008, p.6). A SPV is created to build a wall between the originator, the issuer and the investor.</w:t>
      </w:r>
      <w:r w:rsidR="00E54A51" w:rsidRPr="00342967">
        <w:rPr>
          <w:rFonts w:cs="Times New Roman"/>
          <w:szCs w:val="24"/>
          <w:lang w:val="en-GB"/>
        </w:rPr>
        <w:t xml:space="preserve"> Creating a SPV grants the originator</w:t>
      </w:r>
      <w:r w:rsidR="00222778" w:rsidRPr="00342967">
        <w:rPr>
          <w:rFonts w:cs="Times New Roman"/>
          <w:szCs w:val="24"/>
          <w:lang w:val="en-GB"/>
        </w:rPr>
        <w:t xml:space="preserve"> two major advantages. First</w:t>
      </w:r>
      <w:r w:rsidR="00E6509B" w:rsidRPr="00342967">
        <w:rPr>
          <w:rFonts w:cs="Times New Roman"/>
          <w:szCs w:val="24"/>
          <w:lang w:val="en-GB"/>
        </w:rPr>
        <w:t>ly</w:t>
      </w:r>
      <w:r w:rsidR="00222778" w:rsidRPr="00342967">
        <w:rPr>
          <w:rFonts w:cs="Times New Roman"/>
          <w:szCs w:val="24"/>
          <w:lang w:val="en-GB"/>
        </w:rPr>
        <w:t>. t</w:t>
      </w:r>
      <w:r w:rsidR="00720F16" w:rsidRPr="00342967">
        <w:rPr>
          <w:rFonts w:cs="Times New Roman"/>
          <w:szCs w:val="24"/>
          <w:lang w:val="en-GB"/>
        </w:rPr>
        <w:t>he SPV</w:t>
      </w:r>
      <w:r w:rsidR="005506B2" w:rsidRPr="00342967">
        <w:rPr>
          <w:rFonts w:cs="Times New Roman"/>
          <w:szCs w:val="24"/>
          <w:lang w:val="en-GB"/>
        </w:rPr>
        <w:t xml:space="preserve"> protects the originator in the case the loans go bad</w:t>
      </w:r>
      <w:r w:rsidR="00E6509B" w:rsidRPr="00342967">
        <w:rPr>
          <w:rFonts w:cs="Times New Roman"/>
          <w:szCs w:val="24"/>
          <w:lang w:val="en-GB"/>
        </w:rPr>
        <w:t>. Secondly,</w:t>
      </w:r>
      <w:r w:rsidR="005506B2" w:rsidRPr="00342967">
        <w:rPr>
          <w:rFonts w:cs="Times New Roman"/>
          <w:szCs w:val="24"/>
          <w:lang w:val="en-GB"/>
        </w:rPr>
        <w:t xml:space="preserve"> </w:t>
      </w:r>
      <w:r w:rsidR="00E6509B" w:rsidRPr="00342967">
        <w:rPr>
          <w:rFonts w:cs="Times New Roman"/>
          <w:szCs w:val="24"/>
          <w:lang w:val="en-GB"/>
        </w:rPr>
        <w:t xml:space="preserve">by putting the loans on a separate balance sheet, the credit rating of the securities will not be </w:t>
      </w:r>
      <w:r w:rsidR="005506B2" w:rsidRPr="00342967">
        <w:rPr>
          <w:rFonts w:cs="Times New Roman"/>
          <w:szCs w:val="24"/>
          <w:lang w:val="en-GB"/>
        </w:rPr>
        <w:t xml:space="preserve">negatively </w:t>
      </w:r>
      <w:r w:rsidR="001B2B97">
        <w:rPr>
          <w:rFonts w:cs="Times New Roman"/>
          <w:szCs w:val="24"/>
          <w:lang w:val="en-GB"/>
        </w:rPr>
        <w:t>affected</w:t>
      </w:r>
      <w:r w:rsidR="005506B2" w:rsidRPr="00342967">
        <w:rPr>
          <w:rFonts w:cs="Times New Roman"/>
          <w:szCs w:val="24"/>
          <w:lang w:val="en-GB"/>
        </w:rPr>
        <w:t xml:space="preserve"> by the leveraged position of the </w:t>
      </w:r>
      <w:r w:rsidR="00E80C0E" w:rsidRPr="00342967">
        <w:rPr>
          <w:rFonts w:cs="Times New Roman"/>
          <w:szCs w:val="24"/>
          <w:lang w:val="en-GB"/>
        </w:rPr>
        <w:t>bank that owns the SPV</w:t>
      </w:r>
      <w:r w:rsidR="00C56559" w:rsidRPr="00342967">
        <w:rPr>
          <w:rFonts w:cs="Times New Roman"/>
          <w:szCs w:val="24"/>
          <w:lang w:val="en-GB"/>
        </w:rPr>
        <w:t xml:space="preserve"> (Ashcraft and Schuermann, 2008, p.5).</w:t>
      </w:r>
      <w:r w:rsidR="005506B2" w:rsidRPr="00342967">
        <w:rPr>
          <w:rFonts w:cs="Times New Roman"/>
          <w:szCs w:val="24"/>
          <w:lang w:val="en-GB"/>
        </w:rPr>
        <w:t xml:space="preserve"> In other words, by isolating the assets in an SPV, the securities will receive a higher credit rating than they would have received were they placed on the originators/issuer’s balance sheet. </w:t>
      </w:r>
      <w:r w:rsidR="00E80C0E" w:rsidRPr="00342967">
        <w:rPr>
          <w:rFonts w:cs="Times New Roman"/>
          <w:szCs w:val="24"/>
          <w:lang w:val="en-GB"/>
        </w:rPr>
        <w:t>But SPVs are for yet another reasons crucial for securitisation</w:t>
      </w:r>
      <w:r w:rsidR="009874B5" w:rsidRPr="00342967">
        <w:rPr>
          <w:rFonts w:cs="Times New Roman"/>
          <w:szCs w:val="24"/>
          <w:lang w:val="en-GB"/>
        </w:rPr>
        <w:t xml:space="preserve">. The SPV </w:t>
      </w:r>
      <w:r w:rsidR="00D32E25" w:rsidRPr="00342967">
        <w:rPr>
          <w:rFonts w:cs="Times New Roman"/>
          <w:szCs w:val="24"/>
          <w:lang w:val="en-GB"/>
        </w:rPr>
        <w:t xml:space="preserve">plays </w:t>
      </w:r>
      <w:r w:rsidR="00E80C0E" w:rsidRPr="00342967">
        <w:rPr>
          <w:rFonts w:cs="Times New Roman"/>
          <w:szCs w:val="24"/>
          <w:lang w:val="en-GB"/>
        </w:rPr>
        <w:t xml:space="preserve">an essential part </w:t>
      </w:r>
      <w:r w:rsidR="00D32E25" w:rsidRPr="00342967">
        <w:rPr>
          <w:rFonts w:cs="Times New Roman"/>
          <w:szCs w:val="24"/>
          <w:lang w:val="en-GB"/>
        </w:rPr>
        <w:t>in</w:t>
      </w:r>
      <w:r w:rsidR="00E80C0E" w:rsidRPr="00342967">
        <w:rPr>
          <w:rFonts w:cs="Times New Roman"/>
          <w:szCs w:val="24"/>
          <w:lang w:val="en-GB"/>
        </w:rPr>
        <w:t xml:space="preserve"> the credit risk transfer that is so important in the securitisation process as it protects investors from bankruptcy of the originator or issuer (Ashcraft and Schuermann, 2008, p.6/7). </w:t>
      </w:r>
    </w:p>
    <w:p w14:paraId="1CAE08C1" w14:textId="2A9660F2" w:rsidR="005506B2" w:rsidRPr="00342967" w:rsidRDefault="005506B2" w:rsidP="00D904F7">
      <w:pPr>
        <w:jc w:val="both"/>
        <w:rPr>
          <w:rFonts w:cs="Times New Roman"/>
          <w:szCs w:val="24"/>
          <w:lang w:val="en-GB"/>
        </w:rPr>
      </w:pPr>
      <w:r w:rsidRPr="00342967">
        <w:rPr>
          <w:rFonts w:cs="Times New Roman"/>
          <w:szCs w:val="24"/>
          <w:lang w:val="en-GB"/>
        </w:rPr>
        <w:t xml:space="preserve">During the time between acquiring the pool of loans and selling the securities, credit rating agencies rate the creditworthiness of the security. This is an important </w:t>
      </w:r>
      <w:r w:rsidR="0027008B" w:rsidRPr="00342967">
        <w:rPr>
          <w:rFonts w:cs="Times New Roman"/>
          <w:szCs w:val="24"/>
          <w:lang w:val="en-GB"/>
        </w:rPr>
        <w:t>aspect to understanding securitisation</w:t>
      </w:r>
      <w:r w:rsidRPr="00342967">
        <w:rPr>
          <w:rFonts w:cs="Times New Roman"/>
          <w:szCs w:val="24"/>
          <w:lang w:val="en-GB"/>
        </w:rPr>
        <w:t xml:space="preserve"> as rating securities is different from rating traditional assets. Where traditional assets are rated </w:t>
      </w:r>
      <w:r w:rsidRPr="001D2C10">
        <w:rPr>
          <w:rFonts w:cs="Times New Roman"/>
          <w:i/>
          <w:szCs w:val="24"/>
          <w:lang w:val="en-GB"/>
        </w:rPr>
        <w:t>ex post</w:t>
      </w:r>
      <w:r w:rsidRPr="00342967">
        <w:rPr>
          <w:rFonts w:cs="Times New Roman"/>
          <w:szCs w:val="24"/>
          <w:lang w:val="en-GB"/>
        </w:rPr>
        <w:t xml:space="preserve">, securities are rated </w:t>
      </w:r>
      <w:r w:rsidRPr="001D2C10">
        <w:rPr>
          <w:rFonts w:cs="Times New Roman"/>
          <w:i/>
          <w:szCs w:val="24"/>
          <w:lang w:val="en-GB"/>
        </w:rPr>
        <w:t>ex ante</w:t>
      </w:r>
      <w:r w:rsidRPr="00342967">
        <w:rPr>
          <w:rFonts w:cs="Times New Roman"/>
          <w:szCs w:val="24"/>
          <w:lang w:val="en-GB"/>
        </w:rPr>
        <w:t>. This means that securities are constructed to achieve a predetermined credit rating unlike traditional assets that are rated after they have been constructed. This allows the issuer to tailor securities to the specific needs of certain types of investors.</w:t>
      </w:r>
      <w:r w:rsidR="00BE0E94">
        <w:rPr>
          <w:rFonts w:cs="Times New Roman"/>
          <w:szCs w:val="24"/>
          <w:lang w:val="en-GB"/>
        </w:rPr>
        <w:t xml:space="preserve"> This process is called credit-enhancement and t</w:t>
      </w:r>
      <w:r w:rsidRPr="00342967">
        <w:rPr>
          <w:rFonts w:cs="Times New Roman"/>
          <w:szCs w:val="24"/>
          <w:lang w:val="en-GB"/>
        </w:rPr>
        <w:t xml:space="preserve">he issuer can do this through various ways. The most obvious example is the isolation of the asset pool in an SPV, but also by overcollateralization, guarantees from issuer or guarantees from a third party improve the creditworthiness of the securities. If the SPV issues securities worth less than the total worth of the underlying asset, it is called overcollateralization. This way the associated risk of the security will be lower as there is more collateral available then liabilities to cover in the case of bankruptcy. The issuer can also choose to offer certain guarantees to its securities, for example if a reputable issuer is involved in the transaction. Finally, the issuer can also offer guarantees from third-party insurance companies that they will pay the principal or the interest in the case the cash flow from the asset-pool cannot. </w:t>
      </w:r>
    </w:p>
    <w:p w14:paraId="5B9294A0" w14:textId="23493077" w:rsidR="005506B2" w:rsidRPr="00342967" w:rsidRDefault="005506B2" w:rsidP="00D904F7">
      <w:pPr>
        <w:jc w:val="both"/>
        <w:rPr>
          <w:rFonts w:cs="Times New Roman"/>
          <w:szCs w:val="24"/>
          <w:lang w:val="en-GB"/>
        </w:rPr>
      </w:pPr>
      <w:r w:rsidRPr="00342967">
        <w:rPr>
          <w:rFonts w:cs="Times New Roman"/>
          <w:szCs w:val="24"/>
          <w:lang w:val="en-GB"/>
        </w:rPr>
        <w:t xml:space="preserve">Once the securities have been sold to investors, the loans remain on the balance sheet of the SPV (Shin, 2009, p.312). What has been sold are liabilities, not the loans itself. It is therefore, that </w:t>
      </w:r>
      <w:r w:rsidR="001D50DA">
        <w:rPr>
          <w:rFonts w:cs="Times New Roman"/>
          <w:szCs w:val="24"/>
          <w:lang w:val="en-GB"/>
        </w:rPr>
        <w:t>the issuer</w:t>
      </w:r>
      <w:r w:rsidRPr="00342967">
        <w:rPr>
          <w:rFonts w:cs="Times New Roman"/>
          <w:szCs w:val="24"/>
          <w:lang w:val="en-GB"/>
        </w:rPr>
        <w:t xml:space="preserve"> remain</w:t>
      </w:r>
      <w:r w:rsidR="001D50DA">
        <w:rPr>
          <w:rFonts w:cs="Times New Roman"/>
          <w:szCs w:val="24"/>
          <w:lang w:val="en-GB"/>
        </w:rPr>
        <w:t>s</w:t>
      </w:r>
      <w:r w:rsidRPr="00342967">
        <w:rPr>
          <w:rFonts w:cs="Times New Roman"/>
          <w:szCs w:val="24"/>
          <w:lang w:val="en-GB"/>
        </w:rPr>
        <w:t xml:space="preserve"> responsible for collection and remittance of loan payments. Usually the SPV assigns a servicer to do these tasks for them (Ashcraft and Schuermann, 2008, p.7). The servicer can be </w:t>
      </w:r>
      <w:r w:rsidRPr="00342967">
        <w:rPr>
          <w:rFonts w:cs="Times New Roman"/>
          <w:szCs w:val="24"/>
          <w:lang w:val="en-GB"/>
        </w:rPr>
        <w:lastRenderedPageBreak/>
        <w:t xml:space="preserve">the owner of the SPV, but it can also be a third company that is specialized in </w:t>
      </w:r>
      <w:r w:rsidR="008250A7" w:rsidRPr="00342967">
        <w:rPr>
          <w:rFonts w:cs="Times New Roman"/>
          <w:szCs w:val="24"/>
          <w:lang w:val="en-GB"/>
        </w:rPr>
        <w:t>this</w:t>
      </w:r>
      <w:r w:rsidRPr="00342967">
        <w:rPr>
          <w:rFonts w:cs="Times New Roman"/>
          <w:szCs w:val="24"/>
          <w:lang w:val="en-GB"/>
        </w:rPr>
        <w:t xml:space="preserve"> task. The task of the servicers is, however, extremely important. Moody’s, a credit rating agency, estimated that servicer quality can affect realized loss levels by plus minus 10 percent (Ashcraft and Schuermann, 2008, p.8). </w:t>
      </w:r>
    </w:p>
    <w:p w14:paraId="215CA707" w14:textId="10C3F62A" w:rsidR="005506B2" w:rsidRPr="00342967" w:rsidRDefault="005506B2" w:rsidP="00D904F7">
      <w:pPr>
        <w:jc w:val="both"/>
        <w:rPr>
          <w:rFonts w:cs="Times New Roman"/>
          <w:szCs w:val="24"/>
          <w:lang w:val="en-GB"/>
        </w:rPr>
      </w:pPr>
      <w:r w:rsidRPr="00342967">
        <w:rPr>
          <w:rFonts w:cs="Times New Roman"/>
          <w:szCs w:val="24"/>
          <w:lang w:val="en-GB"/>
        </w:rPr>
        <w:t xml:space="preserve">The outlined securitisation process is the basic asset-transferring process of securitisation. Many variations of asset-transferring securities exist. Mortgage-backed securities (MBS) are securities that have mortgages as collateral, Asset-backed Securities (ABS) are securities that have different non-mortgage assets as collateral. Collateralised debt obligations (CDO) are securities that use other securities as collateral such as ABS or MBS securities. It is therefore that this practice is called re-securitisation. Besides asset-transferring securities, synthetic securitisation exists. In this type of securitisation, the actual asset is not transferred to any SPV or third-party investor. Instead, the bank keeps hold of the asset but shares the default risk of the asset with an investor which will receive a regular cash flow payment as a reward for sharing the risk. In this type of securitisation, possessing the actual assets of the security becomes unnecessary, consequently, synthetic securitisation grants investors unlimited collateral as the same asset could function as collateral for many synthetic securities (European Parliament, 2015, p.7). </w:t>
      </w:r>
    </w:p>
    <w:p w14:paraId="2D4B5CD5" w14:textId="2619858B" w:rsidR="005506B2" w:rsidRPr="00342967" w:rsidRDefault="00437C8F" w:rsidP="00D904F7">
      <w:pPr>
        <w:jc w:val="both"/>
        <w:rPr>
          <w:rFonts w:cs="Times New Roman"/>
          <w:szCs w:val="24"/>
          <w:lang w:val="en-GB"/>
        </w:rPr>
      </w:pPr>
      <w:r>
        <w:rPr>
          <w:rFonts w:cs="Times New Roman"/>
          <w:szCs w:val="24"/>
          <w:lang w:val="en-GB"/>
        </w:rPr>
        <w:t xml:space="preserve">The question then becomes, </w:t>
      </w:r>
      <w:r w:rsidR="005506B2" w:rsidRPr="00342967">
        <w:rPr>
          <w:rFonts w:cs="Times New Roman"/>
          <w:szCs w:val="24"/>
          <w:lang w:val="en-GB"/>
        </w:rPr>
        <w:t xml:space="preserve">why do banks engage with securitisation? Firstly, securitisation allows banks to unlock a new source of funding. Secondly, by securitising assets bank can inflate their balance sheets and thirdly, securitisation allows banks to further increase their leverage. In a traditional banking sector, the total supply of credit is equal to the equity of the banking sector plus the obligation of the banks to outside creditors (Shin, 2009, p.310). The most obvious source of outside credit are deposits on the bank’s balance sheet. For a bank to increase its earnings it must provide more credit, however, without more external funding providing more credit is impossible. Securitisation provides banks with this external funding in the following way. If a bank has, for example, 100 mortgages on its balance sheet, it will have only so much capital left to fund new loans. However, if a bank bundles these hundred loans and sells them to an SPV or a third-party issuer, it will immediately receive the net-present-value of these hundred mortgages plus a fee. </w:t>
      </w:r>
      <w:r w:rsidR="00001958" w:rsidRPr="00342967">
        <w:rPr>
          <w:rFonts w:cs="Times New Roman"/>
          <w:szCs w:val="24"/>
          <w:lang w:val="en-GB"/>
        </w:rPr>
        <w:t>S</w:t>
      </w:r>
      <w:r w:rsidR="005506B2" w:rsidRPr="00342967">
        <w:rPr>
          <w:rFonts w:cs="Times New Roman"/>
          <w:szCs w:val="24"/>
          <w:lang w:val="en-GB"/>
        </w:rPr>
        <w:t xml:space="preserve">ecuritisation </w:t>
      </w:r>
      <w:r w:rsidR="00001958" w:rsidRPr="00342967">
        <w:rPr>
          <w:rFonts w:cs="Times New Roman"/>
          <w:szCs w:val="24"/>
          <w:lang w:val="en-GB"/>
        </w:rPr>
        <w:t xml:space="preserve">is not only a new source of funding but also </w:t>
      </w:r>
      <w:r w:rsidR="005506B2" w:rsidRPr="00342967">
        <w:rPr>
          <w:rFonts w:cs="Times New Roman"/>
          <w:szCs w:val="24"/>
          <w:lang w:val="en-GB"/>
        </w:rPr>
        <w:t>a cheaper funding source</w:t>
      </w:r>
      <w:r w:rsidR="00001958" w:rsidRPr="00342967">
        <w:rPr>
          <w:rFonts w:cs="Times New Roman"/>
          <w:szCs w:val="24"/>
          <w:lang w:val="en-GB"/>
        </w:rPr>
        <w:t xml:space="preserve"> than other sources such as </w:t>
      </w:r>
      <w:r w:rsidR="005506B2" w:rsidRPr="00342967">
        <w:rPr>
          <w:rFonts w:cs="Times New Roman"/>
          <w:szCs w:val="24"/>
          <w:lang w:val="en-GB"/>
        </w:rPr>
        <w:t>issuing bonds</w:t>
      </w:r>
      <w:r w:rsidR="00001958" w:rsidRPr="00342967">
        <w:rPr>
          <w:rFonts w:cs="Times New Roman"/>
          <w:szCs w:val="24"/>
          <w:lang w:val="en-GB"/>
        </w:rPr>
        <w:t>. This has to do with the discussed credit enhancements in the securitisation process. B</w:t>
      </w:r>
      <w:r w:rsidR="005506B2" w:rsidRPr="00342967">
        <w:rPr>
          <w:rFonts w:cs="Times New Roman"/>
          <w:szCs w:val="24"/>
          <w:lang w:val="en-GB"/>
        </w:rPr>
        <w:t xml:space="preserve">ecause the loan pool is securitised in a separate SPV the credit rating is </w:t>
      </w:r>
      <w:r w:rsidR="005506B2" w:rsidRPr="00342967">
        <w:rPr>
          <w:rFonts w:cs="Times New Roman"/>
          <w:szCs w:val="24"/>
          <w:lang w:val="en-GB"/>
        </w:rPr>
        <w:lastRenderedPageBreak/>
        <w:t xml:space="preserve">higher than any financial product the bank issues itself. </w:t>
      </w:r>
      <w:r w:rsidR="008A5AD0" w:rsidRPr="00342967">
        <w:rPr>
          <w:rFonts w:cs="Times New Roman"/>
          <w:szCs w:val="24"/>
          <w:lang w:val="en-GB"/>
        </w:rPr>
        <w:t>Secondly</w:t>
      </w:r>
      <w:r w:rsidR="005506B2" w:rsidRPr="00342967">
        <w:rPr>
          <w:rFonts w:cs="Times New Roman"/>
          <w:szCs w:val="24"/>
          <w:lang w:val="en-GB"/>
        </w:rPr>
        <w:t>, securitisation allows banks to inflate their balance sheets as it not only provides banks with the fund to issue new loans, it also allows them to circumvent capital requirements for loans. As soon as the loans are securitised and on the balance sheet of the separate SPV, the bank is no longer obligated to reserve capital to cover the risk of the loans. Consequently, the natural limit to credit supply created by</w:t>
      </w:r>
      <w:r w:rsidR="008A5AD0" w:rsidRPr="00342967">
        <w:rPr>
          <w:rFonts w:cs="Times New Roman"/>
          <w:szCs w:val="24"/>
          <w:lang w:val="en-GB"/>
        </w:rPr>
        <w:t xml:space="preserve"> regulatory</w:t>
      </w:r>
      <w:r w:rsidR="005506B2" w:rsidRPr="00342967">
        <w:rPr>
          <w:rFonts w:cs="Times New Roman"/>
          <w:szCs w:val="24"/>
          <w:lang w:val="en-GB"/>
        </w:rPr>
        <w:t xml:space="preserve"> capital is neutralised. Banks no longer have an upper limit to the amount of credit they can supply. </w:t>
      </w:r>
      <w:r w:rsidR="00A32FFD" w:rsidRPr="00342967">
        <w:rPr>
          <w:rFonts w:cs="Times New Roman"/>
          <w:szCs w:val="24"/>
          <w:lang w:val="en-GB"/>
        </w:rPr>
        <w:t>Thirdly, securitisation allow banks to increase their leverage</w:t>
      </w:r>
      <w:r w:rsidR="00DC7336" w:rsidRPr="00342967">
        <w:rPr>
          <w:rFonts w:cs="Times New Roman"/>
          <w:szCs w:val="24"/>
          <w:lang w:val="en-GB"/>
        </w:rPr>
        <w:t xml:space="preserve">. Securitisation makes it possible to skew the </w:t>
      </w:r>
      <w:r w:rsidR="005506B2" w:rsidRPr="00342967">
        <w:rPr>
          <w:rFonts w:cs="Times New Roman"/>
          <w:szCs w:val="24"/>
          <w:lang w:val="en-GB"/>
        </w:rPr>
        <w:t xml:space="preserve">debt/equity ratio of a bank </w:t>
      </w:r>
      <w:r w:rsidR="00DC7336" w:rsidRPr="00342967">
        <w:rPr>
          <w:rFonts w:cs="Times New Roman"/>
          <w:szCs w:val="24"/>
          <w:lang w:val="en-GB"/>
        </w:rPr>
        <w:t>e</w:t>
      </w:r>
      <w:r w:rsidR="005506B2" w:rsidRPr="00342967">
        <w:rPr>
          <w:rFonts w:cs="Times New Roman"/>
          <w:szCs w:val="24"/>
          <w:lang w:val="en-GB"/>
        </w:rPr>
        <w:t>ven more towards debt</w:t>
      </w:r>
      <w:r w:rsidR="00DC7336" w:rsidRPr="00342967">
        <w:rPr>
          <w:rFonts w:cs="Times New Roman"/>
          <w:szCs w:val="24"/>
          <w:lang w:val="en-GB"/>
        </w:rPr>
        <w:t xml:space="preserve">. Banks always prefer to increase leverage as </w:t>
      </w:r>
      <w:r w:rsidR="005506B2" w:rsidRPr="00342967">
        <w:rPr>
          <w:rFonts w:cs="Times New Roman"/>
          <w:szCs w:val="24"/>
          <w:lang w:val="en-GB"/>
        </w:rPr>
        <w:t xml:space="preserve">debt is a less expensive way to fund operations than equity. Perhaps most importantly, however, is that securitisation </w:t>
      </w:r>
      <w:r w:rsidR="00186F68" w:rsidRPr="00342967">
        <w:rPr>
          <w:rFonts w:cs="Times New Roman"/>
          <w:szCs w:val="24"/>
          <w:lang w:val="en-GB"/>
        </w:rPr>
        <w:t>offers financial capital</w:t>
      </w:r>
      <w:r w:rsidR="005506B2" w:rsidRPr="00342967">
        <w:rPr>
          <w:rFonts w:cs="Times New Roman"/>
          <w:szCs w:val="24"/>
          <w:lang w:val="en-GB"/>
        </w:rPr>
        <w:t xml:space="preserve"> a new channel through which </w:t>
      </w:r>
      <w:r w:rsidR="00186F68" w:rsidRPr="00342967">
        <w:rPr>
          <w:rFonts w:cs="Times New Roman"/>
          <w:szCs w:val="24"/>
          <w:lang w:val="en-GB"/>
        </w:rPr>
        <w:t>yield can be</w:t>
      </w:r>
      <w:r w:rsidR="005506B2" w:rsidRPr="00342967">
        <w:rPr>
          <w:rFonts w:cs="Times New Roman"/>
          <w:szCs w:val="24"/>
          <w:lang w:val="en-GB"/>
        </w:rPr>
        <w:t xml:space="preserve"> obtain</w:t>
      </w:r>
      <w:r w:rsidR="00186F68" w:rsidRPr="00342967">
        <w:rPr>
          <w:rFonts w:cs="Times New Roman"/>
          <w:szCs w:val="24"/>
          <w:lang w:val="en-GB"/>
        </w:rPr>
        <w:t xml:space="preserve">ed. Securitisation thus is a means to an end, that of </w:t>
      </w:r>
      <w:r w:rsidR="00E03A93" w:rsidRPr="00342967">
        <w:rPr>
          <w:rFonts w:cs="Times New Roman"/>
          <w:szCs w:val="24"/>
          <w:lang w:val="en-GB"/>
        </w:rPr>
        <w:t>continuing</w:t>
      </w:r>
      <w:r w:rsidR="005506B2" w:rsidRPr="00342967">
        <w:rPr>
          <w:rFonts w:cs="Times New Roman"/>
          <w:szCs w:val="24"/>
          <w:lang w:val="en-GB"/>
        </w:rPr>
        <w:t xml:space="preserve"> financiali</w:t>
      </w:r>
      <w:r w:rsidR="00640C31" w:rsidRPr="00342967">
        <w:rPr>
          <w:rFonts w:cs="Times New Roman"/>
          <w:szCs w:val="24"/>
          <w:lang w:val="en-GB"/>
        </w:rPr>
        <w:t>s</w:t>
      </w:r>
      <w:r w:rsidR="005506B2" w:rsidRPr="00342967">
        <w:rPr>
          <w:rFonts w:cs="Times New Roman"/>
          <w:szCs w:val="24"/>
          <w:lang w:val="en-GB"/>
        </w:rPr>
        <w:t xml:space="preserve">ation. </w:t>
      </w:r>
      <w:r w:rsidR="00E03A93" w:rsidRPr="00342967">
        <w:rPr>
          <w:rFonts w:cs="Times New Roman"/>
          <w:szCs w:val="24"/>
          <w:lang w:val="en-GB"/>
        </w:rPr>
        <w:t>Securitisation is a necessary instrument for financial capital as t</w:t>
      </w:r>
      <w:r w:rsidR="005506B2" w:rsidRPr="00342967">
        <w:rPr>
          <w:rFonts w:cs="Times New Roman"/>
          <w:szCs w:val="24"/>
          <w:lang w:val="en-GB"/>
        </w:rPr>
        <w:t xml:space="preserve">he amount of collateral in the world is limited. There are only so many houses, offices and factories that can function as collateral for loans and mortgages. There is much more capital available than appropriate collateral. Securitisation is a temporary fix to this problem </w:t>
      </w:r>
      <w:r w:rsidR="00EA7344" w:rsidRPr="00342967">
        <w:rPr>
          <w:rFonts w:cs="Times New Roman"/>
          <w:szCs w:val="24"/>
          <w:lang w:val="en-GB"/>
        </w:rPr>
        <w:t>as it creates new collateral.</w:t>
      </w:r>
      <w:r w:rsidR="005506B2" w:rsidRPr="00342967">
        <w:rPr>
          <w:rFonts w:cs="Times New Roman"/>
          <w:szCs w:val="24"/>
          <w:lang w:val="en-GB"/>
        </w:rPr>
        <w:t xml:space="preserve"> </w:t>
      </w:r>
    </w:p>
    <w:p w14:paraId="3F352455" w14:textId="47F2FB42" w:rsidR="005506B2" w:rsidRPr="00342967" w:rsidRDefault="005506B2" w:rsidP="00D904F7">
      <w:pPr>
        <w:jc w:val="both"/>
        <w:rPr>
          <w:rFonts w:cs="Times New Roman"/>
          <w:szCs w:val="24"/>
          <w:lang w:val="en-GB"/>
        </w:rPr>
      </w:pPr>
      <w:r w:rsidRPr="00342967">
        <w:rPr>
          <w:rFonts w:cs="Times New Roman"/>
          <w:szCs w:val="24"/>
          <w:lang w:val="en-GB"/>
        </w:rPr>
        <w:t xml:space="preserve">Securitisation, however, is not the innocent financing technique the financial sector claims it to be. Securitisation has been identified </w:t>
      </w:r>
      <w:r w:rsidR="00AF355D">
        <w:rPr>
          <w:rFonts w:cs="Times New Roman"/>
          <w:szCs w:val="24"/>
          <w:lang w:val="en-GB"/>
        </w:rPr>
        <w:t>in playing a large role in causing</w:t>
      </w:r>
      <w:r w:rsidRPr="00342967">
        <w:rPr>
          <w:rFonts w:cs="Times New Roman"/>
          <w:szCs w:val="24"/>
          <w:lang w:val="en-GB"/>
        </w:rPr>
        <w:t xml:space="preserve"> the Global Financial Crisis for several reasons (OECD, 2015; Hellwig, 2009; Acharya and Richardson, 2009). </w:t>
      </w:r>
      <w:r w:rsidR="00483714" w:rsidRPr="00342967">
        <w:rPr>
          <w:rFonts w:cs="Times New Roman"/>
          <w:szCs w:val="24"/>
          <w:lang w:val="en-GB"/>
        </w:rPr>
        <w:t>Firstly</w:t>
      </w:r>
      <w:r w:rsidRPr="00342967">
        <w:rPr>
          <w:rFonts w:cs="Times New Roman"/>
          <w:szCs w:val="24"/>
          <w:lang w:val="en-GB"/>
        </w:rPr>
        <w:t>, contrary to what was believed at the time, securitisation did not lead to transfer of risk from the bank to the owner of the security. As just described, securitisation is a process where a bundle of loans is sold of</w:t>
      </w:r>
      <w:r w:rsidR="00006BF6" w:rsidRPr="00342967">
        <w:rPr>
          <w:rFonts w:cs="Times New Roman"/>
          <w:szCs w:val="24"/>
          <w:lang w:val="en-GB"/>
        </w:rPr>
        <w:t>f</w:t>
      </w:r>
      <w:r w:rsidRPr="00342967">
        <w:rPr>
          <w:rFonts w:cs="Times New Roman"/>
          <w:szCs w:val="24"/>
          <w:lang w:val="en-GB"/>
        </w:rPr>
        <w:t xml:space="preserve"> to a SPV to sell securities with the bundle of loans as collateral. It is important to note that the bundle of loans remain</w:t>
      </w:r>
      <w:r w:rsidR="00483714" w:rsidRPr="00342967">
        <w:rPr>
          <w:rFonts w:cs="Times New Roman"/>
          <w:szCs w:val="24"/>
          <w:lang w:val="en-GB"/>
        </w:rPr>
        <w:t>s</w:t>
      </w:r>
      <w:r w:rsidRPr="00342967">
        <w:rPr>
          <w:rFonts w:cs="Times New Roman"/>
          <w:szCs w:val="24"/>
          <w:lang w:val="en-GB"/>
        </w:rPr>
        <w:t xml:space="preserve"> on the balance sheet of the SPV and </w:t>
      </w:r>
      <w:r w:rsidR="00483714" w:rsidRPr="00342967">
        <w:rPr>
          <w:rFonts w:cs="Times New Roman"/>
          <w:szCs w:val="24"/>
          <w:lang w:val="en-GB"/>
        </w:rPr>
        <w:t>does</w:t>
      </w:r>
      <w:r w:rsidRPr="00342967">
        <w:rPr>
          <w:rFonts w:cs="Times New Roman"/>
          <w:szCs w:val="24"/>
          <w:lang w:val="en-GB"/>
        </w:rPr>
        <w:t xml:space="preserve"> not transfer to the owner of the security (Shin, 2009, p.310). The owner of the security only received a contract which gives him the right on the payments made on the loan. </w:t>
      </w:r>
      <w:r w:rsidR="00E31D11" w:rsidRPr="00342967">
        <w:rPr>
          <w:rFonts w:cs="Times New Roman"/>
          <w:szCs w:val="24"/>
          <w:lang w:val="en-GB"/>
        </w:rPr>
        <w:t xml:space="preserve">All the bad loans that were issues were therefore not transferred to outside investors but piled up in the off-book SPVs of banks. </w:t>
      </w:r>
      <w:r w:rsidRPr="00342967">
        <w:rPr>
          <w:rFonts w:cs="Times New Roman"/>
          <w:szCs w:val="24"/>
          <w:lang w:val="en-GB"/>
        </w:rPr>
        <w:t xml:space="preserve">In addition, banks artificially increased the credit ratings of securities by giving guarantees to the owner of the security that in case of bankruptcy of the underlying loans, the bank would take the fall. These two characteristics made that risk was not dispersed throughout the financial system but instead concentrated in the banking sector. Secondly, the perceived risk transfer and the fact that the SPV was legally separated from the originator, </w:t>
      </w:r>
      <w:r w:rsidR="00CE3F96">
        <w:rPr>
          <w:rFonts w:cs="Times New Roman"/>
          <w:szCs w:val="24"/>
          <w:lang w:val="en-GB"/>
        </w:rPr>
        <w:t xml:space="preserve">made </w:t>
      </w:r>
      <w:r w:rsidRPr="00342967">
        <w:rPr>
          <w:rFonts w:cs="Times New Roman"/>
          <w:szCs w:val="24"/>
          <w:lang w:val="en-GB"/>
        </w:rPr>
        <w:t xml:space="preserve">banks </w:t>
      </w:r>
      <w:r w:rsidR="00CE3F96">
        <w:rPr>
          <w:rFonts w:cs="Times New Roman"/>
          <w:szCs w:val="24"/>
          <w:lang w:val="en-GB"/>
        </w:rPr>
        <w:t>believe</w:t>
      </w:r>
      <w:r w:rsidRPr="00342967">
        <w:rPr>
          <w:rFonts w:cs="Times New Roman"/>
          <w:szCs w:val="24"/>
          <w:lang w:val="en-GB"/>
        </w:rPr>
        <w:t xml:space="preserve"> they were invincible. No matter what type of loans they would issue and securitize, the risk would </w:t>
      </w:r>
      <w:r w:rsidR="00A90571" w:rsidRPr="00342967">
        <w:rPr>
          <w:rFonts w:cs="Times New Roman"/>
          <w:szCs w:val="24"/>
          <w:lang w:val="en-GB"/>
        </w:rPr>
        <w:t>be</w:t>
      </w:r>
      <w:r w:rsidRPr="00342967">
        <w:rPr>
          <w:rFonts w:cs="Times New Roman"/>
          <w:szCs w:val="24"/>
          <w:lang w:val="en-GB"/>
        </w:rPr>
        <w:t xml:space="preserve"> transferred anyway and as </w:t>
      </w:r>
      <w:r w:rsidRPr="00342967">
        <w:rPr>
          <w:rFonts w:cs="Times New Roman"/>
          <w:szCs w:val="24"/>
          <w:lang w:val="en-GB"/>
        </w:rPr>
        <w:lastRenderedPageBreak/>
        <w:t xml:space="preserve">soon as the loans were securitized, it was no longer the problem of the banks but of the owner of the security. That this is not the case is just illustrated, but this was the common understanding at the time. Considering that securitisation is highly profitable for banks as it is a cheap source of funding, banks started to lower their lending standards </w:t>
      </w:r>
      <w:r w:rsidR="00B2774E" w:rsidRPr="00342967">
        <w:rPr>
          <w:rFonts w:cs="Times New Roman"/>
          <w:szCs w:val="24"/>
          <w:lang w:val="en-GB"/>
        </w:rPr>
        <w:t>to</w:t>
      </w:r>
      <w:r w:rsidRPr="00342967">
        <w:rPr>
          <w:rFonts w:cs="Times New Roman"/>
          <w:szCs w:val="24"/>
          <w:lang w:val="en-GB"/>
        </w:rPr>
        <w:t xml:space="preserve"> issue more loans </w:t>
      </w:r>
      <w:r w:rsidR="00963E5C" w:rsidRPr="00342967">
        <w:rPr>
          <w:rFonts w:cs="Times New Roman"/>
          <w:szCs w:val="24"/>
          <w:lang w:val="en-GB"/>
        </w:rPr>
        <w:t>to</w:t>
      </w:r>
      <w:r w:rsidRPr="00342967">
        <w:rPr>
          <w:rFonts w:cs="Times New Roman"/>
          <w:szCs w:val="24"/>
          <w:lang w:val="en-GB"/>
        </w:rPr>
        <w:t xml:space="preserve"> securiti</w:t>
      </w:r>
      <w:r w:rsidR="00963E5C" w:rsidRPr="00342967">
        <w:rPr>
          <w:rFonts w:cs="Times New Roman"/>
          <w:szCs w:val="24"/>
          <w:lang w:val="en-GB"/>
        </w:rPr>
        <w:t>se</w:t>
      </w:r>
      <w:r w:rsidRPr="00342967">
        <w:rPr>
          <w:rFonts w:cs="Times New Roman"/>
          <w:szCs w:val="24"/>
          <w:lang w:val="en-GB"/>
        </w:rPr>
        <w:t>. This exacerbated the</w:t>
      </w:r>
      <w:r w:rsidR="00963E5C" w:rsidRPr="00342967">
        <w:rPr>
          <w:rFonts w:cs="Times New Roman"/>
          <w:szCs w:val="24"/>
          <w:lang w:val="en-GB"/>
        </w:rPr>
        <w:t xml:space="preserve"> piling up of</w:t>
      </w:r>
      <w:r w:rsidRPr="00342967">
        <w:rPr>
          <w:rFonts w:cs="Times New Roman"/>
          <w:szCs w:val="24"/>
          <w:lang w:val="en-GB"/>
        </w:rPr>
        <w:t xml:space="preserve"> risk </w:t>
      </w:r>
      <w:r w:rsidR="00963E5C" w:rsidRPr="00342967">
        <w:rPr>
          <w:rFonts w:cs="Times New Roman"/>
          <w:szCs w:val="24"/>
          <w:lang w:val="en-GB"/>
        </w:rPr>
        <w:t xml:space="preserve">in </w:t>
      </w:r>
      <w:r w:rsidRPr="00342967">
        <w:rPr>
          <w:rFonts w:cs="Times New Roman"/>
          <w:szCs w:val="24"/>
          <w:lang w:val="en-GB"/>
        </w:rPr>
        <w:t xml:space="preserve">the banking sector as more and more bad loans </w:t>
      </w:r>
      <w:r w:rsidR="00452E1C" w:rsidRPr="00342967">
        <w:rPr>
          <w:rFonts w:cs="Times New Roman"/>
          <w:szCs w:val="24"/>
          <w:lang w:val="en-GB"/>
        </w:rPr>
        <w:t>ended</w:t>
      </w:r>
      <w:r w:rsidRPr="00342967">
        <w:rPr>
          <w:rFonts w:cs="Times New Roman"/>
          <w:szCs w:val="24"/>
          <w:lang w:val="en-GB"/>
        </w:rPr>
        <w:t xml:space="preserve"> up </w:t>
      </w:r>
      <w:r w:rsidR="00452E1C" w:rsidRPr="00342967">
        <w:rPr>
          <w:rFonts w:cs="Times New Roman"/>
          <w:szCs w:val="24"/>
          <w:lang w:val="en-GB"/>
        </w:rPr>
        <w:t xml:space="preserve">on the balance sheets of off-book </w:t>
      </w:r>
      <w:r w:rsidRPr="00342967">
        <w:rPr>
          <w:rFonts w:cs="Times New Roman"/>
          <w:szCs w:val="24"/>
          <w:lang w:val="en-GB"/>
        </w:rPr>
        <w:t>SPVs. Thirdly, securitisation allowed banks to move a large part of their balance sheet outside the reach of regulation and regulatory agencies. Loans that are on the regular balance sheet of banks need to be covered by capital to cover the risk of bankruptcy of the loans. This is very costly for banks as capital is an expensive way of financing the banks operations. To acquire capital a bank can either retain its earnings or it can issue new stock, and both are much more expensive than issuing debt to acquire funding. By securitising loans, however, the loans are effectively transferred from the bank</w:t>
      </w:r>
      <w:r w:rsidR="00A90571" w:rsidRPr="00342967">
        <w:rPr>
          <w:rFonts w:cs="Times New Roman"/>
          <w:szCs w:val="24"/>
          <w:lang w:val="en-GB"/>
        </w:rPr>
        <w:t>’</w:t>
      </w:r>
      <w:r w:rsidRPr="00342967">
        <w:rPr>
          <w:rFonts w:cs="Times New Roman"/>
          <w:szCs w:val="24"/>
          <w:lang w:val="en-GB"/>
        </w:rPr>
        <w:t xml:space="preserve">s balance sheet to the balance sheet of the SPV that does not have to adhere to the capital regulations of regular banks. </w:t>
      </w:r>
      <w:r w:rsidR="00C926AF" w:rsidRPr="00342967">
        <w:rPr>
          <w:rFonts w:cs="Times New Roman"/>
          <w:szCs w:val="24"/>
          <w:lang w:val="en-GB"/>
        </w:rPr>
        <w:t xml:space="preserve">Consequently, securitisation </w:t>
      </w:r>
      <w:r w:rsidR="00042E02" w:rsidRPr="00342967">
        <w:rPr>
          <w:rFonts w:cs="Times New Roman"/>
          <w:szCs w:val="24"/>
          <w:lang w:val="en-GB"/>
        </w:rPr>
        <w:t xml:space="preserve">makes it possible to evade regulations aimed at increasing system stability. </w:t>
      </w:r>
    </w:p>
    <w:p w14:paraId="74BF9942" w14:textId="3B2EE142" w:rsidR="005506B2" w:rsidRPr="00342967" w:rsidRDefault="005506B2" w:rsidP="00D904F7">
      <w:pPr>
        <w:jc w:val="both"/>
        <w:rPr>
          <w:rFonts w:cs="Times New Roman"/>
          <w:szCs w:val="24"/>
          <w:lang w:val="en-GB"/>
        </w:rPr>
      </w:pPr>
      <w:r w:rsidRPr="00342967">
        <w:rPr>
          <w:rFonts w:cs="Times New Roman"/>
          <w:szCs w:val="24"/>
          <w:lang w:val="en-GB"/>
        </w:rPr>
        <w:t xml:space="preserve">The combination of these characteristics of securitisation, risk retention, deteriorating lending standards and regulatory arbitrage, made that securitisation led to the most </w:t>
      </w:r>
      <w:r w:rsidR="00042E02" w:rsidRPr="00342967">
        <w:rPr>
          <w:rFonts w:cs="Times New Roman"/>
          <w:szCs w:val="24"/>
          <w:lang w:val="en-GB"/>
        </w:rPr>
        <w:t>disruptive</w:t>
      </w:r>
      <w:r w:rsidRPr="00342967">
        <w:rPr>
          <w:rFonts w:cs="Times New Roman"/>
          <w:szCs w:val="24"/>
          <w:lang w:val="en-GB"/>
        </w:rPr>
        <w:t xml:space="preserve"> financial crisis since 1929. Governments and tax payers in the European Union had to </w:t>
      </w:r>
      <w:r w:rsidR="00042E02" w:rsidRPr="00342967">
        <w:rPr>
          <w:rFonts w:cs="Times New Roman"/>
          <w:szCs w:val="24"/>
          <w:lang w:val="en-GB"/>
        </w:rPr>
        <w:t>spent</w:t>
      </w:r>
      <w:r w:rsidRPr="00342967">
        <w:rPr>
          <w:rFonts w:cs="Times New Roman"/>
          <w:szCs w:val="24"/>
          <w:lang w:val="en-GB"/>
        </w:rPr>
        <w:t xml:space="preserve"> billions of dollars to save the economy from a total meltdown</w:t>
      </w:r>
      <w:r w:rsidR="00042E02" w:rsidRPr="00342967">
        <w:rPr>
          <w:rFonts w:cs="Times New Roman"/>
          <w:szCs w:val="24"/>
          <w:lang w:val="en-GB"/>
        </w:rPr>
        <w:t>, and th</w:t>
      </w:r>
      <w:r w:rsidRPr="00342967">
        <w:rPr>
          <w:rFonts w:cs="Times New Roman"/>
          <w:szCs w:val="24"/>
          <w:lang w:val="en-GB"/>
        </w:rPr>
        <w:t>is does not even incorporate the los</w:t>
      </w:r>
      <w:r w:rsidR="00C2039A" w:rsidRPr="00342967">
        <w:rPr>
          <w:rFonts w:cs="Times New Roman"/>
          <w:szCs w:val="24"/>
          <w:lang w:val="en-GB"/>
        </w:rPr>
        <w:t xml:space="preserve">s of </w:t>
      </w:r>
      <w:r w:rsidRPr="00342967">
        <w:rPr>
          <w:rFonts w:cs="Times New Roman"/>
          <w:szCs w:val="24"/>
          <w:lang w:val="en-GB"/>
        </w:rPr>
        <w:t>economic growth and</w:t>
      </w:r>
      <w:r w:rsidR="00C2039A" w:rsidRPr="00342967">
        <w:rPr>
          <w:rFonts w:cs="Times New Roman"/>
          <w:szCs w:val="24"/>
          <w:lang w:val="en-GB"/>
        </w:rPr>
        <w:t xml:space="preserve"> the social costs of increased unemployment and </w:t>
      </w:r>
      <w:r w:rsidR="00B3433F" w:rsidRPr="00342967">
        <w:rPr>
          <w:rFonts w:cs="Times New Roman"/>
          <w:szCs w:val="24"/>
          <w:lang w:val="en-GB"/>
        </w:rPr>
        <w:t>social spending</w:t>
      </w:r>
      <w:r w:rsidRPr="00342967">
        <w:rPr>
          <w:rFonts w:cs="Times New Roman"/>
          <w:szCs w:val="24"/>
          <w:lang w:val="en-GB"/>
        </w:rPr>
        <w:t xml:space="preserve">. Nonetheless, the European Commission has decided to revive the securitisation market in the European Union that has basically come to a standstill after the Global Financial Crisis as a major building block of </w:t>
      </w:r>
      <w:r w:rsidR="004F3142">
        <w:rPr>
          <w:rFonts w:cs="Times New Roman"/>
          <w:szCs w:val="24"/>
          <w:lang w:val="en-GB"/>
        </w:rPr>
        <w:t>CMU</w:t>
      </w:r>
      <w:r w:rsidRPr="00342967">
        <w:rPr>
          <w:rFonts w:cs="Times New Roman"/>
          <w:szCs w:val="24"/>
          <w:lang w:val="en-GB"/>
        </w:rPr>
        <w:t xml:space="preserve">. According to the Capital Markets Union Green Paper the goal of the CMU is to achieve the Commission’s main priority which is creating jobs and growth (European Commission, 2015a, p.2). </w:t>
      </w:r>
      <w:r w:rsidR="004F3142">
        <w:rPr>
          <w:rFonts w:cs="Times New Roman"/>
          <w:szCs w:val="24"/>
          <w:lang w:val="en-GB"/>
        </w:rPr>
        <w:t>CMU</w:t>
      </w:r>
      <w:r w:rsidRPr="00342967">
        <w:rPr>
          <w:rFonts w:cs="Times New Roman"/>
          <w:szCs w:val="24"/>
          <w:lang w:val="en-GB"/>
        </w:rPr>
        <w:t xml:space="preserve"> is going to help achieve this objective </w:t>
      </w:r>
      <w:r w:rsidR="00B3433F" w:rsidRPr="00342967">
        <w:rPr>
          <w:rFonts w:cs="Times New Roman"/>
          <w:szCs w:val="24"/>
          <w:lang w:val="en-GB"/>
        </w:rPr>
        <w:t xml:space="preserve">by </w:t>
      </w:r>
      <w:r w:rsidRPr="00342967">
        <w:rPr>
          <w:rFonts w:cs="Times New Roman"/>
          <w:szCs w:val="24"/>
          <w:lang w:val="en-GB"/>
        </w:rPr>
        <w:t>unlocking ‘(…) more investment for all companies, especially SMEs (…)” by increasing the number and diversifying the sources finance, and by making the financial system more stable</w:t>
      </w:r>
      <w:r w:rsidR="00F36EFB" w:rsidRPr="00342967">
        <w:rPr>
          <w:rFonts w:cs="Times New Roman"/>
          <w:szCs w:val="24"/>
          <w:lang w:val="en-GB"/>
        </w:rPr>
        <w:t xml:space="preserve">. </w:t>
      </w:r>
      <w:r w:rsidRPr="00342967">
        <w:rPr>
          <w:rFonts w:cs="Times New Roman"/>
          <w:szCs w:val="24"/>
          <w:lang w:val="en-GB"/>
        </w:rPr>
        <w:t>That securitisation is going to help achieving this goal is at the least questionable. The relationship between securitisation and real economic growth has never been prove</w:t>
      </w:r>
      <w:r w:rsidR="00B40FE4" w:rsidRPr="00342967">
        <w:rPr>
          <w:rFonts w:cs="Times New Roman"/>
          <w:szCs w:val="24"/>
          <w:lang w:val="en-GB"/>
        </w:rPr>
        <w:t>n</w:t>
      </w:r>
      <w:r w:rsidRPr="00342967">
        <w:rPr>
          <w:rFonts w:cs="Times New Roman"/>
          <w:szCs w:val="24"/>
          <w:lang w:val="en-GB"/>
        </w:rPr>
        <w:t>. In theory, securitisation increases the credit flow to the market and thus will aid economic growth</w:t>
      </w:r>
      <w:r w:rsidR="00B40FE4" w:rsidRPr="00342967">
        <w:rPr>
          <w:rFonts w:cs="Times New Roman"/>
          <w:szCs w:val="24"/>
          <w:lang w:val="en-GB"/>
        </w:rPr>
        <w:t>, b</w:t>
      </w:r>
      <w:r w:rsidRPr="00342967">
        <w:rPr>
          <w:rFonts w:cs="Times New Roman"/>
          <w:szCs w:val="24"/>
          <w:lang w:val="en-GB"/>
        </w:rPr>
        <w:t>ut the economic literature on this matter, that has investigated this relationship, came to a surprising result. The relationship between securitisation and real economic growth is in most cases negative. That is, securitisation doe</w:t>
      </w:r>
      <w:r w:rsidR="005B02DD" w:rsidRPr="00342967">
        <w:rPr>
          <w:rFonts w:cs="Times New Roman"/>
          <w:szCs w:val="24"/>
          <w:lang w:val="en-GB"/>
        </w:rPr>
        <w:t>s</w:t>
      </w:r>
      <w:r w:rsidRPr="00342967">
        <w:rPr>
          <w:rFonts w:cs="Times New Roman"/>
          <w:szCs w:val="24"/>
          <w:lang w:val="en-GB"/>
        </w:rPr>
        <w:t xml:space="preserve"> not aid growth, it </w:t>
      </w:r>
      <w:r w:rsidRPr="00342967">
        <w:rPr>
          <w:rFonts w:cs="Times New Roman"/>
          <w:szCs w:val="24"/>
          <w:lang w:val="en-GB"/>
        </w:rPr>
        <w:lastRenderedPageBreak/>
        <w:t xml:space="preserve">harms growth (Bertay </w:t>
      </w:r>
      <w:r w:rsidRPr="00342967">
        <w:rPr>
          <w:rFonts w:cs="Times New Roman"/>
          <w:i/>
          <w:szCs w:val="24"/>
          <w:lang w:val="en-GB"/>
        </w:rPr>
        <w:t>et al</w:t>
      </w:r>
      <w:r w:rsidRPr="00342967">
        <w:rPr>
          <w:rFonts w:cs="Times New Roman"/>
          <w:szCs w:val="24"/>
          <w:lang w:val="en-GB"/>
        </w:rPr>
        <w:t xml:space="preserve">, 2017; Cecchetti and Kharroubi, 2015). Moreover, reviving securitisation to increase SME funding is definitely not the most effective way to do so, perhaps even </w:t>
      </w:r>
      <w:r w:rsidR="001D6F29" w:rsidRPr="00342967">
        <w:rPr>
          <w:rFonts w:cs="Times New Roman"/>
          <w:szCs w:val="24"/>
          <w:lang w:val="en-GB"/>
        </w:rPr>
        <w:t>the worst</w:t>
      </w:r>
      <w:r w:rsidRPr="00342967">
        <w:rPr>
          <w:rFonts w:cs="Times New Roman"/>
          <w:szCs w:val="24"/>
          <w:lang w:val="en-GB"/>
        </w:rPr>
        <w:t>. The financial product that is most often securitised are mortgages exactly because they have predictable payment schemes and clear collateral. SME loans lack both these characteristic and are more diverse and risky. Therefore, they are barely securitised at all (Engelen and Glasmacher, 2018, p5). Reviving securitisation thus will not lead to increased lending to SMEs, but it will probably lead to increased lending to potential houseowners. The last goal of the Commission is perhaps the one that is most directly opposed to reviving securitisation. The Commission wants to increase the stability of the financial sector by increasing the number of financing opportunities. That securitisation is a cheap financing opportunity for banks is indeed true. That this is going to lead to more financial stability is demonstrably false</w:t>
      </w:r>
      <w:r w:rsidR="000737C7" w:rsidRPr="00342967">
        <w:rPr>
          <w:rFonts w:cs="Times New Roman"/>
          <w:szCs w:val="24"/>
          <w:lang w:val="en-GB"/>
        </w:rPr>
        <w:t xml:space="preserve"> with the Global Financial Crisis as the obvious </w:t>
      </w:r>
      <w:r w:rsidR="003D4C0C" w:rsidRPr="00342967">
        <w:rPr>
          <w:rFonts w:cs="Times New Roman"/>
          <w:szCs w:val="24"/>
          <w:lang w:val="en-GB"/>
        </w:rPr>
        <w:t>example to back up this claim</w:t>
      </w:r>
      <w:r w:rsidRPr="00342967">
        <w:rPr>
          <w:rFonts w:cs="Times New Roman"/>
          <w:szCs w:val="24"/>
          <w:lang w:val="en-GB"/>
        </w:rPr>
        <w:t xml:space="preserve">. </w:t>
      </w:r>
    </w:p>
    <w:p w14:paraId="756764A5" w14:textId="38B4F7B9" w:rsidR="005506B2" w:rsidRPr="00342967" w:rsidRDefault="005506B2" w:rsidP="00D904F7">
      <w:pPr>
        <w:jc w:val="both"/>
        <w:rPr>
          <w:rFonts w:cs="Times New Roman"/>
          <w:szCs w:val="24"/>
          <w:lang w:val="en-GB"/>
        </w:rPr>
      </w:pPr>
      <w:r w:rsidRPr="00342967">
        <w:rPr>
          <w:rFonts w:cs="Times New Roman"/>
          <w:szCs w:val="24"/>
          <w:lang w:val="en-GB"/>
        </w:rPr>
        <w:t xml:space="preserve">The true reason why the Commission proposed CMU and the revival of securitisation must </w:t>
      </w:r>
      <w:r w:rsidR="000737C7" w:rsidRPr="00342967">
        <w:rPr>
          <w:rFonts w:cs="Times New Roman"/>
          <w:szCs w:val="24"/>
          <w:lang w:val="en-GB"/>
        </w:rPr>
        <w:t xml:space="preserve">therefore not be found </w:t>
      </w:r>
      <w:r w:rsidR="0094606F" w:rsidRPr="00342967">
        <w:rPr>
          <w:rFonts w:cs="Times New Roman"/>
          <w:szCs w:val="24"/>
          <w:lang w:val="en-GB"/>
        </w:rPr>
        <w:t xml:space="preserve">in what the Commission says. Where </w:t>
      </w:r>
      <w:r w:rsidR="00CB5058" w:rsidRPr="00342967">
        <w:rPr>
          <w:rFonts w:cs="Times New Roman"/>
          <w:szCs w:val="24"/>
          <w:lang w:val="en-GB"/>
        </w:rPr>
        <w:t>the true reason</w:t>
      </w:r>
      <w:r w:rsidR="0094606F" w:rsidRPr="00342967">
        <w:rPr>
          <w:rFonts w:cs="Times New Roman"/>
          <w:szCs w:val="24"/>
          <w:lang w:val="en-GB"/>
        </w:rPr>
        <w:t xml:space="preserve"> can be found is </w:t>
      </w:r>
      <w:r w:rsidR="00CB5058" w:rsidRPr="00342967">
        <w:rPr>
          <w:rFonts w:cs="Times New Roman"/>
          <w:szCs w:val="24"/>
          <w:lang w:val="en-GB"/>
        </w:rPr>
        <w:t xml:space="preserve">in </w:t>
      </w:r>
      <w:r w:rsidRPr="00342967">
        <w:rPr>
          <w:rFonts w:cs="Times New Roman"/>
          <w:szCs w:val="24"/>
          <w:lang w:val="en-GB"/>
        </w:rPr>
        <w:t>a process that has started ever since the Neoliberal SSA started to develop</w:t>
      </w:r>
      <w:r w:rsidR="007B0E6C" w:rsidRPr="00342967">
        <w:rPr>
          <w:rFonts w:cs="Times New Roman"/>
          <w:szCs w:val="24"/>
          <w:lang w:val="en-GB"/>
        </w:rPr>
        <w:t xml:space="preserve"> and the power relations that emanated from that process</w:t>
      </w:r>
      <w:r w:rsidRPr="00342967">
        <w:rPr>
          <w:rFonts w:cs="Times New Roman"/>
          <w:szCs w:val="24"/>
          <w:lang w:val="en-GB"/>
        </w:rPr>
        <w:t>. That is the process of financialisation</w:t>
      </w:r>
      <w:r w:rsidR="00F36A41">
        <w:rPr>
          <w:rFonts w:cs="Times New Roman"/>
          <w:szCs w:val="24"/>
          <w:lang w:val="en-GB"/>
        </w:rPr>
        <w:t>, but b</w:t>
      </w:r>
      <w:r w:rsidR="00CE5390" w:rsidRPr="00342967">
        <w:rPr>
          <w:rFonts w:cs="Times New Roman"/>
          <w:szCs w:val="24"/>
          <w:lang w:val="en-GB"/>
        </w:rPr>
        <w:t xml:space="preserve">efore this process is </w:t>
      </w:r>
      <w:r w:rsidR="00C11299" w:rsidRPr="00342967">
        <w:rPr>
          <w:rFonts w:cs="Times New Roman"/>
          <w:szCs w:val="24"/>
          <w:lang w:val="en-GB"/>
        </w:rPr>
        <w:t>explained</w:t>
      </w:r>
      <w:r w:rsidR="00A4324D">
        <w:rPr>
          <w:rFonts w:cs="Times New Roman"/>
          <w:szCs w:val="24"/>
          <w:lang w:val="en-GB"/>
        </w:rPr>
        <w:t xml:space="preserve">, </w:t>
      </w:r>
      <w:r w:rsidR="000B100B">
        <w:rPr>
          <w:rFonts w:cs="Times New Roman"/>
          <w:szCs w:val="24"/>
          <w:lang w:val="en-GB"/>
        </w:rPr>
        <w:t>a characterisation of the European Commission is helpful to understand how the commission functions</w:t>
      </w:r>
      <w:r w:rsidR="00A4531A">
        <w:rPr>
          <w:rFonts w:cs="Times New Roman"/>
          <w:szCs w:val="24"/>
          <w:lang w:val="en-GB"/>
        </w:rPr>
        <w:t>.</w:t>
      </w:r>
    </w:p>
    <w:p w14:paraId="2A6C5550" w14:textId="6B03B9F2" w:rsidR="00C11299" w:rsidRDefault="00C11299" w:rsidP="00C11299">
      <w:pPr>
        <w:pStyle w:val="Kop2"/>
        <w:rPr>
          <w:lang w:val="en-GB"/>
        </w:rPr>
      </w:pPr>
      <w:bookmarkStart w:id="18" w:name="_Toc518333114"/>
      <w:r w:rsidRPr="00342967">
        <w:rPr>
          <w:lang w:val="en-GB"/>
        </w:rPr>
        <w:t xml:space="preserve">3.2 </w:t>
      </w:r>
      <w:r w:rsidR="00E11E14" w:rsidRPr="00342967">
        <w:rPr>
          <w:lang w:val="en-GB"/>
        </w:rPr>
        <w:t>A characterisation</w:t>
      </w:r>
      <w:r w:rsidRPr="00342967">
        <w:rPr>
          <w:lang w:val="en-GB"/>
        </w:rPr>
        <w:t xml:space="preserve"> of the</w:t>
      </w:r>
      <w:r w:rsidR="00E11E14" w:rsidRPr="00342967">
        <w:rPr>
          <w:lang w:val="en-GB"/>
        </w:rPr>
        <w:t xml:space="preserve"> European</w:t>
      </w:r>
      <w:r w:rsidRPr="00342967">
        <w:rPr>
          <w:lang w:val="en-GB"/>
        </w:rPr>
        <w:t xml:space="preserve"> Commission</w:t>
      </w:r>
      <w:bookmarkEnd w:id="18"/>
    </w:p>
    <w:p w14:paraId="27A9BEFC" w14:textId="6D6080B9" w:rsidR="00CB69A6" w:rsidRPr="00227B02" w:rsidRDefault="00CB69A6" w:rsidP="00CB69A6">
      <w:pPr>
        <w:jc w:val="both"/>
        <w:rPr>
          <w:rFonts w:cs="Times New Roman"/>
          <w:szCs w:val="24"/>
          <w:lang w:val="en-GB"/>
        </w:rPr>
      </w:pPr>
      <w:r w:rsidRPr="00227B02">
        <w:rPr>
          <w:rFonts w:cs="Times New Roman"/>
          <w:szCs w:val="24"/>
          <w:lang w:val="en-GB"/>
        </w:rPr>
        <w:t>The European institutions are not a state in the traditional sense of a nation state. Nations states are strategic fields that allow for conflict between competing social classes (Durand and Keuchyan, 2015, p.2). The European institutional setting specifically does not allow for conflict between social classes and several reasons can be distinguished why this the case</w:t>
      </w:r>
      <w:r w:rsidR="00501268">
        <w:rPr>
          <w:rFonts w:cs="Times New Roman"/>
          <w:szCs w:val="24"/>
          <w:lang w:val="en-GB"/>
        </w:rPr>
        <w:t xml:space="preserve">: </w:t>
      </w:r>
      <w:r w:rsidRPr="00227B02">
        <w:rPr>
          <w:rFonts w:cs="Times New Roman"/>
          <w:szCs w:val="24"/>
          <w:lang w:val="en-GB"/>
        </w:rPr>
        <w:t xml:space="preserve">Firstly, because of the limited areas of operation of the European Union. Secondly, the body of the European Union with the right of initiative, that is the right to propose new legislation, the European Commission is not democratically chosen. Thirdly, the European Commission has limited accountability and does not have to justify their actions to an electorate. </w:t>
      </w:r>
    </w:p>
    <w:p w14:paraId="2CF76827" w14:textId="464AF6EA" w:rsidR="0020367E" w:rsidRDefault="00CB69A6" w:rsidP="00CB69A6">
      <w:pPr>
        <w:jc w:val="both"/>
        <w:rPr>
          <w:rFonts w:cs="Times New Roman"/>
          <w:szCs w:val="24"/>
          <w:lang w:val="en-GB"/>
        </w:rPr>
      </w:pPr>
      <w:r>
        <w:rPr>
          <w:rFonts w:cs="Times New Roman"/>
          <w:szCs w:val="24"/>
          <w:lang w:val="en-GB"/>
        </w:rPr>
        <w:lastRenderedPageBreak/>
        <w:t>T</w:t>
      </w:r>
      <w:r w:rsidRPr="00342967">
        <w:rPr>
          <w:rFonts w:cs="Times New Roman"/>
          <w:szCs w:val="24"/>
          <w:lang w:val="en-GB"/>
        </w:rPr>
        <w:t>he core competencies the European Union</w:t>
      </w:r>
      <w:r>
        <w:rPr>
          <w:rFonts w:cs="Times New Roman"/>
          <w:szCs w:val="24"/>
          <w:lang w:val="en-GB"/>
        </w:rPr>
        <w:t xml:space="preserve"> are</w:t>
      </w:r>
      <w:r w:rsidR="00501268">
        <w:rPr>
          <w:rFonts w:cs="Times New Roman"/>
          <w:szCs w:val="24"/>
          <w:lang w:val="en-GB"/>
        </w:rPr>
        <w:t>, bluntly put,</w:t>
      </w:r>
      <w:r w:rsidRPr="00342967">
        <w:rPr>
          <w:rFonts w:cs="Times New Roman"/>
          <w:szCs w:val="24"/>
          <w:lang w:val="en-GB"/>
        </w:rPr>
        <w:t xml:space="preserve"> </w:t>
      </w:r>
      <w:r w:rsidR="00501268">
        <w:rPr>
          <w:rFonts w:cs="Times New Roman"/>
          <w:szCs w:val="24"/>
          <w:lang w:val="en-GB"/>
        </w:rPr>
        <w:t xml:space="preserve">the regulation of </w:t>
      </w:r>
      <w:r w:rsidRPr="00342967">
        <w:rPr>
          <w:rFonts w:cs="Times New Roman"/>
          <w:szCs w:val="24"/>
          <w:lang w:val="en-GB"/>
        </w:rPr>
        <w:t>trade, competition and finance</w:t>
      </w:r>
      <w:r>
        <w:rPr>
          <w:rFonts w:cs="Times New Roman"/>
          <w:szCs w:val="24"/>
          <w:lang w:val="en-GB"/>
        </w:rPr>
        <w:t>.</w:t>
      </w:r>
      <w:r w:rsidRPr="00342967">
        <w:rPr>
          <w:rFonts w:cs="Times New Roman"/>
          <w:szCs w:val="24"/>
          <w:lang w:val="en-GB"/>
        </w:rPr>
        <w:t xml:space="preserve"> The concept of strategic selectivity, the restructuring of the State to the benefit of the hegemonic force, directly applies to the coming about of these core competencies as </w:t>
      </w:r>
      <w:r>
        <w:rPr>
          <w:rFonts w:cs="Times New Roman"/>
          <w:szCs w:val="24"/>
          <w:lang w:val="en-GB"/>
        </w:rPr>
        <w:t>they are</w:t>
      </w:r>
      <w:r w:rsidRPr="00342967">
        <w:rPr>
          <w:rFonts w:cs="Times New Roman"/>
          <w:szCs w:val="24"/>
          <w:lang w:val="en-GB"/>
        </w:rPr>
        <w:t xml:space="preserve"> the direct result of the domination of capital in the integration process (Durand and Keucheyan, 2015, p.13).</w:t>
      </w:r>
      <w:r>
        <w:rPr>
          <w:rFonts w:cs="Times New Roman"/>
          <w:szCs w:val="24"/>
          <w:lang w:val="en-GB"/>
        </w:rPr>
        <w:t xml:space="preserve"> Therefore, the Commission</w:t>
      </w:r>
      <w:r w:rsidR="00793A5C">
        <w:rPr>
          <w:rFonts w:cs="Times New Roman"/>
          <w:szCs w:val="24"/>
          <w:lang w:val="en-GB"/>
        </w:rPr>
        <w:t>, the executive of the European Union,</w:t>
      </w:r>
      <w:r>
        <w:rPr>
          <w:rFonts w:cs="Times New Roman"/>
          <w:szCs w:val="24"/>
          <w:lang w:val="en-GB"/>
        </w:rPr>
        <w:t xml:space="preserve"> has no focus on the interest of broader society. </w:t>
      </w:r>
      <w:r w:rsidR="00CD2291">
        <w:rPr>
          <w:rFonts w:cs="Times New Roman"/>
          <w:szCs w:val="24"/>
          <w:lang w:val="en-GB"/>
        </w:rPr>
        <w:t>Compared to national governments, t</w:t>
      </w:r>
      <w:r w:rsidRPr="00227B02">
        <w:rPr>
          <w:rFonts w:cs="Times New Roman"/>
          <w:szCs w:val="24"/>
          <w:lang w:val="en-GB"/>
        </w:rPr>
        <w:t xml:space="preserve">he </w:t>
      </w:r>
      <w:r w:rsidR="00E63B39">
        <w:rPr>
          <w:rFonts w:cs="Times New Roman"/>
          <w:szCs w:val="24"/>
          <w:lang w:val="en-GB"/>
        </w:rPr>
        <w:t>C</w:t>
      </w:r>
      <w:r w:rsidRPr="00227B02">
        <w:rPr>
          <w:rFonts w:cs="Times New Roman"/>
          <w:szCs w:val="24"/>
          <w:lang w:val="en-GB"/>
        </w:rPr>
        <w:t>ommission</w:t>
      </w:r>
      <w:r>
        <w:rPr>
          <w:rFonts w:cs="Times New Roman"/>
          <w:szCs w:val="24"/>
          <w:lang w:val="en-GB"/>
        </w:rPr>
        <w:t xml:space="preserve"> possess a great deal of power</w:t>
      </w:r>
      <w:r w:rsidR="0020367E">
        <w:rPr>
          <w:rFonts w:cs="Times New Roman"/>
          <w:szCs w:val="24"/>
          <w:lang w:val="en-GB"/>
        </w:rPr>
        <w:t xml:space="preserve"> as the Commission</w:t>
      </w:r>
      <w:r w:rsidR="002B5537">
        <w:rPr>
          <w:rFonts w:cs="Times New Roman"/>
          <w:szCs w:val="24"/>
          <w:lang w:val="en-GB"/>
        </w:rPr>
        <w:t xml:space="preserve"> is</w:t>
      </w:r>
      <w:r w:rsidR="0020367E">
        <w:rPr>
          <w:rFonts w:cs="Times New Roman"/>
          <w:szCs w:val="24"/>
          <w:lang w:val="en-GB"/>
        </w:rPr>
        <w:t xml:space="preserve"> not </w:t>
      </w:r>
      <w:r w:rsidR="00C03F3B">
        <w:rPr>
          <w:rFonts w:cs="Times New Roman"/>
          <w:szCs w:val="24"/>
          <w:lang w:val="en-GB"/>
        </w:rPr>
        <w:t xml:space="preserve">only </w:t>
      </w:r>
      <w:r w:rsidR="0020367E">
        <w:rPr>
          <w:rFonts w:cs="Times New Roman"/>
          <w:szCs w:val="24"/>
          <w:lang w:val="en-GB"/>
        </w:rPr>
        <w:t>the executive</w:t>
      </w:r>
      <w:r w:rsidR="005442A8">
        <w:rPr>
          <w:rFonts w:cs="Times New Roman"/>
          <w:szCs w:val="24"/>
          <w:lang w:val="en-GB"/>
        </w:rPr>
        <w:t>, it also possess</w:t>
      </w:r>
      <w:r w:rsidR="008855EA">
        <w:rPr>
          <w:rFonts w:cs="Times New Roman"/>
          <w:szCs w:val="24"/>
          <w:lang w:val="en-GB"/>
        </w:rPr>
        <w:t>es</w:t>
      </w:r>
      <w:r w:rsidR="005442A8">
        <w:rPr>
          <w:rFonts w:cs="Times New Roman"/>
          <w:szCs w:val="24"/>
          <w:lang w:val="en-GB"/>
        </w:rPr>
        <w:t xml:space="preserve"> the right of initiative</w:t>
      </w:r>
      <w:r w:rsidR="00501268">
        <w:rPr>
          <w:rFonts w:cs="Times New Roman"/>
          <w:szCs w:val="24"/>
          <w:lang w:val="en-GB"/>
        </w:rPr>
        <w:t>. The C</w:t>
      </w:r>
      <w:r w:rsidR="0020367E">
        <w:rPr>
          <w:rFonts w:cs="Times New Roman"/>
          <w:szCs w:val="24"/>
          <w:lang w:val="en-GB"/>
        </w:rPr>
        <w:t xml:space="preserve">ommission is thus both the </w:t>
      </w:r>
      <w:r w:rsidR="00C03F3B">
        <w:rPr>
          <w:rFonts w:cs="Times New Roman"/>
          <w:szCs w:val="24"/>
          <w:lang w:val="en-GB"/>
        </w:rPr>
        <w:t xml:space="preserve">driving </w:t>
      </w:r>
      <w:r w:rsidR="0020367E">
        <w:rPr>
          <w:rFonts w:cs="Times New Roman"/>
          <w:szCs w:val="24"/>
          <w:lang w:val="en-GB"/>
        </w:rPr>
        <w:t>force behind European integration and the executive of European integration.</w:t>
      </w:r>
      <w:r w:rsidR="00AE60DF">
        <w:rPr>
          <w:rFonts w:cs="Times New Roman"/>
          <w:szCs w:val="24"/>
          <w:lang w:val="en-GB"/>
        </w:rPr>
        <w:t xml:space="preserve"> </w:t>
      </w:r>
    </w:p>
    <w:p w14:paraId="5928F7FD" w14:textId="1AEF4EC6" w:rsidR="008855EA" w:rsidRDefault="00AE60DF" w:rsidP="00CB69A6">
      <w:pPr>
        <w:jc w:val="both"/>
        <w:rPr>
          <w:rFonts w:cs="Times New Roman"/>
          <w:szCs w:val="24"/>
          <w:lang w:val="en-GB"/>
        </w:rPr>
      </w:pPr>
      <w:r>
        <w:rPr>
          <w:rFonts w:cs="Times New Roman"/>
          <w:szCs w:val="24"/>
          <w:lang w:val="en-GB"/>
        </w:rPr>
        <w:t>The Commission operates</w:t>
      </w:r>
      <w:r w:rsidR="006C1A46">
        <w:rPr>
          <w:rFonts w:cs="Times New Roman"/>
          <w:szCs w:val="24"/>
          <w:lang w:val="en-GB"/>
        </w:rPr>
        <w:t xml:space="preserve"> without a </w:t>
      </w:r>
      <w:r w:rsidR="00CB69A6">
        <w:rPr>
          <w:rFonts w:cs="Times New Roman"/>
          <w:szCs w:val="24"/>
          <w:lang w:val="en-GB"/>
        </w:rPr>
        <w:t xml:space="preserve">real democratic mandate as there is no </w:t>
      </w:r>
      <w:r w:rsidR="00CB69A6">
        <w:rPr>
          <w:rFonts w:cs="Times New Roman"/>
          <w:i/>
          <w:szCs w:val="24"/>
          <w:lang w:val="en-GB"/>
        </w:rPr>
        <w:t>demos</w:t>
      </w:r>
      <w:r w:rsidR="00CB69A6">
        <w:rPr>
          <w:rFonts w:cs="Times New Roman"/>
          <w:szCs w:val="24"/>
          <w:lang w:val="en-GB"/>
        </w:rPr>
        <w:t xml:space="preserve"> </w:t>
      </w:r>
      <w:r w:rsidR="006C1A46">
        <w:rPr>
          <w:rFonts w:cs="Times New Roman"/>
          <w:szCs w:val="24"/>
          <w:lang w:val="en-GB"/>
        </w:rPr>
        <w:t>the Commission</w:t>
      </w:r>
      <w:r w:rsidR="00CB69A6">
        <w:rPr>
          <w:rFonts w:cs="Times New Roman"/>
          <w:szCs w:val="24"/>
          <w:lang w:val="en-GB"/>
        </w:rPr>
        <w:t xml:space="preserve"> directly represents.</w:t>
      </w:r>
      <w:r>
        <w:rPr>
          <w:rFonts w:cs="Times New Roman"/>
          <w:szCs w:val="24"/>
          <w:lang w:val="en-GB"/>
        </w:rPr>
        <w:t xml:space="preserve"> </w:t>
      </w:r>
      <w:r w:rsidR="00CB69A6" w:rsidRPr="00227B02">
        <w:rPr>
          <w:rFonts w:cs="Times New Roman"/>
          <w:szCs w:val="24"/>
          <w:lang w:val="en-GB"/>
        </w:rPr>
        <w:t xml:space="preserve">The president of the Commission is chosen by the European Council, made up of EU heads of state and government and needs to be accepted by the European parliament. The president can propose his own college </w:t>
      </w:r>
      <w:r w:rsidR="00924B3D">
        <w:rPr>
          <w:rFonts w:cs="Times New Roman"/>
          <w:szCs w:val="24"/>
          <w:lang w:val="en-GB"/>
        </w:rPr>
        <w:t>of</w:t>
      </w:r>
      <w:r w:rsidR="00CB69A6" w:rsidRPr="00227B02">
        <w:rPr>
          <w:rFonts w:cs="Times New Roman"/>
          <w:szCs w:val="24"/>
          <w:lang w:val="en-GB"/>
        </w:rPr>
        <w:t xml:space="preserve"> commissioner</w:t>
      </w:r>
      <w:r w:rsidR="00924B3D">
        <w:rPr>
          <w:rFonts w:cs="Times New Roman"/>
          <w:szCs w:val="24"/>
          <w:lang w:val="en-GB"/>
        </w:rPr>
        <w:t>s</w:t>
      </w:r>
      <w:r w:rsidR="00CB69A6" w:rsidRPr="00227B02">
        <w:rPr>
          <w:rFonts w:cs="Times New Roman"/>
          <w:szCs w:val="24"/>
          <w:lang w:val="en-GB"/>
        </w:rPr>
        <w:t xml:space="preserve"> that in turn also need to be accepted by the European Parliament. The President, however, has the sole right to </w:t>
      </w:r>
      <w:r w:rsidR="00924B3D">
        <w:rPr>
          <w:rFonts w:cs="Times New Roman"/>
          <w:szCs w:val="24"/>
          <w:lang w:val="en-GB"/>
        </w:rPr>
        <w:t>divide</w:t>
      </w:r>
      <w:r w:rsidR="00CB69A6" w:rsidRPr="00227B02">
        <w:rPr>
          <w:rFonts w:cs="Times New Roman"/>
          <w:szCs w:val="24"/>
          <w:lang w:val="en-GB"/>
        </w:rPr>
        <w:t xml:space="preserve"> the policy areas </w:t>
      </w:r>
      <w:r w:rsidR="00924B3D">
        <w:rPr>
          <w:rFonts w:cs="Times New Roman"/>
          <w:szCs w:val="24"/>
          <w:lang w:val="en-GB"/>
        </w:rPr>
        <w:t>amongst the</w:t>
      </w:r>
      <w:r w:rsidR="00CB69A6" w:rsidRPr="00227B02">
        <w:rPr>
          <w:rFonts w:cs="Times New Roman"/>
          <w:szCs w:val="24"/>
          <w:lang w:val="en-GB"/>
        </w:rPr>
        <w:t xml:space="preserve"> accepted commissioners. The </w:t>
      </w:r>
      <w:r w:rsidR="003D404A">
        <w:rPr>
          <w:rFonts w:cs="Times New Roman"/>
          <w:szCs w:val="24"/>
          <w:lang w:val="en-GB"/>
        </w:rPr>
        <w:t>C</w:t>
      </w:r>
      <w:r w:rsidR="00CB69A6" w:rsidRPr="00227B02">
        <w:rPr>
          <w:rFonts w:cs="Times New Roman"/>
          <w:szCs w:val="24"/>
          <w:lang w:val="en-GB"/>
        </w:rPr>
        <w:t xml:space="preserve">ommission operates as a whole, that means that each commissioner has to agree with a policy. Although each commissioner has its own policy portfolio, the commissioner of competition, for example, has to agree with a policy proposal regarding the environment, or the policy will not follow through. Each policy area has its own Directorates-General (DGs) which are chaired by the commissioner of that policy area. Under the </w:t>
      </w:r>
      <w:r w:rsidR="003D404A">
        <w:rPr>
          <w:rFonts w:cs="Times New Roman"/>
          <w:szCs w:val="24"/>
          <w:lang w:val="en-GB"/>
        </w:rPr>
        <w:t>C</w:t>
      </w:r>
      <w:r w:rsidR="00CB69A6" w:rsidRPr="00227B02">
        <w:rPr>
          <w:rFonts w:cs="Times New Roman"/>
          <w:szCs w:val="24"/>
          <w:lang w:val="en-GB"/>
        </w:rPr>
        <w:t>ommission stands the director general with its own cabinet.</w:t>
      </w:r>
    </w:p>
    <w:p w14:paraId="36108830" w14:textId="1E5AA850" w:rsidR="00CB69A6" w:rsidRPr="00227B02" w:rsidRDefault="00501268" w:rsidP="00CB69A6">
      <w:pPr>
        <w:jc w:val="both"/>
        <w:rPr>
          <w:rFonts w:cs="Times New Roman"/>
          <w:szCs w:val="24"/>
          <w:lang w:val="en-GB"/>
        </w:rPr>
      </w:pPr>
      <w:r>
        <w:rPr>
          <w:rFonts w:cs="Times New Roman"/>
          <w:szCs w:val="24"/>
          <w:lang w:val="en-GB"/>
        </w:rPr>
        <w:t>The C</w:t>
      </w:r>
      <w:r w:rsidR="00CB69A6" w:rsidRPr="00227B02">
        <w:rPr>
          <w:rFonts w:cs="Times New Roman"/>
          <w:szCs w:val="24"/>
          <w:lang w:val="en-GB"/>
        </w:rPr>
        <w:t>ommission tries to increase its democratic image by granting opportunities for consultation and advice and by creating expert groups consisting of public and private actors to advice on new policy proposals. These measures are more symbolic than that they truly improve the democratic nature of the Commission. The green and white papers, for example, the Commission publishes on new proposals are an attempt to increase transparency and public participat</w:t>
      </w:r>
      <w:r>
        <w:rPr>
          <w:rFonts w:cs="Times New Roman"/>
          <w:szCs w:val="24"/>
          <w:lang w:val="en-GB"/>
        </w:rPr>
        <w:t>ion, but at the same time, the C</w:t>
      </w:r>
      <w:r w:rsidR="00CB69A6" w:rsidRPr="00227B02">
        <w:rPr>
          <w:rFonts w:cs="Times New Roman"/>
          <w:szCs w:val="24"/>
          <w:lang w:val="en-GB"/>
        </w:rPr>
        <w:t>ommission has complete control over th</w:t>
      </w:r>
      <w:r>
        <w:rPr>
          <w:rFonts w:cs="Times New Roman"/>
          <w:szCs w:val="24"/>
          <w:lang w:val="en-GB"/>
        </w:rPr>
        <w:t>e content of those papers. The C</w:t>
      </w:r>
      <w:r w:rsidR="00CB69A6" w:rsidRPr="00227B02">
        <w:rPr>
          <w:rFonts w:cs="Times New Roman"/>
          <w:szCs w:val="24"/>
          <w:lang w:val="en-GB"/>
        </w:rPr>
        <w:t xml:space="preserve">ommission can thus decide what part of the policy proposal </w:t>
      </w:r>
      <w:r>
        <w:rPr>
          <w:rFonts w:cs="Times New Roman"/>
          <w:szCs w:val="24"/>
          <w:lang w:val="en-GB"/>
        </w:rPr>
        <w:t>it includes in the g</w:t>
      </w:r>
      <w:r w:rsidR="00CB69A6" w:rsidRPr="00227B02">
        <w:rPr>
          <w:rFonts w:cs="Times New Roman"/>
          <w:szCs w:val="24"/>
          <w:lang w:val="en-GB"/>
        </w:rPr>
        <w:t xml:space="preserve">reen paper and what not, which makes it easy to </w:t>
      </w:r>
      <w:r w:rsidR="00BE7E24">
        <w:rPr>
          <w:rFonts w:cs="Times New Roman"/>
          <w:szCs w:val="24"/>
          <w:lang w:val="en-GB"/>
        </w:rPr>
        <w:t>look</w:t>
      </w:r>
      <w:r w:rsidR="00CB69A6" w:rsidRPr="00227B02">
        <w:rPr>
          <w:rFonts w:cs="Times New Roman"/>
          <w:szCs w:val="24"/>
          <w:lang w:val="en-GB"/>
        </w:rPr>
        <w:t xml:space="preserve"> </w:t>
      </w:r>
      <w:r w:rsidR="00BE7E24" w:rsidRPr="00227B02">
        <w:rPr>
          <w:rFonts w:cs="Times New Roman"/>
          <w:szCs w:val="24"/>
          <w:lang w:val="en-GB"/>
        </w:rPr>
        <w:t>accountab</w:t>
      </w:r>
      <w:r w:rsidR="00BE7E24">
        <w:rPr>
          <w:rFonts w:cs="Times New Roman"/>
          <w:szCs w:val="24"/>
          <w:lang w:val="en-GB"/>
        </w:rPr>
        <w:t>le</w:t>
      </w:r>
      <w:r w:rsidR="00CB69A6" w:rsidRPr="00227B02">
        <w:rPr>
          <w:rFonts w:cs="Times New Roman"/>
          <w:szCs w:val="24"/>
          <w:lang w:val="en-GB"/>
        </w:rPr>
        <w:t xml:space="preserve"> and transpa</w:t>
      </w:r>
      <w:r w:rsidR="00BE7E24">
        <w:rPr>
          <w:rFonts w:cs="Times New Roman"/>
          <w:szCs w:val="24"/>
          <w:lang w:val="en-GB"/>
        </w:rPr>
        <w:t>rent, without actually being accountable and transparent</w:t>
      </w:r>
      <w:r w:rsidR="00CB69A6" w:rsidRPr="00227B02">
        <w:rPr>
          <w:rFonts w:cs="Times New Roman"/>
          <w:szCs w:val="24"/>
          <w:lang w:val="en-GB"/>
        </w:rPr>
        <w:t xml:space="preserve">. The expert groups that serve the same goal of increasing participation and transparency, are not as innocent as they may seem. They have far reaching influence on the </w:t>
      </w:r>
      <w:r w:rsidR="00CB69A6" w:rsidRPr="00227B02">
        <w:rPr>
          <w:rFonts w:cs="Times New Roman"/>
          <w:szCs w:val="24"/>
          <w:lang w:val="en-GB"/>
        </w:rPr>
        <w:lastRenderedPageBreak/>
        <w:t>Commissi</w:t>
      </w:r>
      <w:r>
        <w:rPr>
          <w:rFonts w:cs="Times New Roman"/>
          <w:szCs w:val="24"/>
          <w:lang w:val="en-GB"/>
        </w:rPr>
        <w:t>on and more often than not the C</w:t>
      </w:r>
      <w:r w:rsidR="00CB69A6" w:rsidRPr="00227B02">
        <w:rPr>
          <w:rFonts w:cs="Times New Roman"/>
          <w:szCs w:val="24"/>
          <w:lang w:val="en-GB"/>
        </w:rPr>
        <w:t>ommission</w:t>
      </w:r>
      <w:r w:rsidR="00940826">
        <w:rPr>
          <w:rFonts w:cs="Times New Roman"/>
          <w:szCs w:val="24"/>
          <w:lang w:val="en-GB"/>
        </w:rPr>
        <w:t xml:space="preserve"> directly</w:t>
      </w:r>
      <w:r w:rsidR="00CB69A6" w:rsidRPr="00227B02">
        <w:rPr>
          <w:rFonts w:cs="Times New Roman"/>
          <w:szCs w:val="24"/>
          <w:lang w:val="en-GB"/>
        </w:rPr>
        <w:t xml:space="preserve"> follows the proposals and advice of these expert groups (Horn, 2008, p.137). </w:t>
      </w:r>
    </w:p>
    <w:p w14:paraId="33456D95" w14:textId="3D6B9E62" w:rsidR="00CB69A6" w:rsidRDefault="00501268" w:rsidP="00CB69A6">
      <w:pPr>
        <w:jc w:val="both"/>
        <w:rPr>
          <w:rFonts w:cs="Times New Roman"/>
          <w:szCs w:val="24"/>
          <w:lang w:val="en-GB"/>
        </w:rPr>
      </w:pPr>
      <w:r>
        <w:rPr>
          <w:rFonts w:cs="Times New Roman"/>
          <w:szCs w:val="24"/>
          <w:lang w:val="en-GB"/>
        </w:rPr>
        <w:t>In a w</w:t>
      </w:r>
      <w:r w:rsidR="00CB69A6" w:rsidRPr="00227B02">
        <w:rPr>
          <w:rFonts w:cs="Times New Roman"/>
          <w:szCs w:val="24"/>
          <w:lang w:val="en-GB"/>
        </w:rPr>
        <w:t>hite paper on European governance the Commission formulated the goal of making EU decision making more transparent, participatory and accountable to European citizens (European Commission, 2001, p.6). The proposed goals, however, will never be reached in the current institutional design. The Commission was never set up to reach out to the public and to achieve democratic engagement, in other words, it is incompatible with the goal of democratic accountability (Shore, 2011, p.292). What also</w:t>
      </w:r>
      <w:r w:rsidR="00F7316F">
        <w:rPr>
          <w:rFonts w:cs="Times New Roman"/>
          <w:szCs w:val="24"/>
          <w:lang w:val="en-GB"/>
        </w:rPr>
        <w:t xml:space="preserve"> is</w:t>
      </w:r>
      <w:r w:rsidR="00CB69A6" w:rsidRPr="00227B02">
        <w:rPr>
          <w:rFonts w:cs="Times New Roman"/>
          <w:szCs w:val="24"/>
          <w:lang w:val="en-GB"/>
        </w:rPr>
        <w:t xml:space="preserve"> not helping</w:t>
      </w:r>
      <w:r w:rsidR="00F7316F">
        <w:rPr>
          <w:rFonts w:cs="Times New Roman"/>
          <w:szCs w:val="24"/>
          <w:lang w:val="en-GB"/>
        </w:rPr>
        <w:t xml:space="preserve"> is</w:t>
      </w:r>
      <w:r w:rsidR="00CB69A6" w:rsidRPr="00227B02">
        <w:rPr>
          <w:rFonts w:cs="Times New Roman"/>
          <w:szCs w:val="24"/>
          <w:lang w:val="en-GB"/>
        </w:rPr>
        <w:t xml:space="preserve"> that in the view of the Commission the </w:t>
      </w:r>
      <w:r w:rsidR="00F7316F">
        <w:rPr>
          <w:rFonts w:cs="Times New Roman"/>
          <w:szCs w:val="24"/>
          <w:lang w:val="en-GB"/>
        </w:rPr>
        <w:t>democratic deficit</w:t>
      </w:r>
      <w:r w:rsidR="00CB69A6" w:rsidRPr="00227B02">
        <w:rPr>
          <w:rFonts w:cs="Times New Roman"/>
          <w:szCs w:val="24"/>
          <w:lang w:val="en-GB"/>
        </w:rPr>
        <w:t xml:space="preserve"> is approached as a technical problem that can be solved by improving communication and information supply to the public (Shore, 2011, p.292). The prevailing thought within the Commission is that any resistance by the European people to the EU institutions on grounds of lacking democratic principles are the result of misunderstanding, lack of information and ignorance, not on the actual institutional setup of the EU</w:t>
      </w:r>
      <w:r w:rsidR="00CB69A6">
        <w:rPr>
          <w:rFonts w:cs="Times New Roman"/>
          <w:szCs w:val="24"/>
          <w:lang w:val="en-GB"/>
        </w:rPr>
        <w:t>.</w:t>
      </w:r>
    </w:p>
    <w:p w14:paraId="09016437" w14:textId="3A28E881" w:rsidR="004F4F5F" w:rsidRPr="004F4F5F" w:rsidRDefault="007F5D48" w:rsidP="0093327B">
      <w:pPr>
        <w:jc w:val="both"/>
        <w:rPr>
          <w:lang w:val="en-GB"/>
        </w:rPr>
      </w:pPr>
      <w:r>
        <w:rPr>
          <w:rFonts w:cs="Times New Roman"/>
          <w:szCs w:val="24"/>
          <w:lang w:val="en-GB"/>
        </w:rPr>
        <w:t>The European Commission is thus a powerful institution</w:t>
      </w:r>
      <w:r w:rsidR="00B031EF">
        <w:rPr>
          <w:rFonts w:cs="Times New Roman"/>
          <w:szCs w:val="24"/>
          <w:lang w:val="en-GB"/>
        </w:rPr>
        <w:t xml:space="preserve"> that possess the right of initiative and is the executive</w:t>
      </w:r>
      <w:r w:rsidR="00663B33">
        <w:rPr>
          <w:rFonts w:cs="Times New Roman"/>
          <w:szCs w:val="24"/>
          <w:lang w:val="en-GB"/>
        </w:rPr>
        <w:t xml:space="preserve"> and has a limited focus that mainly focuses on policy areas relevant for capital. And all of this without a clear democratic mandate and without a </w:t>
      </w:r>
      <w:r w:rsidR="00663B33">
        <w:rPr>
          <w:rFonts w:cs="Times New Roman"/>
          <w:i/>
          <w:szCs w:val="24"/>
          <w:lang w:val="en-GB"/>
        </w:rPr>
        <w:t>demos</w:t>
      </w:r>
      <w:r w:rsidR="00663B33">
        <w:rPr>
          <w:rFonts w:cs="Times New Roman"/>
          <w:szCs w:val="24"/>
          <w:lang w:val="en-GB"/>
        </w:rPr>
        <w:t xml:space="preserve"> the </w:t>
      </w:r>
      <w:r w:rsidR="00183278">
        <w:rPr>
          <w:rFonts w:cs="Times New Roman"/>
          <w:szCs w:val="24"/>
          <w:lang w:val="en-GB"/>
        </w:rPr>
        <w:t>C</w:t>
      </w:r>
      <w:r w:rsidR="00663B33">
        <w:rPr>
          <w:rFonts w:cs="Times New Roman"/>
          <w:szCs w:val="24"/>
          <w:lang w:val="en-GB"/>
        </w:rPr>
        <w:t>ommission has to answer to.</w:t>
      </w:r>
      <w:r>
        <w:rPr>
          <w:rFonts w:cs="Times New Roman"/>
          <w:szCs w:val="24"/>
          <w:lang w:val="en-GB"/>
        </w:rPr>
        <w:t xml:space="preserve"> This </w:t>
      </w:r>
      <w:r w:rsidR="00663B33">
        <w:rPr>
          <w:rFonts w:cs="Times New Roman"/>
          <w:szCs w:val="24"/>
          <w:lang w:val="en-GB"/>
        </w:rPr>
        <w:t xml:space="preserve">characterisation </w:t>
      </w:r>
      <w:r>
        <w:rPr>
          <w:rFonts w:cs="Times New Roman"/>
          <w:szCs w:val="24"/>
          <w:lang w:val="en-GB"/>
        </w:rPr>
        <w:t xml:space="preserve">is an important </w:t>
      </w:r>
      <w:r w:rsidR="00663B33">
        <w:rPr>
          <w:rFonts w:cs="Times New Roman"/>
          <w:szCs w:val="24"/>
          <w:lang w:val="en-GB"/>
        </w:rPr>
        <w:t>building block in the final explanans and</w:t>
      </w:r>
      <w:r>
        <w:rPr>
          <w:rFonts w:cs="Times New Roman"/>
          <w:szCs w:val="24"/>
          <w:lang w:val="en-GB"/>
        </w:rPr>
        <w:t xml:space="preserve"> for the</w:t>
      </w:r>
      <w:r w:rsidR="0093327B">
        <w:rPr>
          <w:rFonts w:cs="Times New Roman"/>
          <w:szCs w:val="24"/>
          <w:lang w:val="en-GB"/>
        </w:rPr>
        <w:t xml:space="preserve"> analysis that follows.</w:t>
      </w:r>
    </w:p>
    <w:p w14:paraId="1A8D0EE5" w14:textId="3973AB96" w:rsidR="005506B2" w:rsidRPr="00342967" w:rsidRDefault="005506B2" w:rsidP="00D904F7">
      <w:pPr>
        <w:pStyle w:val="Kop2"/>
        <w:jc w:val="both"/>
        <w:rPr>
          <w:lang w:val="en-GB"/>
        </w:rPr>
      </w:pPr>
      <w:bookmarkStart w:id="19" w:name="_Toc518333115"/>
      <w:r w:rsidRPr="00342967">
        <w:rPr>
          <w:lang w:val="en-GB"/>
        </w:rPr>
        <w:t>3.</w:t>
      </w:r>
      <w:r w:rsidR="00C11299" w:rsidRPr="00342967">
        <w:rPr>
          <w:lang w:val="en-GB"/>
        </w:rPr>
        <w:t>3</w:t>
      </w:r>
      <w:r w:rsidRPr="00342967">
        <w:rPr>
          <w:lang w:val="en-GB"/>
        </w:rPr>
        <w:t xml:space="preserve"> Financialisation</w:t>
      </w:r>
      <w:bookmarkEnd w:id="19"/>
    </w:p>
    <w:p w14:paraId="308131E5" w14:textId="4EDF13AA" w:rsidR="005506B2" w:rsidRPr="00342967" w:rsidRDefault="005506B2" w:rsidP="00D904F7">
      <w:pPr>
        <w:jc w:val="both"/>
        <w:rPr>
          <w:rFonts w:cs="Times New Roman"/>
          <w:szCs w:val="24"/>
          <w:lang w:val="en-GB"/>
        </w:rPr>
      </w:pPr>
      <w:r w:rsidRPr="00342967">
        <w:rPr>
          <w:rFonts w:cs="Times New Roman"/>
          <w:szCs w:val="24"/>
          <w:lang w:val="en-GB"/>
        </w:rPr>
        <w:t xml:space="preserve">Financialisation is the defining characteristic of the Neoliberal SSA. Financialisation refers to the dominance by the financial industry and the fact that financial activities have prominence over production of goods and services in the economy. </w:t>
      </w:r>
      <w:r w:rsidR="00BA74B4" w:rsidRPr="00342967">
        <w:rPr>
          <w:rFonts w:cs="Times New Roman"/>
          <w:szCs w:val="24"/>
          <w:lang w:val="en-GB"/>
        </w:rPr>
        <w:t>Consequently</w:t>
      </w:r>
      <w:r w:rsidRPr="00342967">
        <w:rPr>
          <w:rFonts w:cs="Times New Roman"/>
          <w:szCs w:val="24"/>
          <w:lang w:val="en-GB"/>
        </w:rPr>
        <w:t xml:space="preserve">, financial markets determine the overall state of the economy </w:t>
      </w:r>
      <w:r w:rsidR="001E6630" w:rsidRPr="00342967">
        <w:rPr>
          <w:rFonts w:cs="Times New Roman"/>
          <w:szCs w:val="24"/>
          <w:lang w:val="en-GB"/>
        </w:rPr>
        <w:t>and e</w:t>
      </w:r>
      <w:r w:rsidRPr="00342967">
        <w:rPr>
          <w:rFonts w:cs="Times New Roman"/>
          <w:szCs w:val="24"/>
          <w:lang w:val="en-GB"/>
        </w:rPr>
        <w:t>very economic agent operates at the mercy of the financial markets</w:t>
      </w:r>
      <w:r w:rsidR="001E6630" w:rsidRPr="00342967">
        <w:rPr>
          <w:rFonts w:cs="Times New Roman"/>
          <w:szCs w:val="24"/>
          <w:lang w:val="en-GB"/>
        </w:rPr>
        <w:t xml:space="preserve"> (Tabb, 2010, p.149).</w:t>
      </w:r>
      <w:r w:rsidRPr="00342967">
        <w:rPr>
          <w:rFonts w:cs="Times New Roman"/>
          <w:szCs w:val="24"/>
          <w:lang w:val="en-GB"/>
        </w:rPr>
        <w:t xml:space="preserve"> Stock prices, currency values and interest rates determine the economic future of working people, but also that of large companies and even the course of action politicians take (Tabb, 2010, p.149).  The root of financialisation can be traced back to increasing debt levels under the neoliberal SSA. Three causes can be distinguished that caused the increasing debt levels. Firstly, the neoliberal SSA shifted the responsibility for economic stability from the </w:t>
      </w:r>
      <w:r w:rsidRPr="00342967">
        <w:rPr>
          <w:rFonts w:cs="Times New Roman"/>
          <w:szCs w:val="24"/>
          <w:lang w:val="en-GB"/>
        </w:rPr>
        <w:lastRenderedPageBreak/>
        <w:t xml:space="preserve">government to the individual. Capitalism has an inherent flaw that needs to be solved for </w:t>
      </w:r>
      <w:r w:rsidR="00EA7132" w:rsidRPr="00342967">
        <w:rPr>
          <w:rFonts w:cs="Times New Roman"/>
          <w:szCs w:val="24"/>
          <w:lang w:val="en-GB"/>
        </w:rPr>
        <w:t>capitalism</w:t>
      </w:r>
      <w:r w:rsidRPr="00342967">
        <w:rPr>
          <w:rFonts w:cs="Times New Roman"/>
          <w:szCs w:val="24"/>
          <w:lang w:val="en-GB"/>
        </w:rPr>
        <w:t xml:space="preserve"> to work</w:t>
      </w:r>
      <w:r w:rsidR="00212DCD" w:rsidRPr="00342967">
        <w:rPr>
          <w:rFonts w:cs="Times New Roman"/>
          <w:szCs w:val="24"/>
          <w:lang w:val="en-GB"/>
        </w:rPr>
        <w:t>,</w:t>
      </w:r>
      <w:r w:rsidRPr="00342967">
        <w:rPr>
          <w:rFonts w:cs="Times New Roman"/>
          <w:szCs w:val="24"/>
          <w:lang w:val="en-GB"/>
        </w:rPr>
        <w:t xml:space="preserve"> namely the simultaneous need for stability for consumers and flexibility for markets (Crouch, 2009). Keynesianism solved this problem by extensive government interference in the economy. In economic down times, the government would take on debt to stimulate the economy. In the Neoliberal SSA, however, this task is outsourced to the individual by providing consumers extensive access to credit markets. The distinctive characteristic between the two SSAs in this regard is that instead of the government taking on the debt, the individual did so (Crouch, 2009, p.390). Secondly, lending and safety standards deteriorated quickly</w:t>
      </w:r>
      <w:r w:rsidR="00EB3827" w:rsidRPr="00342967">
        <w:rPr>
          <w:rFonts w:cs="Times New Roman"/>
          <w:szCs w:val="24"/>
          <w:lang w:val="en-GB"/>
        </w:rPr>
        <w:t xml:space="preserve"> in the Neoliberal era</w:t>
      </w:r>
      <w:r w:rsidRPr="00342967">
        <w:rPr>
          <w:rFonts w:cs="Times New Roman"/>
          <w:szCs w:val="24"/>
          <w:lang w:val="en-GB"/>
        </w:rPr>
        <w:t xml:space="preserve">. During the run up to the financial crisis, even individuals without a fixed income could get a mortgage to finance a house. Even worse, the safety margins for banks </w:t>
      </w:r>
      <w:r w:rsidR="00A610C5" w:rsidRPr="00342967">
        <w:rPr>
          <w:rFonts w:cs="Times New Roman"/>
          <w:szCs w:val="24"/>
          <w:lang w:val="en-GB"/>
        </w:rPr>
        <w:t>to</w:t>
      </w:r>
      <w:r w:rsidRPr="00342967">
        <w:rPr>
          <w:rFonts w:cs="Times New Roman"/>
          <w:szCs w:val="24"/>
          <w:lang w:val="en-GB"/>
        </w:rPr>
        <w:t xml:space="preserve"> cover the risk of outstanding loans shrank quickly which enabled the financial sector to issue even more loans</w:t>
      </w:r>
      <w:r w:rsidR="00EB3827" w:rsidRPr="00342967">
        <w:rPr>
          <w:rFonts w:cs="Times New Roman"/>
          <w:szCs w:val="24"/>
          <w:lang w:val="en-GB"/>
        </w:rPr>
        <w:t xml:space="preserve"> without the need to acquire more capital</w:t>
      </w:r>
      <w:r w:rsidRPr="00342967">
        <w:rPr>
          <w:rFonts w:cs="Times New Roman"/>
          <w:szCs w:val="24"/>
          <w:lang w:val="en-GB"/>
        </w:rPr>
        <w:t xml:space="preserve">. Thirdly, wages remained </w:t>
      </w:r>
      <w:r w:rsidR="00EB3827" w:rsidRPr="00342967">
        <w:rPr>
          <w:rFonts w:cs="Times New Roman"/>
          <w:szCs w:val="24"/>
          <w:lang w:val="en-GB"/>
        </w:rPr>
        <w:t xml:space="preserve">more or less </w:t>
      </w:r>
      <w:r w:rsidRPr="00342967">
        <w:rPr>
          <w:rFonts w:cs="Times New Roman"/>
          <w:szCs w:val="24"/>
          <w:lang w:val="en-GB"/>
        </w:rPr>
        <w:t>stagnant because of decreasing profitability of companies</w:t>
      </w:r>
      <w:r w:rsidR="00EB3827" w:rsidRPr="00342967">
        <w:rPr>
          <w:rFonts w:cs="Times New Roman"/>
          <w:szCs w:val="24"/>
          <w:lang w:val="en-GB"/>
        </w:rPr>
        <w:t>. Profitability was under pressure because of in</w:t>
      </w:r>
      <w:r w:rsidRPr="00342967">
        <w:rPr>
          <w:rFonts w:cs="Times New Roman"/>
          <w:szCs w:val="24"/>
          <w:lang w:val="en-GB"/>
        </w:rPr>
        <w:t>creased competition both nationally and internationally.</w:t>
      </w:r>
      <w:r w:rsidR="00190CBC" w:rsidRPr="00342967">
        <w:rPr>
          <w:rFonts w:cs="Times New Roman"/>
          <w:szCs w:val="24"/>
          <w:lang w:val="en-GB"/>
        </w:rPr>
        <w:t xml:space="preserve"> Because of stagnating wages, household had to start lending </w:t>
      </w:r>
      <w:r w:rsidR="00A610C5" w:rsidRPr="00342967">
        <w:rPr>
          <w:rFonts w:cs="Times New Roman"/>
          <w:szCs w:val="24"/>
          <w:lang w:val="en-GB"/>
        </w:rPr>
        <w:t>to</w:t>
      </w:r>
      <w:r w:rsidR="00372BBB" w:rsidRPr="00342967">
        <w:rPr>
          <w:rFonts w:cs="Times New Roman"/>
          <w:szCs w:val="24"/>
          <w:lang w:val="en-GB"/>
        </w:rPr>
        <w:t xml:space="preserve"> maintain the same level of purchasing power.</w:t>
      </w:r>
      <w:r w:rsidRPr="00342967">
        <w:rPr>
          <w:rFonts w:cs="Times New Roman"/>
          <w:szCs w:val="24"/>
          <w:lang w:val="en-GB"/>
        </w:rPr>
        <w:t xml:space="preserve"> A staggering statistic that shows how much debt-levels have increased</w:t>
      </w:r>
      <w:r w:rsidR="00116C52" w:rsidRPr="00342967">
        <w:rPr>
          <w:rFonts w:cs="Times New Roman"/>
          <w:szCs w:val="24"/>
          <w:lang w:val="en-GB"/>
        </w:rPr>
        <w:t xml:space="preserve"> for American Families</w:t>
      </w:r>
      <w:r w:rsidR="00451583" w:rsidRPr="00342967">
        <w:rPr>
          <w:rFonts w:cs="Times New Roman"/>
          <w:szCs w:val="24"/>
          <w:lang w:val="en-GB"/>
        </w:rPr>
        <w:t xml:space="preserve"> in the run-up to the financial crisis</w:t>
      </w:r>
      <w:r w:rsidRPr="00342967">
        <w:rPr>
          <w:rFonts w:cs="Times New Roman"/>
          <w:szCs w:val="24"/>
          <w:lang w:val="en-GB"/>
        </w:rPr>
        <w:t xml:space="preserve"> is the fact that between 2001 and 2005, American families added to their outstanding debt at a rate of 60% greater than overall economic growth (Tabb, 2010, p.151). </w:t>
      </w:r>
    </w:p>
    <w:p w14:paraId="6763FBB3" w14:textId="155F2F3A" w:rsidR="005506B2" w:rsidRPr="00342967" w:rsidRDefault="005506B2" w:rsidP="00D904F7">
      <w:pPr>
        <w:jc w:val="both"/>
        <w:rPr>
          <w:rFonts w:cs="Times New Roman"/>
          <w:szCs w:val="24"/>
          <w:lang w:val="en-GB"/>
        </w:rPr>
      </w:pPr>
      <w:r w:rsidRPr="00342967">
        <w:rPr>
          <w:rFonts w:cs="Times New Roman"/>
          <w:szCs w:val="24"/>
          <w:lang w:val="en-GB"/>
        </w:rPr>
        <w:t xml:space="preserve">Not only individuals where victim of the </w:t>
      </w:r>
      <w:r w:rsidR="004F2E36" w:rsidRPr="00342967">
        <w:rPr>
          <w:rFonts w:cs="Times New Roman"/>
          <w:szCs w:val="24"/>
          <w:lang w:val="en-GB"/>
        </w:rPr>
        <w:t>untameable</w:t>
      </w:r>
      <w:r w:rsidRPr="00342967">
        <w:rPr>
          <w:rFonts w:cs="Times New Roman"/>
          <w:szCs w:val="24"/>
          <w:lang w:val="en-GB"/>
        </w:rPr>
        <w:t xml:space="preserve"> hunger </w:t>
      </w:r>
      <w:r w:rsidR="00501268">
        <w:rPr>
          <w:rFonts w:cs="Times New Roman"/>
          <w:szCs w:val="24"/>
          <w:lang w:val="en-GB"/>
        </w:rPr>
        <w:t xml:space="preserve">for profits </w:t>
      </w:r>
      <w:r w:rsidRPr="00342967">
        <w:rPr>
          <w:rFonts w:cs="Times New Roman"/>
          <w:szCs w:val="24"/>
          <w:lang w:val="en-GB"/>
        </w:rPr>
        <w:t xml:space="preserve">of the financial sector. The financialisation of the economy started to dominate </w:t>
      </w:r>
      <w:r w:rsidR="004F2E36" w:rsidRPr="00342967">
        <w:rPr>
          <w:rFonts w:cs="Times New Roman"/>
          <w:szCs w:val="24"/>
          <w:lang w:val="en-GB"/>
        </w:rPr>
        <w:t>corporate</w:t>
      </w:r>
      <w:r w:rsidRPr="00342967">
        <w:rPr>
          <w:rFonts w:cs="Times New Roman"/>
          <w:szCs w:val="24"/>
          <w:lang w:val="en-GB"/>
        </w:rPr>
        <w:t xml:space="preserve"> decision-making in two ways. Firstly, because of increasing availability of financial capital more and more mergers and acquisition happened (Tabb, 2010, p.151). </w:t>
      </w:r>
      <w:r w:rsidR="009D5D5E" w:rsidRPr="00342967">
        <w:rPr>
          <w:rFonts w:cs="Times New Roman"/>
          <w:szCs w:val="24"/>
          <w:lang w:val="en-GB"/>
        </w:rPr>
        <w:t xml:space="preserve">Because of </w:t>
      </w:r>
      <w:r w:rsidR="00052493" w:rsidRPr="00342967">
        <w:rPr>
          <w:rFonts w:cs="Times New Roman"/>
          <w:szCs w:val="24"/>
          <w:lang w:val="en-GB"/>
        </w:rPr>
        <w:t>globalisation</w:t>
      </w:r>
      <w:r w:rsidR="009D5D5E" w:rsidRPr="00342967">
        <w:rPr>
          <w:rFonts w:cs="Times New Roman"/>
          <w:szCs w:val="24"/>
          <w:lang w:val="en-GB"/>
        </w:rPr>
        <w:t xml:space="preserve"> and market liberalisations, firms </w:t>
      </w:r>
      <w:r w:rsidR="00052493" w:rsidRPr="00342967">
        <w:rPr>
          <w:rFonts w:cs="Times New Roman"/>
          <w:szCs w:val="24"/>
          <w:lang w:val="en-GB"/>
        </w:rPr>
        <w:t>were facing fiercer</w:t>
      </w:r>
      <w:r w:rsidRPr="00342967">
        <w:rPr>
          <w:rFonts w:cs="Times New Roman"/>
          <w:szCs w:val="24"/>
          <w:lang w:val="en-GB"/>
        </w:rPr>
        <w:t xml:space="preserve"> competition which put pressure on their profitability. This created a constant fear for the competitor </w:t>
      </w:r>
      <w:r w:rsidR="00D04650" w:rsidRPr="00342967">
        <w:rPr>
          <w:rFonts w:cs="Times New Roman"/>
          <w:szCs w:val="24"/>
          <w:lang w:val="en-GB"/>
        </w:rPr>
        <w:t xml:space="preserve">because if profits and share value were down they became prey for takeovers. This fear </w:t>
      </w:r>
      <w:r w:rsidRPr="00342967">
        <w:rPr>
          <w:rFonts w:cs="Times New Roman"/>
          <w:szCs w:val="24"/>
          <w:lang w:val="en-GB"/>
        </w:rPr>
        <w:t xml:space="preserve">forced companies to focus on the short-term and to increase shareholder value instead of focussing on the long-term and the continuity of the business. This short-term focus has led to a new development in capitalism, that of shareholder capitalism instead of managerial capitalism. Where under the latter, firms focused on achieving long term growth, under the former the firm is nothing more than a short-term cash machine (Tabb, 2010, p.153) Not the longer-term continuation of a company was at the centre of attention, nor the well-being of the workforce but increasing the value of the </w:t>
      </w:r>
      <w:r w:rsidR="00D546FE" w:rsidRPr="00342967">
        <w:rPr>
          <w:rFonts w:cs="Times New Roman"/>
          <w:szCs w:val="24"/>
          <w:lang w:val="en-GB"/>
        </w:rPr>
        <w:t>outstanding shares</w:t>
      </w:r>
      <w:r w:rsidRPr="00342967">
        <w:rPr>
          <w:rFonts w:cs="Times New Roman"/>
          <w:szCs w:val="24"/>
          <w:lang w:val="en-GB"/>
        </w:rPr>
        <w:t xml:space="preserve"> to satisfy investors. Secondly, due to </w:t>
      </w:r>
      <w:r w:rsidRPr="00342967">
        <w:rPr>
          <w:rFonts w:cs="Times New Roman"/>
          <w:szCs w:val="24"/>
          <w:lang w:val="en-GB"/>
        </w:rPr>
        <w:lastRenderedPageBreak/>
        <w:t>financial engineering</w:t>
      </w:r>
      <w:r w:rsidR="00D546FE" w:rsidRPr="00342967">
        <w:rPr>
          <w:rFonts w:cs="Times New Roman"/>
          <w:szCs w:val="24"/>
          <w:lang w:val="en-GB"/>
        </w:rPr>
        <w:t>,</w:t>
      </w:r>
      <w:r w:rsidRPr="00342967">
        <w:rPr>
          <w:rFonts w:cs="Times New Roman"/>
          <w:szCs w:val="24"/>
          <w:lang w:val="en-GB"/>
        </w:rPr>
        <w:t xml:space="preserve"> leveraged-recapitalizations of companies were common occurrences. Private equity funds would buy up companies to liquidize all that of value and to fill up the empty void with excessive leverage</w:t>
      </w:r>
      <w:r w:rsidR="00D546FE" w:rsidRPr="00342967">
        <w:rPr>
          <w:rFonts w:cs="Times New Roman"/>
          <w:szCs w:val="24"/>
          <w:lang w:val="en-GB"/>
        </w:rPr>
        <w:t xml:space="preserve">. The end goal </w:t>
      </w:r>
      <w:r w:rsidR="00D903B9" w:rsidRPr="00342967">
        <w:rPr>
          <w:rFonts w:cs="Times New Roman"/>
          <w:szCs w:val="24"/>
          <w:lang w:val="en-GB"/>
        </w:rPr>
        <w:t>of leveraged-recapitalizations was to make a quick return on investment and therefore firms were quickly sold after this return was obtained</w:t>
      </w:r>
      <w:r w:rsidRPr="00342967">
        <w:rPr>
          <w:rFonts w:cs="Times New Roman"/>
          <w:szCs w:val="24"/>
          <w:lang w:val="en-GB"/>
        </w:rPr>
        <w:t xml:space="preserve"> (Tabb, 2010, p.154). </w:t>
      </w:r>
    </w:p>
    <w:p w14:paraId="01BBF63F" w14:textId="3D7A9E30" w:rsidR="005506B2" w:rsidRPr="00342967" w:rsidRDefault="005506B2" w:rsidP="00D904F7">
      <w:pPr>
        <w:pStyle w:val="Kop2"/>
        <w:jc w:val="both"/>
        <w:rPr>
          <w:lang w:val="en-GB"/>
        </w:rPr>
      </w:pPr>
      <w:bookmarkStart w:id="20" w:name="_Toc518333116"/>
      <w:r w:rsidRPr="00342967">
        <w:rPr>
          <w:lang w:val="en-GB"/>
        </w:rPr>
        <w:t>3.</w:t>
      </w:r>
      <w:r w:rsidR="007D61B9" w:rsidRPr="00342967">
        <w:rPr>
          <w:lang w:val="en-GB"/>
        </w:rPr>
        <w:t>4</w:t>
      </w:r>
      <w:r w:rsidRPr="00342967">
        <w:rPr>
          <w:lang w:val="en-GB"/>
        </w:rPr>
        <w:t xml:space="preserve"> The Neoliberal SSA</w:t>
      </w:r>
      <w:bookmarkEnd w:id="20"/>
    </w:p>
    <w:p w14:paraId="651AADB1" w14:textId="73113590" w:rsidR="005506B2" w:rsidRPr="00342967" w:rsidRDefault="005506B2" w:rsidP="00D904F7">
      <w:pPr>
        <w:jc w:val="both"/>
        <w:rPr>
          <w:rFonts w:cs="Times New Roman"/>
          <w:szCs w:val="24"/>
          <w:lang w:val="en-GB"/>
        </w:rPr>
      </w:pPr>
      <w:r w:rsidRPr="00342967">
        <w:rPr>
          <w:rFonts w:cs="Times New Roman"/>
          <w:szCs w:val="24"/>
          <w:lang w:val="en-GB"/>
        </w:rPr>
        <w:t xml:space="preserve">The financialisation of the economy is the defining characteristic of the neoliberal SSA. Neoliberalism is a ‘coherent multileveled entity whose features include political-economic institutions, policies, theories and ideologies’ (Kotz and McDonough, 2010, p.94). The ideological foundation of Neoliberalism is based on individualism and free markets. That is not to say that neoliberalism can do without a strong government. On the contrary, neoliberalism depends on high government interference in the economy </w:t>
      </w:r>
      <w:r w:rsidR="00C32DFD" w:rsidRPr="00342967">
        <w:rPr>
          <w:rFonts w:cs="Times New Roman"/>
          <w:szCs w:val="24"/>
          <w:lang w:val="en-GB"/>
        </w:rPr>
        <w:t>to</w:t>
      </w:r>
      <w:r w:rsidRPr="00342967">
        <w:rPr>
          <w:rFonts w:cs="Times New Roman"/>
          <w:szCs w:val="24"/>
          <w:lang w:val="en-GB"/>
        </w:rPr>
        <w:t xml:space="preserve"> create markets and to make sure these markets function properly. Nonetheless, the state is typically characterised as an obstructionist factor in neoliberalism. Especially in regard to personal and economic freedoms. The central theory in neoliberalism is neoclassical economics. Three main policies can be identified that fit within the neoliberal paradigm: liberalisation, privatisation and stabilisation (Kotz and McDonough, 2010, p.94). Liberalisation refers to deregulation of markets, privatisation to the transfer of government assets to the private sector and stabilisation to the shift in focus of Central Banks to controlling inflation instead of limiting unemployment and aiding economic growth. </w:t>
      </w:r>
    </w:p>
    <w:p w14:paraId="29C2FFA8" w14:textId="77777777" w:rsidR="00AD21E6" w:rsidRPr="00342967" w:rsidRDefault="00AD21E6" w:rsidP="00D904F7">
      <w:pPr>
        <w:jc w:val="both"/>
        <w:rPr>
          <w:rFonts w:cs="Times New Roman"/>
          <w:szCs w:val="24"/>
          <w:lang w:val="en-GB"/>
        </w:rPr>
      </w:pPr>
      <w:r w:rsidRPr="00342967">
        <w:rPr>
          <w:rFonts w:cs="Times New Roman"/>
          <w:szCs w:val="24"/>
          <w:lang w:val="en-GB"/>
        </w:rPr>
        <w:t xml:space="preserve">As explained in the theory chapter, an SSA is characterized by rapid capital accumulation at the beginning of its implementation. In the Neoliberal era this rapid accumulation is notably absent. The Global Neoliberal SSA has not promoted rapid capital accumulation not even compared to the crisis mode of its predecessor. What it has promoted, however, is the rapid accumulation of profits. A rising share of total income consists of profits (Wolfson and Kotz, 2010, p.79). The reason why rapid profit accumulation can co-exist with mediocre economic growth is that profit can be spend on many things other than increasing real economic output. Much of the profits have been used for consumption and financial investments that do not benefit real production (Kotz and McDonough, 2010, p.113). To account for the fact that the Neoliberal SSA has not promoted real </w:t>
      </w:r>
      <w:r w:rsidRPr="00342967">
        <w:rPr>
          <w:rFonts w:cs="Times New Roman"/>
          <w:szCs w:val="24"/>
          <w:lang w:val="en-GB"/>
        </w:rPr>
        <w:lastRenderedPageBreak/>
        <w:t>economic growth but accumulation of profits, Wolfson and Kotz (2010) have suggested to sever the theoretical link between SSA and rapid capital accumulation. The goal of capitalist is after all not to promote rapid economic growth, but rapid profit-making. In this thesis, the Neoliberal era is perceived as an SSA</w:t>
      </w:r>
    </w:p>
    <w:p w14:paraId="4B865550" w14:textId="5AA894FF" w:rsidR="005506B2" w:rsidRPr="00342967" w:rsidRDefault="005506B2" w:rsidP="00D904F7">
      <w:pPr>
        <w:jc w:val="both"/>
        <w:rPr>
          <w:rFonts w:cs="Times New Roman"/>
          <w:szCs w:val="24"/>
          <w:lang w:val="en-GB"/>
        </w:rPr>
      </w:pPr>
      <w:r w:rsidRPr="00342967">
        <w:rPr>
          <w:rFonts w:cs="Times New Roman"/>
          <w:szCs w:val="24"/>
          <w:lang w:val="en-GB"/>
        </w:rPr>
        <w:t xml:space="preserve">The institutions of the neoliberal SSA can be categorised in global and domestic institutions. The most important global institutional shift from </w:t>
      </w:r>
      <w:r w:rsidR="00646DDC" w:rsidRPr="00342967">
        <w:rPr>
          <w:rFonts w:cs="Times New Roman"/>
          <w:szCs w:val="24"/>
          <w:lang w:val="en-GB"/>
        </w:rPr>
        <w:t>the Keynesian</w:t>
      </w:r>
      <w:r w:rsidRPr="00342967">
        <w:rPr>
          <w:rFonts w:cs="Times New Roman"/>
          <w:szCs w:val="24"/>
          <w:lang w:val="en-GB"/>
        </w:rPr>
        <w:t xml:space="preserve"> SSA to the Neoliberal SSA is the significant increase in the movement and mobility of goods, money and, in particular that of capital. This change went hand in hand with another ground shifting institutional change, that of geographical dispersed production. Disaggregated production created global value chains spanning across the whole world. This caused a geographical expansion of capital relations to encompass the whole word and in turn enabled the development of a transnational capital class (Kotz and Mcdonough, 2010, p.99). These global institutions affect domestic economic decisions as well. Free movement of capital and electronical linking of capital markets through ICT breakthroughs and technological improvements means that capital can move anywhere with a blink of an eye. Consequently, capital can impose globalised norms of profitability on domestic investment decisions. The nature of competition changed as well under the pressure of neoliberal ideology. Cut-throat competition and full-on price competition became the norm (Kotz and McDonough, 2010, p. 103). Alongside this development, a global market of top executive emerged. No longer were CEO sourced within the company’s own ranks but on a global market of CEOs. Because CEOs are sourced from outside the company they have no history or connection with the company they are leading. This shortened the horizon of the companies and CEOS considerably. The moment a better offer arrived the CEO would simply switch position. Consequently, the focus was on short-term results instead of long term development. </w:t>
      </w:r>
      <w:r w:rsidR="00EF5524" w:rsidRPr="00342967">
        <w:rPr>
          <w:rFonts w:cs="Times New Roman"/>
          <w:szCs w:val="24"/>
          <w:lang w:val="en-GB"/>
        </w:rPr>
        <w:t xml:space="preserve">The transnationalistation of production </w:t>
      </w:r>
      <w:r w:rsidRPr="00342967">
        <w:rPr>
          <w:rFonts w:cs="Times New Roman"/>
          <w:szCs w:val="24"/>
          <w:lang w:val="en-GB"/>
        </w:rPr>
        <w:t>made it possible to locate production there where the costs to produce where the lowest. Consequently, production became highly fragmented with each stage of the production taking place in a different geographical area. Capital and labour therefore also became highly fragmented as production was no longer taken place in one and the same area. As a consequence, a transnationali</w:t>
      </w:r>
      <w:r w:rsidR="00EF5524" w:rsidRPr="00342967">
        <w:rPr>
          <w:rFonts w:cs="Times New Roman"/>
          <w:szCs w:val="24"/>
          <w:lang w:val="en-GB"/>
        </w:rPr>
        <w:t>s</w:t>
      </w:r>
      <w:r w:rsidRPr="00342967">
        <w:rPr>
          <w:rFonts w:cs="Times New Roman"/>
          <w:szCs w:val="24"/>
          <w:lang w:val="en-GB"/>
        </w:rPr>
        <w:t>ing capitalist class came into contact with a transnationali</w:t>
      </w:r>
      <w:r w:rsidR="00EF5524" w:rsidRPr="00342967">
        <w:rPr>
          <w:rFonts w:cs="Times New Roman"/>
          <w:szCs w:val="24"/>
          <w:lang w:val="en-GB"/>
        </w:rPr>
        <w:t>s</w:t>
      </w:r>
      <w:r w:rsidRPr="00342967">
        <w:rPr>
          <w:rFonts w:cs="Times New Roman"/>
          <w:szCs w:val="24"/>
          <w:lang w:val="en-GB"/>
        </w:rPr>
        <w:t xml:space="preserve">ing labour class, rather than a national oriented capital-labour relationship (Kotz and Mcdonough, 2010, p.101). </w:t>
      </w:r>
    </w:p>
    <w:p w14:paraId="7B83BB1F" w14:textId="7EFC509A" w:rsidR="005506B2" w:rsidRPr="00342967" w:rsidRDefault="005506B2" w:rsidP="00D904F7">
      <w:pPr>
        <w:jc w:val="both"/>
        <w:rPr>
          <w:rFonts w:cs="Times New Roman"/>
          <w:szCs w:val="24"/>
          <w:lang w:val="en-GB"/>
        </w:rPr>
      </w:pPr>
      <w:r w:rsidRPr="00342967">
        <w:rPr>
          <w:rFonts w:cs="Times New Roman"/>
          <w:szCs w:val="24"/>
          <w:lang w:val="en-GB"/>
        </w:rPr>
        <w:lastRenderedPageBreak/>
        <w:t>Domestic institutions of the Global Neoliberal SSA mainly changed the capital-labour relationship (</w:t>
      </w:r>
      <w:r w:rsidR="0069746E" w:rsidRPr="00342967">
        <w:rPr>
          <w:rFonts w:cs="Times New Roman"/>
          <w:szCs w:val="24"/>
          <w:lang w:val="en-GB"/>
        </w:rPr>
        <w:t xml:space="preserve">Kotz and </w:t>
      </w:r>
      <w:r w:rsidRPr="00342967">
        <w:rPr>
          <w:rFonts w:cs="Times New Roman"/>
          <w:szCs w:val="24"/>
          <w:lang w:val="en-GB"/>
        </w:rPr>
        <w:t xml:space="preserve">McDonough, 2010, p. 104). Trade unions saw their power and importance shrinking as collective bargaining is no longer the main determinant of wage levels and employment conditions. Collective bargaining got replaced by market-determined wages and conditions. This caused a slump in real wage growth and the worsening of the position of labour vis-à-vis capital (Kotz and McDonough, 2010, p.104). Due to the globally dispersed production chains, the nature of production changed. Production shifted from mostly mass production to more specialised production. The dispersion of production also put negative pressure on wage levels as producers could suppress wages by threatening to move production abroad. As described above, Neoliberal ideology is mistrustful about the state, however, the role of the state insomuch did </w:t>
      </w:r>
      <w:r w:rsidR="007F7B52" w:rsidRPr="00342967">
        <w:rPr>
          <w:rFonts w:cs="Times New Roman"/>
          <w:szCs w:val="24"/>
          <w:lang w:val="en-GB"/>
        </w:rPr>
        <w:t>not disappear, rather it changed</w:t>
      </w:r>
      <w:r w:rsidRPr="00342967">
        <w:rPr>
          <w:rFonts w:cs="Times New Roman"/>
          <w:szCs w:val="24"/>
          <w:lang w:val="en-GB"/>
        </w:rPr>
        <w:t>. The state no longer partakes in macroeconomic expansionary policies and instead focusses mainly on achieving a balanced budget</w:t>
      </w:r>
      <w:r w:rsidR="007F7B52" w:rsidRPr="00342967">
        <w:rPr>
          <w:rFonts w:cs="Times New Roman"/>
          <w:szCs w:val="24"/>
          <w:lang w:val="en-GB"/>
        </w:rPr>
        <w:t xml:space="preserve"> and</w:t>
      </w:r>
      <w:r w:rsidRPr="00342967">
        <w:rPr>
          <w:rFonts w:cs="Times New Roman"/>
          <w:szCs w:val="24"/>
          <w:lang w:val="en-GB"/>
        </w:rPr>
        <w:t xml:space="preserve"> withdrew from much of its activities as privatisations happened on a large scale. </w:t>
      </w:r>
      <w:r w:rsidR="007F7B52" w:rsidRPr="00342967">
        <w:rPr>
          <w:rFonts w:cs="Times New Roman"/>
          <w:szCs w:val="24"/>
          <w:lang w:val="en-GB"/>
        </w:rPr>
        <w:t xml:space="preserve">Activities that came in place of those traditional tasks are </w:t>
      </w:r>
      <w:r w:rsidR="002E3608" w:rsidRPr="00342967">
        <w:rPr>
          <w:rFonts w:cs="Times New Roman"/>
          <w:szCs w:val="24"/>
          <w:lang w:val="en-GB"/>
        </w:rPr>
        <w:t>regulating and maintaining markets, which ironically caused the size of the State to not shrink at all.</w:t>
      </w:r>
    </w:p>
    <w:p w14:paraId="07AE8508" w14:textId="77777777" w:rsidR="005506B2" w:rsidRPr="00342967" w:rsidRDefault="005506B2" w:rsidP="00D904F7">
      <w:pPr>
        <w:jc w:val="both"/>
        <w:rPr>
          <w:rFonts w:cs="Times New Roman"/>
          <w:szCs w:val="24"/>
          <w:lang w:val="en-GB"/>
        </w:rPr>
      </w:pPr>
      <w:r w:rsidRPr="00342967">
        <w:rPr>
          <w:rFonts w:cs="Times New Roman"/>
          <w:szCs w:val="24"/>
          <w:lang w:val="en-GB"/>
        </w:rPr>
        <w:t xml:space="preserve">More prove that the Neoliberal era is actually an SSA is that its institutions are currently becoming their own hinderance, as predicted by the theory. The institution’s contradictions are becoming more apparent and harder to solve which has put a great deal of pressure on the SSA. The rapid rate of profit growth has not been joined by an equally rapid growth in real wages and consequently aggregate demand is lacking. The problem is amplified by the lack of macroeconomic expansionary policies by the state (Kotz and McDonough, 2010, p.116). The lack of aggregated demand caused by stagnating real wages is currently one of the main issues of the SSA (Kotz and McDonough, 2010, p. 116). Neoliberalism also has many stability issues. Liberalisation and deregulation has greatly increased the fragility of the financial system as the focus is completely on short-term gains. In addition, asset bubbles have become common. The wall of money created by profit accumulation seeks yield which is only scarcely available. A lot of money is invested in limited investment opportunities and consequently, bubbles emerge. The largest problems of the Neoliberal SSA is, however, that is has created a surge in inequality in societies. The complete dominance of capital that made rapid profit accumulation possible and suppressing of real wages has not only caused a welfare stagnation but also an unfairer distribution of income and capital. Besides these inherent institutional contradictions, the Global Financial Crisis has invoked action </w:t>
      </w:r>
      <w:r w:rsidRPr="00342967">
        <w:rPr>
          <w:rFonts w:cs="Times New Roman"/>
          <w:szCs w:val="24"/>
          <w:lang w:val="en-GB"/>
        </w:rPr>
        <w:lastRenderedPageBreak/>
        <w:t xml:space="preserve">from governments and central banks which are incompatible with the Neoliberal paradigm. They marked the beginning of the crisis phase of the Neoliberal SSA. Central Banks, The Fed, the ECB and the Bank of England, stepped away from mere market-determinism and controlling inflation and engaged with extensive bond-buying programs to recover economies. Governments worldwide dusted off their Keynesian policy playbook and have spent massive amounts of money to revive their economies.    </w:t>
      </w:r>
    </w:p>
    <w:p w14:paraId="4D32459E" w14:textId="18F06257" w:rsidR="005506B2" w:rsidRPr="00342967" w:rsidRDefault="005506B2" w:rsidP="00D904F7">
      <w:pPr>
        <w:pStyle w:val="Kop2"/>
        <w:jc w:val="both"/>
        <w:rPr>
          <w:lang w:val="en-GB"/>
        </w:rPr>
      </w:pPr>
      <w:bookmarkStart w:id="21" w:name="_Toc518333117"/>
      <w:r w:rsidRPr="00342967">
        <w:rPr>
          <w:lang w:val="en-GB"/>
        </w:rPr>
        <w:t>3.</w:t>
      </w:r>
      <w:r w:rsidR="007D61B9" w:rsidRPr="00342967">
        <w:rPr>
          <w:lang w:val="en-GB"/>
        </w:rPr>
        <w:t>5</w:t>
      </w:r>
      <w:r w:rsidRPr="00342967">
        <w:rPr>
          <w:lang w:val="en-GB"/>
        </w:rPr>
        <w:t xml:space="preserve"> </w:t>
      </w:r>
      <w:r w:rsidR="00E31DFA" w:rsidRPr="00342967">
        <w:rPr>
          <w:lang w:val="en-GB"/>
        </w:rPr>
        <w:t>Financial sector interest taken care of</w:t>
      </w:r>
      <w:bookmarkEnd w:id="21"/>
    </w:p>
    <w:p w14:paraId="5A6C7A97" w14:textId="62E268C4" w:rsidR="00186D8A" w:rsidRPr="00342967" w:rsidRDefault="00186D8A" w:rsidP="00D904F7">
      <w:pPr>
        <w:jc w:val="both"/>
        <w:rPr>
          <w:lang w:val="en-GB"/>
        </w:rPr>
      </w:pPr>
      <w:r w:rsidRPr="00342967">
        <w:rPr>
          <w:lang w:val="en-GB"/>
        </w:rPr>
        <w:t xml:space="preserve">The neoliberal SSA is thus characterized by accumulation through financial circulation rather than through commodity production granting the financial sector a dominant position in society. It is in the interest of the financial social group to continue the financialisation and the continuation of financial capital accumulation. The revival of securitisation provides the perfect </w:t>
      </w:r>
      <w:r w:rsidR="00E84BEF" w:rsidRPr="00342967">
        <w:rPr>
          <w:lang w:val="en-GB"/>
        </w:rPr>
        <w:t>solution to the current problems of the SSA as it o</w:t>
      </w:r>
      <w:r w:rsidRPr="00342967">
        <w:rPr>
          <w:lang w:val="en-GB"/>
        </w:rPr>
        <w:t xml:space="preserve">pens up new channels for financial accumulation. It is </w:t>
      </w:r>
      <w:r w:rsidR="003367D2" w:rsidRPr="00342967">
        <w:rPr>
          <w:lang w:val="en-GB"/>
        </w:rPr>
        <w:t>for th</w:t>
      </w:r>
      <w:r w:rsidR="00732374" w:rsidRPr="00342967">
        <w:rPr>
          <w:lang w:val="en-GB"/>
        </w:rPr>
        <w:t>is reason</w:t>
      </w:r>
      <w:r w:rsidRPr="00342967">
        <w:rPr>
          <w:lang w:val="en-GB"/>
        </w:rPr>
        <w:t xml:space="preserve"> </w:t>
      </w:r>
      <w:r w:rsidR="003367D2" w:rsidRPr="00342967">
        <w:rPr>
          <w:lang w:val="en-GB"/>
        </w:rPr>
        <w:t>that</w:t>
      </w:r>
      <w:r w:rsidRPr="00342967">
        <w:rPr>
          <w:lang w:val="en-GB"/>
        </w:rPr>
        <w:t xml:space="preserve"> financial capital is </w:t>
      </w:r>
      <w:r w:rsidR="00F11EB4" w:rsidRPr="00342967">
        <w:rPr>
          <w:lang w:val="en-GB"/>
        </w:rPr>
        <w:t>pushing for the revival of securitisation.</w:t>
      </w:r>
      <w:r w:rsidR="00A11828" w:rsidRPr="00342967">
        <w:rPr>
          <w:lang w:val="en-GB"/>
        </w:rPr>
        <w:t xml:space="preserve"> That the European Commission is very accommodating in their push</w:t>
      </w:r>
      <w:r w:rsidR="00157422" w:rsidRPr="00342967">
        <w:rPr>
          <w:lang w:val="en-GB"/>
        </w:rPr>
        <w:t xml:space="preserve"> is illustrated in</w:t>
      </w:r>
      <w:r w:rsidR="00732374" w:rsidRPr="00342967">
        <w:rPr>
          <w:lang w:val="en-GB"/>
        </w:rPr>
        <w:t xml:space="preserve"> two ways. </w:t>
      </w:r>
      <w:r w:rsidR="00AF0A98" w:rsidRPr="00342967">
        <w:rPr>
          <w:lang w:val="en-GB"/>
        </w:rPr>
        <w:t>First</w:t>
      </w:r>
      <w:r w:rsidR="0004589A" w:rsidRPr="00342967">
        <w:rPr>
          <w:lang w:val="en-GB"/>
        </w:rPr>
        <w:t>ly</w:t>
      </w:r>
      <w:r w:rsidR="00732374" w:rsidRPr="00342967">
        <w:rPr>
          <w:lang w:val="en-GB"/>
        </w:rPr>
        <w:t>,</w:t>
      </w:r>
      <w:r w:rsidR="00AF0A98" w:rsidRPr="00342967">
        <w:rPr>
          <w:lang w:val="en-GB"/>
        </w:rPr>
        <w:t xml:space="preserve"> </w:t>
      </w:r>
      <w:r w:rsidR="0004589A" w:rsidRPr="00342967">
        <w:rPr>
          <w:lang w:val="en-GB"/>
        </w:rPr>
        <w:t xml:space="preserve">by </w:t>
      </w:r>
      <w:r w:rsidR="00AF0A98" w:rsidRPr="00342967">
        <w:rPr>
          <w:lang w:val="en-GB"/>
        </w:rPr>
        <w:t>demonstrat</w:t>
      </w:r>
      <w:r w:rsidR="0004589A" w:rsidRPr="00342967">
        <w:rPr>
          <w:lang w:val="en-GB"/>
        </w:rPr>
        <w:t>ing</w:t>
      </w:r>
      <w:r w:rsidR="00AF0A98" w:rsidRPr="00342967">
        <w:rPr>
          <w:lang w:val="en-GB"/>
        </w:rPr>
        <w:t xml:space="preserve"> that the financial sector has a great </w:t>
      </w:r>
      <w:r w:rsidR="0004589A" w:rsidRPr="00342967">
        <w:rPr>
          <w:lang w:val="en-GB"/>
        </w:rPr>
        <w:t xml:space="preserve">influence on Commission policy making </w:t>
      </w:r>
      <w:r w:rsidR="00AF0A98" w:rsidRPr="00342967">
        <w:rPr>
          <w:lang w:val="en-GB"/>
        </w:rPr>
        <w:t xml:space="preserve">by showing that the STS framework is not </w:t>
      </w:r>
      <w:r w:rsidR="003D51CF" w:rsidRPr="00342967">
        <w:rPr>
          <w:lang w:val="en-GB"/>
        </w:rPr>
        <w:t xml:space="preserve">an original idea </w:t>
      </w:r>
      <w:r w:rsidR="003F1C07" w:rsidRPr="00342967">
        <w:rPr>
          <w:lang w:val="en-GB"/>
        </w:rPr>
        <w:t>from</w:t>
      </w:r>
      <w:r w:rsidR="003D51CF" w:rsidRPr="00342967">
        <w:rPr>
          <w:lang w:val="en-GB"/>
        </w:rPr>
        <w:t xml:space="preserve"> the Commission</w:t>
      </w:r>
      <w:r w:rsidR="00065FD0" w:rsidRPr="00342967">
        <w:rPr>
          <w:lang w:val="en-GB"/>
        </w:rPr>
        <w:t xml:space="preserve"> but </w:t>
      </w:r>
      <w:r w:rsidR="003F1C07" w:rsidRPr="00342967">
        <w:rPr>
          <w:lang w:val="en-GB"/>
        </w:rPr>
        <w:t xml:space="preserve">from the </w:t>
      </w:r>
      <w:r w:rsidR="00974E72" w:rsidRPr="00342967">
        <w:rPr>
          <w:lang w:val="en-GB"/>
        </w:rPr>
        <w:t xml:space="preserve">financial </w:t>
      </w:r>
      <w:r w:rsidR="003F1C07" w:rsidRPr="00342967">
        <w:rPr>
          <w:lang w:val="en-GB"/>
        </w:rPr>
        <w:t>industry</w:t>
      </w:r>
      <w:r w:rsidR="00974E72" w:rsidRPr="00342967">
        <w:rPr>
          <w:lang w:val="en-GB"/>
        </w:rPr>
        <w:t xml:space="preserve"> itself</w:t>
      </w:r>
      <w:r w:rsidR="00AF0A98" w:rsidRPr="00342967">
        <w:rPr>
          <w:lang w:val="en-GB"/>
        </w:rPr>
        <w:t xml:space="preserve">. </w:t>
      </w:r>
      <w:r w:rsidR="0004589A" w:rsidRPr="00342967">
        <w:rPr>
          <w:lang w:val="en-GB"/>
        </w:rPr>
        <w:t xml:space="preserve">Secondly, </w:t>
      </w:r>
      <w:r w:rsidR="007C2D75" w:rsidRPr="00342967">
        <w:rPr>
          <w:lang w:val="en-GB"/>
        </w:rPr>
        <w:t xml:space="preserve">by </w:t>
      </w:r>
      <w:r w:rsidR="0004589A" w:rsidRPr="00342967">
        <w:rPr>
          <w:lang w:val="en-GB"/>
        </w:rPr>
        <w:t xml:space="preserve">providing </w:t>
      </w:r>
      <w:r w:rsidR="007C2D75" w:rsidRPr="00342967">
        <w:rPr>
          <w:lang w:val="en-GB"/>
        </w:rPr>
        <w:t xml:space="preserve">an account of various financial actor’s responses on the proposals by the European Commission to show that </w:t>
      </w:r>
      <w:r w:rsidR="00E917C0" w:rsidRPr="00342967">
        <w:rPr>
          <w:lang w:val="en-GB"/>
        </w:rPr>
        <w:t>CMU and the revival of securitisation are</w:t>
      </w:r>
      <w:r w:rsidR="007C2D75" w:rsidRPr="00342967">
        <w:rPr>
          <w:lang w:val="en-GB"/>
        </w:rPr>
        <w:t xml:space="preserve"> indeed </w:t>
      </w:r>
      <w:r w:rsidR="00E917C0" w:rsidRPr="00342967">
        <w:rPr>
          <w:lang w:val="en-GB"/>
        </w:rPr>
        <w:t>very much in line with what the financial sector wants.</w:t>
      </w:r>
      <w:r w:rsidR="004231F1" w:rsidRPr="00342967">
        <w:rPr>
          <w:lang w:val="en-GB"/>
        </w:rPr>
        <w:t xml:space="preserve"> </w:t>
      </w:r>
      <w:r w:rsidR="003F1C07" w:rsidRPr="00342967">
        <w:rPr>
          <w:lang w:val="en-GB"/>
        </w:rPr>
        <w:t xml:space="preserve">To further </w:t>
      </w:r>
      <w:r w:rsidR="00D9622C" w:rsidRPr="00342967">
        <w:rPr>
          <w:lang w:val="en-GB"/>
        </w:rPr>
        <w:t>support the argument that the Commission act</w:t>
      </w:r>
      <w:r w:rsidR="00B57E0E" w:rsidRPr="00342967">
        <w:rPr>
          <w:lang w:val="en-GB"/>
        </w:rPr>
        <w:t>ed</w:t>
      </w:r>
      <w:r w:rsidR="00D9622C" w:rsidRPr="00342967">
        <w:rPr>
          <w:lang w:val="en-GB"/>
        </w:rPr>
        <w:t xml:space="preserve"> according to the financial sector’s wishes, it is shown that the Commission </w:t>
      </w:r>
      <w:r w:rsidR="00B57E0E" w:rsidRPr="00342967">
        <w:rPr>
          <w:lang w:val="en-GB"/>
        </w:rPr>
        <w:t>did</w:t>
      </w:r>
      <w:r w:rsidR="00F477B7" w:rsidRPr="00342967">
        <w:rPr>
          <w:lang w:val="en-GB"/>
        </w:rPr>
        <w:t xml:space="preserve"> not really listen to critique from non-financial sector agents </w:t>
      </w:r>
      <w:r w:rsidR="009E5D81" w:rsidRPr="00342967">
        <w:rPr>
          <w:lang w:val="en-GB"/>
        </w:rPr>
        <w:t xml:space="preserve">on the </w:t>
      </w:r>
      <w:r w:rsidR="0096478C" w:rsidRPr="00342967">
        <w:rPr>
          <w:lang w:val="en-GB"/>
        </w:rPr>
        <w:t>consultation rounds of the Commission.</w:t>
      </w:r>
    </w:p>
    <w:p w14:paraId="757F5D5C" w14:textId="1D0D0E28" w:rsidR="007C2D75" w:rsidRPr="00342967" w:rsidRDefault="00966B51" w:rsidP="00D904F7">
      <w:pPr>
        <w:pStyle w:val="Kop3"/>
        <w:jc w:val="both"/>
      </w:pPr>
      <w:bookmarkStart w:id="22" w:name="_Toc518333118"/>
      <w:r w:rsidRPr="00342967">
        <w:t>3.</w:t>
      </w:r>
      <w:r w:rsidR="007D61B9" w:rsidRPr="00342967">
        <w:t>5.</w:t>
      </w:r>
      <w:r w:rsidRPr="00342967">
        <w:t>1 STS framework or PCS?</w:t>
      </w:r>
      <w:bookmarkEnd w:id="22"/>
    </w:p>
    <w:p w14:paraId="729836C4" w14:textId="0697B529" w:rsidR="00966B51" w:rsidRPr="00342967" w:rsidRDefault="00DA0F03" w:rsidP="00D904F7">
      <w:pPr>
        <w:jc w:val="both"/>
        <w:rPr>
          <w:rFonts w:cs="Times New Roman"/>
          <w:szCs w:val="24"/>
          <w:lang w:val="en-GB"/>
        </w:rPr>
      </w:pPr>
      <w:r w:rsidRPr="00342967">
        <w:rPr>
          <w:lang w:val="en-GB"/>
        </w:rPr>
        <w:t xml:space="preserve">Before the proposals of the European Commission the problem of a near-death securitisation market was already a prominent one for the financial sector. In 2012, an independent organisation called Prime Collateralized Securities </w:t>
      </w:r>
      <w:r w:rsidR="00A97AEF" w:rsidRPr="00342967">
        <w:rPr>
          <w:lang w:val="en-GB"/>
        </w:rPr>
        <w:t xml:space="preserve">(PCS) </w:t>
      </w:r>
      <w:r w:rsidRPr="00342967">
        <w:rPr>
          <w:lang w:val="en-GB"/>
        </w:rPr>
        <w:t>was created by the European Financial Services Roundtable (EFR) and the Association for Financial Markets in Europe (AFME)</w:t>
      </w:r>
      <w:r w:rsidR="006A28C6" w:rsidRPr="00342967">
        <w:rPr>
          <w:lang w:val="en-GB"/>
        </w:rPr>
        <w:t xml:space="preserve">. The EFR is </w:t>
      </w:r>
      <w:r w:rsidR="00D46FF1" w:rsidRPr="00342967">
        <w:rPr>
          <w:lang w:val="en-GB"/>
        </w:rPr>
        <w:t xml:space="preserve">one </w:t>
      </w:r>
      <w:r w:rsidR="00D46FF1" w:rsidRPr="00342967">
        <w:rPr>
          <w:lang w:val="en-GB"/>
        </w:rPr>
        <w:lastRenderedPageBreak/>
        <w:t xml:space="preserve">of the main lobbying parties for the financial sector and consists of chairman and CEOs of Europe’s leading banks and insurance companies. </w:t>
      </w:r>
      <w:r w:rsidR="009427EB" w:rsidRPr="00342967">
        <w:rPr>
          <w:lang w:val="en-GB"/>
        </w:rPr>
        <w:t>The AFME</w:t>
      </w:r>
      <w:r w:rsidR="00872E03" w:rsidRPr="00342967">
        <w:rPr>
          <w:lang w:val="en-GB"/>
        </w:rPr>
        <w:t xml:space="preserve"> is</w:t>
      </w:r>
      <w:r w:rsidR="00A97AEF" w:rsidRPr="00342967">
        <w:rPr>
          <w:lang w:val="en-GB"/>
        </w:rPr>
        <w:t xml:space="preserve"> a lobby organisation mostly lobbying for the wholesale banking sector. PCS is according to the website</w:t>
      </w:r>
      <w:r w:rsidR="00667E91" w:rsidRPr="00342967">
        <w:rPr>
          <w:lang w:val="en-GB"/>
        </w:rPr>
        <w:t xml:space="preserve"> “</w:t>
      </w:r>
      <w:r w:rsidR="00667E91" w:rsidRPr="00342967">
        <w:rPr>
          <w:rFonts w:cs="Times New Roman"/>
          <w:szCs w:val="24"/>
          <w:lang w:val="en-GB"/>
        </w:rPr>
        <w:t xml:space="preserve">an industry-led, non-profit project to develop a label for high quality securitisations which meet best practice in terms of quality, transparency, simplicity and standardisation” with the aim </w:t>
      </w:r>
      <w:r w:rsidR="0064157D" w:rsidRPr="00342967">
        <w:rPr>
          <w:rFonts w:cs="Times New Roman"/>
          <w:szCs w:val="24"/>
          <w:lang w:val="en-GB"/>
        </w:rPr>
        <w:t>to “(…) increasing the funding of real economy assets through securitisation thereby supporting the recovery and future growth of the European economy” (Prime Collateralised Securities, 2012).</w:t>
      </w:r>
      <w:r w:rsidR="00DA1ECB" w:rsidRPr="00342967">
        <w:rPr>
          <w:rFonts w:cs="Times New Roman"/>
          <w:szCs w:val="24"/>
          <w:lang w:val="en-GB"/>
        </w:rPr>
        <w:t xml:space="preserve"> PCS is intended to function as a quality mark for securities. Securities with the PCS label adhere to certain standards which are supposed to remedy all the problems of securitisation of the past. </w:t>
      </w:r>
      <w:r w:rsidR="00583462" w:rsidRPr="00342967">
        <w:rPr>
          <w:rFonts w:cs="Times New Roman"/>
          <w:szCs w:val="24"/>
          <w:lang w:val="en-GB"/>
        </w:rPr>
        <w:t>The document</w:t>
      </w:r>
      <w:r w:rsidR="00591317" w:rsidRPr="00342967">
        <w:rPr>
          <w:rFonts w:cs="Times New Roman"/>
          <w:szCs w:val="24"/>
          <w:lang w:val="en-GB"/>
        </w:rPr>
        <w:t xml:space="preserve"> </w:t>
      </w:r>
      <w:r w:rsidR="00F867E8" w:rsidRPr="00342967">
        <w:rPr>
          <w:rFonts w:cs="Times New Roman"/>
          <w:szCs w:val="24"/>
          <w:lang w:val="en-GB"/>
        </w:rPr>
        <w:t>with all the</w:t>
      </w:r>
      <w:r w:rsidR="00591317" w:rsidRPr="00342967">
        <w:rPr>
          <w:rFonts w:cs="Times New Roman"/>
          <w:szCs w:val="24"/>
          <w:lang w:val="en-GB"/>
        </w:rPr>
        <w:t xml:space="preserve"> conditions</w:t>
      </w:r>
      <w:r w:rsidR="00B03B15" w:rsidRPr="00342967">
        <w:rPr>
          <w:rFonts w:cs="Times New Roman"/>
          <w:szCs w:val="24"/>
          <w:lang w:val="en-GB"/>
        </w:rPr>
        <w:t xml:space="preserve"> </w:t>
      </w:r>
      <w:r w:rsidR="001A6E93" w:rsidRPr="00342967">
        <w:rPr>
          <w:rFonts w:cs="Times New Roman"/>
          <w:szCs w:val="24"/>
          <w:lang w:val="en-GB"/>
        </w:rPr>
        <w:t>that must be met before a PCS label is assigned</w:t>
      </w:r>
      <w:r w:rsidR="00591317" w:rsidRPr="00342967">
        <w:rPr>
          <w:rFonts w:cs="Times New Roman"/>
          <w:szCs w:val="24"/>
          <w:lang w:val="en-GB"/>
        </w:rPr>
        <w:t xml:space="preserve"> is fast and</w:t>
      </w:r>
      <w:r w:rsidR="001A6E93" w:rsidRPr="00342967">
        <w:rPr>
          <w:rFonts w:cs="Times New Roman"/>
          <w:szCs w:val="24"/>
          <w:lang w:val="en-GB"/>
        </w:rPr>
        <w:t xml:space="preserve"> has</w:t>
      </w:r>
      <w:r w:rsidR="00591317" w:rsidRPr="00342967">
        <w:rPr>
          <w:rFonts w:cs="Times New Roman"/>
          <w:szCs w:val="24"/>
          <w:lang w:val="en-GB"/>
        </w:rPr>
        <w:t xml:space="preserve"> many pages</w:t>
      </w:r>
      <w:r w:rsidR="009A36DC" w:rsidRPr="00342967">
        <w:rPr>
          <w:rFonts w:cs="Times New Roman"/>
          <w:szCs w:val="24"/>
          <w:lang w:val="en-GB"/>
        </w:rPr>
        <w:t xml:space="preserve"> (Prime Collateralised Securities, 2017)</w:t>
      </w:r>
      <w:r w:rsidR="001A6E93" w:rsidRPr="00342967">
        <w:rPr>
          <w:rFonts w:cs="Times New Roman"/>
          <w:szCs w:val="24"/>
          <w:lang w:val="en-GB"/>
        </w:rPr>
        <w:t>.</w:t>
      </w:r>
      <w:r w:rsidR="00591317" w:rsidRPr="00342967">
        <w:rPr>
          <w:rFonts w:cs="Times New Roman"/>
          <w:szCs w:val="24"/>
          <w:lang w:val="en-GB"/>
        </w:rPr>
        <w:t xml:space="preserve"> </w:t>
      </w:r>
      <w:r w:rsidR="001A6E93" w:rsidRPr="00342967">
        <w:rPr>
          <w:rFonts w:cs="Times New Roman"/>
          <w:szCs w:val="24"/>
          <w:lang w:val="en-GB"/>
        </w:rPr>
        <w:t>T</w:t>
      </w:r>
      <w:r w:rsidR="00591317" w:rsidRPr="00342967">
        <w:rPr>
          <w:rFonts w:cs="Times New Roman"/>
          <w:szCs w:val="24"/>
          <w:lang w:val="en-GB"/>
        </w:rPr>
        <w:t>he most important</w:t>
      </w:r>
      <w:r w:rsidR="001A6E93" w:rsidRPr="00342967">
        <w:rPr>
          <w:rFonts w:cs="Times New Roman"/>
          <w:szCs w:val="24"/>
          <w:lang w:val="en-GB"/>
        </w:rPr>
        <w:t>, however, have been selected and are</w:t>
      </w:r>
      <w:r w:rsidR="00B03B15" w:rsidRPr="00342967">
        <w:rPr>
          <w:rFonts w:cs="Times New Roman"/>
          <w:szCs w:val="24"/>
          <w:lang w:val="en-GB"/>
        </w:rPr>
        <w:t xml:space="preserve"> as follows:</w:t>
      </w:r>
    </w:p>
    <w:p w14:paraId="279D0F46" w14:textId="2A2E42F4" w:rsidR="00B03B15" w:rsidRPr="00342967" w:rsidRDefault="00B03B15" w:rsidP="00D904F7">
      <w:pPr>
        <w:pStyle w:val="Lijstalinea"/>
        <w:numPr>
          <w:ilvl w:val="0"/>
          <w:numId w:val="3"/>
        </w:numPr>
        <w:jc w:val="both"/>
        <w:rPr>
          <w:rFonts w:cs="Times New Roman"/>
          <w:szCs w:val="24"/>
          <w:lang w:val="en-GB"/>
        </w:rPr>
      </w:pPr>
      <w:r w:rsidRPr="00342967">
        <w:rPr>
          <w:rFonts w:cs="Times New Roman"/>
          <w:szCs w:val="24"/>
          <w:lang w:val="en-GB"/>
        </w:rPr>
        <w:t xml:space="preserve">The underlying assets belong to a single eligible asset class </w:t>
      </w:r>
    </w:p>
    <w:p w14:paraId="4F5FA627" w14:textId="7BF68E53" w:rsidR="00B03B15" w:rsidRPr="00342967" w:rsidRDefault="00B03B15" w:rsidP="00D904F7">
      <w:pPr>
        <w:pStyle w:val="Lijstalinea"/>
        <w:numPr>
          <w:ilvl w:val="0"/>
          <w:numId w:val="3"/>
        </w:numPr>
        <w:jc w:val="both"/>
        <w:rPr>
          <w:rFonts w:cs="Times New Roman"/>
          <w:szCs w:val="24"/>
          <w:lang w:val="en-GB"/>
        </w:rPr>
      </w:pPr>
      <w:r w:rsidRPr="00342967">
        <w:rPr>
          <w:rFonts w:cs="Times New Roman"/>
          <w:szCs w:val="24"/>
          <w:lang w:val="en-GB"/>
        </w:rPr>
        <w:t xml:space="preserve">No re-securitisation </w:t>
      </w:r>
    </w:p>
    <w:p w14:paraId="23760913" w14:textId="3AC6D9A0" w:rsidR="00B03B15" w:rsidRPr="00342967" w:rsidRDefault="00B03B15" w:rsidP="00D904F7">
      <w:pPr>
        <w:pStyle w:val="Lijstalinea"/>
        <w:numPr>
          <w:ilvl w:val="0"/>
          <w:numId w:val="3"/>
        </w:numPr>
        <w:jc w:val="both"/>
        <w:rPr>
          <w:rFonts w:cs="Times New Roman"/>
          <w:szCs w:val="24"/>
          <w:lang w:val="en-GB"/>
        </w:rPr>
      </w:pPr>
      <w:r w:rsidRPr="00342967">
        <w:rPr>
          <w:rFonts w:cs="Times New Roman"/>
          <w:szCs w:val="24"/>
          <w:lang w:val="en-GB"/>
        </w:rPr>
        <w:t xml:space="preserve">Provision of loan data about the underlying assets and a recognized data repository consisting of constantly updated data </w:t>
      </w:r>
    </w:p>
    <w:p w14:paraId="0246EEC1" w14:textId="01FAD13A" w:rsidR="00B03B15" w:rsidRPr="00342967" w:rsidRDefault="00B03B15" w:rsidP="00D904F7">
      <w:pPr>
        <w:pStyle w:val="Lijstalinea"/>
        <w:numPr>
          <w:ilvl w:val="0"/>
          <w:numId w:val="3"/>
        </w:numPr>
        <w:jc w:val="both"/>
        <w:rPr>
          <w:rFonts w:cs="Times New Roman"/>
          <w:szCs w:val="24"/>
          <w:lang w:val="en-GB"/>
        </w:rPr>
      </w:pPr>
      <w:r w:rsidRPr="00342967">
        <w:rPr>
          <w:rFonts w:cs="Times New Roman"/>
          <w:szCs w:val="24"/>
          <w:lang w:val="en-GB"/>
        </w:rPr>
        <w:t>No synthetic securitisation, that is only true-asset sale where the</w:t>
      </w:r>
      <w:r w:rsidR="00FC1929" w:rsidRPr="00342967">
        <w:rPr>
          <w:rFonts w:cs="Times New Roman"/>
          <w:szCs w:val="24"/>
          <w:lang w:val="en-GB"/>
        </w:rPr>
        <w:t xml:space="preserve"> underlying</w:t>
      </w:r>
      <w:r w:rsidRPr="00342967">
        <w:rPr>
          <w:rFonts w:cs="Times New Roman"/>
          <w:szCs w:val="24"/>
          <w:lang w:val="en-GB"/>
        </w:rPr>
        <w:t xml:space="preserve"> assets switch possession </w:t>
      </w:r>
    </w:p>
    <w:p w14:paraId="53EB1D8F" w14:textId="23A03BDC" w:rsidR="00C42870" w:rsidRPr="00342967" w:rsidRDefault="00DD030F" w:rsidP="00D904F7">
      <w:pPr>
        <w:jc w:val="both"/>
        <w:rPr>
          <w:lang w:val="en-GB"/>
        </w:rPr>
      </w:pPr>
      <w:r w:rsidRPr="00342967">
        <w:rPr>
          <w:lang w:val="en-GB"/>
        </w:rPr>
        <w:t>These conditions become rather interesting</w:t>
      </w:r>
      <w:r w:rsidR="00811E6C" w:rsidRPr="00342967">
        <w:rPr>
          <w:lang w:val="en-GB"/>
        </w:rPr>
        <w:t xml:space="preserve"> when</w:t>
      </w:r>
      <w:r w:rsidR="00ED5AA4" w:rsidRPr="00342967">
        <w:rPr>
          <w:lang w:val="en-GB"/>
        </w:rPr>
        <w:t xml:space="preserve"> the STS-framework as proposed by the European Commission is compared with this </w:t>
      </w:r>
      <w:r w:rsidRPr="00342967">
        <w:rPr>
          <w:lang w:val="en-GB"/>
        </w:rPr>
        <w:t xml:space="preserve">PCS </w:t>
      </w:r>
      <w:r w:rsidR="00ED5AA4" w:rsidRPr="00342967">
        <w:rPr>
          <w:lang w:val="en-GB"/>
        </w:rPr>
        <w:t>proposal</w:t>
      </w:r>
      <w:r w:rsidRPr="00342967">
        <w:rPr>
          <w:lang w:val="en-GB"/>
        </w:rPr>
        <w:t xml:space="preserve"> by the financial industry</w:t>
      </w:r>
      <w:r w:rsidR="00ED5AA4" w:rsidRPr="00342967">
        <w:rPr>
          <w:lang w:val="en-GB"/>
        </w:rPr>
        <w:t xml:space="preserve">. </w:t>
      </w:r>
      <w:r w:rsidRPr="00342967">
        <w:rPr>
          <w:lang w:val="en-GB"/>
        </w:rPr>
        <w:t xml:space="preserve">The European Commission proposed the revival of securitisation </w:t>
      </w:r>
      <w:r w:rsidR="00CD0215" w:rsidRPr="00342967">
        <w:rPr>
          <w:lang w:val="en-GB"/>
        </w:rPr>
        <w:t>alongside the larger</w:t>
      </w:r>
      <w:r w:rsidRPr="00342967">
        <w:rPr>
          <w:lang w:val="en-GB"/>
        </w:rPr>
        <w:t xml:space="preserve"> plan to unite capital markets in Europe. However, the Commission </w:t>
      </w:r>
      <w:r w:rsidR="00B6716E" w:rsidRPr="00342967">
        <w:rPr>
          <w:lang w:val="en-GB"/>
        </w:rPr>
        <w:t>did</w:t>
      </w:r>
      <w:r w:rsidRPr="00342967">
        <w:rPr>
          <w:lang w:val="en-GB"/>
        </w:rPr>
        <w:t xml:space="preserve"> not want to revive securitisation without </w:t>
      </w:r>
      <w:r w:rsidR="009B2F73" w:rsidRPr="00342967">
        <w:rPr>
          <w:lang w:val="en-GB"/>
        </w:rPr>
        <w:t>specific</w:t>
      </w:r>
      <w:r w:rsidRPr="00342967">
        <w:rPr>
          <w:lang w:val="en-GB"/>
        </w:rPr>
        <w:t xml:space="preserve"> conditions</w:t>
      </w:r>
      <w:r w:rsidR="00B6716E" w:rsidRPr="00342967">
        <w:rPr>
          <w:lang w:val="en-GB"/>
        </w:rPr>
        <w:t xml:space="preserve"> and created a framework to which securities </w:t>
      </w:r>
      <w:r w:rsidR="002901ED" w:rsidRPr="00342967">
        <w:rPr>
          <w:lang w:val="en-GB"/>
        </w:rPr>
        <w:t>must</w:t>
      </w:r>
      <w:r w:rsidR="00B6716E" w:rsidRPr="00342967">
        <w:rPr>
          <w:lang w:val="en-GB"/>
        </w:rPr>
        <w:t xml:space="preserve"> adhere to receive the stamp of approval of the European Commission.</w:t>
      </w:r>
      <w:r w:rsidR="0087240D" w:rsidRPr="00342967">
        <w:rPr>
          <w:lang w:val="en-GB"/>
        </w:rPr>
        <w:t xml:space="preserve"> This STS framework was proposed alongside </w:t>
      </w:r>
      <w:r w:rsidR="004F3142">
        <w:rPr>
          <w:lang w:val="en-GB"/>
        </w:rPr>
        <w:t>CMU</w:t>
      </w:r>
      <w:r w:rsidR="0087240D" w:rsidRPr="00342967">
        <w:rPr>
          <w:lang w:val="en-GB"/>
        </w:rPr>
        <w:t xml:space="preserve"> in 2015, three years after the PCS label was proposed by the industry.</w:t>
      </w:r>
      <w:r w:rsidR="00252691" w:rsidRPr="00342967">
        <w:rPr>
          <w:lang w:val="en-GB"/>
        </w:rPr>
        <w:t xml:space="preserve"> STS in this framework stand for simple, transparent and standardized </w:t>
      </w:r>
      <w:r w:rsidR="00355213" w:rsidRPr="00342967">
        <w:rPr>
          <w:lang w:val="en-GB"/>
        </w:rPr>
        <w:t xml:space="preserve">securitisation (European Commission, 2015b). </w:t>
      </w:r>
      <w:r w:rsidR="00895E5C" w:rsidRPr="00342967">
        <w:rPr>
          <w:lang w:val="en-GB"/>
        </w:rPr>
        <w:t xml:space="preserve">These are the exact same words the industry used to promote its own label of securitisation. </w:t>
      </w:r>
      <w:r w:rsidR="00CB1EF5" w:rsidRPr="00342967">
        <w:rPr>
          <w:lang w:val="en-GB"/>
        </w:rPr>
        <w:t>Moreover, what is noteworthy</w:t>
      </w:r>
      <w:r w:rsidR="00723904" w:rsidRPr="00342967">
        <w:rPr>
          <w:lang w:val="en-GB"/>
        </w:rPr>
        <w:t xml:space="preserve"> is that </w:t>
      </w:r>
      <w:r w:rsidR="00646234" w:rsidRPr="00342967">
        <w:rPr>
          <w:lang w:val="en-GB"/>
        </w:rPr>
        <w:t xml:space="preserve">proposed goal of reviving securitisation of both PCS and STS are exactly the same, namely to increase funding to the real </w:t>
      </w:r>
      <w:r w:rsidR="002C1FDC" w:rsidRPr="00342967">
        <w:rPr>
          <w:lang w:val="en-GB"/>
        </w:rPr>
        <w:t xml:space="preserve">economy and to support economic growth. The discourse </w:t>
      </w:r>
      <w:r w:rsidR="00935D11" w:rsidRPr="00342967">
        <w:rPr>
          <w:lang w:val="en-GB"/>
        </w:rPr>
        <w:t>surrounding PCS and STS are remarkable similar, but it does not stop there. T</w:t>
      </w:r>
      <w:r w:rsidR="00895E5C" w:rsidRPr="00342967">
        <w:rPr>
          <w:lang w:val="en-GB"/>
        </w:rPr>
        <w:t xml:space="preserve">he content </w:t>
      </w:r>
      <w:r w:rsidR="00935D11" w:rsidRPr="00342967">
        <w:rPr>
          <w:lang w:val="en-GB"/>
        </w:rPr>
        <w:lastRenderedPageBreak/>
        <w:t>of both proposal</w:t>
      </w:r>
      <w:r w:rsidR="00AF17C1" w:rsidRPr="00342967">
        <w:rPr>
          <w:lang w:val="en-GB"/>
        </w:rPr>
        <w:t>s</w:t>
      </w:r>
      <w:r w:rsidR="00935D11" w:rsidRPr="00342967">
        <w:rPr>
          <w:lang w:val="en-GB"/>
        </w:rPr>
        <w:t xml:space="preserve"> </w:t>
      </w:r>
      <w:r w:rsidR="00887E99" w:rsidRPr="00342967">
        <w:rPr>
          <w:lang w:val="en-GB"/>
        </w:rPr>
        <w:t>is</w:t>
      </w:r>
      <w:r w:rsidR="00935D11" w:rsidRPr="00342967">
        <w:rPr>
          <w:lang w:val="en-GB"/>
        </w:rPr>
        <w:t xml:space="preserve"> uncannily similar</w:t>
      </w:r>
      <w:r w:rsidR="00060BD0" w:rsidRPr="00342967">
        <w:rPr>
          <w:lang w:val="en-GB"/>
        </w:rPr>
        <w:t xml:space="preserve"> as well</w:t>
      </w:r>
      <w:r w:rsidR="00895E5C" w:rsidRPr="00342967">
        <w:rPr>
          <w:lang w:val="en-GB"/>
        </w:rPr>
        <w:t xml:space="preserve">. </w:t>
      </w:r>
      <w:r w:rsidR="00CD34C8" w:rsidRPr="00342967">
        <w:rPr>
          <w:lang w:val="en-GB"/>
        </w:rPr>
        <w:t xml:space="preserve">The criteria to which securitisation must adhere </w:t>
      </w:r>
      <w:r w:rsidR="00060BD0" w:rsidRPr="00342967">
        <w:rPr>
          <w:lang w:val="en-GB"/>
        </w:rPr>
        <w:t>to</w:t>
      </w:r>
      <w:r w:rsidR="00CD34C8" w:rsidRPr="00342967">
        <w:rPr>
          <w:lang w:val="en-GB"/>
        </w:rPr>
        <w:t xml:space="preserve"> carry the name </w:t>
      </w:r>
      <w:r w:rsidR="000C5059" w:rsidRPr="00342967">
        <w:rPr>
          <w:lang w:val="en-GB"/>
        </w:rPr>
        <w:t>STS securitisation are categorized according to criteria to improve simplicity, transparency and standardisation.</w:t>
      </w:r>
      <w:r w:rsidR="00C42870" w:rsidRPr="00342967">
        <w:rPr>
          <w:lang w:val="en-GB"/>
        </w:rPr>
        <w:t xml:space="preserve"> They are as follows </w:t>
      </w:r>
      <w:r w:rsidR="003D3C6D" w:rsidRPr="00342967">
        <w:rPr>
          <w:lang w:val="en-GB"/>
        </w:rPr>
        <w:t>(European Commission, 2015c, p.7)</w:t>
      </w:r>
      <w:r w:rsidR="0057453D" w:rsidRPr="00342967">
        <w:rPr>
          <w:lang w:val="en-GB"/>
        </w:rPr>
        <w:t>:</w:t>
      </w:r>
    </w:p>
    <w:p w14:paraId="61A19222" w14:textId="07312106" w:rsidR="00C42870" w:rsidRPr="00342967" w:rsidRDefault="00C42870" w:rsidP="00D904F7">
      <w:pPr>
        <w:pStyle w:val="Lijstalinea"/>
        <w:numPr>
          <w:ilvl w:val="0"/>
          <w:numId w:val="4"/>
        </w:numPr>
        <w:jc w:val="both"/>
        <w:rPr>
          <w:rFonts w:cs="Times New Roman"/>
          <w:szCs w:val="24"/>
          <w:lang w:val="en-GB"/>
        </w:rPr>
      </w:pPr>
      <w:r w:rsidRPr="00342967">
        <w:rPr>
          <w:rFonts w:cs="Times New Roman"/>
          <w:szCs w:val="24"/>
          <w:lang w:val="en-GB"/>
        </w:rPr>
        <w:t>Simplicity criteria: Underlying exposures are required to be homogeneous. Re-securitisation are explicitly excluded</w:t>
      </w:r>
    </w:p>
    <w:p w14:paraId="0E701FDC" w14:textId="77777777" w:rsidR="00C42870" w:rsidRPr="00342967" w:rsidRDefault="00C42870" w:rsidP="00D904F7">
      <w:pPr>
        <w:pStyle w:val="Lijstalinea"/>
        <w:numPr>
          <w:ilvl w:val="0"/>
          <w:numId w:val="4"/>
        </w:numPr>
        <w:jc w:val="both"/>
        <w:rPr>
          <w:rFonts w:cs="Times New Roman"/>
          <w:szCs w:val="24"/>
          <w:lang w:val="en-GB"/>
        </w:rPr>
      </w:pPr>
      <w:r w:rsidRPr="00342967">
        <w:rPr>
          <w:rFonts w:cs="Times New Roman"/>
          <w:szCs w:val="24"/>
          <w:lang w:val="en-GB"/>
        </w:rPr>
        <w:t>Transparency criteria: transactions comply with transparency and disclosure requirements, such as the provision of loan-level data.</w:t>
      </w:r>
    </w:p>
    <w:p w14:paraId="7E82F7E9" w14:textId="77777777" w:rsidR="00C42870" w:rsidRPr="00342967" w:rsidRDefault="00C42870" w:rsidP="00D904F7">
      <w:pPr>
        <w:pStyle w:val="Lijstalinea"/>
        <w:numPr>
          <w:ilvl w:val="0"/>
          <w:numId w:val="4"/>
        </w:numPr>
        <w:jc w:val="both"/>
        <w:rPr>
          <w:rFonts w:cs="Times New Roman"/>
          <w:szCs w:val="24"/>
          <w:lang w:val="en-GB"/>
        </w:rPr>
      </w:pPr>
      <w:r w:rsidRPr="00342967">
        <w:rPr>
          <w:rFonts w:cs="Times New Roman"/>
          <w:szCs w:val="24"/>
          <w:lang w:val="en-GB"/>
        </w:rPr>
        <w:t>Standardisation criteria: Transfer of the underlying exposures to the securitisation vehicle is sufficiently robust from a legal point of view (e.g. there is a ‘true sale’)</w:t>
      </w:r>
    </w:p>
    <w:p w14:paraId="48E6A866" w14:textId="6D93BE61" w:rsidR="00474219" w:rsidRDefault="00C42870" w:rsidP="00D904F7">
      <w:pPr>
        <w:jc w:val="both"/>
        <w:rPr>
          <w:lang w:val="en-GB"/>
        </w:rPr>
      </w:pPr>
      <w:r w:rsidRPr="00342967">
        <w:rPr>
          <w:lang w:val="en-GB"/>
        </w:rPr>
        <w:t xml:space="preserve">These are </w:t>
      </w:r>
      <w:r w:rsidR="00674082" w:rsidRPr="00342967">
        <w:rPr>
          <w:lang w:val="en-GB"/>
        </w:rPr>
        <w:t>the exact</w:t>
      </w:r>
      <w:r w:rsidRPr="00342967">
        <w:rPr>
          <w:lang w:val="en-GB"/>
        </w:rPr>
        <w:t xml:space="preserve"> same </w:t>
      </w:r>
      <w:r w:rsidR="007D5B3D" w:rsidRPr="00342967">
        <w:rPr>
          <w:lang w:val="en-GB"/>
        </w:rPr>
        <w:t xml:space="preserve">criteria the industry formulated three years before the Commission did. </w:t>
      </w:r>
      <w:r w:rsidR="007D5B3D" w:rsidRPr="00342967">
        <w:rPr>
          <w:rFonts w:cs="Times New Roman"/>
          <w:szCs w:val="24"/>
          <w:lang w:val="en-GB"/>
        </w:rPr>
        <w:t>One and two listed above of the PCS label are equal to the simplicity criteria of the STS framework</w:t>
      </w:r>
      <w:r w:rsidR="00474219" w:rsidRPr="00342967">
        <w:rPr>
          <w:rFonts w:cs="Times New Roman"/>
          <w:szCs w:val="24"/>
          <w:lang w:val="en-GB"/>
        </w:rPr>
        <w:t>.</w:t>
      </w:r>
      <w:r w:rsidR="00674082" w:rsidRPr="00342967">
        <w:rPr>
          <w:rFonts w:cs="Times New Roman"/>
          <w:szCs w:val="24"/>
          <w:lang w:val="en-GB"/>
        </w:rPr>
        <w:t xml:space="preserve"> </w:t>
      </w:r>
      <w:r w:rsidR="002C7E34" w:rsidRPr="00342967">
        <w:rPr>
          <w:lang w:val="en-GB"/>
        </w:rPr>
        <w:t xml:space="preserve">That the proposal </w:t>
      </w:r>
      <w:r w:rsidR="00BD0956" w:rsidRPr="00342967">
        <w:rPr>
          <w:lang w:val="en-GB"/>
        </w:rPr>
        <w:t xml:space="preserve">is mostly in line with what the financial sector wants cannot only be demonstrated by the fact that it is almost a one on one copy of </w:t>
      </w:r>
      <w:r w:rsidR="005A6DCD" w:rsidRPr="00342967">
        <w:rPr>
          <w:lang w:val="en-GB"/>
        </w:rPr>
        <w:t xml:space="preserve">a similar proposal by the industry itself, but also by the responses of various financial actors on both the Green Paper on the Capital Markets Union and on the consultation document regarding </w:t>
      </w:r>
      <w:r w:rsidR="00747F36" w:rsidRPr="00342967">
        <w:rPr>
          <w:lang w:val="en-GB"/>
        </w:rPr>
        <w:t>STS securitisation</w:t>
      </w:r>
      <w:r w:rsidR="00F02C05" w:rsidRPr="00342967">
        <w:rPr>
          <w:lang w:val="en-GB"/>
        </w:rPr>
        <w:t xml:space="preserve"> and on the </w:t>
      </w:r>
      <w:r w:rsidR="00E752F6" w:rsidRPr="00342967">
        <w:rPr>
          <w:lang w:val="en-GB"/>
        </w:rPr>
        <w:t>proposals in general</w:t>
      </w:r>
      <w:r w:rsidR="00747F36" w:rsidRPr="00342967">
        <w:rPr>
          <w:lang w:val="en-GB"/>
        </w:rPr>
        <w:t xml:space="preserve">. </w:t>
      </w:r>
      <w:r w:rsidR="00600B74" w:rsidRPr="00342967">
        <w:rPr>
          <w:lang w:val="en-GB"/>
        </w:rPr>
        <w:t xml:space="preserve">For each </w:t>
      </w:r>
      <w:r w:rsidR="00880509" w:rsidRPr="00342967">
        <w:rPr>
          <w:lang w:val="en-GB"/>
        </w:rPr>
        <w:t>separate activity within the financial sector</w:t>
      </w:r>
      <w:r w:rsidR="009410AF" w:rsidRPr="00342967">
        <w:rPr>
          <w:lang w:val="en-GB"/>
        </w:rPr>
        <w:t xml:space="preserve"> proxies have been selected to represent the interest of that specific activity</w:t>
      </w:r>
      <w:r w:rsidR="009D1695" w:rsidRPr="00342967">
        <w:rPr>
          <w:lang w:val="en-GB"/>
        </w:rPr>
        <w:t xml:space="preserve"> as every actor has slightly different interests.</w:t>
      </w:r>
    </w:p>
    <w:p w14:paraId="7113FAD9" w14:textId="1D0798D2" w:rsidR="008117A5" w:rsidRPr="00342967" w:rsidRDefault="008117A5" w:rsidP="00D904F7">
      <w:pPr>
        <w:pStyle w:val="Kop3"/>
        <w:jc w:val="both"/>
        <w:rPr>
          <w:lang w:val="en-GB"/>
        </w:rPr>
      </w:pPr>
      <w:bookmarkStart w:id="23" w:name="_Toc518333119"/>
      <w:r w:rsidRPr="00342967">
        <w:rPr>
          <w:lang w:val="en-GB"/>
        </w:rPr>
        <w:t>3.</w:t>
      </w:r>
      <w:r w:rsidR="007D61B9" w:rsidRPr="00342967">
        <w:rPr>
          <w:lang w:val="en-GB"/>
        </w:rPr>
        <w:t>5</w:t>
      </w:r>
      <w:r w:rsidRPr="00342967">
        <w:rPr>
          <w:lang w:val="en-GB"/>
        </w:rPr>
        <w:t>.2</w:t>
      </w:r>
      <w:r w:rsidR="00A4766E" w:rsidRPr="00342967">
        <w:rPr>
          <w:lang w:val="en-GB"/>
        </w:rPr>
        <w:t xml:space="preserve"> “Securitisation?”, “Yes please!”</w:t>
      </w:r>
      <w:bookmarkEnd w:id="23"/>
    </w:p>
    <w:p w14:paraId="524E892C" w14:textId="0463725F" w:rsidR="00517FA0" w:rsidRPr="00342967" w:rsidRDefault="004C5FEF" w:rsidP="00D904F7">
      <w:pPr>
        <w:jc w:val="both"/>
        <w:rPr>
          <w:lang w:val="en-GB"/>
        </w:rPr>
      </w:pPr>
      <w:r w:rsidRPr="00342967">
        <w:rPr>
          <w:lang w:val="en-GB"/>
        </w:rPr>
        <w:t>For the banking sector, BNP Paribas</w:t>
      </w:r>
      <w:r w:rsidR="00C05404" w:rsidRPr="00342967">
        <w:rPr>
          <w:lang w:val="en-GB"/>
        </w:rPr>
        <w:t xml:space="preserve">, </w:t>
      </w:r>
      <w:r w:rsidRPr="00342967">
        <w:rPr>
          <w:lang w:val="en-GB"/>
        </w:rPr>
        <w:t>Deutsche Bank</w:t>
      </w:r>
      <w:r w:rsidR="00C05404" w:rsidRPr="00342967">
        <w:rPr>
          <w:lang w:val="en-GB"/>
        </w:rPr>
        <w:t xml:space="preserve"> and Goldman Sachs</w:t>
      </w:r>
      <w:r w:rsidRPr="00342967">
        <w:rPr>
          <w:lang w:val="en-GB"/>
        </w:rPr>
        <w:t xml:space="preserve"> have been chosen. </w:t>
      </w:r>
      <w:r w:rsidR="00517FA0" w:rsidRPr="00342967">
        <w:rPr>
          <w:lang w:val="en-GB"/>
        </w:rPr>
        <w:t>BNP Paribas is one of the largest banking corporation in the world with total assets exceeding 1900 billion euros (BNP Paribas, 2017). Moreover, it has been identified by Corporate Europe observatory as one of the most active lobbyists on securitisation (</w:t>
      </w:r>
      <w:r w:rsidR="003763DF" w:rsidRPr="00342967">
        <w:rPr>
          <w:lang w:val="en-GB"/>
        </w:rPr>
        <w:t>Carmageddon</w:t>
      </w:r>
      <w:r w:rsidR="00517FA0" w:rsidRPr="00342967">
        <w:rPr>
          <w:lang w:val="en-GB"/>
        </w:rPr>
        <w:t xml:space="preserve">, 2017). </w:t>
      </w:r>
      <w:r w:rsidR="00AF32F9" w:rsidRPr="00342967">
        <w:rPr>
          <w:rFonts w:cs="Times New Roman"/>
          <w:szCs w:val="24"/>
          <w:lang w:val="en-GB"/>
        </w:rPr>
        <w:t xml:space="preserve">Deutsche Bank is next to BNP Paribas one of the largest </w:t>
      </w:r>
      <w:r w:rsidR="00513106" w:rsidRPr="00342967">
        <w:rPr>
          <w:rFonts w:cs="Times New Roman"/>
          <w:szCs w:val="24"/>
          <w:lang w:val="en-GB"/>
        </w:rPr>
        <w:t>banks</w:t>
      </w:r>
      <w:r w:rsidR="00AF32F9" w:rsidRPr="00342967">
        <w:rPr>
          <w:rFonts w:cs="Times New Roman"/>
          <w:szCs w:val="24"/>
          <w:lang w:val="en-GB"/>
        </w:rPr>
        <w:t xml:space="preserve"> in Europe with </w:t>
      </w:r>
      <w:r w:rsidR="002B140A" w:rsidRPr="00342967">
        <w:rPr>
          <w:rFonts w:cs="Times New Roman"/>
          <w:szCs w:val="24"/>
          <w:lang w:val="en-GB"/>
        </w:rPr>
        <w:t xml:space="preserve">total assets </w:t>
      </w:r>
      <w:r w:rsidR="00426326" w:rsidRPr="00342967">
        <w:rPr>
          <w:rFonts w:cs="Times New Roman"/>
          <w:szCs w:val="24"/>
          <w:lang w:val="en-GB"/>
        </w:rPr>
        <w:t>slightly over 1400 billion Euros (Deutsche Bank, 2017)</w:t>
      </w:r>
      <w:r w:rsidR="00AF32F9" w:rsidRPr="00342967">
        <w:rPr>
          <w:rFonts w:cs="Times New Roman"/>
          <w:szCs w:val="24"/>
          <w:lang w:val="en-GB"/>
        </w:rPr>
        <w:t xml:space="preserve">. </w:t>
      </w:r>
      <w:r w:rsidR="00E806F7" w:rsidRPr="00342967">
        <w:rPr>
          <w:rFonts w:cs="Times New Roman"/>
          <w:szCs w:val="24"/>
          <w:lang w:val="en-GB"/>
        </w:rPr>
        <w:t xml:space="preserve">With both BNP Paribas and Deutsche bank, the two major countries in the EU are </w:t>
      </w:r>
      <w:r w:rsidR="005A4662" w:rsidRPr="00342967">
        <w:rPr>
          <w:rFonts w:cs="Times New Roman"/>
          <w:szCs w:val="24"/>
          <w:lang w:val="en-GB"/>
        </w:rPr>
        <w:t>represented.</w:t>
      </w:r>
      <w:r w:rsidR="00AF32F9" w:rsidRPr="00342967">
        <w:rPr>
          <w:rFonts w:cs="Times New Roman"/>
          <w:szCs w:val="24"/>
          <w:lang w:val="en-GB"/>
        </w:rPr>
        <w:t xml:space="preserve"> </w:t>
      </w:r>
      <w:r w:rsidR="005A4662" w:rsidRPr="00342967">
        <w:rPr>
          <w:rFonts w:cs="Times New Roman"/>
          <w:szCs w:val="24"/>
          <w:lang w:val="en-GB"/>
        </w:rPr>
        <w:t>Besides European banks, G</w:t>
      </w:r>
      <w:r w:rsidR="005A4662" w:rsidRPr="00342967">
        <w:rPr>
          <w:lang w:val="en-GB"/>
        </w:rPr>
        <w:t>oldman</w:t>
      </w:r>
      <w:r w:rsidR="00517FA0" w:rsidRPr="00342967">
        <w:rPr>
          <w:lang w:val="en-GB"/>
        </w:rPr>
        <w:t xml:space="preserve"> Sachs is selected because it is the world’s leading investment bank and has been at the centre of the Global Financial Crisis. </w:t>
      </w:r>
      <w:r w:rsidR="00517FA0" w:rsidRPr="00342967">
        <w:rPr>
          <w:lang w:val="en-GB"/>
        </w:rPr>
        <w:lastRenderedPageBreak/>
        <w:t xml:space="preserve">Moreover, since securitisation in the United States, the home country of Goldman Sachs, is currently already operating at full speed, its response on CMU and securitisation could be telling. </w:t>
      </w:r>
    </w:p>
    <w:p w14:paraId="0004A6BB" w14:textId="2C83836E" w:rsidR="00E42E0E" w:rsidRPr="00342967" w:rsidRDefault="00E42E0E" w:rsidP="00D904F7">
      <w:pPr>
        <w:jc w:val="both"/>
        <w:rPr>
          <w:lang w:val="en-GB"/>
        </w:rPr>
      </w:pPr>
      <w:r w:rsidRPr="00342967">
        <w:rPr>
          <w:lang w:val="en-GB"/>
        </w:rPr>
        <w:t>In BNP Paribas response the emphasis is on reiterating how needed a Capital Markets Union is. BNP Paribas “… welcomes the Capital Markets Union [</w:t>
      </w:r>
      <w:r w:rsidR="00537280">
        <w:rPr>
          <w:lang w:val="en-GB"/>
        </w:rPr>
        <w:t>…</w:t>
      </w:r>
      <w:r w:rsidRPr="00342967">
        <w:rPr>
          <w:lang w:val="en-GB"/>
        </w:rPr>
        <w:t>] as a clarion call for growth after a five-year period when the cursor was firmly on the side of financial stability and less on the financing of the economy by banks…” (BNP Paribas, 2015</w:t>
      </w:r>
      <w:r w:rsidR="00D27F4A" w:rsidRPr="00342967">
        <w:rPr>
          <w:lang w:val="en-GB"/>
        </w:rPr>
        <w:t>, p.1</w:t>
      </w:r>
      <w:r w:rsidRPr="00342967">
        <w:rPr>
          <w:lang w:val="en-GB"/>
        </w:rPr>
        <w:t>). Furthermore they “… welcome the project’s ambition and the opportunity that it represents” (BNP Paribas, 2015</w:t>
      </w:r>
      <w:r w:rsidR="00D27F4A" w:rsidRPr="00342967">
        <w:rPr>
          <w:lang w:val="en-GB"/>
        </w:rPr>
        <w:t>, p.1</w:t>
      </w:r>
      <w:r w:rsidRPr="00342967">
        <w:rPr>
          <w:lang w:val="en-GB"/>
        </w:rPr>
        <w:t xml:space="preserve">). Regarding securitisation, they write that the revival of securitisation is necessary to ‘repair the unjustified penalization of the EU market.” (BNP Paribas, 2015, p.2). In line with the European Commission they argue that the stigma of securitisation is unfairly harming Europe and that an ‘urgent correction of the calibration of ABS capital requirement is required which prevents banks from originating, arranging, and sponsoring securitisation …” (BNP Paribas, 2015, p.2). The same general tenor can be found in the response of Goldman Sachs on the Green Paper. Like the European Commission they also use the need for increased SME financing as the main argument why securitisation should be revived. </w:t>
      </w:r>
      <w:r w:rsidR="00F04462" w:rsidRPr="00342967">
        <w:rPr>
          <w:lang w:val="en-GB"/>
        </w:rPr>
        <w:t>Tellingly</w:t>
      </w:r>
      <w:r w:rsidRPr="00342967">
        <w:rPr>
          <w:lang w:val="en-GB"/>
        </w:rPr>
        <w:t xml:space="preserve">, the section that covers securitisation in the response is called ‘Fostering SME Funding’ (Goldman Sachs, 2015, p.3). Goldman Sachs reiterates the standard advantages of securitisation, such as increased credit supply and risk diversification. They support the initiative of the European Commission to revive, but do not agree with the proposed framework as some of the factors designed to make securitisation more transparent, standardized and simple are deterring investors from the securitisations market. In particular, the current risk retention rules, investment restrictions and documentation requirements are massive obstructions to a well-functioning securitisation market, according to Goldman Sachs. </w:t>
      </w:r>
    </w:p>
    <w:p w14:paraId="0EDFCA02" w14:textId="3129D38A" w:rsidR="00527775" w:rsidRPr="00342967" w:rsidRDefault="00527775" w:rsidP="00D904F7">
      <w:pPr>
        <w:jc w:val="both"/>
        <w:rPr>
          <w:lang w:val="en-GB"/>
        </w:rPr>
      </w:pPr>
      <w:r w:rsidRPr="00342967">
        <w:rPr>
          <w:lang w:val="en-GB"/>
        </w:rPr>
        <w:t xml:space="preserve">To cover the interest of the consultancy sector, KPMG has been </w:t>
      </w:r>
      <w:r w:rsidR="0034212F" w:rsidRPr="00342967">
        <w:rPr>
          <w:lang w:val="en-GB"/>
        </w:rPr>
        <w:t>chosen</w:t>
      </w:r>
      <w:r w:rsidR="00E53869" w:rsidRPr="00342967">
        <w:rPr>
          <w:lang w:val="en-GB"/>
        </w:rPr>
        <w:t xml:space="preserve">. </w:t>
      </w:r>
      <w:r w:rsidR="00D74FE8" w:rsidRPr="00342967">
        <w:rPr>
          <w:lang w:val="en-GB"/>
        </w:rPr>
        <w:t>KPMG is one of the major consultancy</w:t>
      </w:r>
      <w:r w:rsidR="00EE5B6B" w:rsidRPr="00342967">
        <w:rPr>
          <w:lang w:val="en-GB"/>
        </w:rPr>
        <w:t xml:space="preserve"> and accountancy firms in the world and belongs to the so-called big four</w:t>
      </w:r>
      <w:r w:rsidR="00A357BE" w:rsidRPr="00342967">
        <w:rPr>
          <w:lang w:val="en-GB"/>
        </w:rPr>
        <w:t xml:space="preserve"> consultancy companies</w:t>
      </w:r>
      <w:r w:rsidR="00EE5B6B" w:rsidRPr="00342967">
        <w:rPr>
          <w:lang w:val="en-GB"/>
        </w:rPr>
        <w:t xml:space="preserve">. KPMG offers </w:t>
      </w:r>
      <w:r w:rsidR="00092034" w:rsidRPr="00342967">
        <w:rPr>
          <w:lang w:val="en-GB"/>
        </w:rPr>
        <w:t xml:space="preserve">consultancy services to the financial sector in general but also in particular to securitisation transactions. </w:t>
      </w:r>
      <w:r w:rsidR="00056A40" w:rsidRPr="00342967">
        <w:rPr>
          <w:rFonts w:cs="Times New Roman"/>
          <w:szCs w:val="24"/>
          <w:lang w:val="en-GB"/>
        </w:rPr>
        <w:t xml:space="preserve">KPMG also calls for the reimplementation of securitisation ‘to get finance flowing into Europe’s economy (…)’ (KPMG, 2015, p.4). They note the complexity associated with securitisation and reckon a solution is necessary before securitisation can be reimplemented successfully. Telling is that, in a slightly different language, they note the same problem as Goldman Sachs, namely that the new framework includes disincentives for investors </w:t>
      </w:r>
      <w:r w:rsidR="00056A40" w:rsidRPr="00342967">
        <w:rPr>
          <w:rFonts w:cs="Times New Roman"/>
          <w:szCs w:val="24"/>
          <w:lang w:val="en-GB"/>
        </w:rPr>
        <w:lastRenderedPageBreak/>
        <w:t xml:space="preserve">that need to be addressed by the </w:t>
      </w:r>
      <w:r w:rsidR="00183278">
        <w:rPr>
          <w:rFonts w:cs="Times New Roman"/>
          <w:szCs w:val="24"/>
          <w:lang w:val="en-GB"/>
        </w:rPr>
        <w:t>C</w:t>
      </w:r>
      <w:r w:rsidR="00056A40" w:rsidRPr="00342967">
        <w:rPr>
          <w:rFonts w:cs="Times New Roman"/>
          <w:szCs w:val="24"/>
          <w:lang w:val="en-GB"/>
        </w:rPr>
        <w:t xml:space="preserve">ommission. One important proposal by the European Commission to align the interest of investor with that of the issuer to prevent loans being originated merely for the purpose to securitise them </w:t>
      </w:r>
      <w:r w:rsidR="000D1600" w:rsidRPr="00342967">
        <w:rPr>
          <w:rFonts w:cs="Times New Roman"/>
          <w:szCs w:val="24"/>
          <w:lang w:val="en-GB"/>
        </w:rPr>
        <w:t>later</w:t>
      </w:r>
      <w:r w:rsidR="00056A40" w:rsidRPr="00342967">
        <w:rPr>
          <w:rFonts w:cs="Times New Roman"/>
          <w:szCs w:val="24"/>
          <w:lang w:val="en-GB"/>
        </w:rPr>
        <w:t>, the so called ‘originate-to-distribute’ model, is risk retention. The originator/issuer must keep a minimum percentage of the risk on its own balance sheet so that they will have the same interest. However, KPMG sees this as an obstacle to the revival of securitisation and argues that this needs to be addressed in a revised action plan (KPMG, 2015, p.9)</w:t>
      </w:r>
    </w:p>
    <w:p w14:paraId="5DE8DBA7" w14:textId="2BF2B515" w:rsidR="000543F5" w:rsidRPr="00342967" w:rsidRDefault="00CC006A" w:rsidP="00D904F7">
      <w:pPr>
        <w:jc w:val="both"/>
        <w:rPr>
          <w:rFonts w:cs="Times New Roman"/>
          <w:szCs w:val="24"/>
          <w:lang w:val="en-GB"/>
        </w:rPr>
      </w:pPr>
      <w:r w:rsidRPr="00342967">
        <w:rPr>
          <w:lang w:val="en-GB"/>
        </w:rPr>
        <w:t>The EFR also responded on the Green Paper and the consultation document</w:t>
      </w:r>
      <w:r w:rsidR="004D1408" w:rsidRPr="00342967">
        <w:rPr>
          <w:lang w:val="en-GB"/>
        </w:rPr>
        <w:t>. It is quite ironic that they responded on the STS framework consultation paper as the framework is basically their own proposal</w:t>
      </w:r>
      <w:r w:rsidR="003278E5" w:rsidRPr="00342967">
        <w:rPr>
          <w:lang w:val="en-GB"/>
        </w:rPr>
        <w:t xml:space="preserve">. Unsurprisingly, they do not have fundamental critique on the proposal. The only relevant critique they </w:t>
      </w:r>
      <w:r w:rsidR="00CF0198" w:rsidRPr="00342967">
        <w:rPr>
          <w:lang w:val="en-GB"/>
        </w:rPr>
        <w:t>offer is</w:t>
      </w:r>
      <w:r w:rsidR="003278E5" w:rsidRPr="00342967">
        <w:rPr>
          <w:lang w:val="en-GB"/>
        </w:rPr>
        <w:t xml:space="preserve"> it that they rather have an independent agency </w:t>
      </w:r>
      <w:r w:rsidR="00E901A6" w:rsidRPr="00342967">
        <w:rPr>
          <w:lang w:val="en-GB"/>
        </w:rPr>
        <w:t xml:space="preserve">creating a quality mark </w:t>
      </w:r>
      <w:r w:rsidR="00C2394B" w:rsidRPr="00342967">
        <w:rPr>
          <w:lang w:val="en-GB"/>
        </w:rPr>
        <w:t>with t</w:t>
      </w:r>
      <w:r w:rsidR="00E901A6" w:rsidRPr="00342967">
        <w:rPr>
          <w:lang w:val="en-GB"/>
        </w:rPr>
        <w:t>he approval of the European Commission, than a quality mark that is developed and controlled by the Commission</w:t>
      </w:r>
      <w:r w:rsidR="00495B18" w:rsidRPr="00342967">
        <w:rPr>
          <w:lang w:val="en-GB"/>
        </w:rPr>
        <w:t xml:space="preserve"> (European Financial Services Roundtable, 2015). </w:t>
      </w:r>
      <w:r w:rsidR="00FD0BC7" w:rsidRPr="00342967">
        <w:rPr>
          <w:rFonts w:cs="Times New Roman"/>
          <w:szCs w:val="24"/>
          <w:lang w:val="en-GB"/>
        </w:rPr>
        <w:t xml:space="preserve">Not only </w:t>
      </w:r>
      <w:r w:rsidR="000E6906" w:rsidRPr="00342967">
        <w:rPr>
          <w:rFonts w:cs="Times New Roman"/>
          <w:szCs w:val="24"/>
          <w:lang w:val="en-GB"/>
        </w:rPr>
        <w:t xml:space="preserve">actors in the supply side of securitisation are very positive, the buy side of securities, that are investors are </w:t>
      </w:r>
      <w:r w:rsidR="00465574" w:rsidRPr="00342967">
        <w:rPr>
          <w:rFonts w:cs="Times New Roman"/>
          <w:szCs w:val="24"/>
          <w:lang w:val="en-GB"/>
        </w:rPr>
        <w:t>positive as well. AMIC is an industry association representing and particularly supporting the buy side interest of the securitisations market. They</w:t>
      </w:r>
      <w:r w:rsidR="000543F5" w:rsidRPr="00342967">
        <w:rPr>
          <w:rFonts w:cs="Times New Roman"/>
          <w:szCs w:val="24"/>
          <w:lang w:val="en-GB"/>
        </w:rPr>
        <w:t xml:space="preserve"> support the goal of the European Commission to undo securitisation from its complex and unsecure image. However, what they do not like is that the STS quality mark will only be granted to senior tranches of securitisation. What AMIC wants, is that the STS quality mark is given depending on the quality of the deal not on the underlying risk (AMIC, 2015, p.1). </w:t>
      </w:r>
      <w:r w:rsidR="008070EB" w:rsidRPr="00342967">
        <w:rPr>
          <w:rFonts w:cs="Times New Roman"/>
          <w:szCs w:val="24"/>
          <w:lang w:val="en-GB"/>
        </w:rPr>
        <w:t xml:space="preserve">That the buy side wants to allow tranching in the STS framework is not surprising. The more securities receive the safe ‘STS’ quality mark, the more securities become available </w:t>
      </w:r>
      <w:r w:rsidR="00432479" w:rsidRPr="00342967">
        <w:rPr>
          <w:rFonts w:cs="Times New Roman"/>
          <w:szCs w:val="24"/>
          <w:lang w:val="en-GB"/>
        </w:rPr>
        <w:t xml:space="preserve">to invest in and to get yield from. </w:t>
      </w:r>
    </w:p>
    <w:p w14:paraId="438A24F5" w14:textId="5AD998EE" w:rsidR="009F440D" w:rsidRPr="00342967" w:rsidRDefault="009F440D" w:rsidP="00D904F7">
      <w:pPr>
        <w:pStyle w:val="Kop3"/>
        <w:jc w:val="both"/>
        <w:rPr>
          <w:lang w:val="en-GB"/>
        </w:rPr>
      </w:pPr>
      <w:bookmarkStart w:id="24" w:name="_Toc518333120"/>
      <w:r w:rsidRPr="00342967">
        <w:rPr>
          <w:lang w:val="en-GB"/>
        </w:rPr>
        <w:t>3.</w:t>
      </w:r>
      <w:r w:rsidR="007D61B9" w:rsidRPr="00342967">
        <w:rPr>
          <w:lang w:val="en-GB"/>
        </w:rPr>
        <w:t>5</w:t>
      </w:r>
      <w:r w:rsidRPr="00342967">
        <w:rPr>
          <w:lang w:val="en-GB"/>
        </w:rPr>
        <w:t>.3</w:t>
      </w:r>
      <w:r w:rsidR="00FC02FC" w:rsidRPr="00342967">
        <w:rPr>
          <w:lang w:val="en-GB"/>
        </w:rPr>
        <w:t xml:space="preserve"> Making changes</w:t>
      </w:r>
      <w:bookmarkEnd w:id="24"/>
    </w:p>
    <w:p w14:paraId="2FD9F9B1" w14:textId="07CA83A8" w:rsidR="00E434F0" w:rsidRPr="00342967" w:rsidRDefault="00432479" w:rsidP="00D904F7">
      <w:pPr>
        <w:jc w:val="both"/>
        <w:rPr>
          <w:rFonts w:cs="Times New Roman"/>
          <w:szCs w:val="24"/>
          <w:lang w:val="en-GB"/>
        </w:rPr>
      </w:pPr>
      <w:r w:rsidRPr="00342967">
        <w:rPr>
          <w:lang w:val="en-GB"/>
        </w:rPr>
        <w:t xml:space="preserve">That the Commission not only listened to the financial sector before the </w:t>
      </w:r>
      <w:r w:rsidR="002456B4" w:rsidRPr="00342967">
        <w:rPr>
          <w:lang w:val="en-GB"/>
        </w:rPr>
        <w:t>first proposal for CMU and STS securitisation were published but also after</w:t>
      </w:r>
      <w:r w:rsidR="003D512A" w:rsidRPr="00342967">
        <w:rPr>
          <w:lang w:val="en-GB"/>
        </w:rPr>
        <w:t>,</w:t>
      </w:r>
      <w:r w:rsidR="002456B4" w:rsidRPr="00342967">
        <w:rPr>
          <w:lang w:val="en-GB"/>
        </w:rPr>
        <w:t xml:space="preserve"> becomes clear after reading the reply of the Deutsche Bank. </w:t>
      </w:r>
      <w:r w:rsidR="00321D2A" w:rsidRPr="00342967">
        <w:rPr>
          <w:lang w:val="en-GB"/>
        </w:rPr>
        <w:t xml:space="preserve">In the STS framework, synthetic securitisation is notably excluded as </w:t>
      </w:r>
      <w:r w:rsidR="009A6143" w:rsidRPr="00342967">
        <w:rPr>
          <w:lang w:val="en-GB"/>
        </w:rPr>
        <w:t xml:space="preserve">the very nature of synthetic securitisation is complex, vague and opaque. </w:t>
      </w:r>
      <w:r w:rsidR="0044490E" w:rsidRPr="00342967">
        <w:rPr>
          <w:lang w:val="en-GB"/>
        </w:rPr>
        <w:t xml:space="preserve">The Commission wants to get rid of the stigma surrounding securitisation, and synthetic securitisation is not going to help to achieve that goal. </w:t>
      </w:r>
      <w:r w:rsidR="001C7786" w:rsidRPr="00342967">
        <w:rPr>
          <w:lang w:val="en-GB"/>
        </w:rPr>
        <w:t xml:space="preserve">Deutsche bank, however, wants it to be possible for synthetic securitisation to also </w:t>
      </w:r>
      <w:r w:rsidR="001C7786" w:rsidRPr="00342967">
        <w:rPr>
          <w:lang w:val="en-GB"/>
        </w:rPr>
        <w:lastRenderedPageBreak/>
        <w:t xml:space="preserve">receive the STS quality mark. </w:t>
      </w:r>
      <w:r w:rsidR="00CC708F" w:rsidRPr="00342967">
        <w:rPr>
          <w:rFonts w:cs="Times New Roman"/>
          <w:szCs w:val="24"/>
          <w:lang w:val="en-GB"/>
        </w:rPr>
        <w:t>The Deutsche Bank responded ‘on the treatment of synthetic securitisation we disagree with the approach of preventing synthetic securitisation from being considered qualifying securitisation. A blanket approach would remove a large number of securitisation which, from a regulatory policy perspective, would otherwise, and should be, eligible.” (Deutsche Bank, 2015, p.2). They support this statement by stating that “Deutsche bank established well-known securitisation programmes that systematically hedge risk and we consider these programmes as tools for supporting lending to the economy.” (Deutsche Bank, 2015, p.2).</w:t>
      </w:r>
    </w:p>
    <w:p w14:paraId="6F6879C1" w14:textId="563ECCB1" w:rsidR="00CC708F" w:rsidRPr="00342967" w:rsidRDefault="009D7DE5" w:rsidP="00D904F7">
      <w:pPr>
        <w:jc w:val="both"/>
        <w:rPr>
          <w:lang w:val="en-GB"/>
        </w:rPr>
      </w:pPr>
      <w:r w:rsidRPr="00342967">
        <w:rPr>
          <w:lang w:val="en-GB"/>
        </w:rPr>
        <w:t xml:space="preserve">The </w:t>
      </w:r>
      <w:r w:rsidR="00183278">
        <w:rPr>
          <w:lang w:val="en-GB"/>
        </w:rPr>
        <w:t>C</w:t>
      </w:r>
      <w:r w:rsidRPr="00342967">
        <w:rPr>
          <w:lang w:val="en-GB"/>
        </w:rPr>
        <w:t xml:space="preserve">ommission listened to the wishes of Deutsche Bank and </w:t>
      </w:r>
      <w:r w:rsidR="0072101F" w:rsidRPr="00342967">
        <w:rPr>
          <w:lang w:val="en-GB"/>
        </w:rPr>
        <w:t>added</w:t>
      </w:r>
      <w:r w:rsidRPr="00342967">
        <w:rPr>
          <w:lang w:val="en-GB"/>
        </w:rPr>
        <w:t xml:space="preserve"> a crucial paragraph </w:t>
      </w:r>
      <w:r w:rsidR="0072101F" w:rsidRPr="00342967">
        <w:rPr>
          <w:lang w:val="en-GB"/>
        </w:rPr>
        <w:t>to</w:t>
      </w:r>
      <w:r w:rsidRPr="00342967">
        <w:rPr>
          <w:lang w:val="en-GB"/>
        </w:rPr>
        <w:t xml:space="preserve"> the final version of the STS framework that clearly opens the opportunity for synthetic STS securitisation in the future. </w:t>
      </w:r>
      <w:r w:rsidR="00BA5A29" w:rsidRPr="00342967">
        <w:rPr>
          <w:lang w:val="en-GB"/>
        </w:rPr>
        <w:t>In the initial proposal</w:t>
      </w:r>
      <w:r w:rsidR="00960CED" w:rsidRPr="00342967">
        <w:rPr>
          <w:lang w:val="en-GB"/>
        </w:rPr>
        <w:t>,</w:t>
      </w:r>
      <w:r w:rsidR="00F6699C" w:rsidRPr="00342967">
        <w:rPr>
          <w:lang w:val="en-GB"/>
        </w:rPr>
        <w:t xml:space="preserve"> only securitisations with a true sale character </w:t>
      </w:r>
      <w:r w:rsidR="00A37435" w:rsidRPr="00342967">
        <w:rPr>
          <w:lang w:val="en-GB"/>
        </w:rPr>
        <w:t>could receive the STS quality mark. In the consultation document</w:t>
      </w:r>
      <w:r w:rsidR="00335AD7" w:rsidRPr="00342967">
        <w:rPr>
          <w:lang w:val="en-GB"/>
        </w:rPr>
        <w:t xml:space="preserve"> under the </w:t>
      </w:r>
      <w:r w:rsidR="00960CED" w:rsidRPr="00342967">
        <w:rPr>
          <w:lang w:val="en-GB"/>
        </w:rPr>
        <w:t>standardisation</w:t>
      </w:r>
      <w:r w:rsidR="00335AD7" w:rsidRPr="00342967">
        <w:rPr>
          <w:lang w:val="en-GB"/>
        </w:rPr>
        <w:t xml:space="preserve"> requirement the Commission wrote </w:t>
      </w:r>
      <w:r w:rsidR="005A6C13" w:rsidRPr="00342967">
        <w:rPr>
          <w:lang w:val="en-GB"/>
        </w:rPr>
        <w:t>very clearly</w:t>
      </w:r>
      <w:r w:rsidR="00335AD7" w:rsidRPr="00342967">
        <w:rPr>
          <w:lang w:val="en-GB"/>
        </w:rPr>
        <w:t xml:space="preserve"> “</w:t>
      </w:r>
      <w:r w:rsidR="00960CED" w:rsidRPr="00342967">
        <w:rPr>
          <w:lang w:val="en-GB"/>
        </w:rPr>
        <w:t>(…)</w:t>
      </w:r>
      <w:r w:rsidR="00335AD7" w:rsidRPr="00342967">
        <w:rPr>
          <w:lang w:val="en-GB"/>
        </w:rPr>
        <w:t xml:space="preserve"> it cannot be synthetic securitisation”</w:t>
      </w:r>
      <w:r w:rsidR="00960CED" w:rsidRPr="00342967">
        <w:rPr>
          <w:lang w:val="en-GB"/>
        </w:rPr>
        <w:t xml:space="preserve"> (</w:t>
      </w:r>
      <w:r w:rsidR="00967453" w:rsidRPr="00342967">
        <w:rPr>
          <w:lang w:val="en-GB"/>
        </w:rPr>
        <w:t>European Commission, 2015c)</w:t>
      </w:r>
      <w:r w:rsidR="00487539" w:rsidRPr="00342967">
        <w:rPr>
          <w:lang w:val="en-GB"/>
        </w:rPr>
        <w:t xml:space="preserve">. This changed in the final STS proposal to “the STS criteria </w:t>
      </w:r>
      <w:r w:rsidR="005A6C13" w:rsidRPr="00342967">
        <w:rPr>
          <w:i/>
          <w:lang w:val="en-GB"/>
        </w:rPr>
        <w:t xml:space="preserve">should </w:t>
      </w:r>
      <w:r w:rsidR="005A6C13" w:rsidRPr="00342967">
        <w:rPr>
          <w:lang w:val="en-GB"/>
        </w:rPr>
        <w:t>not</w:t>
      </w:r>
      <w:r w:rsidR="00487539" w:rsidRPr="00342967">
        <w:rPr>
          <w:lang w:val="en-GB"/>
        </w:rPr>
        <w:t xml:space="preserve"> allow synthetic securitisation” [emphasis added]</w:t>
      </w:r>
      <w:r w:rsidR="003B266C" w:rsidRPr="00342967">
        <w:rPr>
          <w:lang w:val="en-GB"/>
        </w:rPr>
        <w:t xml:space="preserve"> (</w:t>
      </w:r>
      <w:r w:rsidR="008B52B0" w:rsidRPr="00342967">
        <w:rPr>
          <w:lang w:val="en-GB"/>
        </w:rPr>
        <w:t>Regulation (EU) 2017/2402</w:t>
      </w:r>
      <w:r w:rsidR="0084242F" w:rsidRPr="00342967">
        <w:rPr>
          <w:lang w:val="en-GB"/>
        </w:rPr>
        <w:t xml:space="preserve">, 2017, </w:t>
      </w:r>
      <w:r w:rsidR="002C6EA8" w:rsidRPr="00342967">
        <w:rPr>
          <w:lang w:val="en-GB"/>
        </w:rPr>
        <w:t>p.5</w:t>
      </w:r>
      <w:r w:rsidR="00FC7E88" w:rsidRPr="00342967">
        <w:rPr>
          <w:lang w:val="en-GB"/>
        </w:rPr>
        <w:t xml:space="preserve">). </w:t>
      </w:r>
      <w:r w:rsidR="00D64017" w:rsidRPr="00342967">
        <w:rPr>
          <w:lang w:val="en-GB"/>
        </w:rPr>
        <w:t>The added paragraph outlines that as soon as proper STS conditions that apply to synthetic securitisation have been developed</w:t>
      </w:r>
      <w:r w:rsidR="00EF2248" w:rsidRPr="00342967">
        <w:rPr>
          <w:lang w:val="en-GB"/>
        </w:rPr>
        <w:t>, synthetic securitisation can receive the STS quality mark</w:t>
      </w:r>
      <w:r w:rsidR="00891649" w:rsidRPr="00342967">
        <w:rPr>
          <w:lang w:val="en-GB"/>
        </w:rPr>
        <w:t>.</w:t>
      </w:r>
    </w:p>
    <w:p w14:paraId="0EDC01FA" w14:textId="11580809" w:rsidR="00FC02FC" w:rsidRPr="00342967" w:rsidRDefault="00FC02FC" w:rsidP="00D904F7">
      <w:pPr>
        <w:pStyle w:val="Kop3"/>
        <w:jc w:val="both"/>
        <w:rPr>
          <w:lang w:val="en-GB"/>
        </w:rPr>
      </w:pPr>
      <w:bookmarkStart w:id="25" w:name="_Toc518333121"/>
      <w:r w:rsidRPr="00342967">
        <w:rPr>
          <w:lang w:val="en-GB"/>
        </w:rPr>
        <w:t>3.</w:t>
      </w:r>
      <w:r w:rsidR="007D61B9" w:rsidRPr="00342967">
        <w:rPr>
          <w:lang w:val="en-GB"/>
        </w:rPr>
        <w:t>5</w:t>
      </w:r>
      <w:r w:rsidRPr="00342967">
        <w:rPr>
          <w:lang w:val="en-GB"/>
        </w:rPr>
        <w:t>.4 What about other interests?</w:t>
      </w:r>
      <w:bookmarkEnd w:id="25"/>
    </w:p>
    <w:p w14:paraId="0C1A5650" w14:textId="77CEE40F" w:rsidR="00C72916" w:rsidRPr="00342967" w:rsidRDefault="00534107" w:rsidP="00D904F7">
      <w:pPr>
        <w:jc w:val="both"/>
        <w:rPr>
          <w:lang w:val="en-GB"/>
        </w:rPr>
      </w:pPr>
      <w:r>
        <w:rPr>
          <w:lang w:val="en-GB"/>
        </w:rPr>
        <w:t>That the C</w:t>
      </w:r>
      <w:r w:rsidR="00EF7B23" w:rsidRPr="00342967">
        <w:rPr>
          <w:lang w:val="en-GB"/>
        </w:rPr>
        <w:t xml:space="preserve">ommission primarily </w:t>
      </w:r>
      <w:r w:rsidR="00AC14F3" w:rsidRPr="00342967">
        <w:rPr>
          <w:lang w:val="en-GB"/>
        </w:rPr>
        <w:t xml:space="preserve">gave attention to the interest of the financial sector can be illustrated by how little attention they gave to competing interest. </w:t>
      </w:r>
      <w:r w:rsidR="00FC02FC" w:rsidRPr="00342967">
        <w:rPr>
          <w:lang w:val="en-GB"/>
        </w:rPr>
        <w:t>F</w:t>
      </w:r>
      <w:r w:rsidR="00E752F6" w:rsidRPr="00342967">
        <w:rPr>
          <w:lang w:val="en-GB"/>
        </w:rPr>
        <w:t>inance Watch</w:t>
      </w:r>
      <w:r w:rsidR="00B90AA4" w:rsidRPr="00342967">
        <w:rPr>
          <w:lang w:val="en-GB"/>
        </w:rPr>
        <w:t xml:space="preserve"> is an independent non-profit association</w:t>
      </w:r>
      <w:r w:rsidR="00AF6637" w:rsidRPr="00342967">
        <w:rPr>
          <w:lang w:val="en-GB"/>
        </w:rPr>
        <w:t xml:space="preserve"> with members from civil society</w:t>
      </w:r>
      <w:r w:rsidR="00B90AA4" w:rsidRPr="00342967">
        <w:rPr>
          <w:lang w:val="en-GB"/>
        </w:rPr>
        <w:t xml:space="preserve"> that was set in 2011 with the specific goal to as a public interest counterweight to the powerful financial lobby</w:t>
      </w:r>
      <w:r w:rsidR="00891649" w:rsidRPr="00342967">
        <w:rPr>
          <w:lang w:val="en-GB"/>
        </w:rPr>
        <w:t xml:space="preserve">. </w:t>
      </w:r>
      <w:r w:rsidR="003C6CA8" w:rsidRPr="00342967">
        <w:rPr>
          <w:lang w:val="en-GB"/>
        </w:rPr>
        <w:t xml:space="preserve">They have been very focal </w:t>
      </w:r>
      <w:r w:rsidR="00525A58" w:rsidRPr="00342967">
        <w:rPr>
          <w:lang w:val="en-GB"/>
        </w:rPr>
        <w:t>in the CMU and securitisation debate an</w:t>
      </w:r>
      <w:r w:rsidR="00C6006E" w:rsidRPr="00342967">
        <w:rPr>
          <w:lang w:val="en-GB"/>
        </w:rPr>
        <w:t>d believe that there is no need for CMU and reviving securitisation is one step back in the process of fixing finance</w:t>
      </w:r>
      <w:r w:rsidR="004B6CC7" w:rsidRPr="00342967">
        <w:rPr>
          <w:lang w:val="en-GB"/>
        </w:rPr>
        <w:t xml:space="preserve"> (Finance Watch, 2015)</w:t>
      </w:r>
      <w:r w:rsidR="00525A58" w:rsidRPr="00342967">
        <w:rPr>
          <w:lang w:val="en-GB"/>
        </w:rPr>
        <w:t xml:space="preserve">. </w:t>
      </w:r>
      <w:r w:rsidR="00446E44" w:rsidRPr="00342967">
        <w:rPr>
          <w:lang w:val="en-GB"/>
        </w:rPr>
        <w:t xml:space="preserve">They question the </w:t>
      </w:r>
      <w:r w:rsidR="003373E3" w:rsidRPr="00342967">
        <w:rPr>
          <w:lang w:val="en-GB"/>
        </w:rPr>
        <w:t>assumptions that justify CMU</w:t>
      </w:r>
      <w:r w:rsidR="0011144D" w:rsidRPr="00342967">
        <w:rPr>
          <w:lang w:val="en-GB"/>
        </w:rPr>
        <w:t xml:space="preserve"> (Finance Watch, 2015, p.2)</w:t>
      </w:r>
      <w:r w:rsidR="003373E3" w:rsidRPr="00342967">
        <w:rPr>
          <w:lang w:val="en-GB"/>
        </w:rPr>
        <w:t xml:space="preserve">. </w:t>
      </w:r>
      <w:r w:rsidR="00244674" w:rsidRPr="00342967">
        <w:rPr>
          <w:lang w:val="en-GB"/>
        </w:rPr>
        <w:t xml:space="preserve">Economic growth is not mediocre because of lacking credit supply, but because of lacking aggregate demand. </w:t>
      </w:r>
      <w:r w:rsidR="00BC4F42" w:rsidRPr="00342967">
        <w:rPr>
          <w:lang w:val="en-GB"/>
        </w:rPr>
        <w:t xml:space="preserve">If the European Commission truly wants to kickstart economic growth it should focus on aggregate demand rather than on increasing the credit supply. Moreover, they are critical on the </w:t>
      </w:r>
      <w:r w:rsidR="007D1434" w:rsidRPr="00342967">
        <w:rPr>
          <w:lang w:val="en-GB"/>
        </w:rPr>
        <w:t xml:space="preserve">argument that bank-based financing which is </w:t>
      </w:r>
      <w:r w:rsidR="0020017D" w:rsidRPr="00342967">
        <w:rPr>
          <w:lang w:val="en-GB"/>
        </w:rPr>
        <w:t>something undesirable. Although they acknowledge that bank-based financing has its drawbacks</w:t>
      </w:r>
      <w:r w:rsidR="000120E6" w:rsidRPr="00342967">
        <w:rPr>
          <w:lang w:val="en-GB"/>
        </w:rPr>
        <w:t xml:space="preserve"> but thinking that capital market-based financing does not have </w:t>
      </w:r>
      <w:r w:rsidR="000120E6" w:rsidRPr="00342967">
        <w:rPr>
          <w:lang w:val="en-GB"/>
        </w:rPr>
        <w:lastRenderedPageBreak/>
        <w:t>any drawbacks is delusional</w:t>
      </w:r>
      <w:r w:rsidR="005F01BB" w:rsidRPr="00342967">
        <w:rPr>
          <w:lang w:val="en-GB"/>
        </w:rPr>
        <w:t xml:space="preserve">. As soon as the capital markets have less appetite for taking on risk </w:t>
      </w:r>
      <w:r w:rsidR="004170E0" w:rsidRPr="00342967">
        <w:rPr>
          <w:lang w:val="en-GB"/>
        </w:rPr>
        <w:t>the exact same problems resurface as when</w:t>
      </w:r>
      <w:r w:rsidR="005F01BB" w:rsidRPr="00342967">
        <w:rPr>
          <w:lang w:val="en-GB"/>
        </w:rPr>
        <w:t xml:space="preserve"> banks tighten the credit supply. </w:t>
      </w:r>
      <w:r w:rsidR="00152E8B" w:rsidRPr="00342967">
        <w:rPr>
          <w:lang w:val="en-GB"/>
        </w:rPr>
        <w:t>Finance Watch also</w:t>
      </w:r>
      <w:r w:rsidR="001C47E7" w:rsidRPr="00342967">
        <w:rPr>
          <w:lang w:val="en-GB"/>
        </w:rPr>
        <w:t xml:space="preserve"> questions the relation between finance structure and economic growth. In many of the European Commission’s proposals the implicit assumption is that growth is lacking in Europe because of overdependence on bank financing</w:t>
      </w:r>
      <w:r w:rsidR="009A4916" w:rsidRPr="00342967">
        <w:rPr>
          <w:lang w:val="en-GB"/>
        </w:rPr>
        <w:t>, b</w:t>
      </w:r>
      <w:r w:rsidR="00E01C82" w:rsidRPr="00342967">
        <w:rPr>
          <w:lang w:val="en-GB"/>
        </w:rPr>
        <w:t xml:space="preserve">ut this link has never been irrefutably proven. </w:t>
      </w:r>
      <w:r w:rsidR="00152E8B" w:rsidRPr="00342967">
        <w:rPr>
          <w:lang w:val="en-GB"/>
        </w:rPr>
        <w:t>Related,</w:t>
      </w:r>
      <w:r w:rsidR="00361ED9" w:rsidRPr="00342967">
        <w:rPr>
          <w:lang w:val="en-GB"/>
        </w:rPr>
        <w:t xml:space="preserve"> Finance Watch finds it irresponsible to promote capital markets as a better way </w:t>
      </w:r>
      <w:r w:rsidR="00103E28" w:rsidRPr="00342967">
        <w:rPr>
          <w:lang w:val="en-GB"/>
        </w:rPr>
        <w:t xml:space="preserve">model </w:t>
      </w:r>
      <w:r w:rsidR="00361ED9" w:rsidRPr="00342967">
        <w:rPr>
          <w:lang w:val="en-GB"/>
        </w:rPr>
        <w:t>of financing business</w:t>
      </w:r>
      <w:r w:rsidR="00103E28" w:rsidRPr="00342967">
        <w:rPr>
          <w:lang w:val="en-GB"/>
        </w:rPr>
        <w:t xml:space="preserve"> while it is that very same model that needed huge bailouts </w:t>
      </w:r>
      <w:r w:rsidR="0009203A" w:rsidRPr="00342967">
        <w:rPr>
          <w:lang w:val="en-GB"/>
        </w:rPr>
        <w:t>to</w:t>
      </w:r>
      <w:r w:rsidR="00103E28" w:rsidRPr="00342967">
        <w:rPr>
          <w:lang w:val="en-GB"/>
        </w:rPr>
        <w:t xml:space="preserve"> save the economy. </w:t>
      </w:r>
      <w:r w:rsidR="0009203A" w:rsidRPr="00342967">
        <w:rPr>
          <w:lang w:val="en-GB"/>
        </w:rPr>
        <w:t xml:space="preserve">Finally, the notion that enough has been done </w:t>
      </w:r>
      <w:r w:rsidR="006773A6" w:rsidRPr="00342967">
        <w:rPr>
          <w:lang w:val="en-GB"/>
        </w:rPr>
        <w:t>to</w:t>
      </w:r>
      <w:r w:rsidR="0009203A" w:rsidRPr="00342967">
        <w:rPr>
          <w:lang w:val="en-GB"/>
        </w:rPr>
        <w:t xml:space="preserve"> contain the financial sector and to solve the problems that caused the financial crisis</w:t>
      </w:r>
      <w:r w:rsidR="006E7855" w:rsidRPr="00342967">
        <w:rPr>
          <w:lang w:val="en-GB"/>
        </w:rPr>
        <w:t xml:space="preserve"> is disputed by Finance Watch. What mostly has been done is fixing the problems of individual financial institutions. Barely anything has been done on improving the </w:t>
      </w:r>
      <w:r w:rsidR="00B97D7D" w:rsidRPr="00342967">
        <w:rPr>
          <w:lang w:val="en-GB"/>
        </w:rPr>
        <w:t>stability of the overall financial sector. Securitisation is only going to make this worse as it</w:t>
      </w:r>
      <w:r w:rsidR="000074E1" w:rsidRPr="00342967">
        <w:rPr>
          <w:lang w:val="en-GB"/>
        </w:rPr>
        <w:t xml:space="preserve"> will make the financial system </w:t>
      </w:r>
      <w:r w:rsidR="009749B3" w:rsidRPr="00342967">
        <w:rPr>
          <w:lang w:val="en-GB"/>
        </w:rPr>
        <w:t xml:space="preserve">more procyclical and interconnected </w:t>
      </w:r>
      <w:r w:rsidR="00853F62" w:rsidRPr="00342967">
        <w:rPr>
          <w:lang w:val="en-GB"/>
        </w:rPr>
        <w:t>(</w:t>
      </w:r>
      <w:r w:rsidR="002A1682" w:rsidRPr="00342967">
        <w:rPr>
          <w:lang w:val="en-GB"/>
        </w:rPr>
        <w:t>Hache</w:t>
      </w:r>
      <w:r w:rsidR="00853F62" w:rsidRPr="00342967">
        <w:rPr>
          <w:lang w:val="en-GB"/>
        </w:rPr>
        <w:t xml:space="preserve">, 2014, </w:t>
      </w:r>
      <w:r w:rsidR="007259F4" w:rsidRPr="00342967">
        <w:rPr>
          <w:lang w:val="en-GB"/>
        </w:rPr>
        <w:t>p.35)</w:t>
      </w:r>
    </w:p>
    <w:p w14:paraId="47690015" w14:textId="07EC4B6E" w:rsidR="00C72916" w:rsidRPr="00342967" w:rsidRDefault="00C72916" w:rsidP="00D904F7">
      <w:pPr>
        <w:jc w:val="both"/>
        <w:rPr>
          <w:lang w:val="en-GB"/>
        </w:rPr>
      </w:pPr>
      <w:r w:rsidRPr="00342967">
        <w:rPr>
          <w:lang w:val="en-GB"/>
        </w:rPr>
        <w:t xml:space="preserve">What the European economy needs, according to finance watch </w:t>
      </w:r>
      <w:r w:rsidR="007E7E66" w:rsidRPr="00342967">
        <w:rPr>
          <w:lang w:val="en-GB"/>
        </w:rPr>
        <w:t xml:space="preserve">are European political measures aimed at addressing the lack of demand, not </w:t>
      </w:r>
      <w:r w:rsidR="00ED2B9E" w:rsidRPr="00342967">
        <w:rPr>
          <w:lang w:val="en-GB"/>
        </w:rPr>
        <w:t xml:space="preserve">policies to increase the supply of credit. In addition, the focus should not be on </w:t>
      </w:r>
      <w:r w:rsidR="00615530" w:rsidRPr="00342967">
        <w:rPr>
          <w:lang w:val="en-GB"/>
        </w:rPr>
        <w:t>unifying markets</w:t>
      </w:r>
      <w:r w:rsidR="00CD4358" w:rsidRPr="00342967">
        <w:rPr>
          <w:lang w:val="en-GB"/>
        </w:rPr>
        <w:t>, but on promoting local banking</w:t>
      </w:r>
      <w:r w:rsidR="00202707" w:rsidRPr="00342967">
        <w:rPr>
          <w:lang w:val="en-GB"/>
        </w:rPr>
        <w:t xml:space="preserve">. </w:t>
      </w:r>
      <w:r w:rsidR="00381D2A" w:rsidRPr="00342967">
        <w:rPr>
          <w:lang w:val="en-GB"/>
        </w:rPr>
        <w:t>More specifically on the proposals by the Commission, Finance Watch believes that the focus should be more on fixing the negative externalities of securitisation</w:t>
      </w:r>
      <w:r w:rsidR="009A4916" w:rsidRPr="00342967">
        <w:rPr>
          <w:lang w:val="en-GB"/>
        </w:rPr>
        <w:t xml:space="preserve"> to reduce systemic risk</w:t>
      </w:r>
      <w:r w:rsidR="004D39CB" w:rsidRPr="00342967">
        <w:rPr>
          <w:lang w:val="en-GB"/>
        </w:rPr>
        <w:t>. Finally,</w:t>
      </w:r>
      <w:r w:rsidR="006220EC" w:rsidRPr="00342967">
        <w:rPr>
          <w:lang w:val="en-GB"/>
        </w:rPr>
        <w:t xml:space="preserve"> the minimum amount of capital financial institutions must hold should be tied to the amount of systemic risk they add to the system. </w:t>
      </w:r>
      <w:r w:rsidR="00A9552D" w:rsidRPr="00342967">
        <w:rPr>
          <w:lang w:val="en-GB"/>
        </w:rPr>
        <w:t xml:space="preserve">This will address the lack of attention on fixing systemic risk. </w:t>
      </w:r>
    </w:p>
    <w:p w14:paraId="0F16830C" w14:textId="3AA1DE6E" w:rsidR="006B4CA4" w:rsidRPr="00342967" w:rsidRDefault="006B4CA4" w:rsidP="00D904F7">
      <w:pPr>
        <w:jc w:val="both"/>
        <w:rPr>
          <w:lang w:val="en-GB"/>
        </w:rPr>
      </w:pPr>
      <w:r w:rsidRPr="00342967">
        <w:rPr>
          <w:lang w:val="en-GB"/>
        </w:rPr>
        <w:t xml:space="preserve">Finance Watch is </w:t>
      </w:r>
      <w:r w:rsidR="001410A8" w:rsidRPr="00342967">
        <w:rPr>
          <w:lang w:val="en-GB"/>
        </w:rPr>
        <w:t>one of the main voices in the CMU debate representing</w:t>
      </w:r>
      <w:r w:rsidR="00FA1A29" w:rsidRPr="00342967">
        <w:rPr>
          <w:lang w:val="en-GB"/>
        </w:rPr>
        <w:t xml:space="preserve"> the interest of broader society, b</w:t>
      </w:r>
      <w:r w:rsidR="001410A8" w:rsidRPr="00342967">
        <w:rPr>
          <w:lang w:val="en-GB"/>
        </w:rPr>
        <w:t xml:space="preserve">ut they are not the only ones. </w:t>
      </w:r>
      <w:r w:rsidR="00F36ED4" w:rsidRPr="00342967">
        <w:rPr>
          <w:lang w:val="en-GB"/>
        </w:rPr>
        <w:t>In 201</w:t>
      </w:r>
      <w:r w:rsidR="000A788B" w:rsidRPr="00342967">
        <w:rPr>
          <w:lang w:val="en-GB"/>
        </w:rPr>
        <w:t>5, 27 civil society organisations published a common statement condemning the CMU</w:t>
      </w:r>
      <w:r w:rsidR="00FD757F" w:rsidRPr="00342967">
        <w:rPr>
          <w:lang w:val="en-GB"/>
        </w:rPr>
        <w:t xml:space="preserve"> (</w:t>
      </w:r>
      <w:r w:rsidR="005D22B3" w:rsidRPr="00342967">
        <w:rPr>
          <w:lang w:val="en-GB"/>
        </w:rPr>
        <w:t>Who will benefit, 2015</w:t>
      </w:r>
      <w:r w:rsidR="00FD757F" w:rsidRPr="00342967">
        <w:rPr>
          <w:lang w:val="en-GB"/>
        </w:rPr>
        <w:t>)</w:t>
      </w:r>
      <w:r w:rsidR="000A788B" w:rsidRPr="00342967">
        <w:rPr>
          <w:lang w:val="en-GB"/>
        </w:rPr>
        <w:t xml:space="preserve">. </w:t>
      </w:r>
      <w:r w:rsidR="00FD50BC" w:rsidRPr="00342967">
        <w:rPr>
          <w:lang w:val="en-GB"/>
        </w:rPr>
        <w:t>The 27 civil society actors consist of trade unions, consumer groups, development and environmental NGOs and thin</w:t>
      </w:r>
      <w:r w:rsidR="00E63C42" w:rsidRPr="00342967">
        <w:rPr>
          <w:lang w:val="en-GB"/>
        </w:rPr>
        <w:t>k tanks</w:t>
      </w:r>
      <w:r w:rsidR="00F143ED" w:rsidRPr="00342967">
        <w:rPr>
          <w:lang w:val="en-GB"/>
        </w:rPr>
        <w:t xml:space="preserve">. </w:t>
      </w:r>
      <w:r w:rsidR="000A788B" w:rsidRPr="00342967">
        <w:rPr>
          <w:lang w:val="en-GB"/>
        </w:rPr>
        <w:t xml:space="preserve">They write “The CMU revives pre-crisis trends without adequately integration the lessons from the crisis. </w:t>
      </w:r>
      <w:r w:rsidR="001B2D7A" w:rsidRPr="00342967">
        <w:rPr>
          <w:lang w:val="en-GB"/>
        </w:rPr>
        <w:t>The</w:t>
      </w:r>
      <w:r w:rsidR="000A788B" w:rsidRPr="00342967">
        <w:rPr>
          <w:lang w:val="en-GB"/>
        </w:rPr>
        <w:t xml:space="preserve"> marks a shift in the political momentum towards short-term growth and competitiveness at all costs, when wat is needed is long-term sustainable development </w:t>
      </w:r>
      <w:r w:rsidR="000E1CF3" w:rsidRPr="00342967">
        <w:rPr>
          <w:lang w:val="en-GB"/>
        </w:rPr>
        <w:t>of the economy”</w:t>
      </w:r>
      <w:r w:rsidR="001B2D7A" w:rsidRPr="00342967">
        <w:rPr>
          <w:lang w:val="en-GB"/>
        </w:rPr>
        <w:t xml:space="preserve">. </w:t>
      </w:r>
      <w:r w:rsidR="00422A06" w:rsidRPr="00342967">
        <w:rPr>
          <w:lang w:val="en-GB"/>
        </w:rPr>
        <w:t xml:space="preserve">The statement writes that more attention should go to </w:t>
      </w:r>
      <w:r w:rsidR="00422A06" w:rsidRPr="00342967">
        <w:rPr>
          <w:i/>
          <w:lang w:val="en-GB"/>
        </w:rPr>
        <w:t>what</w:t>
      </w:r>
      <w:r w:rsidR="00422A06" w:rsidRPr="00342967">
        <w:rPr>
          <w:lang w:val="en-GB"/>
        </w:rPr>
        <w:t xml:space="preserve"> we should finance, not as in the CMU is the case, only on </w:t>
      </w:r>
      <w:r w:rsidR="00422A06" w:rsidRPr="00342967">
        <w:rPr>
          <w:i/>
          <w:lang w:val="en-GB"/>
        </w:rPr>
        <w:t>how</w:t>
      </w:r>
      <w:r w:rsidR="00422A06" w:rsidRPr="00342967">
        <w:rPr>
          <w:lang w:val="en-GB"/>
        </w:rPr>
        <w:t xml:space="preserve"> to finance. </w:t>
      </w:r>
      <w:r w:rsidR="00833F03" w:rsidRPr="00342967">
        <w:rPr>
          <w:lang w:val="en-GB"/>
        </w:rPr>
        <w:t xml:space="preserve">Moreover, like Finance Watch they are concerned that the revival of securitisation will create additional risk for the economy and for society at large. </w:t>
      </w:r>
      <w:r w:rsidR="00C7031E" w:rsidRPr="00342967">
        <w:rPr>
          <w:lang w:val="en-GB"/>
        </w:rPr>
        <w:t xml:space="preserve">The question that is, according to them, not answered in any of the proposals is who stands to gain the most. The </w:t>
      </w:r>
      <w:r w:rsidR="00C7031E" w:rsidRPr="00342967">
        <w:rPr>
          <w:lang w:val="en-GB"/>
        </w:rPr>
        <w:lastRenderedPageBreak/>
        <w:t xml:space="preserve">group notes that </w:t>
      </w:r>
      <w:r w:rsidR="00A414A4" w:rsidRPr="00342967">
        <w:rPr>
          <w:lang w:val="en-GB"/>
        </w:rPr>
        <w:t>the “EU’s too-big-too-fail banks stand to benefit more than the 90% of SMEs for which capital market-based financing is largely irrelevant” (</w:t>
      </w:r>
      <w:r w:rsidR="00CE7445" w:rsidRPr="00342967">
        <w:rPr>
          <w:lang w:val="en-GB"/>
        </w:rPr>
        <w:t>Who will benefit, 2015</w:t>
      </w:r>
      <w:r w:rsidR="00A414A4" w:rsidRPr="00342967">
        <w:rPr>
          <w:lang w:val="en-GB"/>
        </w:rPr>
        <w:t xml:space="preserve">). </w:t>
      </w:r>
      <w:r w:rsidR="001B2D7A" w:rsidRPr="00342967">
        <w:rPr>
          <w:lang w:val="en-GB"/>
        </w:rPr>
        <w:t xml:space="preserve">The statement ends with a call </w:t>
      </w:r>
      <w:r w:rsidR="00801FA2" w:rsidRPr="00342967">
        <w:rPr>
          <w:lang w:val="en-GB"/>
        </w:rPr>
        <w:t xml:space="preserve">on policy makers to consider and integrate the concerns and proposals made by these civil society organisations. </w:t>
      </w:r>
    </w:p>
    <w:p w14:paraId="4127FBB9" w14:textId="203B827D" w:rsidR="00033683" w:rsidRPr="00342967" w:rsidRDefault="002C794D" w:rsidP="00D904F7">
      <w:pPr>
        <w:jc w:val="both"/>
        <w:rPr>
          <w:lang w:val="en-GB"/>
        </w:rPr>
      </w:pPr>
      <w:r w:rsidRPr="00342967">
        <w:rPr>
          <w:lang w:val="en-GB"/>
        </w:rPr>
        <w:t>A large group of academics also joined the debate an</w:t>
      </w:r>
      <w:r w:rsidR="00033683" w:rsidRPr="00342967">
        <w:rPr>
          <w:lang w:val="en-GB"/>
        </w:rPr>
        <w:t>d</w:t>
      </w:r>
      <w:r w:rsidRPr="00342967">
        <w:rPr>
          <w:lang w:val="en-GB"/>
        </w:rPr>
        <w:t xml:space="preserve"> voiced their concerns</w:t>
      </w:r>
      <w:r w:rsidR="008804AB" w:rsidRPr="00342967">
        <w:rPr>
          <w:lang w:val="en-GB"/>
        </w:rPr>
        <w:t xml:space="preserve"> (</w:t>
      </w:r>
      <w:r w:rsidR="004604E5" w:rsidRPr="00342967">
        <w:rPr>
          <w:lang w:val="en-GB"/>
        </w:rPr>
        <w:t>There is</w:t>
      </w:r>
      <w:r w:rsidR="003C6068" w:rsidRPr="00342967">
        <w:rPr>
          <w:lang w:val="en-GB"/>
        </w:rPr>
        <w:t xml:space="preserve"> nothing “simple”</w:t>
      </w:r>
      <w:r w:rsidR="004604E5" w:rsidRPr="00342967">
        <w:rPr>
          <w:lang w:val="en-GB"/>
        </w:rPr>
        <w:t>, 2016)</w:t>
      </w:r>
      <w:r w:rsidR="00033683" w:rsidRPr="00342967">
        <w:rPr>
          <w:lang w:val="en-GB"/>
        </w:rPr>
        <w:t>. In a letter to the European Parliament titled “There is nothing “simple” about the European Commission’s securitisation proposal”</w:t>
      </w:r>
      <w:r w:rsidR="004F1978" w:rsidRPr="00342967">
        <w:rPr>
          <w:lang w:val="en-GB"/>
        </w:rPr>
        <w:t xml:space="preserve"> they list four concerns why they believe reintroducing securitisation is wrong. Firstly, the question the Commission’s claim that securitisation is going to </w:t>
      </w:r>
      <w:r w:rsidR="008D702C" w:rsidRPr="00342967">
        <w:rPr>
          <w:lang w:val="en-GB"/>
        </w:rPr>
        <w:t xml:space="preserve">unlock financing for SMEs. Their concerns are in line with the arguments mentioned earlier in this chapter. Not SME </w:t>
      </w:r>
      <w:r w:rsidR="00233F5A" w:rsidRPr="00342967">
        <w:rPr>
          <w:lang w:val="en-GB"/>
        </w:rPr>
        <w:t xml:space="preserve">loans are securitized, but mostly mortgage loans are. They are afraid that the revival of securitisation is only going to lead to another </w:t>
      </w:r>
      <w:r w:rsidR="00DD38E2" w:rsidRPr="00342967">
        <w:rPr>
          <w:lang w:val="en-GB"/>
        </w:rPr>
        <w:t>real estate bubble and more financialised growth. Secondly, like Finance Watch they are worried that th</w:t>
      </w:r>
      <w:r w:rsidR="00DA0E54" w:rsidRPr="00342967">
        <w:rPr>
          <w:lang w:val="en-GB"/>
        </w:rPr>
        <w:t xml:space="preserve">e proposal by the Commission is only going to lead to more systemic instability. Thirdly, they note that everything what made securitisation so </w:t>
      </w:r>
      <w:r w:rsidR="003C6068" w:rsidRPr="00342967">
        <w:rPr>
          <w:lang w:val="en-GB"/>
        </w:rPr>
        <w:t>opaque</w:t>
      </w:r>
      <w:r w:rsidR="00DA0E54" w:rsidRPr="00342967">
        <w:rPr>
          <w:lang w:val="en-GB"/>
        </w:rPr>
        <w:t xml:space="preserve"> and </w:t>
      </w:r>
      <w:r w:rsidR="00EE3519" w:rsidRPr="00342967">
        <w:rPr>
          <w:lang w:val="en-GB"/>
        </w:rPr>
        <w:t xml:space="preserve">complex are still possible in the STS framework. Finally, they believe that </w:t>
      </w:r>
      <w:r w:rsidR="008F083D" w:rsidRPr="00342967">
        <w:rPr>
          <w:lang w:val="en-GB"/>
        </w:rPr>
        <w:t xml:space="preserve">not enough is done to overcome the originate-to-distribute model that was such a prominent cause of the financial crisis. </w:t>
      </w:r>
      <w:r w:rsidR="008804AB" w:rsidRPr="00342967">
        <w:rPr>
          <w:lang w:val="en-GB"/>
        </w:rPr>
        <w:t xml:space="preserve">The proposed risk retention which should prevent originate-to-distribute is too small to have any effect. </w:t>
      </w:r>
    </w:p>
    <w:p w14:paraId="748DFF9C" w14:textId="6A46BE1F" w:rsidR="00E66EF5" w:rsidRDefault="00E66EF5" w:rsidP="00E66EF5">
      <w:pPr>
        <w:jc w:val="both"/>
        <w:rPr>
          <w:lang w:val="en-GB"/>
        </w:rPr>
      </w:pPr>
      <w:r w:rsidRPr="00342967">
        <w:rPr>
          <w:lang w:val="en-GB"/>
        </w:rPr>
        <w:t xml:space="preserve">That this did not happen has now, three years after the concerns have been voice, become clear. The final plan on CMU and the revival of securitisation is largely similar to the first proposal in 2015. The changes that have been made are by and large in favour of the wishes of the financial industry. </w:t>
      </w:r>
      <w:r w:rsidR="00E560D9" w:rsidRPr="00342967">
        <w:rPr>
          <w:lang w:val="en-GB"/>
        </w:rPr>
        <w:t>Nothing has been done to address the concern related to</w:t>
      </w:r>
      <w:r w:rsidR="00F445D8" w:rsidRPr="00342967">
        <w:rPr>
          <w:lang w:val="en-GB"/>
        </w:rPr>
        <w:t xml:space="preserve"> risk-retention, tranching and addressing systemic risk.</w:t>
      </w:r>
    </w:p>
    <w:p w14:paraId="7C612FED" w14:textId="1ADB2080" w:rsidR="00C31C07" w:rsidRPr="00342967" w:rsidRDefault="00C31C07" w:rsidP="00C31C07">
      <w:pPr>
        <w:pStyle w:val="Kop3"/>
        <w:rPr>
          <w:lang w:val="en-GB"/>
        </w:rPr>
      </w:pPr>
      <w:bookmarkStart w:id="26" w:name="_Toc518333122"/>
      <w:r w:rsidRPr="00342967">
        <w:rPr>
          <w:lang w:val="en-GB"/>
        </w:rPr>
        <w:t>3.</w:t>
      </w:r>
      <w:r w:rsidR="007D61B9" w:rsidRPr="00342967">
        <w:rPr>
          <w:lang w:val="en-GB"/>
        </w:rPr>
        <w:t>5</w:t>
      </w:r>
      <w:r w:rsidRPr="00342967">
        <w:rPr>
          <w:lang w:val="en-GB"/>
        </w:rPr>
        <w:t xml:space="preserve">.5 </w:t>
      </w:r>
      <w:r w:rsidR="00E66EF5" w:rsidRPr="00342967">
        <w:rPr>
          <w:lang w:val="en-GB"/>
        </w:rPr>
        <w:t>Illustrating the alliances</w:t>
      </w:r>
      <w:bookmarkEnd w:id="26"/>
    </w:p>
    <w:p w14:paraId="5179920C" w14:textId="55294EEF" w:rsidR="00E66EF5" w:rsidRPr="00342967" w:rsidRDefault="00040855" w:rsidP="00645515">
      <w:pPr>
        <w:jc w:val="both"/>
        <w:rPr>
          <w:lang w:val="en-GB"/>
        </w:rPr>
      </w:pPr>
      <w:r w:rsidRPr="00342967">
        <w:rPr>
          <w:lang w:val="en-GB"/>
        </w:rPr>
        <w:t xml:space="preserve">In the traditional sense of class conflict, it is capital against labour. Capital, however, is not a unity </w:t>
      </w:r>
      <w:r w:rsidR="00A1391C" w:rsidRPr="00342967">
        <w:rPr>
          <w:lang w:val="en-GB"/>
        </w:rPr>
        <w:t>but</w:t>
      </w:r>
      <w:r w:rsidRPr="00342967">
        <w:rPr>
          <w:lang w:val="en-GB"/>
        </w:rPr>
        <w:t xml:space="preserve"> consist of various types of capital. </w:t>
      </w:r>
      <w:r w:rsidR="00597EBB" w:rsidRPr="00342967">
        <w:rPr>
          <w:lang w:val="en-GB"/>
        </w:rPr>
        <w:t xml:space="preserve">Capital can be disaggregated extensively, but most relevant is the distinction between finance capital and industrial capital. </w:t>
      </w:r>
      <w:r w:rsidR="00FC4251" w:rsidRPr="00342967">
        <w:rPr>
          <w:lang w:val="en-GB"/>
        </w:rPr>
        <w:t xml:space="preserve">Industry capital is capital used in the actual production process in the real economy. </w:t>
      </w:r>
      <w:r w:rsidR="009A5570" w:rsidRPr="00342967">
        <w:rPr>
          <w:lang w:val="en-GB"/>
        </w:rPr>
        <w:t xml:space="preserve">Where financial capital </w:t>
      </w:r>
      <w:r w:rsidR="00323FA6">
        <w:rPr>
          <w:lang w:val="en-GB"/>
        </w:rPr>
        <w:t>consists</w:t>
      </w:r>
      <w:r w:rsidR="009A5570" w:rsidRPr="00342967">
        <w:rPr>
          <w:lang w:val="en-GB"/>
        </w:rPr>
        <w:t xml:space="preserve"> </w:t>
      </w:r>
      <w:r w:rsidR="00552F7E">
        <w:rPr>
          <w:lang w:val="en-GB"/>
        </w:rPr>
        <w:t>of</w:t>
      </w:r>
      <w:r w:rsidR="009A5570" w:rsidRPr="00342967">
        <w:rPr>
          <w:lang w:val="en-GB"/>
        </w:rPr>
        <w:t xml:space="preserve"> the financial sector and </w:t>
      </w:r>
      <w:r w:rsidR="006718F5" w:rsidRPr="00342967">
        <w:rPr>
          <w:lang w:val="en-GB"/>
        </w:rPr>
        <w:t>all</w:t>
      </w:r>
      <w:r w:rsidR="009A5570" w:rsidRPr="00342967">
        <w:rPr>
          <w:lang w:val="en-GB"/>
        </w:rPr>
        <w:t xml:space="preserve"> its actors, industrial capital are </w:t>
      </w:r>
      <w:r w:rsidR="00A20BA6" w:rsidRPr="00342967">
        <w:rPr>
          <w:lang w:val="en-GB"/>
        </w:rPr>
        <w:t>transnational companies</w:t>
      </w:r>
      <w:r w:rsidR="00153923" w:rsidRPr="00342967">
        <w:rPr>
          <w:lang w:val="en-GB"/>
        </w:rPr>
        <w:t xml:space="preserve"> active in commodity </w:t>
      </w:r>
      <w:r w:rsidR="00153923" w:rsidRPr="00342967">
        <w:rPr>
          <w:lang w:val="en-GB"/>
        </w:rPr>
        <w:lastRenderedPageBreak/>
        <w:t>production</w:t>
      </w:r>
      <w:r w:rsidR="00A20BA6" w:rsidRPr="00342967">
        <w:rPr>
          <w:lang w:val="en-GB"/>
        </w:rPr>
        <w:t xml:space="preserve">. </w:t>
      </w:r>
      <w:r w:rsidR="006718F5" w:rsidRPr="00342967">
        <w:rPr>
          <w:lang w:val="en-GB"/>
        </w:rPr>
        <w:t>Due to</w:t>
      </w:r>
      <w:r w:rsidR="00645515" w:rsidRPr="00342967">
        <w:rPr>
          <w:lang w:val="en-GB"/>
        </w:rPr>
        <w:t xml:space="preserve"> financialisation, there is, however, no longer a true distinction between </w:t>
      </w:r>
      <w:r w:rsidR="000B08A5" w:rsidRPr="00342967">
        <w:rPr>
          <w:lang w:val="en-GB"/>
        </w:rPr>
        <w:t>financial capital and industry capital</w:t>
      </w:r>
      <w:r w:rsidR="00153923" w:rsidRPr="00342967">
        <w:rPr>
          <w:lang w:val="en-GB"/>
        </w:rPr>
        <w:t xml:space="preserve"> (Durand and Keucheyan, 2015,</w:t>
      </w:r>
      <w:r w:rsidR="001071CE" w:rsidRPr="00342967">
        <w:rPr>
          <w:lang w:val="en-GB"/>
        </w:rPr>
        <w:t xml:space="preserve"> p.7)</w:t>
      </w:r>
      <w:r w:rsidR="000B08A5" w:rsidRPr="00342967">
        <w:rPr>
          <w:lang w:val="en-GB"/>
        </w:rPr>
        <w:t xml:space="preserve">. In an earlier section of this chapter it was already </w:t>
      </w:r>
      <w:r w:rsidR="005F1120" w:rsidRPr="00342967">
        <w:rPr>
          <w:lang w:val="en-GB"/>
        </w:rPr>
        <w:t>shown</w:t>
      </w:r>
      <w:r w:rsidR="000B08A5" w:rsidRPr="00342967">
        <w:rPr>
          <w:lang w:val="en-GB"/>
        </w:rPr>
        <w:t xml:space="preserve"> that financialisation affect</w:t>
      </w:r>
      <w:r w:rsidR="001071CE" w:rsidRPr="00342967">
        <w:rPr>
          <w:lang w:val="en-GB"/>
        </w:rPr>
        <w:t>s</w:t>
      </w:r>
      <w:r w:rsidR="000B08A5" w:rsidRPr="00342967">
        <w:rPr>
          <w:lang w:val="en-GB"/>
        </w:rPr>
        <w:t xml:space="preserve"> corporate-decision making which effectively transformed </w:t>
      </w:r>
      <w:r w:rsidR="0045488A" w:rsidRPr="00342967">
        <w:rPr>
          <w:lang w:val="en-GB"/>
        </w:rPr>
        <w:t xml:space="preserve">corporations in large financial groups with the same interest as financial capital. </w:t>
      </w:r>
      <w:r w:rsidR="009B3650" w:rsidRPr="00342967">
        <w:rPr>
          <w:lang w:val="en-GB"/>
        </w:rPr>
        <w:t>Durand and Keucheyan (2015</w:t>
      </w:r>
      <w:r w:rsidR="00B9141D" w:rsidRPr="00342967">
        <w:rPr>
          <w:lang w:val="en-GB"/>
        </w:rPr>
        <w:t>, p.7</w:t>
      </w:r>
      <w:r w:rsidR="009B3650" w:rsidRPr="00342967">
        <w:rPr>
          <w:lang w:val="en-GB"/>
        </w:rPr>
        <w:t xml:space="preserve">) argue that besides </w:t>
      </w:r>
      <w:r w:rsidR="00F563C3" w:rsidRPr="00342967">
        <w:rPr>
          <w:lang w:val="en-GB"/>
        </w:rPr>
        <w:t>the transformation of corporations another factor made that the interest of industry and financial capital became one and the same and that is the</w:t>
      </w:r>
      <w:r w:rsidR="008F50FC" w:rsidRPr="00342967">
        <w:rPr>
          <w:lang w:val="en-GB"/>
        </w:rPr>
        <w:t xml:space="preserve"> imperative of liquidity for business</w:t>
      </w:r>
      <w:r w:rsidR="005F1120" w:rsidRPr="00342967">
        <w:rPr>
          <w:lang w:val="en-GB"/>
        </w:rPr>
        <w:t xml:space="preserve"> (Durand and Keucheyan (2015, p.7)</w:t>
      </w:r>
      <w:r w:rsidR="00B9141D" w:rsidRPr="00342967">
        <w:rPr>
          <w:lang w:val="en-GB"/>
        </w:rPr>
        <w:t>.</w:t>
      </w:r>
    </w:p>
    <w:p w14:paraId="72A76A8F" w14:textId="24CD8BBF" w:rsidR="008F50FC" w:rsidRPr="00342967" w:rsidRDefault="008F50FC" w:rsidP="00645515">
      <w:pPr>
        <w:jc w:val="both"/>
        <w:rPr>
          <w:lang w:val="en-GB"/>
        </w:rPr>
      </w:pPr>
      <w:r w:rsidRPr="00342967">
        <w:rPr>
          <w:lang w:val="en-GB"/>
        </w:rPr>
        <w:t xml:space="preserve">That there is no longer a clear distinction between the two types of capital can also be derived from the response of </w:t>
      </w:r>
      <w:r w:rsidR="00534107">
        <w:rPr>
          <w:lang w:val="en-GB"/>
        </w:rPr>
        <w:t>the American C</w:t>
      </w:r>
      <w:r w:rsidR="008C3E88" w:rsidRPr="00342967">
        <w:rPr>
          <w:lang w:val="en-GB"/>
        </w:rPr>
        <w:t xml:space="preserve">hamber of Commerce and the </w:t>
      </w:r>
      <w:r w:rsidR="005B39F7" w:rsidRPr="00342967">
        <w:rPr>
          <w:lang w:val="en-GB"/>
        </w:rPr>
        <w:t>Bundesverband der Deutsche</w:t>
      </w:r>
      <w:r w:rsidR="006C071D" w:rsidRPr="00342967">
        <w:rPr>
          <w:lang w:val="en-GB"/>
        </w:rPr>
        <w:t>n</w:t>
      </w:r>
      <w:r w:rsidR="00534107">
        <w:rPr>
          <w:lang w:val="en-GB"/>
        </w:rPr>
        <w:t xml:space="preserve"> I</w:t>
      </w:r>
      <w:r w:rsidR="005B39F7" w:rsidRPr="00342967">
        <w:rPr>
          <w:lang w:val="en-GB"/>
        </w:rPr>
        <w:t>ndustrie</w:t>
      </w:r>
      <w:r w:rsidR="00295720" w:rsidRPr="00342967">
        <w:rPr>
          <w:lang w:val="en-GB"/>
        </w:rPr>
        <w:t xml:space="preserve"> (BDI) </w:t>
      </w:r>
      <w:r w:rsidR="006C071D" w:rsidRPr="00342967">
        <w:rPr>
          <w:lang w:val="en-GB"/>
        </w:rPr>
        <w:t>(</w:t>
      </w:r>
      <w:r w:rsidR="00462163" w:rsidRPr="00342967">
        <w:rPr>
          <w:lang w:val="en-GB"/>
        </w:rPr>
        <w:t>US Chamber of Commerce, 201</w:t>
      </w:r>
      <w:r w:rsidR="00534107">
        <w:rPr>
          <w:lang w:val="en-GB"/>
        </w:rPr>
        <w:t>5; Bundesverband der Deutschen I</w:t>
      </w:r>
      <w:r w:rsidR="00462163" w:rsidRPr="00342967">
        <w:rPr>
          <w:lang w:val="en-GB"/>
        </w:rPr>
        <w:t>ndustrie, 2015)</w:t>
      </w:r>
      <w:r w:rsidR="005B39F7" w:rsidRPr="00342967">
        <w:rPr>
          <w:lang w:val="en-GB"/>
        </w:rPr>
        <w:t xml:space="preserve">. </w:t>
      </w:r>
      <w:r w:rsidR="006C071D" w:rsidRPr="00342967">
        <w:rPr>
          <w:lang w:val="en-GB"/>
        </w:rPr>
        <w:t xml:space="preserve">Both are highly supportive of </w:t>
      </w:r>
      <w:r w:rsidR="00462163" w:rsidRPr="00342967">
        <w:rPr>
          <w:lang w:val="en-GB"/>
        </w:rPr>
        <w:t>CMU</w:t>
      </w:r>
      <w:r w:rsidR="000A3074" w:rsidRPr="00342967">
        <w:rPr>
          <w:lang w:val="en-GB"/>
        </w:rPr>
        <w:t xml:space="preserve"> and their response is not really different from the various financial sector actors. </w:t>
      </w:r>
      <w:r w:rsidR="00534107">
        <w:rPr>
          <w:lang w:val="en-GB"/>
        </w:rPr>
        <w:t>The US C</w:t>
      </w:r>
      <w:r w:rsidR="00FD572E" w:rsidRPr="00342967">
        <w:rPr>
          <w:lang w:val="en-GB"/>
        </w:rPr>
        <w:t>hamb</w:t>
      </w:r>
      <w:r w:rsidR="00534107">
        <w:rPr>
          <w:lang w:val="en-GB"/>
        </w:rPr>
        <w:t>er of C</w:t>
      </w:r>
      <w:r w:rsidR="00FD572E" w:rsidRPr="00342967">
        <w:rPr>
          <w:lang w:val="en-GB"/>
        </w:rPr>
        <w:t xml:space="preserve">ommerce is worried about the proposed capital requirements and risk retention rules and warns that they might undermine the goals of the CMU. </w:t>
      </w:r>
      <w:r w:rsidR="00295720" w:rsidRPr="00342967">
        <w:rPr>
          <w:lang w:val="en-GB"/>
        </w:rPr>
        <w:t>The BDI</w:t>
      </w:r>
      <w:r w:rsidR="004A1DF3" w:rsidRPr="00342967">
        <w:rPr>
          <w:lang w:val="en-GB"/>
        </w:rPr>
        <w:t xml:space="preserve"> is highly in favour of CMU because it increases the financing opportunities for businesses. In line with the US chamber of commerce they also warn for the potential undermining effects of too strict regulations. </w:t>
      </w:r>
      <w:r w:rsidR="00777140" w:rsidRPr="00342967">
        <w:rPr>
          <w:lang w:val="en-GB"/>
        </w:rPr>
        <w:t>An important note, however, in the response of the DBI is that they argue that CMU is only going to</w:t>
      </w:r>
      <w:r w:rsidR="00531834" w:rsidRPr="00342967">
        <w:rPr>
          <w:lang w:val="en-GB"/>
        </w:rPr>
        <w:t xml:space="preserve"> have effect on medium and large enterprises</w:t>
      </w:r>
      <w:r w:rsidR="000F7DBF" w:rsidRPr="00342967">
        <w:rPr>
          <w:lang w:val="en-GB"/>
        </w:rPr>
        <w:t xml:space="preserve">, not on small enterprises. They </w:t>
      </w:r>
      <w:r w:rsidR="00442A95" w:rsidRPr="00342967">
        <w:rPr>
          <w:lang w:val="en-GB"/>
        </w:rPr>
        <w:t>name</w:t>
      </w:r>
      <w:r w:rsidR="000F7DBF" w:rsidRPr="00342967">
        <w:rPr>
          <w:lang w:val="en-GB"/>
        </w:rPr>
        <w:t xml:space="preserve"> more or less the same reasons </w:t>
      </w:r>
      <w:r w:rsidR="00442A95" w:rsidRPr="00342967">
        <w:rPr>
          <w:lang w:val="en-GB"/>
        </w:rPr>
        <w:t xml:space="preserve">for why securitisation is not going to work for small enterprises </w:t>
      </w:r>
      <w:r w:rsidR="000F7DBF" w:rsidRPr="00342967">
        <w:rPr>
          <w:lang w:val="en-GB"/>
        </w:rPr>
        <w:t>that have been mentioned in this thesis before: the inherent risky nature of SME loans</w:t>
      </w:r>
      <w:r w:rsidR="002F0884" w:rsidRPr="00342967">
        <w:rPr>
          <w:lang w:val="en-GB"/>
        </w:rPr>
        <w:t xml:space="preserve"> and the diverse characteristics of SME loans.</w:t>
      </w:r>
    </w:p>
    <w:p w14:paraId="07C6B1D4" w14:textId="1799B21D" w:rsidR="00477113" w:rsidRPr="00342967" w:rsidRDefault="00477113" w:rsidP="00645515">
      <w:pPr>
        <w:jc w:val="both"/>
        <w:rPr>
          <w:lang w:val="en-GB"/>
        </w:rPr>
      </w:pPr>
      <w:r w:rsidRPr="00342967">
        <w:rPr>
          <w:lang w:val="en-GB"/>
        </w:rPr>
        <w:t xml:space="preserve">This brings up an important point in the alliances that the financial sector tries to create. </w:t>
      </w:r>
      <w:r w:rsidR="001A7DA6" w:rsidRPr="00342967">
        <w:rPr>
          <w:lang w:val="en-GB"/>
        </w:rPr>
        <w:t xml:space="preserve">Large corporations have been incorporated already in their sphere of influence and their interest have been aligned, but that of small and medium enterprises not so much. This is one of the reasons why </w:t>
      </w:r>
      <w:r w:rsidR="00CE4EB6" w:rsidRPr="00342967">
        <w:rPr>
          <w:lang w:val="en-GB"/>
        </w:rPr>
        <w:t xml:space="preserve">many of the financial actors </w:t>
      </w:r>
      <w:r w:rsidR="002F79D2" w:rsidRPr="00342967">
        <w:rPr>
          <w:lang w:val="en-GB"/>
        </w:rPr>
        <w:t xml:space="preserve">and the Commission </w:t>
      </w:r>
      <w:r w:rsidR="00CE4EB6" w:rsidRPr="00342967">
        <w:rPr>
          <w:lang w:val="en-GB"/>
        </w:rPr>
        <w:t>emphasize the positive effects of the revival of securitisation on financing for SMEs</w:t>
      </w:r>
      <w:r w:rsidR="002F79D2" w:rsidRPr="00342967">
        <w:rPr>
          <w:lang w:val="en-GB"/>
        </w:rPr>
        <w:t xml:space="preserve">. </w:t>
      </w:r>
      <w:r w:rsidR="0021203C" w:rsidRPr="00342967">
        <w:rPr>
          <w:lang w:val="en-GB"/>
        </w:rPr>
        <w:t xml:space="preserve">That the facts are not supporting their story is inferior to the goal of </w:t>
      </w:r>
      <w:r w:rsidR="000B684B" w:rsidRPr="00342967">
        <w:rPr>
          <w:lang w:val="en-GB"/>
        </w:rPr>
        <w:t xml:space="preserve">trying to incorporate small and medium enterprises in the financialisation process. </w:t>
      </w:r>
    </w:p>
    <w:p w14:paraId="34D058CE" w14:textId="18EEDE3A" w:rsidR="00ED2559" w:rsidRDefault="00985A72" w:rsidP="00645515">
      <w:pPr>
        <w:jc w:val="both"/>
        <w:rPr>
          <w:lang w:val="en-GB"/>
        </w:rPr>
      </w:pPr>
      <w:r w:rsidRPr="00342967">
        <w:rPr>
          <w:lang w:val="en-GB"/>
        </w:rPr>
        <w:t xml:space="preserve">Besides the efforts of the financial sector at the pro side of securitisation, alliances are also created at the contra side, that is the side against the revival of securitisation. </w:t>
      </w:r>
      <w:r w:rsidR="00E74CF8" w:rsidRPr="00342967">
        <w:rPr>
          <w:lang w:val="en-GB"/>
        </w:rPr>
        <w:t xml:space="preserve">Trade Union, NGOs, universities, scholars and many more civil society organisations have bundled their power </w:t>
      </w:r>
      <w:r w:rsidR="00782C77" w:rsidRPr="00342967">
        <w:rPr>
          <w:lang w:val="en-GB"/>
        </w:rPr>
        <w:t>to</w:t>
      </w:r>
      <w:r w:rsidR="00E74CF8" w:rsidRPr="00342967">
        <w:rPr>
          <w:lang w:val="en-GB"/>
        </w:rPr>
        <w:t xml:space="preserve"> fight </w:t>
      </w:r>
      <w:r w:rsidR="00E52C53" w:rsidRPr="00342967">
        <w:rPr>
          <w:lang w:val="en-GB"/>
        </w:rPr>
        <w:t xml:space="preserve">the proposals of the CMU. That despite their bundling of power, they had no real effect on the </w:t>
      </w:r>
      <w:r w:rsidR="00E52C53" w:rsidRPr="00342967">
        <w:rPr>
          <w:lang w:val="en-GB"/>
        </w:rPr>
        <w:lastRenderedPageBreak/>
        <w:t xml:space="preserve">outcome of the consultation rounds can only be interpreted as proof that the </w:t>
      </w:r>
      <w:r w:rsidR="00183278">
        <w:rPr>
          <w:lang w:val="en-GB"/>
        </w:rPr>
        <w:t>C</w:t>
      </w:r>
      <w:r w:rsidR="00E52C53" w:rsidRPr="00342967">
        <w:rPr>
          <w:lang w:val="en-GB"/>
        </w:rPr>
        <w:t xml:space="preserve">ommission is prioritizing the interest of financial capital over that of </w:t>
      </w:r>
      <w:r w:rsidR="00A317E7" w:rsidRPr="00342967">
        <w:rPr>
          <w:lang w:val="en-GB"/>
        </w:rPr>
        <w:t xml:space="preserve">society in general. </w:t>
      </w:r>
    </w:p>
    <w:p w14:paraId="3977D8C9" w14:textId="45C47C2C" w:rsidR="00ED2559" w:rsidRDefault="00ED2559" w:rsidP="00645515">
      <w:pPr>
        <w:jc w:val="both"/>
        <w:rPr>
          <w:lang w:val="en-GB"/>
        </w:rPr>
      </w:pPr>
    </w:p>
    <w:p w14:paraId="1DDC8611" w14:textId="317BFF07" w:rsidR="00ED2559" w:rsidRDefault="00ED2559" w:rsidP="00645515">
      <w:pPr>
        <w:jc w:val="both"/>
        <w:rPr>
          <w:lang w:val="en-GB"/>
        </w:rPr>
      </w:pPr>
    </w:p>
    <w:p w14:paraId="7CF377B2" w14:textId="53B54A67" w:rsidR="00ED2559" w:rsidRDefault="00ED2559" w:rsidP="00645515">
      <w:pPr>
        <w:jc w:val="both"/>
        <w:rPr>
          <w:lang w:val="en-GB"/>
        </w:rPr>
      </w:pPr>
    </w:p>
    <w:p w14:paraId="6CF42E8D" w14:textId="09472CA2" w:rsidR="00ED2559" w:rsidRDefault="00ED2559" w:rsidP="00645515">
      <w:pPr>
        <w:jc w:val="both"/>
        <w:rPr>
          <w:lang w:val="en-GB"/>
        </w:rPr>
      </w:pPr>
    </w:p>
    <w:p w14:paraId="0A87E579" w14:textId="7B2E553F" w:rsidR="00ED2559" w:rsidRDefault="00ED2559" w:rsidP="00645515">
      <w:pPr>
        <w:jc w:val="both"/>
        <w:rPr>
          <w:lang w:val="en-GB"/>
        </w:rPr>
      </w:pPr>
    </w:p>
    <w:p w14:paraId="3B8959BB" w14:textId="1F4440EA" w:rsidR="00D8656E" w:rsidRDefault="00D8656E" w:rsidP="00645515">
      <w:pPr>
        <w:jc w:val="both"/>
        <w:rPr>
          <w:lang w:val="en-GB"/>
        </w:rPr>
      </w:pPr>
    </w:p>
    <w:p w14:paraId="187B0CA7" w14:textId="43A12C9F" w:rsidR="00D8656E" w:rsidRDefault="00D8656E" w:rsidP="00645515">
      <w:pPr>
        <w:jc w:val="both"/>
        <w:rPr>
          <w:lang w:val="en-GB"/>
        </w:rPr>
      </w:pPr>
    </w:p>
    <w:p w14:paraId="1939B451" w14:textId="55C7581F" w:rsidR="00D8656E" w:rsidRDefault="00D8656E" w:rsidP="00645515">
      <w:pPr>
        <w:jc w:val="both"/>
        <w:rPr>
          <w:lang w:val="en-GB"/>
        </w:rPr>
      </w:pPr>
    </w:p>
    <w:p w14:paraId="5B8C8F27" w14:textId="3A5CA89B" w:rsidR="00D8656E" w:rsidRDefault="00D8656E" w:rsidP="00645515">
      <w:pPr>
        <w:jc w:val="both"/>
        <w:rPr>
          <w:lang w:val="en-GB"/>
        </w:rPr>
      </w:pPr>
    </w:p>
    <w:p w14:paraId="0FBD0932" w14:textId="62167032" w:rsidR="00D8656E" w:rsidRDefault="00D8656E" w:rsidP="00645515">
      <w:pPr>
        <w:jc w:val="both"/>
        <w:rPr>
          <w:lang w:val="en-GB"/>
        </w:rPr>
      </w:pPr>
    </w:p>
    <w:p w14:paraId="11DB0E60" w14:textId="1BC3350C" w:rsidR="00D8656E" w:rsidRDefault="00D8656E" w:rsidP="00645515">
      <w:pPr>
        <w:jc w:val="both"/>
        <w:rPr>
          <w:lang w:val="en-GB"/>
        </w:rPr>
      </w:pPr>
    </w:p>
    <w:p w14:paraId="2AD6BB5E" w14:textId="0ADECCDC" w:rsidR="00D8656E" w:rsidRDefault="00D8656E" w:rsidP="00645515">
      <w:pPr>
        <w:jc w:val="both"/>
        <w:rPr>
          <w:lang w:val="en-GB"/>
        </w:rPr>
      </w:pPr>
    </w:p>
    <w:p w14:paraId="2065C0E2" w14:textId="7AA550FA" w:rsidR="00D8656E" w:rsidRDefault="00D8656E" w:rsidP="00645515">
      <w:pPr>
        <w:jc w:val="both"/>
        <w:rPr>
          <w:lang w:val="en-GB"/>
        </w:rPr>
      </w:pPr>
    </w:p>
    <w:p w14:paraId="33206D79" w14:textId="7E148F19" w:rsidR="00D8656E" w:rsidRDefault="00D8656E" w:rsidP="00645515">
      <w:pPr>
        <w:jc w:val="both"/>
        <w:rPr>
          <w:lang w:val="en-GB"/>
        </w:rPr>
      </w:pPr>
    </w:p>
    <w:p w14:paraId="75C2B19B" w14:textId="77777777" w:rsidR="00D8656E" w:rsidRDefault="00D8656E" w:rsidP="00645515">
      <w:pPr>
        <w:jc w:val="both"/>
        <w:rPr>
          <w:lang w:val="en-GB"/>
        </w:rPr>
      </w:pPr>
    </w:p>
    <w:p w14:paraId="6E92EB53" w14:textId="54A6628B" w:rsidR="00ED2559" w:rsidRDefault="00ED2559" w:rsidP="00645515">
      <w:pPr>
        <w:jc w:val="both"/>
        <w:rPr>
          <w:lang w:val="en-GB"/>
        </w:rPr>
      </w:pPr>
    </w:p>
    <w:p w14:paraId="0E1F41E5" w14:textId="188BE3D8" w:rsidR="00ED2559" w:rsidRDefault="00ED2559" w:rsidP="00645515">
      <w:pPr>
        <w:jc w:val="both"/>
        <w:rPr>
          <w:lang w:val="en-GB"/>
        </w:rPr>
      </w:pPr>
    </w:p>
    <w:p w14:paraId="49B09D2D" w14:textId="77777777" w:rsidR="00ED2559" w:rsidRPr="00342967" w:rsidRDefault="00ED2559" w:rsidP="00645515">
      <w:pPr>
        <w:jc w:val="both"/>
        <w:rPr>
          <w:lang w:val="en-GB"/>
        </w:rPr>
      </w:pPr>
    </w:p>
    <w:p w14:paraId="3F2E24DD" w14:textId="297ECC92" w:rsidR="00180C37" w:rsidRPr="00342967" w:rsidRDefault="00180C37" w:rsidP="00D904F7">
      <w:pPr>
        <w:pStyle w:val="Kop1"/>
        <w:jc w:val="both"/>
        <w:rPr>
          <w:lang w:val="en-GB"/>
        </w:rPr>
      </w:pPr>
      <w:bookmarkStart w:id="27" w:name="_Toc518333123"/>
      <w:r w:rsidRPr="00342967">
        <w:rPr>
          <w:lang w:val="en-GB"/>
        </w:rPr>
        <w:lastRenderedPageBreak/>
        <w:t>Chapter 4: Conclusion</w:t>
      </w:r>
      <w:bookmarkEnd w:id="27"/>
    </w:p>
    <w:p w14:paraId="6C2D1E2E" w14:textId="14DF3AAE" w:rsidR="00FF24E2" w:rsidRPr="00342967" w:rsidRDefault="00C91399" w:rsidP="00D904F7">
      <w:pPr>
        <w:jc w:val="both"/>
        <w:rPr>
          <w:rFonts w:cs="Times New Roman"/>
          <w:szCs w:val="24"/>
        </w:rPr>
      </w:pPr>
      <w:r w:rsidRPr="00342967">
        <w:rPr>
          <w:rFonts w:cs="Times New Roman"/>
          <w:szCs w:val="24"/>
          <w:lang w:val="en-GB"/>
        </w:rPr>
        <w:t xml:space="preserve">The question this thesis </w:t>
      </w:r>
      <w:r w:rsidR="004208B1" w:rsidRPr="00342967">
        <w:rPr>
          <w:rFonts w:cs="Times New Roman"/>
          <w:szCs w:val="24"/>
          <w:lang w:val="en-GB"/>
        </w:rPr>
        <w:t>tried</w:t>
      </w:r>
      <w:r w:rsidRPr="00342967">
        <w:rPr>
          <w:rFonts w:cs="Times New Roman"/>
          <w:szCs w:val="24"/>
          <w:lang w:val="en-GB"/>
        </w:rPr>
        <w:t xml:space="preserve"> to answer is</w:t>
      </w:r>
      <w:r w:rsidR="00787C7C" w:rsidRPr="00342967">
        <w:rPr>
          <w:rFonts w:cs="Times New Roman"/>
          <w:szCs w:val="24"/>
          <w:lang w:val="en-GB"/>
        </w:rPr>
        <w:t xml:space="preserve">: </w:t>
      </w:r>
      <w:r w:rsidR="00787C7C" w:rsidRPr="00342967">
        <w:rPr>
          <w:rFonts w:cs="Times New Roman"/>
          <w:szCs w:val="24"/>
        </w:rPr>
        <w:t xml:space="preserve">Why </w:t>
      </w:r>
      <w:r w:rsidR="00A80773">
        <w:rPr>
          <w:rFonts w:cs="Times New Roman"/>
          <w:szCs w:val="24"/>
        </w:rPr>
        <w:t>did</w:t>
      </w:r>
      <w:r w:rsidR="00787C7C" w:rsidRPr="00342967">
        <w:rPr>
          <w:rFonts w:cs="Times New Roman"/>
          <w:szCs w:val="24"/>
        </w:rPr>
        <w:t xml:space="preserve"> the European Commission only seven years after the devastating Global Financial Crisis seek to revive the securitisation market as part of the CMU while it first clearly condemned the practice?</w:t>
      </w:r>
      <w:r w:rsidR="000F745B" w:rsidRPr="00342967">
        <w:rPr>
          <w:rFonts w:cs="Times New Roman"/>
          <w:szCs w:val="24"/>
        </w:rPr>
        <w:t xml:space="preserve"> </w:t>
      </w:r>
      <w:r w:rsidR="00477730" w:rsidRPr="00342967">
        <w:rPr>
          <w:rFonts w:cs="Times New Roman"/>
          <w:szCs w:val="24"/>
        </w:rPr>
        <w:t xml:space="preserve">The approach to answer this question was to put the decision of the European Commission in the broader perspective of </w:t>
      </w:r>
      <w:r w:rsidR="00745921" w:rsidRPr="00342967">
        <w:rPr>
          <w:rFonts w:cs="Times New Roman"/>
          <w:szCs w:val="24"/>
        </w:rPr>
        <w:t>capitalist developments</w:t>
      </w:r>
      <w:r w:rsidR="00C254E0" w:rsidRPr="00342967">
        <w:rPr>
          <w:rFonts w:cs="Times New Roman"/>
          <w:szCs w:val="24"/>
        </w:rPr>
        <w:t xml:space="preserve">. Contrary to the existing literature on CMU, </w:t>
      </w:r>
      <w:r w:rsidR="00032B8D" w:rsidRPr="00342967">
        <w:rPr>
          <w:rFonts w:cs="Times New Roman"/>
          <w:szCs w:val="24"/>
        </w:rPr>
        <w:t>the thesis</w:t>
      </w:r>
      <w:r w:rsidR="00C254E0" w:rsidRPr="00342967">
        <w:rPr>
          <w:rFonts w:cs="Times New Roman"/>
          <w:szCs w:val="24"/>
        </w:rPr>
        <w:t xml:space="preserve"> did no</w:t>
      </w:r>
      <w:r w:rsidR="00BF6493" w:rsidRPr="00342967">
        <w:rPr>
          <w:rFonts w:cs="Times New Roman"/>
          <w:szCs w:val="24"/>
        </w:rPr>
        <w:t xml:space="preserve">t argue along the lines of the European Commission that </w:t>
      </w:r>
      <w:r w:rsidR="00E61FC5" w:rsidRPr="00342967">
        <w:rPr>
          <w:rFonts w:cs="Times New Roman"/>
          <w:szCs w:val="24"/>
        </w:rPr>
        <w:t xml:space="preserve">CMU is necessary and that is the only way to obtain real economic growth. Instead, </w:t>
      </w:r>
      <w:r w:rsidR="00445740" w:rsidRPr="00342967">
        <w:rPr>
          <w:rFonts w:cs="Times New Roman"/>
          <w:szCs w:val="24"/>
        </w:rPr>
        <w:t xml:space="preserve"> </w:t>
      </w:r>
      <w:r w:rsidR="00032B8D" w:rsidRPr="00342967">
        <w:rPr>
          <w:rFonts w:cs="Times New Roman"/>
          <w:szCs w:val="24"/>
        </w:rPr>
        <w:t xml:space="preserve">the arguments of the Commission </w:t>
      </w:r>
      <w:r w:rsidR="00F17DD8" w:rsidRPr="00342967">
        <w:rPr>
          <w:rFonts w:cs="Times New Roman"/>
          <w:szCs w:val="24"/>
        </w:rPr>
        <w:t>were</w:t>
      </w:r>
      <w:r w:rsidR="00032B8D" w:rsidRPr="00342967">
        <w:rPr>
          <w:rFonts w:cs="Times New Roman"/>
          <w:szCs w:val="24"/>
        </w:rPr>
        <w:t xml:space="preserve"> questioned </w:t>
      </w:r>
      <w:r w:rsidR="00570A3C" w:rsidRPr="00342967">
        <w:rPr>
          <w:rFonts w:cs="Times New Roman"/>
          <w:szCs w:val="24"/>
        </w:rPr>
        <w:t>and the proposal to launch CMU was put i</w:t>
      </w:r>
      <w:r w:rsidR="00BD7AD7" w:rsidRPr="00342967">
        <w:rPr>
          <w:rFonts w:cs="Times New Roman"/>
          <w:szCs w:val="24"/>
        </w:rPr>
        <w:t>n</w:t>
      </w:r>
      <w:r w:rsidR="00570A3C" w:rsidRPr="00342967">
        <w:rPr>
          <w:rFonts w:cs="Times New Roman"/>
          <w:szCs w:val="24"/>
        </w:rPr>
        <w:t xml:space="preserve"> </w:t>
      </w:r>
      <w:r w:rsidR="00320A91" w:rsidRPr="00342967">
        <w:rPr>
          <w:rFonts w:cs="Times New Roman"/>
          <w:szCs w:val="24"/>
        </w:rPr>
        <w:t>the context of financialisation</w:t>
      </w:r>
      <w:r w:rsidR="00570A3C" w:rsidRPr="00342967">
        <w:rPr>
          <w:rFonts w:cs="Times New Roman"/>
          <w:szCs w:val="24"/>
        </w:rPr>
        <w:t xml:space="preserve">. </w:t>
      </w:r>
    </w:p>
    <w:p w14:paraId="2C068207" w14:textId="26D09EF0" w:rsidR="00930F2E" w:rsidRPr="00342967" w:rsidRDefault="00930F2E" w:rsidP="00D904F7">
      <w:pPr>
        <w:jc w:val="both"/>
        <w:rPr>
          <w:rFonts w:cs="Times New Roman"/>
          <w:szCs w:val="24"/>
          <w:lang w:val="en-GB"/>
        </w:rPr>
      </w:pPr>
      <w:r w:rsidRPr="00342967">
        <w:rPr>
          <w:rFonts w:cs="Times New Roman"/>
          <w:szCs w:val="24"/>
          <w:lang w:val="en-GB"/>
        </w:rPr>
        <w:t xml:space="preserve">The best way to answer the research questions is to </w:t>
      </w:r>
      <w:r w:rsidR="006B44C3" w:rsidRPr="00342967">
        <w:rPr>
          <w:rFonts w:cs="Times New Roman"/>
          <w:szCs w:val="24"/>
          <w:lang w:val="en-GB"/>
        </w:rPr>
        <w:t xml:space="preserve">enfold it </w:t>
      </w:r>
      <w:r w:rsidR="00BD7AD7" w:rsidRPr="00342967">
        <w:rPr>
          <w:rFonts w:cs="Times New Roman"/>
          <w:szCs w:val="24"/>
          <w:lang w:val="en-GB"/>
        </w:rPr>
        <w:t xml:space="preserve">in several </w:t>
      </w:r>
      <w:r w:rsidR="00C85EF8" w:rsidRPr="00342967">
        <w:rPr>
          <w:rFonts w:cs="Times New Roman"/>
          <w:szCs w:val="24"/>
          <w:lang w:val="en-GB"/>
        </w:rPr>
        <w:t>steps</w:t>
      </w:r>
      <w:r w:rsidR="006B44C3" w:rsidRPr="00342967">
        <w:rPr>
          <w:rFonts w:cs="Times New Roman"/>
          <w:szCs w:val="24"/>
          <w:lang w:val="en-GB"/>
        </w:rPr>
        <w:t xml:space="preserve">. </w:t>
      </w:r>
      <w:r w:rsidR="00553F61" w:rsidRPr="00342967">
        <w:rPr>
          <w:rFonts w:cs="Times New Roman"/>
          <w:szCs w:val="24"/>
          <w:lang w:val="en-GB"/>
        </w:rPr>
        <w:t xml:space="preserve">The current SSA is based on neoliberal ideology and is characterised by </w:t>
      </w:r>
      <w:r w:rsidR="009B23CE" w:rsidRPr="00342967">
        <w:rPr>
          <w:rFonts w:cs="Times New Roman"/>
          <w:szCs w:val="24"/>
          <w:lang w:val="en-GB"/>
        </w:rPr>
        <w:t>financialisation</w:t>
      </w:r>
      <w:r w:rsidR="007676DF" w:rsidRPr="00342967">
        <w:rPr>
          <w:rFonts w:cs="Times New Roman"/>
          <w:szCs w:val="24"/>
          <w:lang w:val="en-GB"/>
        </w:rPr>
        <w:t>.</w:t>
      </w:r>
      <w:r w:rsidR="00C85EF8" w:rsidRPr="00342967">
        <w:rPr>
          <w:rFonts w:cs="Times New Roman"/>
          <w:szCs w:val="24"/>
          <w:lang w:val="en-GB"/>
        </w:rPr>
        <w:t xml:space="preserve"> </w:t>
      </w:r>
      <w:r w:rsidR="004B5AAE" w:rsidRPr="00342967">
        <w:rPr>
          <w:rFonts w:cs="Times New Roman"/>
          <w:szCs w:val="24"/>
          <w:lang w:val="en-GB"/>
        </w:rPr>
        <w:t>Economic growth is not achieved by increasing real production but by increasing the circulation of financial capital.</w:t>
      </w:r>
      <w:r w:rsidR="007676DF" w:rsidRPr="00342967">
        <w:rPr>
          <w:rFonts w:cs="Times New Roman"/>
          <w:szCs w:val="24"/>
          <w:lang w:val="en-GB"/>
        </w:rPr>
        <w:t xml:space="preserve"> </w:t>
      </w:r>
      <w:r w:rsidR="00D8609D" w:rsidRPr="00342967">
        <w:rPr>
          <w:rFonts w:cs="Times New Roman"/>
          <w:szCs w:val="24"/>
          <w:lang w:val="en-GB"/>
        </w:rPr>
        <w:t>Debt levels have increased considerably the past few decades and continue to rise to this day.</w:t>
      </w:r>
      <w:r w:rsidR="00877947" w:rsidRPr="00342967">
        <w:rPr>
          <w:rFonts w:cs="Times New Roman"/>
          <w:szCs w:val="24"/>
          <w:lang w:val="en-GB"/>
        </w:rPr>
        <w:t xml:space="preserve"> The financial sector has penetrated every layer</w:t>
      </w:r>
      <w:r w:rsidR="0000538F">
        <w:rPr>
          <w:rFonts w:cs="Times New Roman"/>
          <w:szCs w:val="24"/>
          <w:lang w:val="en-GB"/>
        </w:rPr>
        <w:t xml:space="preserve"> of the economy</w:t>
      </w:r>
      <w:r w:rsidR="00877947" w:rsidRPr="00342967">
        <w:rPr>
          <w:rFonts w:cs="Times New Roman"/>
          <w:szCs w:val="24"/>
          <w:lang w:val="en-GB"/>
        </w:rPr>
        <w:t xml:space="preserve"> </w:t>
      </w:r>
      <w:r w:rsidR="00B039C0" w:rsidRPr="00342967">
        <w:rPr>
          <w:rFonts w:cs="Times New Roman"/>
          <w:szCs w:val="24"/>
          <w:lang w:val="en-GB"/>
        </w:rPr>
        <w:t>and dictate</w:t>
      </w:r>
      <w:r w:rsidR="00401DE9">
        <w:rPr>
          <w:rFonts w:cs="Times New Roman"/>
          <w:szCs w:val="24"/>
          <w:lang w:val="en-GB"/>
        </w:rPr>
        <w:t>s</w:t>
      </w:r>
      <w:r w:rsidR="00B039C0" w:rsidRPr="00342967">
        <w:rPr>
          <w:rFonts w:cs="Times New Roman"/>
          <w:szCs w:val="24"/>
          <w:lang w:val="en-GB"/>
        </w:rPr>
        <w:t xml:space="preserve"> </w:t>
      </w:r>
      <w:r w:rsidR="00785484">
        <w:rPr>
          <w:rFonts w:cs="Times New Roman"/>
          <w:szCs w:val="24"/>
          <w:lang w:val="en-GB"/>
        </w:rPr>
        <w:t>the course</w:t>
      </w:r>
      <w:r w:rsidR="00B039C0" w:rsidRPr="00342967">
        <w:rPr>
          <w:rFonts w:cs="Times New Roman"/>
          <w:szCs w:val="24"/>
          <w:lang w:val="en-GB"/>
        </w:rPr>
        <w:t xml:space="preserve">. </w:t>
      </w:r>
      <w:r w:rsidR="007676DF" w:rsidRPr="00342967">
        <w:rPr>
          <w:rFonts w:cs="Times New Roman"/>
          <w:szCs w:val="24"/>
          <w:lang w:val="en-GB"/>
        </w:rPr>
        <w:t xml:space="preserve">This type of capital accumulation </w:t>
      </w:r>
      <w:r w:rsidR="009B23CE" w:rsidRPr="00342967">
        <w:rPr>
          <w:rFonts w:cs="Times New Roman"/>
          <w:szCs w:val="24"/>
          <w:lang w:val="en-GB"/>
        </w:rPr>
        <w:t xml:space="preserve">gave financial capital a dominant position in society and consequently </w:t>
      </w:r>
      <w:r w:rsidR="00DA32D6" w:rsidRPr="00342967">
        <w:rPr>
          <w:rFonts w:cs="Times New Roman"/>
          <w:szCs w:val="24"/>
          <w:lang w:val="en-GB"/>
        </w:rPr>
        <w:t xml:space="preserve">gave financial capital the ability to let their interest prevail over the interest of competing </w:t>
      </w:r>
      <w:r w:rsidR="004F743C" w:rsidRPr="00342967">
        <w:rPr>
          <w:rFonts w:cs="Times New Roman"/>
          <w:szCs w:val="24"/>
          <w:lang w:val="en-GB"/>
        </w:rPr>
        <w:t>social groups.</w:t>
      </w:r>
      <w:r w:rsidR="001B7FE5" w:rsidRPr="00342967">
        <w:rPr>
          <w:rFonts w:cs="Times New Roman"/>
          <w:szCs w:val="24"/>
          <w:lang w:val="en-GB"/>
        </w:rPr>
        <w:t xml:space="preserve"> </w:t>
      </w:r>
      <w:r w:rsidR="0077029E" w:rsidRPr="00342967">
        <w:rPr>
          <w:rFonts w:cs="Times New Roman"/>
          <w:szCs w:val="24"/>
          <w:lang w:val="en-GB"/>
        </w:rPr>
        <w:t xml:space="preserve">This reign of financial capital has also granted them the ability to affect the European Commission in such a way that </w:t>
      </w:r>
      <w:r w:rsidR="00094762" w:rsidRPr="00342967">
        <w:rPr>
          <w:rFonts w:cs="Times New Roman"/>
          <w:szCs w:val="24"/>
          <w:lang w:val="en-GB"/>
        </w:rPr>
        <w:t>the Commission is mostly concerned with taking care of the problems and wishes of financial capital</w:t>
      </w:r>
      <w:r w:rsidR="00C123F7" w:rsidRPr="00342967">
        <w:rPr>
          <w:rFonts w:cs="Times New Roman"/>
          <w:szCs w:val="24"/>
          <w:lang w:val="en-GB"/>
        </w:rPr>
        <w:t xml:space="preserve">. </w:t>
      </w:r>
      <w:r w:rsidR="001B7FE5" w:rsidRPr="00342967">
        <w:rPr>
          <w:rFonts w:cs="Times New Roman"/>
          <w:szCs w:val="24"/>
          <w:lang w:val="en-GB"/>
        </w:rPr>
        <w:t xml:space="preserve">The global financial crisis </w:t>
      </w:r>
      <w:r w:rsidR="00C123F7" w:rsidRPr="00342967">
        <w:rPr>
          <w:rFonts w:cs="Times New Roman"/>
          <w:szCs w:val="24"/>
          <w:lang w:val="en-GB"/>
        </w:rPr>
        <w:t>signalled the stagnating phase of the Neoliberal SSA</w:t>
      </w:r>
      <w:r w:rsidR="00FD28DB" w:rsidRPr="00342967">
        <w:rPr>
          <w:rFonts w:cs="Times New Roman"/>
          <w:szCs w:val="24"/>
          <w:lang w:val="en-GB"/>
        </w:rPr>
        <w:t xml:space="preserve"> and it is vital for financial capital that the current SSA remains in place. </w:t>
      </w:r>
      <w:r w:rsidR="00AF63FD" w:rsidRPr="00342967">
        <w:rPr>
          <w:rFonts w:cs="Times New Roman"/>
          <w:szCs w:val="24"/>
          <w:lang w:val="en-GB"/>
        </w:rPr>
        <w:t xml:space="preserve">The decision of the </w:t>
      </w:r>
      <w:r w:rsidR="005E5872" w:rsidRPr="00342967">
        <w:rPr>
          <w:rFonts w:cs="Times New Roman"/>
          <w:szCs w:val="24"/>
          <w:lang w:val="en-GB"/>
        </w:rPr>
        <w:t>C</w:t>
      </w:r>
      <w:r w:rsidR="00AF63FD" w:rsidRPr="00342967">
        <w:rPr>
          <w:rFonts w:cs="Times New Roman"/>
          <w:szCs w:val="24"/>
          <w:lang w:val="en-GB"/>
        </w:rPr>
        <w:t xml:space="preserve">ommission to revive </w:t>
      </w:r>
      <w:r w:rsidR="007E3E9F" w:rsidRPr="00342967">
        <w:rPr>
          <w:rFonts w:cs="Times New Roman"/>
          <w:szCs w:val="24"/>
          <w:lang w:val="en-GB"/>
        </w:rPr>
        <w:t>the securitisation markets is thus a response to satisfy the wishe</w:t>
      </w:r>
      <w:r w:rsidR="00FD28DB" w:rsidRPr="00342967">
        <w:rPr>
          <w:rFonts w:cs="Times New Roman"/>
          <w:szCs w:val="24"/>
          <w:lang w:val="en-GB"/>
        </w:rPr>
        <w:t>s</w:t>
      </w:r>
      <w:r w:rsidR="007E3E9F" w:rsidRPr="00342967">
        <w:rPr>
          <w:rFonts w:cs="Times New Roman"/>
          <w:szCs w:val="24"/>
          <w:lang w:val="en-GB"/>
        </w:rPr>
        <w:t xml:space="preserve"> of the financial sector and </w:t>
      </w:r>
      <w:r w:rsidR="00C14CAD" w:rsidRPr="00342967">
        <w:rPr>
          <w:rFonts w:cs="Times New Roman"/>
          <w:szCs w:val="24"/>
          <w:lang w:val="en-GB"/>
        </w:rPr>
        <w:t xml:space="preserve">an </w:t>
      </w:r>
      <w:r w:rsidR="007E3E9F" w:rsidRPr="00342967">
        <w:rPr>
          <w:rFonts w:cs="Times New Roman"/>
          <w:szCs w:val="24"/>
          <w:lang w:val="en-GB"/>
        </w:rPr>
        <w:t>attempt</w:t>
      </w:r>
      <w:r w:rsidR="00753923" w:rsidRPr="00342967">
        <w:rPr>
          <w:rFonts w:cs="Times New Roman"/>
          <w:szCs w:val="24"/>
          <w:lang w:val="en-GB"/>
        </w:rPr>
        <w:t xml:space="preserve"> obtain more </w:t>
      </w:r>
      <w:r w:rsidR="003335EA" w:rsidRPr="00342967">
        <w:rPr>
          <w:rFonts w:cs="Times New Roman"/>
          <w:szCs w:val="24"/>
          <w:lang w:val="en-GB"/>
        </w:rPr>
        <w:t>‘</w:t>
      </w:r>
      <w:r w:rsidR="00753923" w:rsidRPr="00342967">
        <w:rPr>
          <w:rFonts w:cs="Times New Roman"/>
          <w:szCs w:val="24"/>
          <w:lang w:val="en-GB"/>
        </w:rPr>
        <w:t>financ</w:t>
      </w:r>
      <w:r w:rsidR="003335EA" w:rsidRPr="00342967">
        <w:rPr>
          <w:rFonts w:cs="Times New Roman"/>
          <w:szCs w:val="24"/>
          <w:lang w:val="en-GB"/>
        </w:rPr>
        <w:t>ialised’ growth</w:t>
      </w:r>
      <w:r w:rsidR="007E3E9F" w:rsidRPr="00342967">
        <w:rPr>
          <w:rFonts w:cs="Times New Roman"/>
          <w:szCs w:val="24"/>
          <w:lang w:val="en-GB"/>
        </w:rPr>
        <w:t>. It is for those reasons that</w:t>
      </w:r>
      <w:r w:rsidR="00753923" w:rsidRPr="00342967">
        <w:rPr>
          <w:rFonts w:cs="Times New Roman"/>
          <w:szCs w:val="24"/>
          <w:lang w:val="en-GB"/>
        </w:rPr>
        <w:t xml:space="preserve"> </w:t>
      </w:r>
      <w:r w:rsidR="001B7FE5" w:rsidRPr="00342967">
        <w:rPr>
          <w:rFonts w:cs="Times New Roman"/>
          <w:szCs w:val="24"/>
          <w:lang w:val="en-GB"/>
        </w:rPr>
        <w:t>the European Commission set out to reactivate the securitisation market in Europe</w:t>
      </w:r>
      <w:r w:rsidR="0049001B" w:rsidRPr="00342967">
        <w:rPr>
          <w:rFonts w:cs="Times New Roman"/>
          <w:szCs w:val="24"/>
          <w:lang w:val="en-GB"/>
        </w:rPr>
        <w:t xml:space="preserve"> despite the fact that securitisation has caused such mayhem onl</w:t>
      </w:r>
      <w:r w:rsidR="00534107">
        <w:rPr>
          <w:rFonts w:cs="Times New Roman"/>
          <w:szCs w:val="24"/>
          <w:lang w:val="en-GB"/>
        </w:rPr>
        <w:t xml:space="preserve">y ten </w:t>
      </w:r>
      <w:r w:rsidR="0049001B" w:rsidRPr="00342967">
        <w:rPr>
          <w:rFonts w:cs="Times New Roman"/>
          <w:szCs w:val="24"/>
          <w:lang w:val="en-GB"/>
        </w:rPr>
        <w:t>years ago.</w:t>
      </w:r>
    </w:p>
    <w:p w14:paraId="4BCDD668" w14:textId="7906DD70" w:rsidR="002C0609" w:rsidRDefault="008E7041" w:rsidP="00D904F7">
      <w:pPr>
        <w:jc w:val="both"/>
        <w:rPr>
          <w:rFonts w:cs="Times New Roman"/>
          <w:szCs w:val="24"/>
          <w:lang w:val="en-GB"/>
        </w:rPr>
      </w:pPr>
      <w:r w:rsidRPr="00342967">
        <w:rPr>
          <w:rFonts w:cs="Times New Roman"/>
          <w:szCs w:val="24"/>
          <w:lang w:val="en-GB"/>
        </w:rPr>
        <w:t xml:space="preserve">The outcomes of this research </w:t>
      </w:r>
      <w:r w:rsidR="00A44479" w:rsidRPr="00342967">
        <w:rPr>
          <w:rFonts w:cs="Times New Roman"/>
          <w:szCs w:val="24"/>
          <w:lang w:val="en-GB"/>
        </w:rPr>
        <w:t>contribute</w:t>
      </w:r>
      <w:r w:rsidRPr="00342967">
        <w:rPr>
          <w:rFonts w:cs="Times New Roman"/>
          <w:szCs w:val="24"/>
          <w:lang w:val="en-GB"/>
        </w:rPr>
        <w:t xml:space="preserve"> to understanding the </w:t>
      </w:r>
      <w:r w:rsidR="004E0473" w:rsidRPr="00342967">
        <w:rPr>
          <w:rFonts w:cs="Times New Roman"/>
          <w:szCs w:val="24"/>
          <w:lang w:val="en-GB"/>
        </w:rPr>
        <w:t xml:space="preserve">political consequences </w:t>
      </w:r>
      <w:r w:rsidRPr="00342967">
        <w:rPr>
          <w:rFonts w:cs="Times New Roman"/>
          <w:szCs w:val="24"/>
          <w:lang w:val="en-GB"/>
        </w:rPr>
        <w:t>of financialisation</w:t>
      </w:r>
      <w:r w:rsidR="00C8630A" w:rsidRPr="00342967">
        <w:rPr>
          <w:rFonts w:cs="Times New Roman"/>
          <w:szCs w:val="24"/>
          <w:lang w:val="en-GB"/>
        </w:rPr>
        <w:t xml:space="preserve">. </w:t>
      </w:r>
      <w:r w:rsidR="006A5AF0" w:rsidRPr="00342967">
        <w:rPr>
          <w:rFonts w:cs="Times New Roman"/>
          <w:szCs w:val="24"/>
          <w:lang w:val="en-GB"/>
        </w:rPr>
        <w:t>It has</w:t>
      </w:r>
      <w:r w:rsidR="00112F1C" w:rsidRPr="00342967">
        <w:rPr>
          <w:rFonts w:cs="Times New Roman"/>
          <w:szCs w:val="24"/>
          <w:lang w:val="en-GB"/>
        </w:rPr>
        <w:t xml:space="preserve"> been</w:t>
      </w:r>
      <w:r w:rsidR="006A5AF0" w:rsidRPr="00342967">
        <w:rPr>
          <w:rFonts w:cs="Times New Roman"/>
          <w:szCs w:val="24"/>
          <w:lang w:val="en-GB"/>
        </w:rPr>
        <w:t xml:space="preserve"> shown that the financial sector has </w:t>
      </w:r>
      <w:r w:rsidR="009149AF">
        <w:rPr>
          <w:rFonts w:cs="Times New Roman"/>
          <w:szCs w:val="24"/>
          <w:lang w:val="en-GB"/>
        </w:rPr>
        <w:t xml:space="preserve">not only penetrated the economy, but political life as well through the dominant position they obtained in the Neoliberal SSA. </w:t>
      </w:r>
      <w:r w:rsidR="00044FFC">
        <w:rPr>
          <w:rFonts w:cs="Times New Roman"/>
          <w:szCs w:val="24"/>
          <w:lang w:val="en-GB"/>
        </w:rPr>
        <w:t>Moreover, a convincing case has been presented that the Commission did not revive securitisation</w:t>
      </w:r>
      <w:r w:rsidR="00C021D6">
        <w:rPr>
          <w:rFonts w:cs="Times New Roman"/>
          <w:szCs w:val="24"/>
          <w:lang w:val="en-GB"/>
        </w:rPr>
        <w:t xml:space="preserve"> to increase funding to SMEs or to kickstart real economic growth, but rather to meet the wishes of </w:t>
      </w:r>
      <w:r w:rsidR="00C021D6">
        <w:rPr>
          <w:rFonts w:cs="Times New Roman"/>
          <w:szCs w:val="24"/>
          <w:lang w:val="en-GB"/>
        </w:rPr>
        <w:lastRenderedPageBreak/>
        <w:t>financial capital.</w:t>
      </w:r>
      <w:r w:rsidR="007B7439">
        <w:rPr>
          <w:rFonts w:cs="Times New Roman"/>
          <w:szCs w:val="24"/>
          <w:lang w:val="en-GB"/>
        </w:rPr>
        <w:t xml:space="preserve"> Financial capital has been systematically pushing for the reintroduction of securitisation which has been illustrated by </w:t>
      </w:r>
      <w:r w:rsidR="009A2A1B">
        <w:rPr>
          <w:rFonts w:cs="Times New Roman"/>
          <w:szCs w:val="24"/>
          <w:lang w:val="en-GB"/>
        </w:rPr>
        <w:t xml:space="preserve">conducting a thorough agency analysis. </w:t>
      </w:r>
      <w:r w:rsidR="009A2A1B" w:rsidRPr="00342967">
        <w:rPr>
          <w:rFonts w:cs="Times New Roman"/>
          <w:szCs w:val="24"/>
          <w:lang w:val="en-GB"/>
        </w:rPr>
        <w:t>By approaching the research question using a strong theoretical foundation this research has added to the existing literature that tried to make sense of the decision of the Commission to introduce CMU and reintroduce securitisation.</w:t>
      </w:r>
    </w:p>
    <w:p w14:paraId="60466DD6" w14:textId="5385DB1D" w:rsidR="009E2A89" w:rsidRPr="00342967" w:rsidRDefault="007D1D1D" w:rsidP="00D904F7">
      <w:pPr>
        <w:jc w:val="both"/>
        <w:rPr>
          <w:rFonts w:cs="Times New Roman"/>
          <w:szCs w:val="24"/>
          <w:lang w:val="en-GB"/>
        </w:rPr>
      </w:pPr>
      <w:r w:rsidRPr="00342967">
        <w:rPr>
          <w:rFonts w:cs="Times New Roman"/>
          <w:szCs w:val="24"/>
          <w:lang w:val="en-GB"/>
        </w:rPr>
        <w:t xml:space="preserve">This research, however, also has some limitations. The first </w:t>
      </w:r>
      <w:r w:rsidR="00F4136D" w:rsidRPr="00342967">
        <w:rPr>
          <w:rFonts w:cs="Times New Roman"/>
          <w:szCs w:val="24"/>
          <w:lang w:val="en-GB"/>
        </w:rPr>
        <w:t>are limitations regarding the theory deployed in this research.</w:t>
      </w:r>
      <w:r w:rsidRPr="00342967">
        <w:rPr>
          <w:rFonts w:cs="Times New Roman"/>
          <w:szCs w:val="24"/>
          <w:lang w:val="en-GB"/>
        </w:rPr>
        <w:t xml:space="preserve"> SSA theory is very America-centred. The theory originated in the United States and </w:t>
      </w:r>
      <w:r w:rsidR="00E314C4" w:rsidRPr="00342967">
        <w:rPr>
          <w:rFonts w:cs="Times New Roman"/>
          <w:szCs w:val="24"/>
          <w:lang w:val="en-GB"/>
        </w:rPr>
        <w:t xml:space="preserve">traditionally the subject of enquiry of SSA theorist </w:t>
      </w:r>
      <w:r w:rsidR="00A13821">
        <w:rPr>
          <w:rFonts w:cs="Times New Roman"/>
          <w:szCs w:val="24"/>
          <w:lang w:val="en-GB"/>
        </w:rPr>
        <w:t>has been</w:t>
      </w:r>
      <w:r w:rsidR="00E314C4" w:rsidRPr="00342967">
        <w:rPr>
          <w:rFonts w:cs="Times New Roman"/>
          <w:szCs w:val="24"/>
          <w:lang w:val="en-GB"/>
        </w:rPr>
        <w:t xml:space="preserve"> the United States.</w:t>
      </w:r>
      <w:r w:rsidR="00942C13" w:rsidRPr="00342967">
        <w:rPr>
          <w:rFonts w:cs="Times New Roman"/>
          <w:szCs w:val="24"/>
          <w:lang w:val="en-GB"/>
        </w:rPr>
        <w:t xml:space="preserve"> </w:t>
      </w:r>
      <w:r w:rsidR="00C96D15" w:rsidRPr="00342967">
        <w:rPr>
          <w:rFonts w:cs="Times New Roman"/>
          <w:szCs w:val="24"/>
          <w:lang w:val="en-GB"/>
        </w:rPr>
        <w:t xml:space="preserve">The economic and political circumstances in which the theory originated and on which it based its premises </w:t>
      </w:r>
      <w:r w:rsidR="00AD31DE" w:rsidRPr="00342967">
        <w:rPr>
          <w:rFonts w:cs="Times New Roman"/>
          <w:szCs w:val="24"/>
          <w:lang w:val="en-GB"/>
        </w:rPr>
        <w:t xml:space="preserve">are </w:t>
      </w:r>
      <w:r w:rsidR="001D094B">
        <w:rPr>
          <w:rFonts w:cs="Times New Roman"/>
          <w:szCs w:val="24"/>
          <w:lang w:val="en-GB"/>
        </w:rPr>
        <w:t>all American</w:t>
      </w:r>
      <w:r w:rsidR="00AD31DE" w:rsidRPr="00342967">
        <w:rPr>
          <w:rFonts w:cs="Times New Roman"/>
          <w:szCs w:val="24"/>
          <w:lang w:val="en-GB"/>
        </w:rPr>
        <w:t xml:space="preserve">. It could therefore be that the theory misses important aspect that are relevant to a European SSA. </w:t>
      </w:r>
      <w:r w:rsidR="00D1308D" w:rsidRPr="00342967">
        <w:rPr>
          <w:rFonts w:cs="Times New Roman"/>
          <w:szCs w:val="24"/>
          <w:lang w:val="en-GB"/>
        </w:rPr>
        <w:t xml:space="preserve">If so, these relevant aspects are missing from this thesis. </w:t>
      </w:r>
      <w:r w:rsidR="00362255" w:rsidRPr="00342967">
        <w:rPr>
          <w:rFonts w:cs="Times New Roman"/>
          <w:szCs w:val="24"/>
          <w:lang w:val="en-GB"/>
        </w:rPr>
        <w:t>Therefore,</w:t>
      </w:r>
      <w:r w:rsidR="00D1308D" w:rsidRPr="00342967">
        <w:rPr>
          <w:rFonts w:cs="Times New Roman"/>
          <w:szCs w:val="24"/>
          <w:lang w:val="en-GB"/>
        </w:rPr>
        <w:t xml:space="preserve"> more development of SSA theory from a European perspective is desirable. </w:t>
      </w:r>
      <w:r w:rsidR="00F4136D" w:rsidRPr="00342967">
        <w:rPr>
          <w:rFonts w:cs="Times New Roman"/>
          <w:szCs w:val="24"/>
          <w:lang w:val="en-GB"/>
        </w:rPr>
        <w:t xml:space="preserve">Moreover, the lack of </w:t>
      </w:r>
      <w:r w:rsidR="00EA1272" w:rsidRPr="00342967">
        <w:rPr>
          <w:rFonts w:cs="Times New Roman"/>
          <w:szCs w:val="24"/>
          <w:lang w:val="en-GB"/>
        </w:rPr>
        <w:t>any agency in the theory makes SSA theory</w:t>
      </w:r>
      <w:r w:rsidR="00B62D69" w:rsidRPr="00342967">
        <w:rPr>
          <w:rFonts w:cs="Times New Roman"/>
          <w:szCs w:val="24"/>
          <w:lang w:val="en-GB"/>
        </w:rPr>
        <w:t xml:space="preserve"> not a natural contender</w:t>
      </w:r>
      <w:r w:rsidR="00EA1272" w:rsidRPr="00342967">
        <w:rPr>
          <w:rFonts w:cs="Times New Roman"/>
          <w:szCs w:val="24"/>
          <w:lang w:val="en-GB"/>
        </w:rPr>
        <w:t xml:space="preserve"> to explain political outcomes. That problem has been avoided in this thesis by extending it with Gramscian agency</w:t>
      </w:r>
      <w:r w:rsidR="00922020" w:rsidRPr="00342967">
        <w:rPr>
          <w:rFonts w:cs="Times New Roman"/>
          <w:szCs w:val="24"/>
          <w:lang w:val="en-GB"/>
        </w:rPr>
        <w:t xml:space="preserve">, but the fundamental critique remains. </w:t>
      </w:r>
      <w:r w:rsidR="00325718" w:rsidRPr="00342967">
        <w:rPr>
          <w:rFonts w:cs="Times New Roman"/>
          <w:szCs w:val="24"/>
          <w:lang w:val="en-GB"/>
        </w:rPr>
        <w:t>Another weakness of SSA theory is</w:t>
      </w:r>
      <w:r w:rsidR="00922020" w:rsidRPr="00342967">
        <w:rPr>
          <w:rFonts w:cs="Times New Roman"/>
          <w:szCs w:val="24"/>
          <w:lang w:val="en-GB"/>
        </w:rPr>
        <w:t xml:space="preserve">, as also shortly </w:t>
      </w:r>
      <w:r w:rsidR="00DF7A2F" w:rsidRPr="00342967">
        <w:rPr>
          <w:rFonts w:cs="Times New Roman"/>
          <w:szCs w:val="24"/>
          <w:lang w:val="en-GB"/>
        </w:rPr>
        <w:t xml:space="preserve">touched upon in the theoretical chapter, </w:t>
      </w:r>
      <w:r w:rsidR="00325718" w:rsidRPr="00342967">
        <w:rPr>
          <w:rFonts w:cs="Times New Roman"/>
          <w:szCs w:val="24"/>
          <w:lang w:val="en-GB"/>
        </w:rPr>
        <w:t>that it</w:t>
      </w:r>
      <w:r w:rsidR="00DF7A2F" w:rsidRPr="00342967">
        <w:rPr>
          <w:rFonts w:cs="Times New Roman"/>
          <w:szCs w:val="24"/>
          <w:lang w:val="en-GB"/>
        </w:rPr>
        <w:t xml:space="preserve"> does not specify which institutions are most important for an SSA. This certainly grants the theory flexibility, </w:t>
      </w:r>
      <w:r w:rsidR="00325718" w:rsidRPr="00342967">
        <w:rPr>
          <w:rFonts w:cs="Times New Roman"/>
          <w:szCs w:val="24"/>
          <w:lang w:val="en-GB"/>
        </w:rPr>
        <w:t xml:space="preserve">but a pitfall is </w:t>
      </w:r>
      <w:r w:rsidR="009E2A89" w:rsidRPr="00342967">
        <w:rPr>
          <w:rFonts w:cs="Times New Roman"/>
          <w:szCs w:val="24"/>
          <w:lang w:val="en-GB"/>
        </w:rPr>
        <w:t>that regarding institutions ‘anything goes’</w:t>
      </w:r>
      <w:r w:rsidR="00362255" w:rsidRPr="00342967">
        <w:rPr>
          <w:rFonts w:cs="Times New Roman"/>
          <w:szCs w:val="24"/>
          <w:lang w:val="en-GB"/>
        </w:rPr>
        <w:t xml:space="preserve"> is applicable</w:t>
      </w:r>
      <w:r w:rsidR="009E2A89" w:rsidRPr="00342967">
        <w:rPr>
          <w:rFonts w:cs="Times New Roman"/>
          <w:szCs w:val="24"/>
          <w:lang w:val="en-GB"/>
        </w:rPr>
        <w:t>.</w:t>
      </w:r>
      <w:r w:rsidR="00846D28" w:rsidRPr="00342967">
        <w:rPr>
          <w:rFonts w:cs="Times New Roman"/>
          <w:szCs w:val="24"/>
          <w:lang w:val="en-GB"/>
        </w:rPr>
        <w:t xml:space="preserve"> By specifying what type of institutions are crucial and what type are not, the theory can </w:t>
      </w:r>
      <w:r w:rsidR="006B1643" w:rsidRPr="00342967">
        <w:rPr>
          <w:rFonts w:cs="Times New Roman"/>
          <w:szCs w:val="24"/>
          <w:lang w:val="en-GB"/>
        </w:rPr>
        <w:t>become much stronger.</w:t>
      </w:r>
      <w:r w:rsidR="009E2A89" w:rsidRPr="00342967">
        <w:rPr>
          <w:rFonts w:cs="Times New Roman"/>
          <w:szCs w:val="24"/>
          <w:lang w:val="en-GB"/>
        </w:rPr>
        <w:t xml:space="preserve"> </w:t>
      </w:r>
    </w:p>
    <w:p w14:paraId="7E3EF3A9" w14:textId="44926C41" w:rsidR="004C7F00" w:rsidRPr="00342967" w:rsidRDefault="009E2A89" w:rsidP="00D904F7">
      <w:pPr>
        <w:jc w:val="both"/>
        <w:rPr>
          <w:rFonts w:cs="Times New Roman"/>
          <w:szCs w:val="24"/>
          <w:lang w:val="en-GB"/>
        </w:rPr>
      </w:pPr>
      <w:r w:rsidRPr="00342967">
        <w:rPr>
          <w:rFonts w:cs="Times New Roman"/>
          <w:szCs w:val="24"/>
          <w:lang w:val="en-GB"/>
        </w:rPr>
        <w:t xml:space="preserve">More general critique </w:t>
      </w:r>
      <w:r w:rsidR="006B1643" w:rsidRPr="00342967">
        <w:rPr>
          <w:rFonts w:cs="Times New Roman"/>
          <w:szCs w:val="24"/>
          <w:lang w:val="en-GB"/>
        </w:rPr>
        <w:t>on the theories used in this thesis</w:t>
      </w:r>
      <w:r w:rsidR="00D62FEF" w:rsidRPr="00342967">
        <w:rPr>
          <w:rFonts w:cs="Times New Roman"/>
          <w:szCs w:val="24"/>
          <w:lang w:val="en-GB"/>
        </w:rPr>
        <w:t xml:space="preserve"> </w:t>
      </w:r>
      <w:r w:rsidRPr="00342967">
        <w:rPr>
          <w:rFonts w:cs="Times New Roman"/>
          <w:szCs w:val="24"/>
          <w:lang w:val="en-GB"/>
        </w:rPr>
        <w:t xml:space="preserve">is that </w:t>
      </w:r>
      <w:r w:rsidR="00D62FEF" w:rsidRPr="00342967">
        <w:rPr>
          <w:rFonts w:cs="Times New Roman"/>
          <w:szCs w:val="24"/>
          <w:lang w:val="en-GB"/>
        </w:rPr>
        <w:t>it</w:t>
      </w:r>
      <w:r w:rsidR="002548CF" w:rsidRPr="00342967">
        <w:rPr>
          <w:rFonts w:cs="Times New Roman"/>
          <w:szCs w:val="24"/>
          <w:lang w:val="en-GB"/>
        </w:rPr>
        <w:t>s theoretical concepts and ontology are</w:t>
      </w:r>
      <w:r w:rsidRPr="00342967">
        <w:rPr>
          <w:rFonts w:cs="Times New Roman"/>
          <w:szCs w:val="24"/>
          <w:lang w:val="en-GB"/>
        </w:rPr>
        <w:t xml:space="preserve"> sometimes overly complex</w:t>
      </w:r>
      <w:r w:rsidR="009425C3" w:rsidRPr="00342967">
        <w:rPr>
          <w:rFonts w:cs="Times New Roman"/>
          <w:szCs w:val="24"/>
          <w:lang w:val="en-GB"/>
        </w:rPr>
        <w:t xml:space="preserve"> which makes it impossible to easily engage with critical theory.</w:t>
      </w:r>
      <w:r w:rsidR="006B1643" w:rsidRPr="00342967">
        <w:rPr>
          <w:rFonts w:cs="Times New Roman"/>
          <w:szCs w:val="24"/>
          <w:lang w:val="en-GB"/>
        </w:rPr>
        <w:t xml:space="preserve"> Although the theories are designed to unify theory and praxis, </w:t>
      </w:r>
      <w:r w:rsidR="00772AC0" w:rsidRPr="00342967">
        <w:rPr>
          <w:rFonts w:cs="Times New Roman"/>
          <w:szCs w:val="24"/>
          <w:lang w:val="en-GB"/>
        </w:rPr>
        <w:t xml:space="preserve">it is a complex undertaking applying critical theories to real life cases. </w:t>
      </w:r>
      <w:r w:rsidR="00331261">
        <w:rPr>
          <w:rFonts w:cs="Times New Roman"/>
          <w:szCs w:val="24"/>
          <w:lang w:val="en-GB"/>
        </w:rPr>
        <w:t>This</w:t>
      </w:r>
      <w:r w:rsidR="00AB2C04" w:rsidRPr="00342967">
        <w:rPr>
          <w:rFonts w:cs="Times New Roman"/>
          <w:szCs w:val="24"/>
          <w:lang w:val="en-GB"/>
        </w:rPr>
        <w:t xml:space="preserve"> undermines one of the fundamental goals of critical theory</w:t>
      </w:r>
      <w:r w:rsidR="001362D9" w:rsidRPr="00342967">
        <w:rPr>
          <w:rFonts w:cs="Times New Roman"/>
          <w:szCs w:val="24"/>
          <w:lang w:val="en-GB"/>
        </w:rPr>
        <w:t>, that of emancipation of society. C</w:t>
      </w:r>
      <w:r w:rsidR="005A12CF" w:rsidRPr="00342967">
        <w:rPr>
          <w:rFonts w:cs="Times New Roman"/>
          <w:szCs w:val="24"/>
          <w:lang w:val="en-GB"/>
        </w:rPr>
        <w:t>ritical academics are</w:t>
      </w:r>
      <w:r w:rsidR="000419AF" w:rsidRPr="00342967">
        <w:rPr>
          <w:rFonts w:cs="Times New Roman"/>
          <w:szCs w:val="24"/>
          <w:lang w:val="en-GB"/>
        </w:rPr>
        <w:t xml:space="preserve"> mostly concerned with theorisation and abstract concepts rather than</w:t>
      </w:r>
      <w:r w:rsidR="005A12CF" w:rsidRPr="00342967">
        <w:rPr>
          <w:rFonts w:cs="Times New Roman"/>
          <w:szCs w:val="24"/>
          <w:lang w:val="en-GB"/>
        </w:rPr>
        <w:t xml:space="preserve"> applying those concepts and</w:t>
      </w:r>
      <w:r w:rsidR="000419AF" w:rsidRPr="00342967">
        <w:rPr>
          <w:rFonts w:cs="Times New Roman"/>
          <w:szCs w:val="24"/>
          <w:lang w:val="en-GB"/>
        </w:rPr>
        <w:t xml:space="preserve"> </w:t>
      </w:r>
      <w:r w:rsidR="00B56778" w:rsidRPr="00342967">
        <w:rPr>
          <w:rFonts w:cs="Times New Roman"/>
          <w:szCs w:val="24"/>
          <w:lang w:val="en-GB"/>
        </w:rPr>
        <w:t xml:space="preserve">using critical theory to </w:t>
      </w:r>
      <w:r w:rsidR="001F7206" w:rsidRPr="00342967">
        <w:rPr>
          <w:rFonts w:cs="Times New Roman"/>
          <w:szCs w:val="24"/>
          <w:lang w:val="en-GB"/>
        </w:rPr>
        <w:t>achieve</w:t>
      </w:r>
      <w:r w:rsidR="00B56778" w:rsidRPr="00342967">
        <w:rPr>
          <w:rFonts w:cs="Times New Roman"/>
          <w:szCs w:val="24"/>
          <w:lang w:val="en-GB"/>
        </w:rPr>
        <w:t xml:space="preserve"> that better future. In that regard, critical theory should focus more actively on bridging the gap between theory and </w:t>
      </w:r>
      <w:r w:rsidR="001F7206" w:rsidRPr="00342967">
        <w:rPr>
          <w:rFonts w:cs="Times New Roman"/>
          <w:szCs w:val="24"/>
          <w:lang w:val="en-GB"/>
        </w:rPr>
        <w:t>empirics by focusing more on operationalisation of the abstract concepts.</w:t>
      </w:r>
      <w:r w:rsidR="001362D9" w:rsidRPr="00342967">
        <w:rPr>
          <w:rFonts w:cs="Times New Roman"/>
          <w:szCs w:val="24"/>
          <w:lang w:val="en-GB"/>
        </w:rPr>
        <w:t xml:space="preserve"> Critical theory has a lot to offer in terms of making sense of the social world around us. Especially, considering that our society is becoming more complex and capitalism is facing problems for which no real solutions exist as of now and therefore this problem really needs to be addressed.</w:t>
      </w:r>
    </w:p>
    <w:p w14:paraId="2533B7BD" w14:textId="07D12D96" w:rsidR="00063884" w:rsidRPr="00342967" w:rsidRDefault="00331261" w:rsidP="00063884">
      <w:pPr>
        <w:jc w:val="both"/>
        <w:rPr>
          <w:rFonts w:cs="Times New Roman"/>
          <w:szCs w:val="24"/>
          <w:lang w:val="en-GB"/>
        </w:rPr>
      </w:pPr>
      <w:r>
        <w:rPr>
          <w:rFonts w:cs="Times New Roman"/>
          <w:szCs w:val="24"/>
          <w:lang w:val="en-GB"/>
        </w:rPr>
        <w:lastRenderedPageBreak/>
        <w:t xml:space="preserve">That further research on the topic of financialisation from a critical </w:t>
      </w:r>
      <w:r w:rsidR="00B84F89">
        <w:rPr>
          <w:rFonts w:cs="Times New Roman"/>
          <w:szCs w:val="24"/>
          <w:lang w:val="en-GB"/>
        </w:rPr>
        <w:t>political economy perspective is necessary is evident.</w:t>
      </w:r>
      <w:r w:rsidR="004C7F00" w:rsidRPr="00342967">
        <w:rPr>
          <w:rFonts w:cs="Times New Roman"/>
          <w:szCs w:val="24"/>
          <w:lang w:val="en-GB"/>
        </w:rPr>
        <w:t xml:space="preserve"> </w:t>
      </w:r>
      <w:r w:rsidR="0039766E">
        <w:rPr>
          <w:rFonts w:cs="Times New Roman"/>
          <w:szCs w:val="24"/>
          <w:lang w:val="en-GB"/>
        </w:rPr>
        <w:t>Financialisation is not going to stop anytime soon</w:t>
      </w:r>
      <w:r w:rsidR="00480FFB">
        <w:rPr>
          <w:rFonts w:cs="Times New Roman"/>
          <w:szCs w:val="24"/>
          <w:lang w:val="en-GB"/>
        </w:rPr>
        <w:t xml:space="preserve">. </w:t>
      </w:r>
      <w:r w:rsidR="00534107">
        <w:rPr>
          <w:rFonts w:cs="Times New Roman"/>
          <w:szCs w:val="24"/>
          <w:lang w:val="en-GB"/>
        </w:rPr>
        <w:t>C</w:t>
      </w:r>
      <w:r w:rsidR="00063884" w:rsidRPr="00342967">
        <w:rPr>
          <w:rFonts w:cs="Times New Roman"/>
          <w:szCs w:val="24"/>
          <w:lang w:val="en-GB"/>
        </w:rPr>
        <w:t xml:space="preserve">urrently we are at the verge of yet another financial crisis with disastrous consequences. The root cause of the last crisis, that of overaccumulation, has not been solved and the financial instrument that escalated the crisis </w:t>
      </w:r>
      <w:r w:rsidR="00ED2559">
        <w:rPr>
          <w:rFonts w:cs="Times New Roman"/>
          <w:szCs w:val="24"/>
          <w:lang w:val="en-GB"/>
        </w:rPr>
        <w:t xml:space="preserve">is </w:t>
      </w:r>
      <w:r w:rsidR="00063884" w:rsidRPr="00342967">
        <w:rPr>
          <w:rFonts w:cs="Times New Roman"/>
          <w:szCs w:val="24"/>
          <w:lang w:val="en-GB"/>
        </w:rPr>
        <w:t>reintroduced as if nothing has happened. Worldwide indebtedness is not just back at pre-crisis levels, they have exceeded pre-crisis levels. Indebtedness cannot grow indefinitely, and it</w:t>
      </w:r>
      <w:r w:rsidR="00063884">
        <w:rPr>
          <w:rFonts w:cs="Times New Roman"/>
          <w:szCs w:val="24"/>
          <w:lang w:val="en-GB"/>
        </w:rPr>
        <w:t xml:space="preserve"> i</w:t>
      </w:r>
      <w:r w:rsidR="00063884" w:rsidRPr="00342967">
        <w:rPr>
          <w:rFonts w:cs="Times New Roman"/>
          <w:szCs w:val="24"/>
          <w:lang w:val="en-GB"/>
        </w:rPr>
        <w:t xml:space="preserve">s only a matter of time before the people will no longer be able to repay their loans as indebtedness is growing but wages are not. As soon as that happens, and the market starts to lose confidence </w:t>
      </w:r>
      <w:r w:rsidR="00063884" w:rsidRPr="00342967">
        <w:rPr>
          <w:rFonts w:cs="Times New Roman"/>
          <w:i/>
          <w:szCs w:val="24"/>
          <w:lang w:val="en-GB"/>
        </w:rPr>
        <w:t xml:space="preserve">again </w:t>
      </w:r>
      <w:r w:rsidR="00063884" w:rsidRPr="00342967">
        <w:rPr>
          <w:rFonts w:cs="Times New Roman"/>
          <w:szCs w:val="24"/>
          <w:lang w:val="en-GB"/>
        </w:rPr>
        <w:t>no one knows what is going to happen,</w:t>
      </w:r>
      <w:r w:rsidR="00FE1D3D">
        <w:rPr>
          <w:rFonts w:cs="Times New Roman"/>
          <w:szCs w:val="24"/>
          <w:lang w:val="en-GB"/>
        </w:rPr>
        <w:t xml:space="preserve"> besides</w:t>
      </w:r>
      <w:r w:rsidR="00063884" w:rsidRPr="00342967">
        <w:rPr>
          <w:rFonts w:cs="Times New Roman"/>
          <w:szCs w:val="24"/>
          <w:lang w:val="en-GB"/>
        </w:rPr>
        <w:t xml:space="preserve"> for the fact that it is going to be worse than 2008.  </w:t>
      </w:r>
    </w:p>
    <w:p w14:paraId="04CA82CE" w14:textId="52C7A1D8" w:rsidR="00480FFB" w:rsidRDefault="00C15139" w:rsidP="00D904F7">
      <w:pPr>
        <w:jc w:val="both"/>
        <w:rPr>
          <w:rFonts w:cs="Times New Roman"/>
          <w:szCs w:val="24"/>
          <w:lang w:val="en-GB"/>
        </w:rPr>
      </w:pPr>
      <w:r>
        <w:rPr>
          <w:rFonts w:cs="Times New Roman"/>
          <w:szCs w:val="24"/>
          <w:lang w:val="en-GB"/>
        </w:rPr>
        <w:t>Where critical political economy can really make a difference is to materialize on that goal of emancipation.</w:t>
      </w:r>
      <w:r w:rsidR="00480FFB">
        <w:rPr>
          <w:rFonts w:cs="Times New Roman"/>
          <w:szCs w:val="24"/>
          <w:lang w:val="en-GB"/>
        </w:rPr>
        <w:t xml:space="preserve"> </w:t>
      </w:r>
      <w:r w:rsidR="00895757">
        <w:rPr>
          <w:rFonts w:cs="Times New Roman"/>
          <w:szCs w:val="24"/>
          <w:lang w:val="en-GB"/>
        </w:rPr>
        <w:t>Currently, there is no true alternative to the Neoliberal era</w:t>
      </w:r>
      <w:r w:rsidR="003532C7">
        <w:rPr>
          <w:rFonts w:cs="Times New Roman"/>
          <w:szCs w:val="24"/>
          <w:lang w:val="en-GB"/>
        </w:rPr>
        <w:t>, not because neoliberalism is doing so well but because there have not been formulated any realistic contenders that could replace it. The academics</w:t>
      </w:r>
      <w:r w:rsidR="00A32D13">
        <w:rPr>
          <w:rFonts w:cs="Times New Roman"/>
          <w:szCs w:val="24"/>
          <w:lang w:val="en-GB"/>
        </w:rPr>
        <w:t xml:space="preserve"> arguing</w:t>
      </w:r>
      <w:r w:rsidR="00AC1A92">
        <w:rPr>
          <w:rFonts w:cs="Times New Roman"/>
          <w:szCs w:val="24"/>
          <w:lang w:val="en-GB"/>
        </w:rPr>
        <w:t xml:space="preserve"> that</w:t>
      </w:r>
      <w:r w:rsidR="00A32D13">
        <w:rPr>
          <w:rFonts w:cs="Times New Roman"/>
          <w:szCs w:val="24"/>
          <w:lang w:val="en-GB"/>
        </w:rPr>
        <w:t xml:space="preserve"> we should convert back to Keynesianism are </w:t>
      </w:r>
      <w:r w:rsidR="00FA3FB2">
        <w:rPr>
          <w:rFonts w:cs="Times New Roman"/>
          <w:szCs w:val="24"/>
          <w:lang w:val="en-GB"/>
        </w:rPr>
        <w:t>also usually the people that say that everything was better in the past.</w:t>
      </w:r>
      <w:r w:rsidR="00AC1A92">
        <w:rPr>
          <w:rFonts w:cs="Times New Roman"/>
          <w:szCs w:val="24"/>
          <w:lang w:val="en-GB"/>
        </w:rPr>
        <w:t xml:space="preserve"> The solution lies not in increasing aggregate demand</w:t>
      </w:r>
      <w:r w:rsidR="0078691D">
        <w:rPr>
          <w:rFonts w:cs="Times New Roman"/>
          <w:szCs w:val="24"/>
          <w:lang w:val="en-GB"/>
        </w:rPr>
        <w:t>, simply because aggregate demand is not indefinite and most importantly</w:t>
      </w:r>
      <w:r w:rsidR="009712E9">
        <w:rPr>
          <w:rFonts w:cs="Times New Roman"/>
          <w:szCs w:val="24"/>
          <w:lang w:val="en-GB"/>
        </w:rPr>
        <w:t xml:space="preserve"> </w:t>
      </w:r>
      <w:r w:rsidR="0078691D">
        <w:rPr>
          <w:rFonts w:cs="Times New Roman"/>
          <w:szCs w:val="24"/>
          <w:lang w:val="en-GB"/>
        </w:rPr>
        <w:t xml:space="preserve">because </w:t>
      </w:r>
      <w:r w:rsidR="0089462D">
        <w:rPr>
          <w:rFonts w:cs="Times New Roman"/>
          <w:szCs w:val="24"/>
          <w:lang w:val="en-GB"/>
        </w:rPr>
        <w:t>the earth is slowly depleting. Radical different ideas are necessary, that do justice to the wishes of society of a fair distribution of income, a prospect of a better future</w:t>
      </w:r>
      <w:r w:rsidR="00063884">
        <w:rPr>
          <w:rFonts w:cs="Times New Roman"/>
          <w:szCs w:val="24"/>
          <w:lang w:val="en-GB"/>
        </w:rPr>
        <w:t xml:space="preserve"> and stability. </w:t>
      </w:r>
      <w:r w:rsidR="00C071E5">
        <w:rPr>
          <w:rFonts w:cs="Times New Roman"/>
          <w:szCs w:val="24"/>
          <w:lang w:val="en-GB"/>
        </w:rPr>
        <w:t xml:space="preserve">This goal should be at the centre of future critical political economy research. </w:t>
      </w:r>
    </w:p>
    <w:p w14:paraId="6697C024" w14:textId="77777777" w:rsidR="007E3E9F" w:rsidRPr="00342967" w:rsidRDefault="007E3E9F" w:rsidP="00D904F7">
      <w:pPr>
        <w:jc w:val="both"/>
        <w:rPr>
          <w:rFonts w:cs="Times New Roman"/>
          <w:szCs w:val="24"/>
          <w:lang w:val="en-GB"/>
        </w:rPr>
      </w:pPr>
    </w:p>
    <w:p w14:paraId="483B5A20" w14:textId="401B3E02" w:rsidR="00D66AF4" w:rsidRPr="00342967" w:rsidRDefault="00D66AF4" w:rsidP="00D904F7">
      <w:pPr>
        <w:spacing w:line="259" w:lineRule="auto"/>
        <w:jc w:val="both"/>
        <w:rPr>
          <w:lang w:val="en-GB"/>
        </w:rPr>
      </w:pPr>
      <w:r w:rsidRPr="00342967">
        <w:rPr>
          <w:lang w:val="en-GB"/>
        </w:rPr>
        <w:br w:type="page"/>
      </w:r>
    </w:p>
    <w:p w14:paraId="3B77EC06" w14:textId="52EA4EBF" w:rsidR="00D66AF4" w:rsidRPr="00342967" w:rsidRDefault="00D66AF4" w:rsidP="00D904F7">
      <w:pPr>
        <w:pStyle w:val="Kop1"/>
        <w:jc w:val="both"/>
        <w:rPr>
          <w:lang w:val="en-GB"/>
        </w:rPr>
      </w:pPr>
      <w:bookmarkStart w:id="28" w:name="_Toc518333124"/>
      <w:r w:rsidRPr="00342967">
        <w:rPr>
          <w:lang w:val="en-GB"/>
        </w:rPr>
        <w:lastRenderedPageBreak/>
        <w:t>References</w:t>
      </w:r>
      <w:bookmarkEnd w:id="28"/>
    </w:p>
    <w:p w14:paraId="7A5A9803" w14:textId="77777777" w:rsidR="008056EC" w:rsidRPr="00342967" w:rsidRDefault="008056EC" w:rsidP="008056EC">
      <w:pPr>
        <w:rPr>
          <w:rFonts w:cs="Times New Roman"/>
          <w:szCs w:val="24"/>
        </w:rPr>
      </w:pPr>
      <w:r w:rsidRPr="00342967">
        <w:rPr>
          <w:rFonts w:cs="Times New Roman"/>
          <w:szCs w:val="24"/>
        </w:rPr>
        <w:t>Acharya, V. V., &amp; Richardson, M. (2009). Causes of the financial crisis. </w:t>
      </w:r>
      <w:r w:rsidRPr="00342967">
        <w:rPr>
          <w:rFonts w:cs="Times New Roman"/>
          <w:i/>
          <w:iCs/>
          <w:szCs w:val="24"/>
        </w:rPr>
        <w:t>Critical Review</w:t>
      </w:r>
      <w:r w:rsidRPr="00342967">
        <w:rPr>
          <w:rFonts w:cs="Times New Roman"/>
          <w:szCs w:val="24"/>
        </w:rPr>
        <w:t>, </w:t>
      </w:r>
      <w:r w:rsidRPr="00342967">
        <w:rPr>
          <w:rFonts w:cs="Times New Roman"/>
          <w:i/>
          <w:iCs/>
          <w:szCs w:val="24"/>
        </w:rPr>
        <w:t>21</w:t>
      </w:r>
      <w:r w:rsidRPr="00342967">
        <w:rPr>
          <w:rFonts w:cs="Times New Roman"/>
          <w:szCs w:val="24"/>
        </w:rPr>
        <w:t>(2-3), 195-210.</w:t>
      </w:r>
    </w:p>
    <w:p w14:paraId="0086AF1E" w14:textId="77777777" w:rsidR="008056EC" w:rsidRPr="00342967" w:rsidRDefault="008056EC" w:rsidP="008056EC">
      <w:pPr>
        <w:rPr>
          <w:rFonts w:cs="Times New Roman"/>
          <w:szCs w:val="24"/>
        </w:rPr>
      </w:pPr>
      <w:r w:rsidRPr="00342967">
        <w:rPr>
          <w:rFonts w:cs="Times New Roman"/>
          <w:szCs w:val="24"/>
        </w:rPr>
        <w:t>Acharya, V. V., Schnabl, P., &amp; Suarez, G. (2013). Securitization without risk transfer. </w:t>
      </w:r>
      <w:r w:rsidRPr="00342967">
        <w:rPr>
          <w:rFonts w:cs="Times New Roman"/>
          <w:i/>
          <w:iCs/>
          <w:szCs w:val="24"/>
        </w:rPr>
        <w:t>Journal of Financial economics</w:t>
      </w:r>
      <w:r w:rsidRPr="00342967">
        <w:rPr>
          <w:rFonts w:cs="Times New Roman"/>
          <w:szCs w:val="24"/>
        </w:rPr>
        <w:t>, </w:t>
      </w:r>
      <w:r w:rsidRPr="00342967">
        <w:rPr>
          <w:rFonts w:cs="Times New Roman"/>
          <w:i/>
          <w:iCs/>
          <w:szCs w:val="24"/>
        </w:rPr>
        <w:t>107</w:t>
      </w:r>
      <w:r w:rsidRPr="00342967">
        <w:rPr>
          <w:rFonts w:cs="Times New Roman"/>
          <w:szCs w:val="24"/>
        </w:rPr>
        <w:t>(3), 515-536.</w:t>
      </w:r>
    </w:p>
    <w:p w14:paraId="49F8C779" w14:textId="77777777" w:rsidR="008056EC" w:rsidRPr="00342967" w:rsidRDefault="008056EC" w:rsidP="008056EC">
      <w:pPr>
        <w:rPr>
          <w:rFonts w:cs="Times New Roman"/>
          <w:szCs w:val="24"/>
        </w:rPr>
      </w:pPr>
      <w:r w:rsidRPr="00342967">
        <w:rPr>
          <w:rFonts w:cs="Times New Roman"/>
          <w:szCs w:val="24"/>
        </w:rPr>
        <w:t>Acharya, V. V., &amp; Steffen, S. (2016). </w:t>
      </w:r>
      <w:r w:rsidRPr="00342967">
        <w:rPr>
          <w:rFonts w:cs="Times New Roman"/>
          <w:i/>
          <w:iCs/>
          <w:szCs w:val="24"/>
        </w:rPr>
        <w:t>Capital markets union in Europe: Why other unions must lead the way</w:t>
      </w:r>
      <w:r w:rsidRPr="00342967">
        <w:rPr>
          <w:rFonts w:cs="Times New Roman"/>
          <w:szCs w:val="24"/>
        </w:rPr>
        <w:t> (No. 4/2016). ZEW policy brief.</w:t>
      </w:r>
    </w:p>
    <w:p w14:paraId="680941ED" w14:textId="77777777" w:rsidR="008056EC" w:rsidRPr="00342967" w:rsidRDefault="008056EC" w:rsidP="008056EC">
      <w:pPr>
        <w:rPr>
          <w:rFonts w:cs="Times New Roman"/>
          <w:szCs w:val="24"/>
        </w:rPr>
      </w:pPr>
      <w:r w:rsidRPr="00342967">
        <w:rPr>
          <w:rFonts w:cs="Times New Roman"/>
          <w:szCs w:val="24"/>
        </w:rPr>
        <w:t>Adrian, T., &amp; Shin, H. S. (2010). Liquidity and leverage. </w:t>
      </w:r>
      <w:r w:rsidRPr="00342967">
        <w:rPr>
          <w:rFonts w:cs="Times New Roman"/>
          <w:i/>
          <w:iCs/>
          <w:szCs w:val="24"/>
        </w:rPr>
        <w:t>Journal of financial intermediation</w:t>
      </w:r>
      <w:r w:rsidRPr="00342967">
        <w:rPr>
          <w:rFonts w:cs="Times New Roman"/>
          <w:szCs w:val="24"/>
        </w:rPr>
        <w:t>, </w:t>
      </w:r>
      <w:r w:rsidRPr="00342967">
        <w:rPr>
          <w:rFonts w:cs="Times New Roman"/>
          <w:i/>
          <w:iCs/>
          <w:szCs w:val="24"/>
        </w:rPr>
        <w:t>19</w:t>
      </w:r>
      <w:r w:rsidRPr="00342967">
        <w:rPr>
          <w:rFonts w:cs="Times New Roman"/>
          <w:szCs w:val="24"/>
        </w:rPr>
        <w:t>(3), 418-437.</w:t>
      </w:r>
    </w:p>
    <w:p w14:paraId="463305A7" w14:textId="77777777" w:rsidR="008056EC" w:rsidRPr="00342967" w:rsidRDefault="008056EC" w:rsidP="008056EC">
      <w:pPr>
        <w:rPr>
          <w:rFonts w:cs="Times New Roman"/>
          <w:szCs w:val="24"/>
        </w:rPr>
      </w:pPr>
      <w:r w:rsidRPr="00342967">
        <w:rPr>
          <w:rFonts w:cs="Times New Roman"/>
          <w:szCs w:val="24"/>
        </w:rPr>
        <w:t>Alexander, K. (2015). Capital Markets Union from the perspective of the banking industry and prudential supervision. </w:t>
      </w:r>
      <w:r w:rsidRPr="00342967">
        <w:rPr>
          <w:rFonts w:cs="Times New Roman"/>
          <w:i/>
          <w:iCs/>
          <w:szCs w:val="24"/>
        </w:rPr>
        <w:t>Law and Financial Markets Review</w:t>
      </w:r>
      <w:r w:rsidRPr="00342967">
        <w:rPr>
          <w:rFonts w:cs="Times New Roman"/>
          <w:szCs w:val="24"/>
        </w:rPr>
        <w:t>, </w:t>
      </w:r>
      <w:r w:rsidRPr="00342967">
        <w:rPr>
          <w:rFonts w:cs="Times New Roman"/>
          <w:i/>
          <w:iCs/>
          <w:szCs w:val="24"/>
        </w:rPr>
        <w:t>9</w:t>
      </w:r>
      <w:r w:rsidRPr="00342967">
        <w:rPr>
          <w:rFonts w:cs="Times New Roman"/>
          <w:szCs w:val="24"/>
        </w:rPr>
        <w:t>(3), 191-195.</w:t>
      </w:r>
    </w:p>
    <w:p w14:paraId="391F1440" w14:textId="77777777" w:rsidR="00205FD7" w:rsidRPr="00342967" w:rsidRDefault="00205FD7" w:rsidP="00205FD7">
      <w:pPr>
        <w:rPr>
          <w:rFonts w:cs="Times New Roman"/>
          <w:szCs w:val="24"/>
        </w:rPr>
      </w:pPr>
      <w:r w:rsidRPr="00342967">
        <w:rPr>
          <w:rFonts w:cs="Times New Roman"/>
          <w:szCs w:val="24"/>
        </w:rPr>
        <w:t>Ashcraft, A. B., &amp; Schuermann, T. (2008). Understanding the securitization of subprime mortgage credit. </w:t>
      </w:r>
      <w:r w:rsidRPr="00342967">
        <w:rPr>
          <w:rFonts w:cs="Times New Roman"/>
          <w:i/>
          <w:iCs/>
          <w:szCs w:val="24"/>
        </w:rPr>
        <w:t>Foundations and Trends® in Finance</w:t>
      </w:r>
      <w:r w:rsidRPr="00342967">
        <w:rPr>
          <w:rFonts w:cs="Times New Roman"/>
          <w:szCs w:val="24"/>
        </w:rPr>
        <w:t>, </w:t>
      </w:r>
      <w:r w:rsidRPr="00342967">
        <w:rPr>
          <w:rFonts w:cs="Times New Roman"/>
          <w:i/>
          <w:iCs/>
          <w:szCs w:val="24"/>
        </w:rPr>
        <w:t>2</w:t>
      </w:r>
      <w:r w:rsidRPr="00342967">
        <w:rPr>
          <w:rFonts w:cs="Times New Roman"/>
          <w:szCs w:val="24"/>
        </w:rPr>
        <w:t>(3), 191-309.</w:t>
      </w:r>
    </w:p>
    <w:p w14:paraId="2E6CA85E" w14:textId="66CC2265" w:rsidR="008056EC" w:rsidRDefault="008056EC" w:rsidP="008056EC">
      <w:pPr>
        <w:rPr>
          <w:rFonts w:cs="Times New Roman"/>
          <w:szCs w:val="24"/>
          <w:lang w:val="en-GB"/>
        </w:rPr>
      </w:pPr>
      <w:r w:rsidRPr="00342967">
        <w:rPr>
          <w:rFonts w:cs="Times New Roman"/>
          <w:szCs w:val="24"/>
          <w:lang w:val="en-GB"/>
        </w:rPr>
        <w:t xml:space="preserve">Asset Management and Investors Council. (2015). AMIC response to the consultation document on EU framework for simple, transparent and standardised securitisation. Retrieved from </w:t>
      </w:r>
      <w:hyperlink r:id="rId9" w:history="1">
        <w:r w:rsidRPr="00342967">
          <w:rPr>
            <w:rStyle w:val="Hyperlink"/>
            <w:rFonts w:cs="Times New Roman"/>
            <w:color w:val="auto"/>
            <w:szCs w:val="24"/>
            <w:lang w:val="en-GB"/>
          </w:rPr>
          <w:t>https://ec.europa.eu/eusurvey/files/0d587089-6bf3-479c-b40f-c74085946345/b9f08f02-bd0f-4fbd-be01-58fa5a984275</w:t>
        </w:r>
      </w:hyperlink>
      <w:r w:rsidRPr="00342967">
        <w:rPr>
          <w:rFonts w:cs="Times New Roman"/>
          <w:szCs w:val="24"/>
          <w:lang w:val="en-GB"/>
        </w:rPr>
        <w:t xml:space="preserve"> </w:t>
      </w:r>
    </w:p>
    <w:p w14:paraId="6ADFAE58" w14:textId="77777777" w:rsidR="009C11C8" w:rsidRPr="00342967" w:rsidRDefault="009C11C8" w:rsidP="009C11C8">
      <w:pPr>
        <w:rPr>
          <w:rFonts w:cs="Times New Roman"/>
          <w:szCs w:val="24"/>
        </w:rPr>
      </w:pPr>
      <w:r w:rsidRPr="00342967">
        <w:rPr>
          <w:rFonts w:cs="Times New Roman"/>
          <w:szCs w:val="24"/>
        </w:rPr>
        <w:t>Bertay, A. C., Gong, D., &amp; Wagner, W. (2017). Securitization and economic activity: The credit composition channel. </w:t>
      </w:r>
      <w:r w:rsidRPr="00342967">
        <w:rPr>
          <w:rFonts w:cs="Times New Roman"/>
          <w:i/>
          <w:szCs w:val="24"/>
        </w:rPr>
        <w:t>Journal of Financial Stability</w:t>
      </w:r>
      <w:r w:rsidRPr="00342967">
        <w:rPr>
          <w:rFonts w:cs="Times New Roman"/>
          <w:szCs w:val="24"/>
        </w:rPr>
        <w:t>, 28, 225-239.</w:t>
      </w:r>
    </w:p>
    <w:p w14:paraId="74A86F48" w14:textId="77777777" w:rsidR="008056EC" w:rsidRPr="00342967" w:rsidRDefault="008056EC" w:rsidP="008056EC">
      <w:pPr>
        <w:rPr>
          <w:rFonts w:cs="Times New Roman"/>
          <w:szCs w:val="24"/>
        </w:rPr>
      </w:pPr>
      <w:r w:rsidRPr="00342967">
        <w:rPr>
          <w:rFonts w:cs="Times New Roman"/>
          <w:szCs w:val="24"/>
        </w:rPr>
        <w:t>Bieler, A. (2006). European Integration and Eastward Enlargement A Historical Materialist Understanding of Neo-liberal Restructuring in Europe. In A. Bieler, W. Bonefeld, P. Burnham, &amp; A. D. Morton (Eds.), </w:t>
      </w:r>
      <w:r w:rsidRPr="00342967">
        <w:rPr>
          <w:rFonts w:cs="Times New Roman"/>
          <w:i/>
          <w:iCs/>
          <w:szCs w:val="24"/>
        </w:rPr>
        <w:t>Global Restructuring, State, Capital and Labour Contesting Neo-Gramscian Perspectives</w:t>
      </w:r>
      <w:r w:rsidRPr="00342967">
        <w:rPr>
          <w:rFonts w:cs="Times New Roman"/>
          <w:szCs w:val="24"/>
        </w:rPr>
        <w:t> (pp. 71-90). Hampshire, United Kingdom: Palgrave Macmillan.</w:t>
      </w:r>
    </w:p>
    <w:p w14:paraId="7CC20A66" w14:textId="77777777" w:rsidR="008056EC" w:rsidRPr="00342967" w:rsidRDefault="008056EC" w:rsidP="008056EC">
      <w:pPr>
        <w:rPr>
          <w:rFonts w:cs="Times New Roman"/>
          <w:szCs w:val="24"/>
        </w:rPr>
      </w:pPr>
      <w:r w:rsidRPr="00342967">
        <w:rPr>
          <w:rFonts w:cs="Times New Roman"/>
          <w:szCs w:val="24"/>
        </w:rPr>
        <w:t>Bieling, H. J. (2013). European financial capitalism and the politics of (de-) financialization. </w:t>
      </w:r>
      <w:r w:rsidRPr="00342967">
        <w:rPr>
          <w:rFonts w:cs="Times New Roman"/>
          <w:i/>
          <w:iCs/>
          <w:szCs w:val="24"/>
        </w:rPr>
        <w:t>Competition &amp; Change</w:t>
      </w:r>
      <w:r w:rsidRPr="00342967">
        <w:rPr>
          <w:rFonts w:cs="Times New Roman"/>
          <w:szCs w:val="24"/>
        </w:rPr>
        <w:t>, </w:t>
      </w:r>
      <w:r w:rsidRPr="00342967">
        <w:rPr>
          <w:rFonts w:cs="Times New Roman"/>
          <w:i/>
          <w:iCs/>
          <w:szCs w:val="24"/>
        </w:rPr>
        <w:t>17</w:t>
      </w:r>
      <w:r w:rsidRPr="00342967">
        <w:rPr>
          <w:rFonts w:cs="Times New Roman"/>
          <w:szCs w:val="24"/>
        </w:rPr>
        <w:t>(3), 283-298.</w:t>
      </w:r>
    </w:p>
    <w:p w14:paraId="3B15E4F7" w14:textId="77777777" w:rsidR="008056EC" w:rsidRPr="00342967" w:rsidRDefault="008056EC" w:rsidP="008056EC">
      <w:pPr>
        <w:rPr>
          <w:rFonts w:cs="Times New Roman"/>
          <w:szCs w:val="24"/>
        </w:rPr>
      </w:pPr>
      <w:r w:rsidRPr="00342967">
        <w:rPr>
          <w:rFonts w:cs="Times New Roman"/>
          <w:szCs w:val="24"/>
        </w:rPr>
        <w:lastRenderedPageBreak/>
        <w:t xml:space="preserve">BNP Paribas. (2015). Green Paper on Building a Capital Markets Union BNP Paribas Response. Retrieved from </w:t>
      </w:r>
      <w:hyperlink r:id="rId10" w:history="1">
        <w:r w:rsidRPr="00342967">
          <w:rPr>
            <w:rStyle w:val="Hyperlink"/>
            <w:rFonts w:cs="Times New Roman"/>
            <w:color w:val="auto"/>
            <w:szCs w:val="24"/>
          </w:rPr>
          <w:t>https://ec.europa.eu/eusurvey/files/e3aac1ef-3b45-4235-84a5-53b39cb20946/7060c10a-b8b9-41ef-b0e8-af65e66d3a15</w:t>
        </w:r>
      </w:hyperlink>
      <w:r w:rsidRPr="00342967">
        <w:rPr>
          <w:rFonts w:cs="Times New Roman"/>
          <w:szCs w:val="24"/>
        </w:rPr>
        <w:t xml:space="preserve"> </w:t>
      </w:r>
    </w:p>
    <w:p w14:paraId="51FD9F96" w14:textId="77777777" w:rsidR="008056EC" w:rsidRPr="00342967" w:rsidRDefault="008056EC" w:rsidP="008056EC">
      <w:pPr>
        <w:rPr>
          <w:rFonts w:cs="Times New Roman"/>
          <w:szCs w:val="24"/>
        </w:rPr>
      </w:pPr>
      <w:r w:rsidRPr="00342967">
        <w:rPr>
          <w:rFonts w:cs="Times New Roman"/>
          <w:szCs w:val="24"/>
        </w:rPr>
        <w:t xml:space="preserve">BNP Paribas. (2017). Consolidated Financial Statements. Retrieved from: </w:t>
      </w:r>
      <w:hyperlink r:id="rId11" w:history="1">
        <w:r w:rsidRPr="00342967">
          <w:rPr>
            <w:rStyle w:val="Hyperlink"/>
            <w:rFonts w:cs="Times New Roman"/>
            <w:color w:val="auto"/>
            <w:szCs w:val="24"/>
          </w:rPr>
          <w:t>https://invest.bnpparibas.com/sites/default/files/documents/ef_31.12.17_en.pdf</w:t>
        </w:r>
      </w:hyperlink>
      <w:r w:rsidRPr="00342967">
        <w:rPr>
          <w:rFonts w:cs="Times New Roman"/>
          <w:szCs w:val="24"/>
        </w:rPr>
        <w:t xml:space="preserve"> </w:t>
      </w:r>
    </w:p>
    <w:p w14:paraId="09E01EC1" w14:textId="4AC9EBC5" w:rsidR="008056EC" w:rsidRDefault="008056EC" w:rsidP="008056EC">
      <w:pPr>
        <w:rPr>
          <w:rFonts w:cs="Times New Roman"/>
          <w:szCs w:val="24"/>
        </w:rPr>
      </w:pPr>
      <w:r w:rsidRPr="00342967">
        <w:rPr>
          <w:rFonts w:cs="Times New Roman"/>
          <w:szCs w:val="24"/>
        </w:rPr>
        <w:t xml:space="preserve">Bowers, S. (2011, February 1). Guy Hands: 'Securitisation is the crack cocaine of financial services'. Retrieved from </w:t>
      </w:r>
      <w:hyperlink r:id="rId12" w:history="1">
        <w:r w:rsidR="00B93411" w:rsidRPr="008A7070">
          <w:rPr>
            <w:rStyle w:val="Hyperlink"/>
            <w:rFonts w:cs="Times New Roman"/>
            <w:szCs w:val="24"/>
          </w:rPr>
          <w:t>https://www.theguardian.com/business/2011/feb/01/guy-hands-emi-securitisation</w:t>
        </w:r>
      </w:hyperlink>
    </w:p>
    <w:p w14:paraId="3F66CB98" w14:textId="3CC9B906" w:rsidR="00B93411" w:rsidRDefault="00B93411" w:rsidP="00B93411">
      <w:pPr>
        <w:rPr>
          <w:rFonts w:cs="Times New Roman"/>
          <w:szCs w:val="24"/>
        </w:rPr>
      </w:pPr>
      <w:r w:rsidRPr="00342967">
        <w:rPr>
          <w:rFonts w:cs="Times New Roman"/>
          <w:szCs w:val="24"/>
        </w:rPr>
        <w:t>Braun, B., &amp; Hübner, M. (2018). Fiscal fault, financial fix? Capital Markets Union and the quest for macroeconomic stabilization in the euro area. </w:t>
      </w:r>
      <w:r w:rsidRPr="00342967">
        <w:rPr>
          <w:rFonts w:cs="Times New Roman"/>
          <w:i/>
          <w:iCs/>
          <w:szCs w:val="24"/>
        </w:rPr>
        <w:t>Competition &amp; Change</w:t>
      </w:r>
      <w:r w:rsidRPr="00342967">
        <w:rPr>
          <w:rFonts w:cs="Times New Roman"/>
          <w:szCs w:val="24"/>
        </w:rPr>
        <w:t>, </w:t>
      </w:r>
      <w:r w:rsidRPr="00342967">
        <w:rPr>
          <w:rFonts w:cs="Times New Roman"/>
          <w:i/>
          <w:iCs/>
          <w:szCs w:val="24"/>
        </w:rPr>
        <w:t>22</w:t>
      </w:r>
      <w:r w:rsidRPr="00342967">
        <w:rPr>
          <w:rFonts w:cs="Times New Roman"/>
          <w:szCs w:val="24"/>
        </w:rPr>
        <w:t>(2), 117-138.</w:t>
      </w:r>
    </w:p>
    <w:p w14:paraId="2A8BDB15" w14:textId="77777777" w:rsidR="00440724" w:rsidRPr="00342967" w:rsidRDefault="00440724" w:rsidP="00440724">
      <w:pPr>
        <w:rPr>
          <w:rFonts w:cs="Times New Roman"/>
          <w:szCs w:val="24"/>
        </w:rPr>
      </w:pPr>
      <w:r w:rsidRPr="00342967">
        <w:rPr>
          <w:rFonts w:cs="Times New Roman"/>
          <w:szCs w:val="24"/>
        </w:rPr>
        <w:t>Brunnermeier, M. K. (2009). Deciphering the liquidity and credit crunch 2007-2008. </w:t>
      </w:r>
      <w:r w:rsidRPr="00342967">
        <w:rPr>
          <w:rFonts w:cs="Times New Roman"/>
          <w:i/>
          <w:iCs/>
          <w:szCs w:val="24"/>
        </w:rPr>
        <w:t>Journal of Economic perspectives</w:t>
      </w:r>
      <w:r w:rsidRPr="00342967">
        <w:rPr>
          <w:rFonts w:cs="Times New Roman"/>
          <w:szCs w:val="24"/>
        </w:rPr>
        <w:t>, </w:t>
      </w:r>
      <w:r w:rsidRPr="00342967">
        <w:rPr>
          <w:rFonts w:cs="Times New Roman"/>
          <w:i/>
          <w:iCs/>
          <w:szCs w:val="24"/>
        </w:rPr>
        <w:t>23</w:t>
      </w:r>
      <w:r w:rsidRPr="00342967">
        <w:rPr>
          <w:rFonts w:cs="Times New Roman"/>
          <w:szCs w:val="24"/>
        </w:rPr>
        <w:t>(1), 77-100.</w:t>
      </w:r>
    </w:p>
    <w:p w14:paraId="76087CBF" w14:textId="77777777" w:rsidR="008056EC" w:rsidRPr="00342967" w:rsidRDefault="008056EC" w:rsidP="008056EC">
      <w:pPr>
        <w:rPr>
          <w:rFonts w:cs="Times New Roman"/>
          <w:szCs w:val="24"/>
        </w:rPr>
      </w:pPr>
      <w:r w:rsidRPr="00342967">
        <w:rPr>
          <w:rFonts w:cs="Times New Roman"/>
          <w:szCs w:val="24"/>
        </w:rPr>
        <w:t>Buch-Hansen, H. (2008). Rethinking the history of European level merger control. A critical political economy perspective. </w:t>
      </w:r>
      <w:r w:rsidRPr="00342967">
        <w:rPr>
          <w:rFonts w:cs="Times New Roman"/>
          <w:i/>
          <w:iCs/>
          <w:szCs w:val="24"/>
        </w:rPr>
        <w:t>Copenhagen Business School, PhD Series</w:t>
      </w:r>
      <w:r w:rsidRPr="00342967">
        <w:rPr>
          <w:rFonts w:cs="Times New Roman"/>
          <w:szCs w:val="24"/>
        </w:rPr>
        <w:t>, </w:t>
      </w:r>
      <w:r w:rsidRPr="00342967">
        <w:rPr>
          <w:rFonts w:cs="Times New Roman"/>
          <w:i/>
          <w:iCs/>
          <w:szCs w:val="24"/>
        </w:rPr>
        <w:t>26</w:t>
      </w:r>
      <w:r w:rsidRPr="00342967">
        <w:rPr>
          <w:rFonts w:cs="Times New Roman"/>
          <w:szCs w:val="24"/>
        </w:rPr>
        <w:t>, 2008.</w:t>
      </w:r>
    </w:p>
    <w:p w14:paraId="3EA692CA" w14:textId="77777777" w:rsidR="008056EC" w:rsidRPr="00342967" w:rsidRDefault="008056EC" w:rsidP="008056EC">
      <w:pPr>
        <w:rPr>
          <w:rFonts w:cs="Times New Roman"/>
          <w:szCs w:val="24"/>
          <w:lang w:val="en-GB"/>
        </w:rPr>
      </w:pPr>
      <w:r w:rsidRPr="00342967">
        <w:rPr>
          <w:rFonts w:cs="Times New Roman"/>
          <w:szCs w:val="24"/>
          <w:lang w:val="nl-NL"/>
        </w:rPr>
        <w:t xml:space="preserve">Bundesverband der Deutschen Industrie. (2015) Stellungnahme Grünbuch de Europäischen Kommission zur Kapitalmarktunion. </w:t>
      </w:r>
      <w:r w:rsidRPr="00342967">
        <w:rPr>
          <w:rFonts w:cs="Times New Roman"/>
          <w:szCs w:val="24"/>
          <w:lang w:val="en-GB"/>
        </w:rPr>
        <w:t xml:space="preserve">Retrieved from </w:t>
      </w:r>
      <w:hyperlink r:id="rId13" w:history="1">
        <w:r w:rsidRPr="00342967">
          <w:rPr>
            <w:rStyle w:val="Hyperlink"/>
            <w:rFonts w:cs="Times New Roman"/>
            <w:color w:val="auto"/>
            <w:szCs w:val="24"/>
            <w:lang w:val="en-GB"/>
          </w:rPr>
          <w:t>https://ec.europa.eu/eusurvey/files/e3aac1ef-3b45-4235-84a5-53b39cb20946/0cb66dce-f211-4c02-93cb-4e2bb882a623</w:t>
        </w:r>
      </w:hyperlink>
      <w:r w:rsidRPr="00342967">
        <w:rPr>
          <w:rFonts w:cs="Times New Roman"/>
          <w:szCs w:val="24"/>
          <w:lang w:val="en-GB"/>
        </w:rPr>
        <w:t xml:space="preserve"> </w:t>
      </w:r>
    </w:p>
    <w:p w14:paraId="29D9AEEA" w14:textId="77777777" w:rsidR="008056EC" w:rsidRPr="00342967" w:rsidRDefault="008056EC" w:rsidP="008056EC">
      <w:pPr>
        <w:rPr>
          <w:rFonts w:cs="Times New Roman"/>
          <w:szCs w:val="24"/>
        </w:rPr>
      </w:pPr>
      <w:r w:rsidRPr="00342967">
        <w:rPr>
          <w:rFonts w:cs="Times New Roman"/>
          <w:szCs w:val="24"/>
        </w:rPr>
        <w:t>Cafruny, A., &amp; M Ryner, J. (2009). Critical Political Economy. In A. Wiener, &amp; T. Diez (Eds.), </w:t>
      </w:r>
      <w:r w:rsidRPr="00342967">
        <w:rPr>
          <w:rFonts w:cs="Times New Roman"/>
          <w:i/>
          <w:iCs/>
          <w:szCs w:val="24"/>
        </w:rPr>
        <w:t>European Integration Theory</w:t>
      </w:r>
      <w:r w:rsidRPr="00342967">
        <w:rPr>
          <w:rFonts w:cs="Times New Roman"/>
          <w:szCs w:val="24"/>
        </w:rPr>
        <w:t> (2nd ed., pp. 221-240). Oxford, United Kingdom: Oxford University Press.</w:t>
      </w:r>
    </w:p>
    <w:p w14:paraId="1F1811A4" w14:textId="77777777" w:rsidR="008056EC" w:rsidRPr="00342967" w:rsidRDefault="008056EC" w:rsidP="008056EC">
      <w:pPr>
        <w:rPr>
          <w:rFonts w:cs="Times New Roman"/>
          <w:szCs w:val="24"/>
        </w:rPr>
      </w:pPr>
      <w:r w:rsidRPr="00342967">
        <w:rPr>
          <w:rFonts w:cs="Times New Roman"/>
          <w:szCs w:val="24"/>
        </w:rPr>
        <w:t xml:space="preserve">Carmageddon: EU driving financial markets the wrong way. (2017, October 23). Retrieved from </w:t>
      </w:r>
      <w:hyperlink r:id="rId14" w:history="1">
        <w:r w:rsidRPr="00342967">
          <w:rPr>
            <w:rStyle w:val="Hyperlink"/>
            <w:rFonts w:cs="Times New Roman"/>
            <w:color w:val="auto"/>
            <w:szCs w:val="24"/>
          </w:rPr>
          <w:t>https://invest.bnpparibas.com/sites/default/files/documents/ef_31.12.17_en.pdf</w:t>
        </w:r>
      </w:hyperlink>
      <w:r w:rsidRPr="00342967">
        <w:rPr>
          <w:rFonts w:cs="Times New Roman"/>
          <w:szCs w:val="24"/>
        </w:rPr>
        <w:t xml:space="preserve"> </w:t>
      </w:r>
    </w:p>
    <w:p w14:paraId="316C2585" w14:textId="77777777" w:rsidR="0092483C" w:rsidRDefault="0092483C" w:rsidP="008056EC">
      <w:pPr>
        <w:rPr>
          <w:rFonts w:cs="Times New Roman"/>
          <w:szCs w:val="24"/>
        </w:rPr>
      </w:pPr>
      <w:r w:rsidRPr="0092483C">
        <w:rPr>
          <w:rFonts w:cs="Times New Roman"/>
          <w:szCs w:val="24"/>
        </w:rPr>
        <w:t>Cecchetti, S., &amp; Kharroubi, E. (2015). </w:t>
      </w:r>
      <w:r w:rsidRPr="0092483C">
        <w:rPr>
          <w:rFonts w:cs="Times New Roman"/>
          <w:i/>
          <w:iCs/>
          <w:szCs w:val="24"/>
        </w:rPr>
        <w:t>Why does financial sector growth crowd out real economic growth?</w:t>
      </w:r>
      <w:r w:rsidRPr="0092483C">
        <w:rPr>
          <w:rFonts w:cs="Times New Roman"/>
          <w:szCs w:val="24"/>
        </w:rPr>
        <w:t xml:space="preserve"> (No. 10642). CEPR Discussion Papers. </w:t>
      </w:r>
    </w:p>
    <w:p w14:paraId="608A0CBE" w14:textId="5AEC2C4B" w:rsidR="008056EC" w:rsidRPr="00342967" w:rsidRDefault="008056EC" w:rsidP="008056EC">
      <w:pPr>
        <w:rPr>
          <w:rFonts w:cs="Times New Roman"/>
          <w:szCs w:val="24"/>
        </w:rPr>
      </w:pPr>
      <w:r w:rsidRPr="00342967">
        <w:rPr>
          <w:rFonts w:cs="Times New Roman"/>
          <w:szCs w:val="24"/>
        </w:rPr>
        <w:t>Congleton, R. D. (2009). On the political economy of the financial crisis and bailout of 2008–2009. </w:t>
      </w:r>
      <w:r w:rsidRPr="00342967">
        <w:rPr>
          <w:rFonts w:cs="Times New Roman"/>
          <w:i/>
          <w:iCs/>
          <w:szCs w:val="24"/>
        </w:rPr>
        <w:t>Public Choice</w:t>
      </w:r>
      <w:r w:rsidRPr="00342967">
        <w:rPr>
          <w:rFonts w:cs="Times New Roman"/>
          <w:szCs w:val="24"/>
        </w:rPr>
        <w:t>, </w:t>
      </w:r>
      <w:r w:rsidRPr="00342967">
        <w:rPr>
          <w:rFonts w:cs="Times New Roman"/>
          <w:i/>
          <w:iCs/>
          <w:szCs w:val="24"/>
        </w:rPr>
        <w:t>140</w:t>
      </w:r>
      <w:r w:rsidRPr="00342967">
        <w:rPr>
          <w:rFonts w:cs="Times New Roman"/>
          <w:szCs w:val="24"/>
        </w:rPr>
        <w:t>(3-4), 287-317.</w:t>
      </w:r>
    </w:p>
    <w:p w14:paraId="2B17CB30" w14:textId="77777777" w:rsidR="008056EC" w:rsidRPr="00342967" w:rsidRDefault="008056EC" w:rsidP="008056EC">
      <w:pPr>
        <w:rPr>
          <w:rFonts w:cs="Times New Roman"/>
          <w:szCs w:val="24"/>
        </w:rPr>
      </w:pPr>
      <w:r w:rsidRPr="00342967">
        <w:rPr>
          <w:rFonts w:cs="Times New Roman"/>
          <w:szCs w:val="24"/>
        </w:rPr>
        <w:lastRenderedPageBreak/>
        <w:t>Cox, R. W. (1983). Gramsci, hegemony and international relations: an essay in method. </w:t>
      </w:r>
      <w:r w:rsidRPr="00342967">
        <w:rPr>
          <w:rFonts w:cs="Times New Roman"/>
          <w:i/>
          <w:iCs/>
          <w:szCs w:val="24"/>
        </w:rPr>
        <w:t>Millennium</w:t>
      </w:r>
      <w:r w:rsidRPr="00342967">
        <w:rPr>
          <w:rFonts w:cs="Times New Roman"/>
          <w:szCs w:val="24"/>
        </w:rPr>
        <w:t>, </w:t>
      </w:r>
      <w:r w:rsidRPr="00342967">
        <w:rPr>
          <w:rFonts w:cs="Times New Roman"/>
          <w:i/>
          <w:iCs/>
          <w:szCs w:val="24"/>
        </w:rPr>
        <w:t>12</w:t>
      </w:r>
      <w:r w:rsidRPr="00342967">
        <w:rPr>
          <w:rFonts w:cs="Times New Roman"/>
          <w:szCs w:val="24"/>
        </w:rPr>
        <w:t>(2), 162-175.</w:t>
      </w:r>
    </w:p>
    <w:p w14:paraId="4ADAB512" w14:textId="77777777" w:rsidR="008056EC" w:rsidRPr="00342967" w:rsidRDefault="008056EC" w:rsidP="008056EC">
      <w:pPr>
        <w:rPr>
          <w:rFonts w:cs="Times New Roman"/>
          <w:szCs w:val="24"/>
          <w:lang w:val="en-GB"/>
        </w:rPr>
      </w:pPr>
      <w:r w:rsidRPr="00342967">
        <w:rPr>
          <w:rFonts w:cs="Times New Roman"/>
          <w:szCs w:val="24"/>
          <w:lang w:val="en-GB"/>
        </w:rPr>
        <w:t xml:space="preserve">Cox, R.W. (1986), ‘Social forces, states and world orders’, in R.O. Keohane (ed.), </w:t>
      </w:r>
      <w:r w:rsidRPr="00342967">
        <w:rPr>
          <w:rFonts w:cs="Times New Roman"/>
          <w:i/>
          <w:iCs/>
          <w:szCs w:val="24"/>
          <w:lang w:val="en-GB"/>
        </w:rPr>
        <w:t>Neorealism and its Critics</w:t>
      </w:r>
      <w:r w:rsidRPr="00342967">
        <w:rPr>
          <w:rFonts w:cs="Times New Roman"/>
          <w:szCs w:val="24"/>
          <w:lang w:val="en-GB"/>
        </w:rPr>
        <w:t>, New York: Columbia University Press, pp. 204–45.</w:t>
      </w:r>
    </w:p>
    <w:p w14:paraId="43615C10" w14:textId="77777777" w:rsidR="008056EC" w:rsidRPr="00342967" w:rsidRDefault="008056EC" w:rsidP="008056EC">
      <w:pPr>
        <w:rPr>
          <w:rFonts w:cs="Times New Roman"/>
          <w:iCs/>
          <w:szCs w:val="24"/>
        </w:rPr>
      </w:pPr>
      <w:r w:rsidRPr="00342967">
        <w:rPr>
          <w:rFonts w:cs="Times New Roman"/>
          <w:iCs/>
          <w:szCs w:val="24"/>
        </w:rPr>
        <w:t>Crouch, C. (2009). Privatised Keynesianism: An unacknowledged policy regime. </w:t>
      </w:r>
      <w:r w:rsidRPr="00342967">
        <w:rPr>
          <w:rFonts w:cs="Times New Roman"/>
          <w:i/>
          <w:iCs/>
          <w:szCs w:val="24"/>
        </w:rPr>
        <w:t>The British Journal of Politics &amp; International Relations</w:t>
      </w:r>
      <w:r w:rsidRPr="00342967">
        <w:rPr>
          <w:rFonts w:cs="Times New Roman"/>
          <w:iCs/>
          <w:szCs w:val="24"/>
        </w:rPr>
        <w:t>, </w:t>
      </w:r>
      <w:r w:rsidRPr="00342967">
        <w:rPr>
          <w:rFonts w:cs="Times New Roman"/>
          <w:i/>
          <w:iCs/>
          <w:szCs w:val="24"/>
        </w:rPr>
        <w:t>11</w:t>
      </w:r>
      <w:r w:rsidRPr="00342967">
        <w:rPr>
          <w:rFonts w:cs="Times New Roman"/>
          <w:iCs/>
          <w:szCs w:val="24"/>
        </w:rPr>
        <w:t>(3), 382-399.</w:t>
      </w:r>
    </w:p>
    <w:p w14:paraId="0915BA91" w14:textId="04F7922E" w:rsidR="008056EC" w:rsidRDefault="008056EC" w:rsidP="008056EC">
      <w:pPr>
        <w:rPr>
          <w:rFonts w:cs="Times New Roman"/>
          <w:iCs/>
          <w:szCs w:val="24"/>
        </w:rPr>
      </w:pPr>
      <w:r w:rsidRPr="00342967">
        <w:rPr>
          <w:rFonts w:cs="Times New Roman"/>
          <w:iCs/>
          <w:szCs w:val="24"/>
        </w:rPr>
        <w:t>Davidoff, S. M., &amp; Zaring, D. (2009). Regulation by deal: the government's response to the financial crisis. </w:t>
      </w:r>
      <w:r w:rsidRPr="00342967">
        <w:rPr>
          <w:rFonts w:cs="Times New Roman"/>
          <w:i/>
          <w:iCs/>
          <w:szCs w:val="24"/>
        </w:rPr>
        <w:t>Admin. L. Rev.</w:t>
      </w:r>
      <w:r w:rsidRPr="00342967">
        <w:rPr>
          <w:rFonts w:cs="Times New Roman"/>
          <w:iCs/>
          <w:szCs w:val="24"/>
        </w:rPr>
        <w:t>, </w:t>
      </w:r>
      <w:r w:rsidRPr="00342967">
        <w:rPr>
          <w:rFonts w:cs="Times New Roman"/>
          <w:i/>
          <w:iCs/>
          <w:szCs w:val="24"/>
        </w:rPr>
        <w:t>61</w:t>
      </w:r>
      <w:r w:rsidRPr="00342967">
        <w:rPr>
          <w:rFonts w:cs="Times New Roman"/>
          <w:iCs/>
          <w:szCs w:val="24"/>
        </w:rPr>
        <w:t>, 463.</w:t>
      </w:r>
    </w:p>
    <w:p w14:paraId="744CE459" w14:textId="77777777" w:rsidR="00EC4464" w:rsidRPr="00342967" w:rsidRDefault="00EC4464" w:rsidP="00EC4464">
      <w:pPr>
        <w:rPr>
          <w:rFonts w:cs="Times New Roman"/>
          <w:szCs w:val="24"/>
        </w:rPr>
      </w:pPr>
      <w:r w:rsidRPr="00ED2559">
        <w:rPr>
          <w:rFonts w:cs="Times New Roman"/>
          <w:szCs w:val="24"/>
          <w:lang w:val="en-GB"/>
        </w:rPr>
        <w:t xml:space="preserve">Demyanyk, Y., &amp; Van Hemert, O. (2009). </w:t>
      </w:r>
      <w:r w:rsidRPr="00342967">
        <w:rPr>
          <w:rFonts w:cs="Times New Roman"/>
          <w:szCs w:val="24"/>
        </w:rPr>
        <w:t>Understanding the subprime mortgage crisis. </w:t>
      </w:r>
      <w:r w:rsidRPr="00342967">
        <w:rPr>
          <w:rFonts w:cs="Times New Roman"/>
          <w:i/>
          <w:szCs w:val="24"/>
        </w:rPr>
        <w:t>The Review of Financial Studies</w:t>
      </w:r>
      <w:r w:rsidRPr="00342967">
        <w:rPr>
          <w:rFonts w:cs="Times New Roman"/>
          <w:szCs w:val="24"/>
        </w:rPr>
        <w:t>, 24(6), 1848-1880.</w:t>
      </w:r>
    </w:p>
    <w:p w14:paraId="21A2FD9B" w14:textId="77777777" w:rsidR="008056EC" w:rsidRPr="00342967" w:rsidRDefault="008056EC" w:rsidP="008056EC">
      <w:pPr>
        <w:rPr>
          <w:rFonts w:cs="Times New Roman"/>
          <w:szCs w:val="24"/>
          <w:lang w:val="en-GB"/>
        </w:rPr>
      </w:pPr>
      <w:r w:rsidRPr="00342967">
        <w:rPr>
          <w:rFonts w:cs="Times New Roman"/>
          <w:iCs/>
          <w:szCs w:val="24"/>
        </w:rPr>
        <w:t>Deutsche Bank. (2015) R</w:t>
      </w:r>
      <w:r w:rsidRPr="00342967">
        <w:rPr>
          <w:rFonts w:cs="Times New Roman"/>
          <w:szCs w:val="24"/>
          <w:lang w:val="en-GB"/>
        </w:rPr>
        <w:t xml:space="preserve">esponse to the consultation document on EU framework for simple, transparent and standardised securitisation. Retrieved from </w:t>
      </w:r>
      <w:hyperlink r:id="rId15" w:history="1">
        <w:r w:rsidRPr="00342967">
          <w:rPr>
            <w:rStyle w:val="Hyperlink"/>
            <w:rFonts w:cs="Times New Roman"/>
            <w:color w:val="auto"/>
            <w:szCs w:val="24"/>
            <w:lang w:val="en-GB"/>
          </w:rPr>
          <w:t>https://ec.europa.eu/eusurvey/files/0d587089-6bf3-479c-b40f-c74085946345/4aae9ddf-d639-4b09-b224-05ea00535a56</w:t>
        </w:r>
      </w:hyperlink>
      <w:r w:rsidRPr="00342967">
        <w:rPr>
          <w:rFonts w:cs="Times New Roman"/>
          <w:szCs w:val="24"/>
          <w:lang w:val="en-GB"/>
        </w:rPr>
        <w:t xml:space="preserve"> </w:t>
      </w:r>
    </w:p>
    <w:p w14:paraId="04E7EE3E" w14:textId="77777777" w:rsidR="008056EC" w:rsidRPr="00342967" w:rsidRDefault="008056EC" w:rsidP="008056EC">
      <w:pPr>
        <w:rPr>
          <w:rFonts w:cs="Times New Roman"/>
          <w:szCs w:val="24"/>
        </w:rPr>
      </w:pPr>
      <w:r w:rsidRPr="00342967">
        <w:rPr>
          <w:rFonts w:cs="Times New Roman"/>
          <w:szCs w:val="24"/>
        </w:rPr>
        <w:t>Deutsche Bank. (2017) Consolidated Financial Statements, Retrieved from: https://annualreport.deutsche-bank.com/2017/ar/servicepages/downloads/files/dbfy2017_financial_statements.pdf</w:t>
      </w:r>
    </w:p>
    <w:p w14:paraId="5A7D0D77" w14:textId="77777777" w:rsidR="008056EC" w:rsidRPr="00342967" w:rsidRDefault="008056EC" w:rsidP="008056EC">
      <w:pPr>
        <w:rPr>
          <w:rFonts w:cs="Times New Roman"/>
          <w:szCs w:val="24"/>
        </w:rPr>
      </w:pPr>
      <w:r w:rsidRPr="00342967">
        <w:rPr>
          <w:rFonts w:cs="Times New Roman"/>
          <w:szCs w:val="24"/>
        </w:rPr>
        <w:t>Durand, C., &amp; Keucheyan, R. (2015). Financial hegemony and the unachieved European state. </w:t>
      </w:r>
      <w:r w:rsidRPr="00342967">
        <w:rPr>
          <w:rFonts w:cs="Times New Roman"/>
          <w:i/>
          <w:iCs/>
          <w:szCs w:val="24"/>
        </w:rPr>
        <w:t>Competition &amp; Change</w:t>
      </w:r>
      <w:r w:rsidRPr="00342967">
        <w:rPr>
          <w:rFonts w:cs="Times New Roman"/>
          <w:szCs w:val="24"/>
        </w:rPr>
        <w:t>, </w:t>
      </w:r>
      <w:r w:rsidRPr="00342967">
        <w:rPr>
          <w:rFonts w:cs="Times New Roman"/>
          <w:i/>
          <w:iCs/>
          <w:szCs w:val="24"/>
        </w:rPr>
        <w:t>19</w:t>
      </w:r>
      <w:r w:rsidRPr="00342967">
        <w:rPr>
          <w:rFonts w:cs="Times New Roman"/>
          <w:szCs w:val="24"/>
        </w:rPr>
        <w:t>(2), 129-144.</w:t>
      </w:r>
    </w:p>
    <w:p w14:paraId="0A7A84FF" w14:textId="77777777" w:rsidR="008056EC" w:rsidRPr="00342967" w:rsidRDefault="008056EC" w:rsidP="008056EC">
      <w:pPr>
        <w:rPr>
          <w:rFonts w:cs="Times New Roman"/>
          <w:szCs w:val="24"/>
        </w:rPr>
      </w:pPr>
      <w:r w:rsidRPr="00342967">
        <w:rPr>
          <w:rFonts w:cs="Times New Roman"/>
          <w:szCs w:val="24"/>
        </w:rPr>
        <w:t>Elster, J. (1989). </w:t>
      </w:r>
      <w:r w:rsidRPr="00342967">
        <w:rPr>
          <w:rFonts w:cs="Times New Roman"/>
          <w:i/>
          <w:iCs/>
          <w:szCs w:val="24"/>
        </w:rPr>
        <w:t>Nuts and bolts for the social sciences</w:t>
      </w:r>
      <w:r w:rsidRPr="00342967">
        <w:rPr>
          <w:rFonts w:cs="Times New Roman"/>
          <w:szCs w:val="24"/>
        </w:rPr>
        <w:t>. Cambridge University Press.</w:t>
      </w:r>
    </w:p>
    <w:p w14:paraId="194CDA4B" w14:textId="77777777" w:rsidR="008056EC" w:rsidRPr="00342967" w:rsidRDefault="008056EC" w:rsidP="008056EC">
      <w:pPr>
        <w:rPr>
          <w:rFonts w:cs="Times New Roman"/>
          <w:szCs w:val="24"/>
        </w:rPr>
      </w:pPr>
      <w:r w:rsidRPr="00342967">
        <w:rPr>
          <w:rFonts w:cs="Times New Roman"/>
          <w:szCs w:val="24"/>
        </w:rPr>
        <w:t>Engelen, E., &amp; Glasmacher, A. (2018). The waiting game: How securitization became the solution for the growth problem of the Eurozone. </w:t>
      </w:r>
      <w:r w:rsidRPr="00342967">
        <w:rPr>
          <w:rFonts w:cs="Times New Roman"/>
          <w:i/>
          <w:szCs w:val="24"/>
        </w:rPr>
        <w:t>Competition &amp; Change</w:t>
      </w:r>
      <w:r w:rsidRPr="00342967">
        <w:rPr>
          <w:rFonts w:cs="Times New Roman"/>
          <w:szCs w:val="24"/>
        </w:rPr>
        <w:t>, 1024529418758579.</w:t>
      </w:r>
    </w:p>
    <w:p w14:paraId="345F36CE" w14:textId="77777777" w:rsidR="008056EC" w:rsidRPr="00342967" w:rsidRDefault="008056EC" w:rsidP="008056EC">
      <w:pPr>
        <w:rPr>
          <w:rFonts w:cs="Times New Roman"/>
          <w:szCs w:val="24"/>
        </w:rPr>
      </w:pPr>
      <w:r w:rsidRPr="00342967">
        <w:rPr>
          <w:rFonts w:cs="Times New Roman"/>
          <w:szCs w:val="24"/>
        </w:rPr>
        <w:t>Epstein, R., &amp; Rhodes, M. (2018). From governance to government: Banking union, capital markets union and the new EU. </w:t>
      </w:r>
      <w:r w:rsidRPr="00342967">
        <w:rPr>
          <w:rFonts w:cs="Times New Roman"/>
          <w:i/>
          <w:iCs/>
          <w:szCs w:val="24"/>
        </w:rPr>
        <w:t>Competition &amp; Change</w:t>
      </w:r>
      <w:r w:rsidRPr="00342967">
        <w:rPr>
          <w:rFonts w:cs="Times New Roman"/>
          <w:szCs w:val="24"/>
        </w:rPr>
        <w:t>, 1024529417753017.</w:t>
      </w:r>
    </w:p>
    <w:p w14:paraId="43C64238" w14:textId="6F27E707" w:rsidR="008056EC" w:rsidRPr="00342967" w:rsidRDefault="008056EC" w:rsidP="008056EC">
      <w:pPr>
        <w:rPr>
          <w:rFonts w:cs="Times New Roman"/>
          <w:szCs w:val="24"/>
        </w:rPr>
      </w:pPr>
      <w:r w:rsidRPr="00342967">
        <w:rPr>
          <w:rFonts w:cs="Times New Roman"/>
          <w:szCs w:val="24"/>
        </w:rPr>
        <w:t>Ertürk, I. (2015). Challenges of financialised firm behaviour for Capital Markets Union. </w:t>
      </w:r>
      <w:r w:rsidRPr="00342967">
        <w:rPr>
          <w:rFonts w:cs="Times New Roman"/>
          <w:i/>
          <w:iCs/>
          <w:szCs w:val="24"/>
        </w:rPr>
        <w:t>Law and Financial Markets Review</w:t>
      </w:r>
      <w:r w:rsidRPr="00342967">
        <w:rPr>
          <w:rFonts w:cs="Times New Roman"/>
          <w:szCs w:val="24"/>
        </w:rPr>
        <w:t>, </w:t>
      </w:r>
      <w:r w:rsidRPr="00342967">
        <w:rPr>
          <w:rFonts w:cs="Times New Roman"/>
          <w:i/>
          <w:iCs/>
          <w:szCs w:val="24"/>
        </w:rPr>
        <w:t>9</w:t>
      </w:r>
      <w:r w:rsidRPr="00342967">
        <w:rPr>
          <w:rFonts w:cs="Times New Roman"/>
          <w:szCs w:val="24"/>
        </w:rPr>
        <w:t>(3), 196-201.</w:t>
      </w:r>
    </w:p>
    <w:p w14:paraId="7E772967" w14:textId="77777777" w:rsidR="00336E57" w:rsidRPr="00342967" w:rsidRDefault="00336E57" w:rsidP="00336E57">
      <w:pPr>
        <w:rPr>
          <w:rFonts w:cs="Times New Roman"/>
          <w:szCs w:val="24"/>
          <w:lang w:val="en-GB"/>
        </w:rPr>
      </w:pPr>
      <w:r w:rsidRPr="00342967">
        <w:rPr>
          <w:rFonts w:cs="Times New Roman"/>
          <w:szCs w:val="24"/>
          <w:lang w:val="en-GB"/>
        </w:rPr>
        <w:lastRenderedPageBreak/>
        <w:t xml:space="preserve">European Commission. (2001). European Governance – A White Paper. Retrieved from </w:t>
      </w:r>
      <w:hyperlink r:id="rId16" w:history="1">
        <w:r w:rsidRPr="00342967">
          <w:rPr>
            <w:rStyle w:val="Hyperlink"/>
            <w:rFonts w:cs="Times New Roman"/>
            <w:color w:val="auto"/>
            <w:szCs w:val="24"/>
            <w:lang w:val="en-GB"/>
          </w:rPr>
          <w:t>http://europa.eu/rapid/press-release_DOC-01-10_en.pdf</w:t>
        </w:r>
      </w:hyperlink>
      <w:r w:rsidRPr="00342967">
        <w:rPr>
          <w:rFonts w:cs="Times New Roman"/>
          <w:szCs w:val="24"/>
          <w:lang w:val="en-GB"/>
        </w:rPr>
        <w:t xml:space="preserve"> </w:t>
      </w:r>
    </w:p>
    <w:p w14:paraId="27E73FD4" w14:textId="77777777" w:rsidR="008056EC" w:rsidRPr="00342967" w:rsidRDefault="008056EC" w:rsidP="008056EC">
      <w:pPr>
        <w:rPr>
          <w:rFonts w:cs="Times New Roman"/>
          <w:szCs w:val="24"/>
        </w:rPr>
      </w:pPr>
      <w:r w:rsidRPr="00342967">
        <w:rPr>
          <w:rFonts w:cs="Times New Roman"/>
          <w:szCs w:val="24"/>
        </w:rPr>
        <w:t xml:space="preserve">European Commission. (2015a). Green Paper Building a Capital Markets Union. Retrieved from </w:t>
      </w:r>
      <w:hyperlink r:id="rId17" w:history="1">
        <w:r w:rsidRPr="00342967">
          <w:rPr>
            <w:rStyle w:val="Hyperlink"/>
            <w:rFonts w:cs="Times New Roman"/>
            <w:color w:val="auto"/>
            <w:szCs w:val="24"/>
          </w:rPr>
          <w:t>https://eur-lex.europa.eu/legal-content/EN/TXT/HTML/?uri=CELEX:52015DC0063&amp;from=EN</w:t>
        </w:r>
      </w:hyperlink>
    </w:p>
    <w:p w14:paraId="6D88678D" w14:textId="77777777" w:rsidR="008056EC" w:rsidRPr="00342967" w:rsidRDefault="008056EC" w:rsidP="008056EC">
      <w:pPr>
        <w:rPr>
          <w:rStyle w:val="Hyperlink"/>
          <w:rFonts w:cs="Times New Roman"/>
          <w:color w:val="auto"/>
          <w:szCs w:val="24"/>
        </w:rPr>
      </w:pPr>
      <w:r w:rsidRPr="00342967">
        <w:rPr>
          <w:rFonts w:cs="Times New Roman"/>
          <w:szCs w:val="24"/>
        </w:rPr>
        <w:t xml:space="preserve">European Commission. (2015b). Laying down common rules on securitisation and creating a European Framework for simple, transparent and standardized securitisation and amending Directives, Explanatory Memorandum. Retrieved from </w:t>
      </w:r>
      <w:hyperlink r:id="rId18" w:history="1">
        <w:r w:rsidRPr="00342967">
          <w:rPr>
            <w:rStyle w:val="Hyperlink"/>
            <w:rFonts w:cs="Times New Roman"/>
            <w:color w:val="auto"/>
            <w:szCs w:val="24"/>
          </w:rPr>
          <w:t>http://eur-lex.europa.eu/legal-content/EN/TXT/PDF/?uri=CELEX:52015PC0472&amp;from=EN</w:t>
        </w:r>
      </w:hyperlink>
    </w:p>
    <w:p w14:paraId="24F98DA0" w14:textId="77777777" w:rsidR="008056EC" w:rsidRPr="00342967" w:rsidRDefault="008056EC" w:rsidP="008056EC">
      <w:pPr>
        <w:rPr>
          <w:rFonts w:cs="Times New Roman"/>
          <w:szCs w:val="24"/>
          <w:lang w:val="en-GB"/>
        </w:rPr>
      </w:pPr>
      <w:r w:rsidRPr="00342967">
        <w:rPr>
          <w:rFonts w:cs="Times New Roman"/>
          <w:szCs w:val="24"/>
        </w:rPr>
        <w:t xml:space="preserve">European Commission. </w:t>
      </w:r>
      <w:r w:rsidRPr="00342967">
        <w:rPr>
          <w:rFonts w:cs="Times New Roman"/>
          <w:szCs w:val="24"/>
          <w:lang w:val="en-GB"/>
        </w:rPr>
        <w:t xml:space="preserve">(2015c). Consultation Document: An EU framework for simple, transparent and standardised securitisation. Retrieved from </w:t>
      </w:r>
      <w:hyperlink r:id="rId19" w:history="1">
        <w:r w:rsidRPr="00342967">
          <w:rPr>
            <w:rStyle w:val="Hyperlink"/>
            <w:rFonts w:cs="Times New Roman"/>
            <w:color w:val="auto"/>
            <w:szCs w:val="24"/>
            <w:lang w:val="en-GB"/>
          </w:rPr>
          <w:t>http://ec.europa.eu/finance/consultations/2015/securitisation/docs/consultation-document_en.pdf</w:t>
        </w:r>
      </w:hyperlink>
    </w:p>
    <w:p w14:paraId="14BB0147" w14:textId="77777777" w:rsidR="008056EC" w:rsidRPr="00342967" w:rsidRDefault="008056EC" w:rsidP="008056EC">
      <w:pPr>
        <w:rPr>
          <w:rStyle w:val="Hyperlink"/>
          <w:rFonts w:cs="Times New Roman"/>
          <w:color w:val="auto"/>
          <w:szCs w:val="24"/>
          <w:lang w:val="en-GB"/>
        </w:rPr>
      </w:pPr>
      <w:r w:rsidRPr="00342967">
        <w:rPr>
          <w:rFonts w:cs="Times New Roman"/>
          <w:szCs w:val="24"/>
          <w:lang w:val="en-GB"/>
        </w:rPr>
        <w:t xml:space="preserve">European Financial Services Roundtable. (2015). EFR Response to the Green Paper on Building a Capital Markets Union. Retrieved from </w:t>
      </w:r>
      <w:hyperlink r:id="rId20" w:history="1">
        <w:r w:rsidRPr="00342967">
          <w:rPr>
            <w:rStyle w:val="Hyperlink"/>
            <w:rFonts w:cs="Times New Roman"/>
            <w:color w:val="auto"/>
            <w:szCs w:val="24"/>
            <w:lang w:val="en-GB"/>
          </w:rPr>
          <w:t>https://ec.europa.eu/eusurvey/files/e3aac1ef-3b45-4235-84a5-53b39cb20946/5415da49-6041-47a5-a906-28467e26d0d6</w:t>
        </w:r>
      </w:hyperlink>
    </w:p>
    <w:p w14:paraId="652CC593" w14:textId="77777777" w:rsidR="008056EC" w:rsidRPr="00342967" w:rsidRDefault="008056EC" w:rsidP="008056EC">
      <w:pPr>
        <w:rPr>
          <w:rStyle w:val="Hyperlink"/>
          <w:rFonts w:cs="Times New Roman"/>
          <w:color w:val="auto"/>
          <w:szCs w:val="24"/>
          <w:lang w:val="en-GB"/>
        </w:rPr>
      </w:pPr>
      <w:r w:rsidRPr="00342967">
        <w:rPr>
          <w:rFonts w:cs="Times New Roman"/>
          <w:szCs w:val="24"/>
          <w:lang w:val="en-GB"/>
        </w:rPr>
        <w:t xml:space="preserve">European Parliament. (2015) Understanding Securitisation Background – Benefits – risks. Retrieved from </w:t>
      </w:r>
      <w:hyperlink r:id="rId21" w:history="1">
        <w:r w:rsidRPr="00342967">
          <w:rPr>
            <w:rStyle w:val="Hyperlink"/>
            <w:rFonts w:cs="Times New Roman"/>
            <w:color w:val="auto"/>
            <w:szCs w:val="24"/>
            <w:lang w:val="en-GB"/>
          </w:rPr>
          <w:t>http://www.europarl.europa.eu/RegData/etudes/IDAN/2015/569017/EPRS_IDA%282015%29569017_EN.pdf</w:t>
        </w:r>
      </w:hyperlink>
    </w:p>
    <w:p w14:paraId="01A48EDE" w14:textId="77777777" w:rsidR="008056EC" w:rsidRPr="00212A6F" w:rsidRDefault="008056EC" w:rsidP="008056EC">
      <w:pPr>
        <w:rPr>
          <w:rStyle w:val="Hyperlink"/>
          <w:rFonts w:cs="Times New Roman"/>
          <w:color w:val="auto"/>
          <w:szCs w:val="24"/>
          <w:u w:val="none"/>
          <w:lang w:val="en-GB"/>
        </w:rPr>
      </w:pPr>
      <w:r w:rsidRPr="00212A6F">
        <w:rPr>
          <w:rStyle w:val="Hyperlink"/>
          <w:rFonts w:cs="Times New Roman"/>
          <w:color w:val="auto"/>
          <w:szCs w:val="24"/>
          <w:u w:val="none"/>
          <w:lang w:val="en-GB"/>
        </w:rPr>
        <w:t xml:space="preserve">Finance Watch. (2015) Finance Watch response to the European Commission green paper on Building a Capital Markets Union. Retrieved from </w:t>
      </w:r>
      <w:hyperlink r:id="rId22" w:history="1">
        <w:r w:rsidRPr="00212A6F">
          <w:rPr>
            <w:rStyle w:val="Hyperlink"/>
            <w:rFonts w:cs="Times New Roman"/>
            <w:color w:val="auto"/>
            <w:szCs w:val="24"/>
            <w:lang w:val="en-GB"/>
          </w:rPr>
          <w:t>https://ec.europa.eu/eusurvey/files/e3aac1ef-3b45-4235-84a5-53b39cb20946/7fc5a887-ccf6-4960-8638-8325b685a6a9</w:t>
        </w:r>
      </w:hyperlink>
      <w:r w:rsidRPr="00212A6F">
        <w:rPr>
          <w:rStyle w:val="Hyperlink"/>
          <w:rFonts w:cs="Times New Roman"/>
          <w:color w:val="auto"/>
          <w:szCs w:val="24"/>
          <w:lang w:val="en-GB"/>
        </w:rPr>
        <w:t xml:space="preserve"> </w:t>
      </w:r>
    </w:p>
    <w:p w14:paraId="210994CC" w14:textId="77777777" w:rsidR="008056EC" w:rsidRPr="00342967" w:rsidRDefault="008056EC" w:rsidP="008056EC">
      <w:pPr>
        <w:rPr>
          <w:rFonts w:cs="Times New Roman"/>
          <w:szCs w:val="24"/>
        </w:rPr>
      </w:pPr>
      <w:r w:rsidRPr="00342967">
        <w:rPr>
          <w:rFonts w:cs="Times New Roman"/>
          <w:szCs w:val="24"/>
          <w:lang w:val="nl-NL"/>
        </w:rPr>
        <w:t xml:space="preserve">Franke, G., &amp; Krahnen, J. P. (2007). </w:t>
      </w:r>
      <w:r w:rsidRPr="00342967">
        <w:rPr>
          <w:rFonts w:cs="Times New Roman"/>
          <w:szCs w:val="24"/>
        </w:rPr>
        <w:t xml:space="preserve">Default risk sharing between banks and markets: the contribution of collateralized debt obligations. </w:t>
      </w:r>
      <w:r w:rsidRPr="00342967">
        <w:rPr>
          <w:rFonts w:cs="Times New Roman"/>
          <w:i/>
          <w:szCs w:val="24"/>
        </w:rPr>
        <w:t>In The risks of financial institutions</w:t>
      </w:r>
      <w:r w:rsidRPr="00342967">
        <w:rPr>
          <w:rFonts w:cs="Times New Roman"/>
          <w:szCs w:val="24"/>
        </w:rPr>
        <w:t> (pp. 603-634). University of Chicago Press.</w:t>
      </w:r>
    </w:p>
    <w:p w14:paraId="079E07CB" w14:textId="77777777" w:rsidR="008056EC" w:rsidRPr="00342967" w:rsidRDefault="008056EC" w:rsidP="008056EC">
      <w:pPr>
        <w:rPr>
          <w:rFonts w:cs="Times New Roman"/>
          <w:szCs w:val="24"/>
        </w:rPr>
      </w:pPr>
      <w:r w:rsidRPr="00342967">
        <w:rPr>
          <w:rFonts w:cs="Times New Roman"/>
          <w:szCs w:val="24"/>
        </w:rPr>
        <w:t>Friedrich, J., &amp; Thiemann, M. (2017). Capital Markets Union: the need for common laws and common supervision. </w:t>
      </w:r>
      <w:r w:rsidRPr="00342967">
        <w:rPr>
          <w:rFonts w:cs="Times New Roman"/>
          <w:i/>
          <w:iCs/>
          <w:szCs w:val="24"/>
        </w:rPr>
        <w:t>Vierteljahrshefte Zur Wirtschaftsforschung</w:t>
      </w:r>
      <w:r w:rsidRPr="00342967">
        <w:rPr>
          <w:rFonts w:cs="Times New Roman"/>
          <w:szCs w:val="24"/>
        </w:rPr>
        <w:t>, </w:t>
      </w:r>
      <w:r w:rsidRPr="00342967">
        <w:rPr>
          <w:rFonts w:cs="Times New Roman"/>
          <w:i/>
          <w:iCs/>
          <w:szCs w:val="24"/>
        </w:rPr>
        <w:t>86</w:t>
      </w:r>
      <w:r w:rsidRPr="00342967">
        <w:rPr>
          <w:rFonts w:cs="Times New Roman"/>
          <w:szCs w:val="24"/>
        </w:rPr>
        <w:t>(2), 61-75.</w:t>
      </w:r>
    </w:p>
    <w:p w14:paraId="549D9FC5" w14:textId="77777777" w:rsidR="008056EC" w:rsidRPr="00342967" w:rsidRDefault="008056EC" w:rsidP="008056EC">
      <w:pPr>
        <w:rPr>
          <w:rFonts w:cs="Times New Roman"/>
          <w:szCs w:val="24"/>
        </w:rPr>
      </w:pPr>
      <w:r w:rsidRPr="00342967">
        <w:rPr>
          <w:rFonts w:cs="Times New Roman"/>
          <w:szCs w:val="24"/>
        </w:rPr>
        <w:t xml:space="preserve">G20. (2008). Declaration, Summit on Financial Markets and the World Economy. Retrieved from: </w:t>
      </w:r>
      <w:r w:rsidRPr="00342967">
        <w:rPr>
          <w:rFonts w:cs="Times New Roman"/>
          <w:szCs w:val="24"/>
        </w:rPr>
        <w:lastRenderedPageBreak/>
        <w:t>https://www.g20.org/profiles/g20/modules/custom/g20_beverly/img/timeline/Washington/G20-declaration-washington-2008-en.pdf</w:t>
      </w:r>
    </w:p>
    <w:p w14:paraId="3E07206C" w14:textId="77777777" w:rsidR="008056EC" w:rsidRPr="00342967" w:rsidRDefault="008056EC" w:rsidP="008056EC">
      <w:pPr>
        <w:rPr>
          <w:rFonts w:cs="Times New Roman"/>
          <w:szCs w:val="24"/>
        </w:rPr>
      </w:pPr>
      <w:r w:rsidRPr="00342967">
        <w:rPr>
          <w:rFonts w:cs="Times New Roman"/>
          <w:szCs w:val="24"/>
        </w:rPr>
        <w:t>Gabor, D., &amp; Ban, C. (2016). Banking on bonds: the new links between states and markets. </w:t>
      </w:r>
      <w:r w:rsidRPr="00342967">
        <w:rPr>
          <w:rFonts w:cs="Times New Roman"/>
          <w:i/>
          <w:iCs/>
          <w:szCs w:val="24"/>
        </w:rPr>
        <w:t>JCMS: Journal of Common Market Studies</w:t>
      </w:r>
      <w:r w:rsidRPr="00342967">
        <w:rPr>
          <w:rFonts w:cs="Times New Roman"/>
          <w:szCs w:val="24"/>
        </w:rPr>
        <w:t>, </w:t>
      </w:r>
      <w:r w:rsidRPr="00342967">
        <w:rPr>
          <w:rFonts w:cs="Times New Roman"/>
          <w:i/>
          <w:iCs/>
          <w:szCs w:val="24"/>
        </w:rPr>
        <w:t>54</w:t>
      </w:r>
      <w:r w:rsidRPr="00342967">
        <w:rPr>
          <w:rFonts w:cs="Times New Roman"/>
          <w:szCs w:val="24"/>
        </w:rPr>
        <w:t>(3), 617-635.</w:t>
      </w:r>
    </w:p>
    <w:p w14:paraId="327394EB" w14:textId="77777777" w:rsidR="008056EC" w:rsidRPr="00342967" w:rsidRDefault="008056EC" w:rsidP="008056EC">
      <w:pPr>
        <w:rPr>
          <w:rFonts w:cs="Times New Roman"/>
          <w:szCs w:val="24"/>
        </w:rPr>
      </w:pPr>
      <w:r w:rsidRPr="00342967">
        <w:rPr>
          <w:rFonts w:cs="Times New Roman"/>
          <w:szCs w:val="24"/>
        </w:rPr>
        <w:t>Gabor, D., &amp; Vestergaard, J. (2018). Chasing unicorns: The European single safe asset project. </w:t>
      </w:r>
      <w:r w:rsidRPr="00342967">
        <w:rPr>
          <w:rFonts w:cs="Times New Roman"/>
          <w:i/>
          <w:iCs/>
          <w:szCs w:val="24"/>
        </w:rPr>
        <w:t>Competition &amp; Change</w:t>
      </w:r>
      <w:r w:rsidRPr="00342967">
        <w:rPr>
          <w:rFonts w:cs="Times New Roman"/>
          <w:szCs w:val="24"/>
        </w:rPr>
        <w:t>, </w:t>
      </w:r>
      <w:r w:rsidRPr="00342967">
        <w:rPr>
          <w:rFonts w:cs="Times New Roman"/>
          <w:i/>
          <w:iCs/>
          <w:szCs w:val="24"/>
        </w:rPr>
        <w:t>22</w:t>
      </w:r>
      <w:r w:rsidRPr="00342967">
        <w:rPr>
          <w:rFonts w:cs="Times New Roman"/>
          <w:szCs w:val="24"/>
        </w:rPr>
        <w:t>(2), 139-164.</w:t>
      </w:r>
    </w:p>
    <w:p w14:paraId="1724D25E" w14:textId="77777777" w:rsidR="008056EC" w:rsidRPr="00342967" w:rsidRDefault="008056EC" w:rsidP="008056EC">
      <w:pPr>
        <w:rPr>
          <w:rFonts w:cs="Times New Roman"/>
          <w:szCs w:val="24"/>
        </w:rPr>
      </w:pPr>
      <w:r w:rsidRPr="00342967">
        <w:rPr>
          <w:rFonts w:cs="Times New Roman"/>
          <w:szCs w:val="24"/>
        </w:rPr>
        <w:t xml:space="preserve">Goldman Sachs International. (2015). Response letter Capital Markets Union Green paper. Retrieved from </w:t>
      </w:r>
      <w:hyperlink r:id="rId23" w:history="1">
        <w:r w:rsidRPr="00342967">
          <w:rPr>
            <w:rStyle w:val="Hyperlink"/>
            <w:rFonts w:cs="Times New Roman"/>
            <w:color w:val="auto"/>
            <w:szCs w:val="24"/>
          </w:rPr>
          <w:t>https://ec.europa.eu/eusurvey/files/e3aac1ef-3b45-4235-84a5-53b39cb20946/8b9960ee-f66f-4dc6-924b-b488520e90ce</w:t>
        </w:r>
      </w:hyperlink>
    </w:p>
    <w:p w14:paraId="7AA70F33" w14:textId="77777777" w:rsidR="008056EC" w:rsidRPr="00342967" w:rsidRDefault="008056EC" w:rsidP="008056EC">
      <w:pPr>
        <w:rPr>
          <w:rFonts w:cs="Times New Roman"/>
          <w:szCs w:val="24"/>
        </w:rPr>
      </w:pPr>
      <w:r w:rsidRPr="00342967">
        <w:rPr>
          <w:rFonts w:cs="Times New Roman"/>
          <w:szCs w:val="24"/>
        </w:rPr>
        <w:t>Gordon, D. M., Edwards, R., &amp; Reich, M. (1982). </w:t>
      </w:r>
      <w:r w:rsidRPr="00342967">
        <w:rPr>
          <w:rFonts w:cs="Times New Roman"/>
          <w:i/>
          <w:iCs/>
          <w:szCs w:val="24"/>
        </w:rPr>
        <w:t>Segmented work, divided workers: The historical transformation of labor in the United States</w:t>
      </w:r>
      <w:r w:rsidRPr="00342967">
        <w:rPr>
          <w:rFonts w:cs="Times New Roman"/>
          <w:szCs w:val="24"/>
        </w:rPr>
        <w:t> (p. 1). Cambridge: Cambridge University Press.</w:t>
      </w:r>
    </w:p>
    <w:p w14:paraId="75FF1A6D" w14:textId="338EDCCE" w:rsidR="008056EC" w:rsidRPr="00342967" w:rsidRDefault="008056EC" w:rsidP="008056EC">
      <w:pPr>
        <w:rPr>
          <w:rFonts w:cs="Times New Roman"/>
          <w:szCs w:val="24"/>
        </w:rPr>
      </w:pPr>
      <w:r w:rsidRPr="00342967">
        <w:rPr>
          <w:rFonts w:cs="Times New Roman"/>
          <w:szCs w:val="24"/>
        </w:rPr>
        <w:t>Gordon, D. M., Edwards, R., &amp; Reich, M. (1994). Long swings and stages of capitalism. In D. M Kotz, T. McDonough, &amp; M. Reich (Eds.), </w:t>
      </w:r>
      <w:r w:rsidRPr="00342967">
        <w:rPr>
          <w:rFonts w:cs="Times New Roman"/>
          <w:i/>
          <w:iCs/>
          <w:szCs w:val="24"/>
        </w:rPr>
        <w:t>Social Structures of Accumulation</w:t>
      </w:r>
      <w:r w:rsidR="00DD629C">
        <w:rPr>
          <w:rFonts w:cs="Times New Roman"/>
          <w:i/>
          <w:iCs/>
          <w:szCs w:val="24"/>
        </w:rPr>
        <w:t>:</w:t>
      </w:r>
      <w:r w:rsidRPr="00342967">
        <w:rPr>
          <w:rFonts w:cs="Times New Roman"/>
          <w:i/>
          <w:iCs/>
          <w:szCs w:val="24"/>
        </w:rPr>
        <w:t xml:space="preserve"> The Political Economy of Growth and Crisis</w:t>
      </w:r>
      <w:r w:rsidRPr="00342967">
        <w:rPr>
          <w:rFonts w:cs="Times New Roman"/>
          <w:szCs w:val="24"/>
        </w:rPr>
        <w:t> (pp. 11-28). Cambridge, United Kingdom: Cambridge University Press.</w:t>
      </w:r>
    </w:p>
    <w:p w14:paraId="56A5AE06" w14:textId="77777777" w:rsidR="008056EC" w:rsidRPr="00342967" w:rsidRDefault="008056EC" w:rsidP="008056EC">
      <w:pPr>
        <w:rPr>
          <w:rFonts w:cs="Times New Roman"/>
          <w:szCs w:val="24"/>
        </w:rPr>
      </w:pPr>
      <w:r w:rsidRPr="00342967">
        <w:rPr>
          <w:rFonts w:cs="Times New Roman"/>
          <w:szCs w:val="24"/>
        </w:rPr>
        <w:t>Gorton, G., &amp; Metrick, A. (2012). Securitized banking and the run on repo. </w:t>
      </w:r>
      <w:r w:rsidRPr="00342967">
        <w:rPr>
          <w:rFonts w:cs="Times New Roman"/>
          <w:i/>
          <w:iCs/>
          <w:szCs w:val="24"/>
        </w:rPr>
        <w:t>Journal of Financial economics</w:t>
      </w:r>
      <w:r w:rsidRPr="00342967">
        <w:rPr>
          <w:rFonts w:cs="Times New Roman"/>
          <w:szCs w:val="24"/>
        </w:rPr>
        <w:t>, </w:t>
      </w:r>
      <w:r w:rsidRPr="00342967">
        <w:rPr>
          <w:rFonts w:cs="Times New Roman"/>
          <w:i/>
          <w:iCs/>
          <w:szCs w:val="24"/>
        </w:rPr>
        <w:t>104</w:t>
      </w:r>
      <w:r w:rsidRPr="00342967">
        <w:rPr>
          <w:rFonts w:cs="Times New Roman"/>
          <w:szCs w:val="24"/>
        </w:rPr>
        <w:t>(3), 425-451.</w:t>
      </w:r>
    </w:p>
    <w:p w14:paraId="2D1201B6" w14:textId="77777777" w:rsidR="008056EC" w:rsidRPr="00342967" w:rsidRDefault="008056EC" w:rsidP="008056EC">
      <w:pPr>
        <w:rPr>
          <w:rFonts w:cs="Times New Roman"/>
          <w:szCs w:val="24"/>
        </w:rPr>
      </w:pPr>
      <w:r w:rsidRPr="00342967">
        <w:rPr>
          <w:rFonts w:cs="Times New Roman"/>
          <w:szCs w:val="24"/>
        </w:rPr>
        <w:t>Gramsci, A., Hoare, Q., &amp; Smith, G. N. (1971). </w:t>
      </w:r>
      <w:r w:rsidRPr="00342967">
        <w:rPr>
          <w:rFonts w:cs="Times New Roman"/>
          <w:i/>
          <w:iCs/>
          <w:szCs w:val="24"/>
        </w:rPr>
        <w:t>Selections from the prison notebooks</w:t>
      </w:r>
      <w:r w:rsidRPr="00342967">
        <w:rPr>
          <w:rFonts w:cs="Times New Roman"/>
          <w:szCs w:val="24"/>
        </w:rPr>
        <w:t> (Vol. 294). London: Lawrence and Wishart.</w:t>
      </w:r>
    </w:p>
    <w:p w14:paraId="26D85B51" w14:textId="77777777" w:rsidR="008056EC" w:rsidRPr="00342967" w:rsidRDefault="008056EC" w:rsidP="008056EC">
      <w:pPr>
        <w:rPr>
          <w:rFonts w:cs="Times New Roman"/>
          <w:szCs w:val="24"/>
        </w:rPr>
      </w:pPr>
      <w:r w:rsidRPr="00342967">
        <w:rPr>
          <w:rFonts w:cs="Times New Roman"/>
          <w:szCs w:val="24"/>
        </w:rPr>
        <w:t>Haas, E. B. (1958). The uniting of Europe: Political, economic and social forces, 1950–1957. </w:t>
      </w:r>
      <w:r w:rsidRPr="00342967">
        <w:rPr>
          <w:rFonts w:cs="Times New Roman"/>
          <w:i/>
          <w:iCs/>
          <w:szCs w:val="24"/>
        </w:rPr>
        <w:t>London: Stevens &amp; Sons</w:t>
      </w:r>
      <w:r w:rsidRPr="00342967">
        <w:rPr>
          <w:rFonts w:cs="Times New Roman"/>
          <w:szCs w:val="24"/>
        </w:rPr>
        <w:t>.</w:t>
      </w:r>
    </w:p>
    <w:p w14:paraId="5533EEBE" w14:textId="77777777" w:rsidR="008056EC" w:rsidRPr="00342967" w:rsidRDefault="008056EC" w:rsidP="008056EC">
      <w:pPr>
        <w:rPr>
          <w:rFonts w:cs="Times New Roman"/>
          <w:szCs w:val="24"/>
          <w:lang w:val="en-GB"/>
        </w:rPr>
      </w:pPr>
      <w:r w:rsidRPr="00342967">
        <w:rPr>
          <w:rFonts w:cs="Times New Roman"/>
          <w:szCs w:val="24"/>
          <w:lang w:val="en-GB"/>
        </w:rPr>
        <w:t xml:space="preserve">Hache, F. (2014) A missed opportunity to revive “boring” finance?. Retrieved from </w:t>
      </w:r>
      <w:hyperlink r:id="rId24" w:history="1">
        <w:r w:rsidRPr="00342967">
          <w:rPr>
            <w:rStyle w:val="Hyperlink"/>
            <w:rFonts w:cs="Times New Roman"/>
            <w:color w:val="auto"/>
            <w:szCs w:val="24"/>
            <w:lang w:val="en-GB"/>
          </w:rPr>
          <w:t>http://www.finance-watch.org/ifile/Publications/Reports/FW-report-LTF-dec-2014.pdf</w:t>
        </w:r>
      </w:hyperlink>
      <w:r w:rsidRPr="00342967">
        <w:rPr>
          <w:rFonts w:cs="Times New Roman"/>
          <w:szCs w:val="24"/>
          <w:lang w:val="en-GB"/>
        </w:rPr>
        <w:t xml:space="preserve"> </w:t>
      </w:r>
    </w:p>
    <w:p w14:paraId="445AD154" w14:textId="77777777" w:rsidR="008056EC" w:rsidRPr="00342967" w:rsidRDefault="008056EC" w:rsidP="008056EC">
      <w:pPr>
        <w:rPr>
          <w:rFonts w:cs="Times New Roman"/>
          <w:szCs w:val="24"/>
        </w:rPr>
      </w:pPr>
      <w:r w:rsidRPr="00342967">
        <w:rPr>
          <w:rFonts w:cs="Times New Roman"/>
          <w:szCs w:val="24"/>
        </w:rPr>
        <w:t>Haensel, D., &amp; Krahnen, J. (2007). Does credit securitization reduce bank risk? Evidence from the European CDO market.</w:t>
      </w:r>
    </w:p>
    <w:p w14:paraId="6B1D6957" w14:textId="77777777" w:rsidR="008056EC" w:rsidRPr="00342967" w:rsidRDefault="008056EC" w:rsidP="008056EC">
      <w:pPr>
        <w:rPr>
          <w:rFonts w:cs="Times New Roman"/>
          <w:szCs w:val="24"/>
        </w:rPr>
      </w:pPr>
      <w:r w:rsidRPr="00342967">
        <w:rPr>
          <w:rFonts w:cs="Times New Roman"/>
          <w:szCs w:val="24"/>
        </w:rPr>
        <w:lastRenderedPageBreak/>
        <w:t>Hellwig, M. F. (2009). Systemic risk in the financial sector: An analysis of the subprime-mortgage financial crisis. </w:t>
      </w:r>
      <w:r w:rsidRPr="00342967">
        <w:rPr>
          <w:rFonts w:cs="Times New Roman"/>
          <w:i/>
          <w:iCs/>
          <w:szCs w:val="24"/>
        </w:rPr>
        <w:t>De economist</w:t>
      </w:r>
      <w:r w:rsidRPr="00342967">
        <w:rPr>
          <w:rFonts w:cs="Times New Roman"/>
          <w:szCs w:val="24"/>
        </w:rPr>
        <w:t>, </w:t>
      </w:r>
      <w:r w:rsidRPr="00342967">
        <w:rPr>
          <w:rFonts w:cs="Times New Roman"/>
          <w:i/>
          <w:iCs/>
          <w:szCs w:val="24"/>
        </w:rPr>
        <w:t>157</w:t>
      </w:r>
      <w:r w:rsidRPr="00342967">
        <w:rPr>
          <w:rFonts w:cs="Times New Roman"/>
          <w:szCs w:val="24"/>
        </w:rPr>
        <w:t>(2), 129-207.</w:t>
      </w:r>
    </w:p>
    <w:p w14:paraId="625F2909" w14:textId="77777777" w:rsidR="008056EC" w:rsidRPr="00342967" w:rsidRDefault="008056EC" w:rsidP="008056EC">
      <w:pPr>
        <w:rPr>
          <w:rStyle w:val="Hyperlink"/>
          <w:rFonts w:cs="Times New Roman"/>
          <w:color w:val="auto"/>
          <w:szCs w:val="24"/>
        </w:rPr>
      </w:pPr>
      <w:r w:rsidRPr="00342967">
        <w:rPr>
          <w:rFonts w:cs="Times New Roman"/>
          <w:szCs w:val="24"/>
        </w:rPr>
        <w:t xml:space="preserve">Hill, J (2015). European Financial Regulation and Transatlantic Collaboration, Featuring Lord Hill, European Commissioner for Financial Stability, Financial Services, and Capital Markets Union. Retrieved from </w:t>
      </w:r>
      <w:hyperlink r:id="rId25" w:history="1">
        <w:r w:rsidRPr="00342967">
          <w:rPr>
            <w:rStyle w:val="Hyperlink"/>
            <w:rFonts w:cs="Times New Roman"/>
            <w:color w:val="auto"/>
            <w:szCs w:val="24"/>
          </w:rPr>
          <w:t>https://www.brookings.edu/wp-content/uploads/2015/02/20150225_hill_euro_transcript.pdf</w:t>
        </w:r>
      </w:hyperlink>
    </w:p>
    <w:p w14:paraId="77B636FA" w14:textId="77777777" w:rsidR="008056EC" w:rsidRPr="00342967" w:rsidRDefault="008056EC" w:rsidP="008056EC">
      <w:pPr>
        <w:rPr>
          <w:rFonts w:cs="Times New Roman"/>
          <w:szCs w:val="24"/>
          <w:lang w:val="en-GB"/>
        </w:rPr>
      </w:pPr>
      <w:r w:rsidRPr="00342967">
        <w:rPr>
          <w:rFonts w:cs="Times New Roman"/>
          <w:szCs w:val="24"/>
          <w:lang w:val="en-GB"/>
        </w:rPr>
        <w:t xml:space="preserve">Hindess, B. (1984) 'Rational choice theory and the analysis of political action', </w:t>
      </w:r>
      <w:r w:rsidRPr="00342967">
        <w:rPr>
          <w:rFonts w:cs="Times New Roman"/>
          <w:i/>
          <w:iCs/>
          <w:szCs w:val="24"/>
          <w:lang w:val="en-GB"/>
        </w:rPr>
        <w:t>Economy and Society</w:t>
      </w:r>
      <w:r w:rsidRPr="00342967">
        <w:rPr>
          <w:rFonts w:cs="Times New Roman"/>
          <w:szCs w:val="24"/>
          <w:lang w:val="en-GB"/>
        </w:rPr>
        <w:t>, Vol. 13, No. 3, pp. 255-277.</w:t>
      </w:r>
    </w:p>
    <w:p w14:paraId="24680690" w14:textId="77777777" w:rsidR="008056EC" w:rsidRPr="00342967" w:rsidRDefault="008056EC" w:rsidP="008056EC">
      <w:pPr>
        <w:rPr>
          <w:rFonts w:cs="Times New Roman"/>
          <w:szCs w:val="24"/>
        </w:rPr>
      </w:pPr>
      <w:r w:rsidRPr="00342967">
        <w:rPr>
          <w:rFonts w:cs="Times New Roman"/>
          <w:szCs w:val="24"/>
        </w:rPr>
        <w:t>Hobsbawm, E. (2011). </w:t>
      </w:r>
      <w:r w:rsidRPr="00342967">
        <w:rPr>
          <w:rFonts w:cs="Times New Roman"/>
          <w:i/>
          <w:iCs/>
          <w:szCs w:val="24"/>
        </w:rPr>
        <w:t>How to Change the World: Reflections on Marx and Marxism</w:t>
      </w:r>
      <w:r w:rsidRPr="00342967">
        <w:rPr>
          <w:rFonts w:cs="Times New Roman"/>
          <w:szCs w:val="24"/>
        </w:rPr>
        <w:t xml:space="preserve">. New Haven, United States: Yale University Press </w:t>
      </w:r>
    </w:p>
    <w:p w14:paraId="45D091F6" w14:textId="5E38FC8F" w:rsidR="008056EC" w:rsidRPr="00342967" w:rsidRDefault="008056EC" w:rsidP="008056EC">
      <w:pPr>
        <w:rPr>
          <w:rFonts w:cs="Times New Roman"/>
          <w:szCs w:val="24"/>
        </w:rPr>
      </w:pPr>
      <w:r w:rsidRPr="00342967">
        <w:rPr>
          <w:rFonts w:cs="Times New Roman"/>
          <w:szCs w:val="24"/>
        </w:rPr>
        <w:t>Hoffmann, S. (1965). The state of war: essays on the theory and practice of international politics.</w:t>
      </w:r>
    </w:p>
    <w:p w14:paraId="4B3DF2F5" w14:textId="63444367" w:rsidR="003F2BF0" w:rsidRPr="00342967" w:rsidRDefault="003F2BF0" w:rsidP="003F2BF0">
      <w:pPr>
        <w:rPr>
          <w:rFonts w:cs="Times New Roman"/>
          <w:szCs w:val="24"/>
        </w:rPr>
      </w:pPr>
      <w:r w:rsidRPr="00342967">
        <w:rPr>
          <w:rFonts w:cs="Times New Roman"/>
          <w:szCs w:val="24"/>
          <w:lang w:val="en-GB"/>
        </w:rPr>
        <w:t xml:space="preserve">Horkheimer, M. (1937), </w:t>
      </w:r>
      <w:r w:rsidRPr="00342967">
        <w:rPr>
          <w:rFonts w:cs="Times New Roman"/>
          <w:i/>
          <w:iCs/>
          <w:szCs w:val="24"/>
          <w:lang w:val="en-GB"/>
        </w:rPr>
        <w:t>Traditional and Critical Theory in Critical Theory: Selected Essays</w:t>
      </w:r>
      <w:r w:rsidRPr="00342967">
        <w:rPr>
          <w:rFonts w:cs="Times New Roman"/>
          <w:szCs w:val="24"/>
          <w:lang w:val="en-GB"/>
        </w:rPr>
        <w:t>, reprinted 1989, New York: Continuum.</w:t>
      </w:r>
    </w:p>
    <w:p w14:paraId="6D7C676D" w14:textId="53806A50" w:rsidR="008056EC" w:rsidRPr="00342967" w:rsidRDefault="008056EC" w:rsidP="008056EC">
      <w:pPr>
        <w:rPr>
          <w:rFonts w:cs="Times New Roman"/>
          <w:szCs w:val="24"/>
        </w:rPr>
      </w:pPr>
      <w:r w:rsidRPr="00342967">
        <w:rPr>
          <w:rFonts w:cs="Times New Roman"/>
          <w:szCs w:val="24"/>
        </w:rPr>
        <w:t xml:space="preserve">Horn, L. (2009). Organic Intellectuals at Work? The </w:t>
      </w:r>
      <w:r w:rsidR="00DD629C" w:rsidRPr="00342967">
        <w:rPr>
          <w:rFonts w:cs="Times New Roman"/>
          <w:szCs w:val="24"/>
        </w:rPr>
        <w:t>High-Level</w:t>
      </w:r>
      <w:r w:rsidRPr="00342967">
        <w:rPr>
          <w:rFonts w:cs="Times New Roman"/>
          <w:szCs w:val="24"/>
        </w:rPr>
        <w:t xml:space="preserve"> Group of Company Law Expert in Eur</w:t>
      </w:r>
      <w:r w:rsidR="00DD629C">
        <w:rPr>
          <w:rFonts w:cs="Times New Roman"/>
          <w:szCs w:val="24"/>
        </w:rPr>
        <w:t>o</w:t>
      </w:r>
      <w:r w:rsidRPr="00342967">
        <w:rPr>
          <w:rFonts w:cs="Times New Roman"/>
          <w:szCs w:val="24"/>
        </w:rPr>
        <w:t>pean Corporate Governance Regulation. In B. van Apeldoorn, J. Drahokoupil, &amp; L. Horn (Reds.), </w:t>
      </w:r>
      <w:r w:rsidRPr="00342967">
        <w:rPr>
          <w:rFonts w:cs="Times New Roman"/>
          <w:i/>
          <w:iCs/>
          <w:szCs w:val="24"/>
        </w:rPr>
        <w:t>Contradiction and Limits of Neoliberal European Governance</w:t>
      </w:r>
      <w:r w:rsidRPr="00342967">
        <w:rPr>
          <w:rFonts w:cs="Times New Roman"/>
          <w:szCs w:val="24"/>
        </w:rPr>
        <w:t> (pp. 125-140). London, United Kingdom: Palgrave Macmillan.</w:t>
      </w:r>
    </w:p>
    <w:p w14:paraId="5898B15D" w14:textId="77777777" w:rsidR="008056EC" w:rsidRPr="00342967" w:rsidRDefault="008056EC" w:rsidP="008056EC">
      <w:pPr>
        <w:rPr>
          <w:rFonts w:cs="Times New Roman"/>
          <w:szCs w:val="24"/>
        </w:rPr>
      </w:pPr>
      <w:r w:rsidRPr="00342967">
        <w:rPr>
          <w:rFonts w:cs="Times New Roman"/>
          <w:szCs w:val="24"/>
        </w:rPr>
        <w:t>Hübner, M. (2016). Securitisation to the Rescue: The European Capital Markets Union Project, the Euro Crisis and the ECB as" Macroeconomic Stabilizer of Last Resort".</w:t>
      </w:r>
    </w:p>
    <w:p w14:paraId="74D924DC" w14:textId="77777777" w:rsidR="008056EC" w:rsidRPr="00342967" w:rsidRDefault="008056EC" w:rsidP="008056EC">
      <w:pPr>
        <w:rPr>
          <w:rFonts w:cs="Times New Roman"/>
          <w:szCs w:val="24"/>
        </w:rPr>
      </w:pPr>
      <w:r w:rsidRPr="00342967">
        <w:rPr>
          <w:rFonts w:cs="Times New Roman"/>
          <w:szCs w:val="24"/>
        </w:rPr>
        <w:t>Jessop, B. (1999). The strategic selectivity of the state: Reflections on a theme of Poulantzas.</w:t>
      </w:r>
    </w:p>
    <w:p w14:paraId="4967F13A" w14:textId="77777777" w:rsidR="008056EC" w:rsidRPr="00342967" w:rsidRDefault="008056EC" w:rsidP="008056EC">
      <w:r w:rsidRPr="00342967">
        <w:t>Jessop, B. (2005). Critical Realism and the Strategic-Relational Approach. </w:t>
      </w:r>
      <w:r w:rsidRPr="00342967">
        <w:rPr>
          <w:i/>
          <w:iCs/>
        </w:rPr>
        <w:t>New Formations: A journal of culture, theory and politics</w:t>
      </w:r>
      <w:r w:rsidRPr="00342967">
        <w:t>, (56), 40-53.</w:t>
      </w:r>
    </w:p>
    <w:p w14:paraId="339E07BA" w14:textId="77777777" w:rsidR="008056EC" w:rsidRPr="00342967" w:rsidRDefault="008056EC" w:rsidP="008056EC">
      <w:pPr>
        <w:rPr>
          <w:rFonts w:cs="Times New Roman"/>
          <w:szCs w:val="24"/>
        </w:rPr>
      </w:pPr>
      <w:r w:rsidRPr="00342967">
        <w:rPr>
          <w:rFonts w:cs="Times New Roman"/>
          <w:szCs w:val="24"/>
        </w:rPr>
        <w:t>Jessop, B. (2007). </w:t>
      </w:r>
      <w:r w:rsidRPr="00342967">
        <w:rPr>
          <w:rFonts w:cs="Times New Roman"/>
          <w:i/>
          <w:iCs/>
          <w:szCs w:val="24"/>
        </w:rPr>
        <w:t>State Power</w:t>
      </w:r>
      <w:r w:rsidRPr="00342967">
        <w:rPr>
          <w:rFonts w:cs="Times New Roman"/>
          <w:szCs w:val="24"/>
        </w:rPr>
        <w:t>. Cambridge, United Kingdom: Polity Press.</w:t>
      </w:r>
    </w:p>
    <w:p w14:paraId="509B3340" w14:textId="77777777" w:rsidR="008056EC" w:rsidRPr="00342967" w:rsidRDefault="008056EC" w:rsidP="008056EC">
      <w:r w:rsidRPr="00342967">
        <w:t xml:space="preserve">Keohane, R.O. (1984). </w:t>
      </w:r>
      <w:r w:rsidRPr="00342967">
        <w:rPr>
          <w:i/>
          <w:iCs/>
        </w:rPr>
        <w:t>After Hegemony: Cooperation and Discord in the World Political Economy</w:t>
      </w:r>
      <w:r w:rsidRPr="00342967">
        <w:t xml:space="preserve">, Princeton, New Jersey: Princeton University Press. </w:t>
      </w:r>
    </w:p>
    <w:p w14:paraId="6D09FF6E" w14:textId="77777777" w:rsidR="008056EC" w:rsidRPr="00342967" w:rsidRDefault="008056EC" w:rsidP="008056EC">
      <w:pPr>
        <w:rPr>
          <w:rFonts w:cs="Times New Roman"/>
          <w:szCs w:val="24"/>
        </w:rPr>
      </w:pPr>
      <w:r w:rsidRPr="00342967">
        <w:rPr>
          <w:rFonts w:cs="Times New Roman"/>
          <w:szCs w:val="24"/>
        </w:rPr>
        <w:t>Keys, B. J., Mukherjee, T., Seru, A., &amp; Vig, V. (2010). Did securitization lead to lax screening? Evidence from subprime loans. </w:t>
      </w:r>
      <w:r w:rsidRPr="00342967">
        <w:rPr>
          <w:rFonts w:cs="Times New Roman"/>
          <w:i/>
          <w:iCs/>
          <w:szCs w:val="24"/>
        </w:rPr>
        <w:t>The Quarterly journal of economics</w:t>
      </w:r>
      <w:r w:rsidRPr="00342967">
        <w:rPr>
          <w:rFonts w:cs="Times New Roman"/>
          <w:szCs w:val="24"/>
        </w:rPr>
        <w:t>, </w:t>
      </w:r>
      <w:r w:rsidRPr="00342967">
        <w:rPr>
          <w:rFonts w:cs="Times New Roman"/>
          <w:i/>
          <w:iCs/>
          <w:szCs w:val="24"/>
        </w:rPr>
        <w:t>125</w:t>
      </w:r>
      <w:r w:rsidRPr="00342967">
        <w:rPr>
          <w:rFonts w:cs="Times New Roman"/>
          <w:szCs w:val="24"/>
        </w:rPr>
        <w:t xml:space="preserve">(1), 307-362. </w:t>
      </w:r>
    </w:p>
    <w:p w14:paraId="33990F5B" w14:textId="77777777" w:rsidR="008056EC" w:rsidRPr="00342967" w:rsidRDefault="008056EC" w:rsidP="008056EC">
      <w:pPr>
        <w:rPr>
          <w:rFonts w:cs="Times New Roman"/>
          <w:szCs w:val="24"/>
        </w:rPr>
      </w:pPr>
      <w:r w:rsidRPr="00342967">
        <w:rPr>
          <w:rFonts w:cs="Times New Roman"/>
          <w:szCs w:val="24"/>
        </w:rPr>
        <w:lastRenderedPageBreak/>
        <w:t>Kotz, D. M., McDonough, T., &amp; Reich, M. (1994). Introduction. In D. M Kotz, T. McDonough, &amp; M. Reich (Eds.), </w:t>
      </w:r>
      <w:r w:rsidRPr="00342967">
        <w:rPr>
          <w:rFonts w:cs="Times New Roman"/>
          <w:i/>
          <w:iCs/>
          <w:szCs w:val="24"/>
        </w:rPr>
        <w:t>Social Structures of Accumulation: the political economy of growth and crisis</w:t>
      </w:r>
      <w:r w:rsidRPr="00342967">
        <w:rPr>
          <w:rFonts w:cs="Times New Roman"/>
          <w:szCs w:val="24"/>
        </w:rPr>
        <w:t> (pp. 1-8). Cambridge, United Kingdom: Cambridge University Press.</w:t>
      </w:r>
    </w:p>
    <w:p w14:paraId="11EEDB38" w14:textId="77777777" w:rsidR="008056EC" w:rsidRPr="00342967" w:rsidRDefault="008056EC" w:rsidP="008056EC">
      <w:pPr>
        <w:rPr>
          <w:rFonts w:cs="Times New Roman"/>
          <w:szCs w:val="24"/>
        </w:rPr>
      </w:pPr>
      <w:r w:rsidRPr="00342967">
        <w:rPr>
          <w:rFonts w:cs="Times New Roman"/>
          <w:szCs w:val="24"/>
        </w:rPr>
        <w:t>Kotz, D. M. (1994). Interpreting the social structure of accumulation theory. In D. M. Kotz, T. McDonough, &amp; M. Reich (Reds.), </w:t>
      </w:r>
      <w:r w:rsidRPr="00342967">
        <w:rPr>
          <w:rFonts w:cs="Times New Roman"/>
          <w:i/>
          <w:iCs/>
          <w:szCs w:val="24"/>
        </w:rPr>
        <w:t>Social Structures of Accumulation: the political economy of growth and crisis</w:t>
      </w:r>
      <w:r w:rsidRPr="00342967">
        <w:rPr>
          <w:rFonts w:cs="Times New Roman"/>
          <w:szCs w:val="24"/>
        </w:rPr>
        <w:t> (pp. 50-71). Cambridge, United Kingdom: Cambridge University Press.</w:t>
      </w:r>
    </w:p>
    <w:p w14:paraId="135CBFEC" w14:textId="77777777" w:rsidR="008056EC" w:rsidRPr="00342967" w:rsidRDefault="008056EC" w:rsidP="008056EC">
      <w:pPr>
        <w:rPr>
          <w:rFonts w:cs="Times New Roman"/>
          <w:szCs w:val="24"/>
        </w:rPr>
      </w:pPr>
      <w:r w:rsidRPr="00342967">
        <w:rPr>
          <w:rFonts w:cs="Times New Roman"/>
          <w:szCs w:val="24"/>
        </w:rPr>
        <w:t>Kotz, D. M., &amp; McDonough, T. (2010). Global Neoliberalism and the Contemporary Social Structure of Accumulation. In T. McDonough, M. Reich, &amp; D. M. Kotz (Eds.), </w:t>
      </w:r>
      <w:r w:rsidRPr="00342967">
        <w:rPr>
          <w:rFonts w:cs="Times New Roman"/>
          <w:i/>
          <w:iCs/>
          <w:szCs w:val="24"/>
        </w:rPr>
        <w:t>Contemporary Capitalism and Its Crises Social Structures of Accumulation Theory for the 21st Century</w:t>
      </w:r>
      <w:r w:rsidRPr="00342967">
        <w:rPr>
          <w:rFonts w:cs="Times New Roman"/>
          <w:szCs w:val="24"/>
        </w:rPr>
        <w:t> (pp. 93-120). Cambridge, United Kingdom: Cambridge University Press.</w:t>
      </w:r>
    </w:p>
    <w:p w14:paraId="683B8CA2" w14:textId="77777777" w:rsidR="008056EC" w:rsidRPr="00342967" w:rsidRDefault="008056EC" w:rsidP="008056EC">
      <w:pPr>
        <w:rPr>
          <w:rFonts w:cs="Times New Roman"/>
          <w:szCs w:val="24"/>
        </w:rPr>
      </w:pPr>
      <w:r w:rsidRPr="00342967">
        <w:rPr>
          <w:rFonts w:cs="Times New Roman"/>
          <w:szCs w:val="24"/>
        </w:rPr>
        <w:t>Kotz, D. M. (2017). Social Structure of Accumulation Theory, Marxist Theory, and System Transformation. </w:t>
      </w:r>
      <w:r w:rsidRPr="00342967">
        <w:rPr>
          <w:rFonts w:cs="Times New Roman"/>
          <w:i/>
          <w:iCs/>
          <w:szCs w:val="24"/>
        </w:rPr>
        <w:t>Review of Radical Political Economics</w:t>
      </w:r>
      <w:r w:rsidRPr="00342967">
        <w:rPr>
          <w:rFonts w:cs="Times New Roman"/>
          <w:szCs w:val="24"/>
        </w:rPr>
        <w:t>, 0486613417699050.</w:t>
      </w:r>
    </w:p>
    <w:p w14:paraId="4F8F2321" w14:textId="77777777" w:rsidR="008056EC" w:rsidRPr="00342967" w:rsidRDefault="008056EC" w:rsidP="008056EC">
      <w:pPr>
        <w:rPr>
          <w:rFonts w:cs="Times New Roman"/>
          <w:szCs w:val="24"/>
        </w:rPr>
      </w:pPr>
      <w:r w:rsidRPr="00342967">
        <w:rPr>
          <w:rFonts w:cs="Times New Roman"/>
          <w:szCs w:val="24"/>
        </w:rPr>
        <w:t>KPMG. (2015). Response letter Capital Markets Union Green paper. Retrieved from https://ec.europa.eu/eusurvey/files/e3aac1ef-3b45-4235-84a5-53b39cb20946/7535eeee-8df8-43ea-9f72-7dfb42a2eaa3</w:t>
      </w:r>
    </w:p>
    <w:p w14:paraId="414381A1" w14:textId="77777777" w:rsidR="008056EC" w:rsidRPr="00342967" w:rsidRDefault="008056EC" w:rsidP="008056EC">
      <w:pPr>
        <w:rPr>
          <w:rFonts w:cs="Times New Roman"/>
          <w:szCs w:val="24"/>
        </w:rPr>
      </w:pPr>
      <w:r w:rsidRPr="00342967">
        <w:rPr>
          <w:rFonts w:cs="Times New Roman"/>
          <w:szCs w:val="24"/>
        </w:rPr>
        <w:t>Lindberg, L. N. (1963). political dynamics of European economic integration.</w:t>
      </w:r>
    </w:p>
    <w:p w14:paraId="55D0D2C1" w14:textId="1ADFBB9F" w:rsidR="008056EC" w:rsidRPr="00342967" w:rsidRDefault="008056EC" w:rsidP="008056EC">
      <w:pPr>
        <w:rPr>
          <w:rFonts w:cs="Times New Roman"/>
          <w:szCs w:val="24"/>
        </w:rPr>
      </w:pPr>
      <w:r w:rsidRPr="00342967">
        <w:rPr>
          <w:rFonts w:cs="Times New Roman"/>
          <w:szCs w:val="24"/>
        </w:rPr>
        <w:t xml:space="preserve">Lippit, V. D. (2010). Social </w:t>
      </w:r>
      <w:r w:rsidR="00DD629C" w:rsidRPr="00342967">
        <w:rPr>
          <w:rFonts w:cs="Times New Roman"/>
          <w:szCs w:val="24"/>
        </w:rPr>
        <w:t>Structure</w:t>
      </w:r>
      <w:r w:rsidRPr="00342967">
        <w:rPr>
          <w:rFonts w:cs="Times New Roman"/>
          <w:szCs w:val="24"/>
        </w:rPr>
        <w:t xml:space="preserve"> of Accumulation Theory. In T. McDonough, M. Reich, &amp; D. M Kotz (Eds.), </w:t>
      </w:r>
      <w:r w:rsidRPr="00342967">
        <w:rPr>
          <w:rFonts w:cs="Times New Roman"/>
          <w:i/>
          <w:iCs/>
          <w:szCs w:val="24"/>
        </w:rPr>
        <w:t>Contemporary Capitalism and Its Crises Social Structures of Accumulation Theory for the 21st Century</w:t>
      </w:r>
      <w:r w:rsidRPr="00342967">
        <w:rPr>
          <w:rFonts w:cs="Times New Roman"/>
          <w:szCs w:val="24"/>
        </w:rPr>
        <w:t> (pp. 45-71). Cambridge, United Kingdom: Cambridge University Press.</w:t>
      </w:r>
    </w:p>
    <w:p w14:paraId="47322B14" w14:textId="77777777" w:rsidR="008056EC" w:rsidRPr="00342967" w:rsidRDefault="008056EC" w:rsidP="008056EC">
      <w:pPr>
        <w:rPr>
          <w:rFonts w:cs="Times New Roman"/>
          <w:szCs w:val="24"/>
        </w:rPr>
      </w:pPr>
      <w:r w:rsidRPr="00342967">
        <w:rPr>
          <w:rFonts w:cs="Times New Roman"/>
          <w:szCs w:val="24"/>
        </w:rPr>
        <w:t>Lockwood, L. J., Rutherford, R. C., &amp; Herrera, M. J. (1996). Wealth effects of asset securitization. </w:t>
      </w:r>
      <w:r w:rsidRPr="00342967">
        <w:rPr>
          <w:rFonts w:cs="Times New Roman"/>
          <w:i/>
          <w:szCs w:val="24"/>
        </w:rPr>
        <w:t>Journal of Banking &amp; Finance</w:t>
      </w:r>
      <w:r w:rsidRPr="00342967">
        <w:rPr>
          <w:rFonts w:cs="Times New Roman"/>
          <w:szCs w:val="24"/>
        </w:rPr>
        <w:t>, 20(1), 151-164.</w:t>
      </w:r>
    </w:p>
    <w:p w14:paraId="6AAB667F" w14:textId="77777777" w:rsidR="008056EC" w:rsidRPr="00342967" w:rsidRDefault="008056EC" w:rsidP="008056EC">
      <w:pPr>
        <w:rPr>
          <w:rFonts w:cs="Times New Roman"/>
          <w:szCs w:val="24"/>
        </w:rPr>
      </w:pPr>
      <w:r w:rsidRPr="00342967">
        <w:rPr>
          <w:rFonts w:cs="Times New Roman"/>
          <w:szCs w:val="24"/>
          <w:lang w:val="en-GB"/>
        </w:rPr>
        <w:t xml:space="preserve">Marx, K. (1845), ‘Theses on Feuerbach’, reprinted 1969 in </w:t>
      </w:r>
      <w:r w:rsidRPr="00342967">
        <w:rPr>
          <w:rFonts w:cs="Times New Roman"/>
          <w:i/>
          <w:iCs/>
          <w:szCs w:val="24"/>
          <w:lang w:val="en-GB"/>
        </w:rPr>
        <w:t>The German Ideology</w:t>
      </w:r>
      <w:r w:rsidRPr="00342967">
        <w:rPr>
          <w:rFonts w:cs="Times New Roman"/>
          <w:szCs w:val="24"/>
          <w:lang w:val="en-GB"/>
        </w:rPr>
        <w:t>, Moscow: Progress, ch. 1.</w:t>
      </w:r>
    </w:p>
    <w:p w14:paraId="4C87F3DF" w14:textId="77777777" w:rsidR="008056EC" w:rsidRPr="00342967" w:rsidRDefault="008056EC" w:rsidP="008056EC">
      <w:pPr>
        <w:rPr>
          <w:rFonts w:cs="Times New Roman"/>
          <w:szCs w:val="24"/>
        </w:rPr>
      </w:pPr>
      <w:r w:rsidRPr="00342967">
        <w:rPr>
          <w:rFonts w:cs="Times New Roman"/>
          <w:szCs w:val="24"/>
        </w:rPr>
        <w:t>McDonough, T. (1994). Social structures of accumulation, contingent history, and stages of capitalism. In D. M. Kotz, T. McDonough, &amp; M. Reich (Eds.), </w:t>
      </w:r>
      <w:r w:rsidRPr="00342967">
        <w:rPr>
          <w:rFonts w:cs="Times New Roman"/>
          <w:i/>
          <w:iCs/>
          <w:szCs w:val="24"/>
        </w:rPr>
        <w:t>Social Structures of Accumulation: the political economy of growth and crisis</w:t>
      </w:r>
      <w:r w:rsidRPr="00342967">
        <w:rPr>
          <w:rFonts w:cs="Times New Roman"/>
          <w:szCs w:val="24"/>
        </w:rPr>
        <w:t> (pp. 72-84). Cambridge, United Kingdom: Cambridge University Press.</w:t>
      </w:r>
    </w:p>
    <w:p w14:paraId="16A394C5" w14:textId="77777777" w:rsidR="008056EC" w:rsidRPr="00342967" w:rsidRDefault="008056EC" w:rsidP="008056EC">
      <w:pPr>
        <w:rPr>
          <w:rFonts w:cs="Times New Roman"/>
          <w:szCs w:val="24"/>
        </w:rPr>
      </w:pPr>
      <w:r w:rsidRPr="00342967">
        <w:rPr>
          <w:rFonts w:cs="Times New Roman"/>
          <w:szCs w:val="24"/>
        </w:rPr>
        <w:lastRenderedPageBreak/>
        <w:t>McDonough, T., Reich, M., &amp; M Kotz, D. (2010). Introduction: Social Structure of Accumulation Theory for the 21st Century. In T. McDonough, M. Reich, &amp; D. M Kotz (Eds.), </w:t>
      </w:r>
      <w:r w:rsidRPr="00342967">
        <w:rPr>
          <w:rFonts w:cs="Times New Roman"/>
          <w:i/>
          <w:iCs/>
          <w:szCs w:val="24"/>
        </w:rPr>
        <w:t>Contemporary Capitalism and Its Crises Social Structures of Accumulation Theory for the 21st Century</w:t>
      </w:r>
      <w:r w:rsidRPr="00342967">
        <w:rPr>
          <w:rFonts w:cs="Times New Roman"/>
          <w:szCs w:val="24"/>
        </w:rPr>
        <w:t> (pp. 1-20). Cambridge, United Kingdom: Cambridge University Press.</w:t>
      </w:r>
    </w:p>
    <w:p w14:paraId="1C8F0C7B" w14:textId="77777777" w:rsidR="008056EC" w:rsidRPr="00342967" w:rsidRDefault="008056EC" w:rsidP="008056EC">
      <w:pPr>
        <w:rPr>
          <w:rFonts w:cs="Times New Roman"/>
          <w:szCs w:val="24"/>
        </w:rPr>
      </w:pPr>
      <w:r w:rsidRPr="00342967">
        <w:rPr>
          <w:rFonts w:cs="Times New Roman"/>
          <w:szCs w:val="24"/>
        </w:rPr>
        <w:t>Mertens, D., &amp; Thiemann, M. (2018). Market-based but state-led: The role of public development banks in shaping market-based finance in the European Union. </w:t>
      </w:r>
      <w:r w:rsidRPr="00342967">
        <w:rPr>
          <w:rFonts w:cs="Times New Roman"/>
          <w:i/>
          <w:iCs/>
          <w:szCs w:val="24"/>
        </w:rPr>
        <w:t>Competition &amp; Change</w:t>
      </w:r>
      <w:r w:rsidRPr="00342967">
        <w:rPr>
          <w:rFonts w:cs="Times New Roman"/>
          <w:szCs w:val="24"/>
        </w:rPr>
        <w:t>, </w:t>
      </w:r>
      <w:r w:rsidRPr="00342967">
        <w:rPr>
          <w:rFonts w:cs="Times New Roman"/>
          <w:i/>
          <w:iCs/>
          <w:szCs w:val="24"/>
        </w:rPr>
        <w:t>22</w:t>
      </w:r>
      <w:r w:rsidRPr="00342967">
        <w:rPr>
          <w:rFonts w:cs="Times New Roman"/>
          <w:szCs w:val="24"/>
        </w:rPr>
        <w:t>(2), 184-204.</w:t>
      </w:r>
    </w:p>
    <w:p w14:paraId="36DE8607" w14:textId="77777777" w:rsidR="008056EC" w:rsidRPr="00342967" w:rsidRDefault="008056EC" w:rsidP="008056EC">
      <w:pPr>
        <w:rPr>
          <w:rFonts w:cs="Times New Roman"/>
          <w:szCs w:val="24"/>
        </w:rPr>
      </w:pPr>
      <w:r w:rsidRPr="00342967">
        <w:rPr>
          <w:rFonts w:cs="Times New Roman"/>
          <w:szCs w:val="24"/>
        </w:rPr>
        <w:t>Mishkin, F. S. (2011). Over the cliff: From the subprime to the global financial crisis. </w:t>
      </w:r>
      <w:r w:rsidRPr="00342967">
        <w:rPr>
          <w:rFonts w:cs="Times New Roman"/>
          <w:i/>
          <w:iCs/>
          <w:szCs w:val="24"/>
        </w:rPr>
        <w:t>Journal of Economic Perspectives</w:t>
      </w:r>
      <w:r w:rsidRPr="00342967">
        <w:rPr>
          <w:rFonts w:cs="Times New Roman"/>
          <w:szCs w:val="24"/>
        </w:rPr>
        <w:t>, </w:t>
      </w:r>
      <w:r w:rsidRPr="00342967">
        <w:rPr>
          <w:rFonts w:cs="Times New Roman"/>
          <w:i/>
          <w:iCs/>
          <w:szCs w:val="24"/>
        </w:rPr>
        <w:t>25</w:t>
      </w:r>
      <w:r w:rsidRPr="00342967">
        <w:rPr>
          <w:rFonts w:cs="Times New Roman"/>
          <w:szCs w:val="24"/>
        </w:rPr>
        <w:t>(1), 49-70.</w:t>
      </w:r>
    </w:p>
    <w:p w14:paraId="11C88EFE" w14:textId="77777777" w:rsidR="008056EC" w:rsidRPr="00342967" w:rsidRDefault="008056EC" w:rsidP="008056EC">
      <w:pPr>
        <w:rPr>
          <w:rFonts w:cs="Times New Roman"/>
          <w:szCs w:val="24"/>
        </w:rPr>
      </w:pPr>
      <w:r w:rsidRPr="00342967">
        <w:rPr>
          <w:rFonts w:cs="Times New Roman"/>
          <w:szCs w:val="24"/>
        </w:rPr>
        <w:t>Moravcsik, A. (1993). Preferences and power in the European Community: a liberal intergovernmentalist approach. </w:t>
      </w:r>
      <w:r w:rsidRPr="00342967">
        <w:rPr>
          <w:rFonts w:cs="Times New Roman"/>
          <w:i/>
          <w:iCs/>
          <w:szCs w:val="24"/>
        </w:rPr>
        <w:t>JCMS: Journal of Common Market Studies</w:t>
      </w:r>
      <w:r w:rsidRPr="00342967">
        <w:rPr>
          <w:rFonts w:cs="Times New Roman"/>
          <w:szCs w:val="24"/>
        </w:rPr>
        <w:t>, </w:t>
      </w:r>
      <w:r w:rsidRPr="00342967">
        <w:rPr>
          <w:rFonts w:cs="Times New Roman"/>
          <w:i/>
          <w:iCs/>
          <w:szCs w:val="24"/>
        </w:rPr>
        <w:t>31</w:t>
      </w:r>
      <w:r w:rsidRPr="00342967">
        <w:rPr>
          <w:rFonts w:cs="Times New Roman"/>
          <w:szCs w:val="24"/>
        </w:rPr>
        <w:t>(4), 473-524.</w:t>
      </w:r>
    </w:p>
    <w:p w14:paraId="56224E95" w14:textId="77777777" w:rsidR="008056EC" w:rsidRPr="00342967" w:rsidRDefault="008056EC" w:rsidP="008056EC">
      <w:pPr>
        <w:rPr>
          <w:rFonts w:cs="Times New Roman"/>
          <w:szCs w:val="24"/>
        </w:rPr>
      </w:pPr>
      <w:r w:rsidRPr="00342967">
        <w:rPr>
          <w:rFonts w:cs="Times New Roman"/>
          <w:szCs w:val="24"/>
        </w:rPr>
        <w:t>Moravcsik, A. (1995). Liberal intergovernmentalism and integration: a rejoinder. </w:t>
      </w:r>
      <w:r w:rsidRPr="00342967">
        <w:rPr>
          <w:rFonts w:cs="Times New Roman"/>
          <w:i/>
          <w:iCs/>
          <w:szCs w:val="24"/>
        </w:rPr>
        <w:t>JCMS: Journal of Common Market Studies</w:t>
      </w:r>
      <w:r w:rsidRPr="00342967">
        <w:rPr>
          <w:rFonts w:cs="Times New Roman"/>
          <w:szCs w:val="24"/>
        </w:rPr>
        <w:t>, </w:t>
      </w:r>
      <w:r w:rsidRPr="00342967">
        <w:rPr>
          <w:rFonts w:cs="Times New Roman"/>
          <w:i/>
          <w:iCs/>
          <w:szCs w:val="24"/>
        </w:rPr>
        <w:t>33</w:t>
      </w:r>
      <w:r w:rsidRPr="00342967">
        <w:rPr>
          <w:rFonts w:cs="Times New Roman"/>
          <w:szCs w:val="24"/>
        </w:rPr>
        <w:t>(4), 611-628.</w:t>
      </w:r>
    </w:p>
    <w:p w14:paraId="7D2D9FB0" w14:textId="77777777" w:rsidR="008056EC" w:rsidRPr="00342967" w:rsidRDefault="008056EC" w:rsidP="008056EC">
      <w:pPr>
        <w:rPr>
          <w:rFonts w:cs="Times New Roman"/>
          <w:szCs w:val="24"/>
        </w:rPr>
      </w:pPr>
      <w:r w:rsidRPr="00342967">
        <w:rPr>
          <w:rFonts w:cs="Times New Roman"/>
          <w:szCs w:val="24"/>
        </w:rPr>
        <w:t xml:space="preserve">Moravcsik, A. </w:t>
      </w:r>
      <w:r w:rsidRPr="00342967">
        <w:rPr>
          <w:rFonts w:cs="Times New Roman"/>
          <w:szCs w:val="24"/>
          <w:lang w:val="en-GB"/>
        </w:rPr>
        <w:t xml:space="preserve">(1999) 'The Future of European Integration Studies: Social Science or Social Theory?', </w:t>
      </w:r>
      <w:r w:rsidRPr="00342967">
        <w:rPr>
          <w:rFonts w:cs="Times New Roman"/>
          <w:i/>
          <w:iCs/>
          <w:szCs w:val="24"/>
          <w:lang w:val="en-GB"/>
        </w:rPr>
        <w:t>Millennium: Journal of International Studies</w:t>
      </w:r>
      <w:r w:rsidRPr="00342967">
        <w:rPr>
          <w:rFonts w:cs="Times New Roman"/>
          <w:szCs w:val="24"/>
          <w:lang w:val="en-GB"/>
        </w:rPr>
        <w:t>, Vol. 28, No. 2, pp. 371-391.</w:t>
      </w:r>
    </w:p>
    <w:p w14:paraId="5A5422EA" w14:textId="77777777" w:rsidR="008056EC" w:rsidRPr="00342967" w:rsidRDefault="008056EC" w:rsidP="008056EC">
      <w:pPr>
        <w:rPr>
          <w:rFonts w:cs="Times New Roman"/>
          <w:szCs w:val="24"/>
        </w:rPr>
      </w:pPr>
      <w:r w:rsidRPr="00342967">
        <w:rPr>
          <w:rFonts w:cs="Times New Roman"/>
          <w:szCs w:val="24"/>
        </w:rPr>
        <w:t>Moravcsik, A., &amp; Schimmelfennig, F. (2009). Liberal Intergovernmentalism. In A. Wiener, &amp; T. Diez (Eds.), </w:t>
      </w:r>
      <w:r w:rsidRPr="00342967">
        <w:rPr>
          <w:rFonts w:cs="Times New Roman"/>
          <w:i/>
          <w:iCs/>
          <w:szCs w:val="24"/>
        </w:rPr>
        <w:t>European Integration Theory</w:t>
      </w:r>
      <w:r w:rsidRPr="00342967">
        <w:rPr>
          <w:rFonts w:cs="Times New Roman"/>
          <w:szCs w:val="24"/>
        </w:rPr>
        <w:t> (2nd ed., pp. 67-87). Oxford, United Kingdom: Oxford University Press.</w:t>
      </w:r>
    </w:p>
    <w:p w14:paraId="68CC4E23" w14:textId="77777777" w:rsidR="008056EC" w:rsidRPr="00342967" w:rsidRDefault="008056EC" w:rsidP="008056EC">
      <w:pPr>
        <w:rPr>
          <w:rFonts w:cs="Times New Roman"/>
          <w:szCs w:val="24"/>
        </w:rPr>
      </w:pPr>
      <w:r w:rsidRPr="00342967">
        <w:rPr>
          <w:rFonts w:cs="Times New Roman"/>
          <w:szCs w:val="24"/>
          <w:lang w:val="nl-NL"/>
        </w:rPr>
        <w:t xml:space="preserve">Niemann, A., &amp; C Schmitter, P. (2009). </w:t>
      </w:r>
      <w:r w:rsidRPr="00342967">
        <w:rPr>
          <w:rFonts w:cs="Times New Roman"/>
          <w:szCs w:val="24"/>
        </w:rPr>
        <w:t>Neofunctionalism. In A. Wiener, &amp; T. Diez (Eds.), </w:t>
      </w:r>
      <w:r w:rsidRPr="00342967">
        <w:rPr>
          <w:rFonts w:cs="Times New Roman"/>
          <w:i/>
          <w:iCs/>
          <w:szCs w:val="24"/>
        </w:rPr>
        <w:t>European Integration Theory</w:t>
      </w:r>
      <w:r w:rsidRPr="00342967">
        <w:rPr>
          <w:rFonts w:cs="Times New Roman"/>
          <w:szCs w:val="24"/>
        </w:rPr>
        <w:t> (2nd ed., pp. 45-66). Oxford, United Kingdom: Oxford University Press.</w:t>
      </w:r>
    </w:p>
    <w:p w14:paraId="00DE7A79" w14:textId="77777777" w:rsidR="008056EC" w:rsidRPr="00342967" w:rsidRDefault="008056EC" w:rsidP="008056EC">
      <w:pPr>
        <w:rPr>
          <w:rStyle w:val="Hyperlink"/>
          <w:rFonts w:cs="Times New Roman"/>
          <w:color w:val="auto"/>
          <w:szCs w:val="24"/>
        </w:rPr>
      </w:pPr>
      <w:r w:rsidRPr="00342967">
        <w:rPr>
          <w:rFonts w:cs="Times New Roman"/>
          <w:szCs w:val="24"/>
        </w:rPr>
        <w:t xml:space="preserve">OECD, (2015). Tracing the origins of the financial crisis. Retrieved from: </w:t>
      </w:r>
      <w:hyperlink r:id="rId26" w:history="1">
        <w:r w:rsidRPr="00342967">
          <w:rPr>
            <w:rStyle w:val="Hyperlink"/>
            <w:rFonts w:cs="Times New Roman"/>
            <w:color w:val="auto"/>
            <w:szCs w:val="24"/>
          </w:rPr>
          <w:t>https://www.oecd.org/finance/Tracing-the-origins-of-the-financial-crisis.pdf</w:t>
        </w:r>
      </w:hyperlink>
    </w:p>
    <w:p w14:paraId="720D1AB1" w14:textId="77777777" w:rsidR="008056EC" w:rsidRPr="00342967" w:rsidRDefault="008056EC" w:rsidP="008056EC">
      <w:pPr>
        <w:rPr>
          <w:rStyle w:val="Hyperlink"/>
          <w:rFonts w:cs="Times New Roman"/>
          <w:color w:val="auto"/>
          <w:szCs w:val="24"/>
          <w:u w:val="none"/>
        </w:rPr>
      </w:pPr>
      <w:r w:rsidRPr="00342967">
        <w:rPr>
          <w:rFonts w:cs="Times New Roman"/>
          <w:szCs w:val="24"/>
        </w:rPr>
        <w:t>Patomäki, H., &amp; Wight, C. (2000). After postpositivism? The promises of critical realism. </w:t>
      </w:r>
      <w:r w:rsidRPr="00342967">
        <w:rPr>
          <w:rFonts w:cs="Times New Roman"/>
          <w:i/>
          <w:iCs/>
          <w:szCs w:val="24"/>
        </w:rPr>
        <w:t>International Studies Quarterly</w:t>
      </w:r>
      <w:r w:rsidRPr="00342967">
        <w:rPr>
          <w:rFonts w:cs="Times New Roman"/>
          <w:szCs w:val="24"/>
        </w:rPr>
        <w:t>, </w:t>
      </w:r>
      <w:r w:rsidRPr="00342967">
        <w:rPr>
          <w:rFonts w:cs="Times New Roman"/>
          <w:i/>
          <w:iCs/>
          <w:szCs w:val="24"/>
        </w:rPr>
        <w:t>44</w:t>
      </w:r>
      <w:r w:rsidRPr="00342967">
        <w:rPr>
          <w:rFonts w:cs="Times New Roman"/>
          <w:szCs w:val="24"/>
        </w:rPr>
        <w:t>(2), 213-237.</w:t>
      </w:r>
    </w:p>
    <w:p w14:paraId="7BC5F4FB" w14:textId="77777777" w:rsidR="008056EC" w:rsidRPr="00342967" w:rsidRDefault="008056EC" w:rsidP="008056EC">
      <w:pPr>
        <w:rPr>
          <w:rFonts w:cs="Times New Roman"/>
          <w:szCs w:val="24"/>
        </w:rPr>
      </w:pPr>
      <w:r w:rsidRPr="00342967">
        <w:rPr>
          <w:rFonts w:cs="Times New Roman"/>
          <w:szCs w:val="24"/>
        </w:rPr>
        <w:t>Poulantzas, N. A. (1978). State, Power, Socialism.</w:t>
      </w:r>
    </w:p>
    <w:p w14:paraId="74543026" w14:textId="77777777" w:rsidR="008056EC" w:rsidRPr="00342967" w:rsidRDefault="008056EC" w:rsidP="008056EC">
      <w:pPr>
        <w:rPr>
          <w:rFonts w:cs="Times New Roman"/>
          <w:szCs w:val="24"/>
        </w:rPr>
      </w:pPr>
      <w:r w:rsidRPr="00342967">
        <w:rPr>
          <w:rFonts w:cs="Times New Roman"/>
          <w:szCs w:val="24"/>
        </w:rPr>
        <w:lastRenderedPageBreak/>
        <w:t xml:space="preserve">Prime Collateralised Securities. (2012) Press release. Retrieved from </w:t>
      </w:r>
      <w:hyperlink r:id="rId27" w:history="1">
        <w:r w:rsidRPr="00342967">
          <w:rPr>
            <w:rStyle w:val="Hyperlink"/>
            <w:rFonts w:cs="Times New Roman"/>
            <w:color w:val="auto"/>
            <w:szCs w:val="24"/>
          </w:rPr>
          <w:t>http://www.efr.be/documents/news/PCS%20press%20release%2020120612.pdf</w:t>
        </w:r>
      </w:hyperlink>
    </w:p>
    <w:p w14:paraId="5CC82275" w14:textId="77777777" w:rsidR="008056EC" w:rsidRPr="00342967" w:rsidRDefault="008056EC" w:rsidP="008056EC">
      <w:pPr>
        <w:rPr>
          <w:rFonts w:cs="Times New Roman"/>
          <w:szCs w:val="24"/>
        </w:rPr>
      </w:pPr>
      <w:r w:rsidRPr="00342967">
        <w:rPr>
          <w:rFonts w:cs="Times New Roman"/>
          <w:szCs w:val="24"/>
        </w:rPr>
        <w:t xml:space="preserve">Prime Collateralized Securities. (2017). Prime Collateralised Securities Eligibility Requirement. Retrieved from </w:t>
      </w:r>
      <w:hyperlink r:id="rId28" w:history="1">
        <w:r w:rsidRPr="00342967">
          <w:rPr>
            <w:rStyle w:val="Hyperlink"/>
            <w:rFonts w:cs="Times New Roman"/>
            <w:color w:val="auto"/>
            <w:szCs w:val="24"/>
          </w:rPr>
          <w:t>http://pcsmarket.org/draft//wp-content/uploads/bsk-pdf-manager/Risk_Transfer_Eligibility_Criteria_FINAL,_v1_15.pdf</w:t>
        </w:r>
      </w:hyperlink>
    </w:p>
    <w:p w14:paraId="04DEB7B4" w14:textId="77777777" w:rsidR="008056EC" w:rsidRPr="00342967" w:rsidRDefault="008056EC" w:rsidP="008056EC">
      <w:pPr>
        <w:rPr>
          <w:rFonts w:cs="Times New Roman"/>
          <w:szCs w:val="24"/>
          <w:lang w:val="en-GB"/>
        </w:rPr>
      </w:pPr>
      <w:r w:rsidRPr="00342967">
        <w:rPr>
          <w:rFonts w:cs="Times New Roman"/>
          <w:szCs w:val="24"/>
        </w:rPr>
        <w:t>Quaglia, L., Howarth, D., &amp; Liebe, M. (2016). The political economy of European capital markets union. </w:t>
      </w:r>
      <w:r w:rsidRPr="00342967">
        <w:rPr>
          <w:rFonts w:cs="Times New Roman"/>
          <w:i/>
          <w:iCs/>
          <w:szCs w:val="24"/>
        </w:rPr>
        <w:t>JCMS: Journal of Common Market Studies</w:t>
      </w:r>
      <w:r w:rsidRPr="00342967">
        <w:rPr>
          <w:rFonts w:cs="Times New Roman"/>
          <w:szCs w:val="24"/>
        </w:rPr>
        <w:t>, </w:t>
      </w:r>
      <w:r w:rsidRPr="00342967">
        <w:rPr>
          <w:rFonts w:cs="Times New Roman"/>
          <w:i/>
          <w:iCs/>
          <w:szCs w:val="24"/>
        </w:rPr>
        <w:t>54</w:t>
      </w:r>
      <w:r w:rsidRPr="00342967">
        <w:rPr>
          <w:rFonts w:cs="Times New Roman"/>
          <w:szCs w:val="24"/>
        </w:rPr>
        <w:t>, 185-203.</w:t>
      </w:r>
    </w:p>
    <w:p w14:paraId="6F3A15A8" w14:textId="77777777" w:rsidR="008056EC" w:rsidRPr="00342967" w:rsidRDefault="008056EC" w:rsidP="008056EC">
      <w:pPr>
        <w:rPr>
          <w:rFonts w:cs="Times New Roman"/>
          <w:szCs w:val="24"/>
        </w:rPr>
      </w:pPr>
      <w:r w:rsidRPr="00342967">
        <w:rPr>
          <w:rFonts w:cs="Times New Roman"/>
          <w:szCs w:val="24"/>
        </w:rPr>
        <w:t>Regulation (EU) 2015/2365 of the European Parliament and of the Council of 25 November 2015 on transparency of securities financing transactions and of reuse and amending Regulation (EU) No 648/2012. (2015). Official Journal of the European Union, L337/1, 1-34</w:t>
      </w:r>
    </w:p>
    <w:p w14:paraId="225DC0C0" w14:textId="77777777" w:rsidR="008056EC" w:rsidRPr="00342967" w:rsidRDefault="008056EC" w:rsidP="008056EC">
      <w:pPr>
        <w:rPr>
          <w:rFonts w:cs="Times New Roman"/>
          <w:szCs w:val="24"/>
        </w:rPr>
      </w:pPr>
      <w:r w:rsidRPr="00342967">
        <w:rPr>
          <w:rFonts w:cs="Times New Roman"/>
          <w:bCs/>
          <w:szCs w:val="24"/>
        </w:rPr>
        <w:t>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w:t>
      </w:r>
    </w:p>
    <w:p w14:paraId="01B83CD4" w14:textId="77777777" w:rsidR="008056EC" w:rsidRPr="00342967" w:rsidRDefault="008056EC" w:rsidP="008056EC">
      <w:pPr>
        <w:rPr>
          <w:rFonts w:cs="Times New Roman"/>
          <w:szCs w:val="24"/>
        </w:rPr>
      </w:pPr>
      <w:r w:rsidRPr="00342967">
        <w:rPr>
          <w:rFonts w:cs="Times New Roman"/>
          <w:szCs w:val="24"/>
        </w:rPr>
        <w:t>Schumacher, S., &amp; Paul, S. (2017). Capital Markets Union–Promising Prospects for Corporate Financing?. </w:t>
      </w:r>
      <w:r w:rsidRPr="00342967">
        <w:rPr>
          <w:rFonts w:cs="Times New Roman"/>
          <w:i/>
          <w:iCs/>
          <w:szCs w:val="24"/>
        </w:rPr>
        <w:t>Schmalenbach Business Review</w:t>
      </w:r>
      <w:r w:rsidRPr="00342967">
        <w:rPr>
          <w:rFonts w:cs="Times New Roman"/>
          <w:szCs w:val="24"/>
        </w:rPr>
        <w:t>, </w:t>
      </w:r>
      <w:r w:rsidRPr="00342967">
        <w:rPr>
          <w:rFonts w:cs="Times New Roman"/>
          <w:i/>
          <w:iCs/>
          <w:szCs w:val="24"/>
        </w:rPr>
        <w:t>18</w:t>
      </w:r>
      <w:r w:rsidRPr="00342967">
        <w:rPr>
          <w:rFonts w:cs="Times New Roman"/>
          <w:szCs w:val="24"/>
        </w:rPr>
        <w:t>(3), 289-304.</w:t>
      </w:r>
    </w:p>
    <w:p w14:paraId="1402318A" w14:textId="76B3FE33" w:rsidR="008056EC" w:rsidRPr="00342967" w:rsidRDefault="008056EC" w:rsidP="008056EC">
      <w:pPr>
        <w:rPr>
          <w:rFonts w:cs="Times New Roman"/>
          <w:szCs w:val="24"/>
        </w:rPr>
      </w:pPr>
      <w:r w:rsidRPr="00342967">
        <w:rPr>
          <w:rFonts w:cs="Times New Roman"/>
          <w:szCs w:val="24"/>
        </w:rPr>
        <w:t>Shin, H. S. (2009). Securitisation and financial stability. </w:t>
      </w:r>
      <w:r w:rsidRPr="00342967">
        <w:rPr>
          <w:rFonts w:cs="Times New Roman"/>
          <w:i/>
          <w:iCs/>
          <w:szCs w:val="24"/>
        </w:rPr>
        <w:t>The Economic Journal</w:t>
      </w:r>
      <w:r w:rsidRPr="00342967">
        <w:rPr>
          <w:rFonts w:cs="Times New Roman"/>
          <w:szCs w:val="24"/>
        </w:rPr>
        <w:t>, </w:t>
      </w:r>
      <w:r w:rsidRPr="00342967">
        <w:rPr>
          <w:rFonts w:cs="Times New Roman"/>
          <w:i/>
          <w:iCs/>
          <w:szCs w:val="24"/>
        </w:rPr>
        <w:t>119</w:t>
      </w:r>
      <w:r w:rsidRPr="00342967">
        <w:rPr>
          <w:rFonts w:cs="Times New Roman"/>
          <w:szCs w:val="24"/>
        </w:rPr>
        <w:t>(536), 309-332.</w:t>
      </w:r>
    </w:p>
    <w:p w14:paraId="18B3A6E0" w14:textId="58479054" w:rsidR="00D67111" w:rsidRPr="00342967" w:rsidRDefault="00D67111" w:rsidP="00D67111">
      <w:pPr>
        <w:rPr>
          <w:rFonts w:cs="Times New Roman"/>
          <w:szCs w:val="24"/>
          <w:lang w:val="en-GB"/>
        </w:rPr>
      </w:pPr>
      <w:r w:rsidRPr="00342967">
        <w:rPr>
          <w:rFonts w:cs="Times New Roman"/>
          <w:szCs w:val="24"/>
          <w:lang w:val="en-GB"/>
        </w:rPr>
        <w:t>Shore, C. (2011). ‘European Governance’or Governmentality? The European Commission and the Future of Democratic Government. </w:t>
      </w:r>
      <w:r w:rsidRPr="000A3E63">
        <w:rPr>
          <w:rFonts w:cs="Times New Roman"/>
          <w:i/>
          <w:iCs/>
          <w:szCs w:val="24"/>
          <w:lang w:val="en-GB"/>
        </w:rPr>
        <w:t>European Law Journal</w:t>
      </w:r>
      <w:r w:rsidRPr="000A3E63">
        <w:rPr>
          <w:rFonts w:cs="Times New Roman"/>
          <w:szCs w:val="24"/>
          <w:lang w:val="en-GB"/>
        </w:rPr>
        <w:t>, </w:t>
      </w:r>
      <w:r w:rsidRPr="000A3E63">
        <w:rPr>
          <w:rFonts w:cs="Times New Roman"/>
          <w:i/>
          <w:iCs/>
          <w:szCs w:val="24"/>
          <w:lang w:val="en-GB"/>
        </w:rPr>
        <w:t>17</w:t>
      </w:r>
      <w:r w:rsidRPr="000A3E63">
        <w:rPr>
          <w:rFonts w:cs="Times New Roman"/>
          <w:szCs w:val="24"/>
          <w:lang w:val="en-GB"/>
        </w:rPr>
        <w:t>(3), 287-303.</w:t>
      </w:r>
    </w:p>
    <w:p w14:paraId="3333282B" w14:textId="77777777" w:rsidR="008056EC" w:rsidRPr="00342967" w:rsidRDefault="008056EC" w:rsidP="008056EC">
      <w:pPr>
        <w:rPr>
          <w:rFonts w:cs="Times New Roman"/>
          <w:szCs w:val="24"/>
        </w:rPr>
      </w:pPr>
      <w:r w:rsidRPr="00342967">
        <w:rPr>
          <w:rFonts w:cs="Times New Roman"/>
          <w:szCs w:val="24"/>
        </w:rPr>
        <w:t>Tabb, W. K. (2010). Financialization in the Contemporary Social Structure of Accumulation. In T. McDonough, M. Reich, &amp; D. M. Kotz (Reds.), </w:t>
      </w:r>
      <w:r w:rsidRPr="00342967">
        <w:rPr>
          <w:rFonts w:cs="Times New Roman"/>
          <w:i/>
          <w:iCs/>
          <w:szCs w:val="24"/>
        </w:rPr>
        <w:t>Contemporary Capitalism and Its Crises Social Structures of Accumulation Theory for the 21st Century</w:t>
      </w:r>
      <w:r w:rsidRPr="00342967">
        <w:rPr>
          <w:rFonts w:cs="Times New Roman"/>
          <w:szCs w:val="24"/>
        </w:rPr>
        <w:t> (pp. 145-167). Cambridge, United Kingdom: Cambridge University Press.</w:t>
      </w:r>
    </w:p>
    <w:p w14:paraId="4C98CA78" w14:textId="3FF14A52" w:rsidR="008056EC" w:rsidRPr="00342967" w:rsidRDefault="008056EC" w:rsidP="008056EC">
      <w:pPr>
        <w:rPr>
          <w:rFonts w:cs="Times New Roman"/>
          <w:szCs w:val="24"/>
        </w:rPr>
      </w:pPr>
      <w:r w:rsidRPr="00342967">
        <w:rPr>
          <w:rFonts w:cs="Times New Roman"/>
          <w:szCs w:val="24"/>
        </w:rPr>
        <w:t>Talani, L. S. (2016). Neo-Gramscians and IPE: A Soci</w:t>
      </w:r>
      <w:r w:rsidR="00B661F6">
        <w:rPr>
          <w:rFonts w:cs="Times New Roman"/>
          <w:szCs w:val="24"/>
        </w:rPr>
        <w:t>o</w:t>
      </w:r>
      <w:r w:rsidRPr="00342967">
        <w:rPr>
          <w:rFonts w:cs="Times New Roman"/>
          <w:szCs w:val="24"/>
        </w:rPr>
        <w:t>-Economic Under</w:t>
      </w:r>
      <w:r w:rsidR="00B661F6">
        <w:rPr>
          <w:rFonts w:cs="Times New Roman"/>
          <w:szCs w:val="24"/>
        </w:rPr>
        <w:t>s</w:t>
      </w:r>
      <w:r w:rsidRPr="00342967">
        <w:rPr>
          <w:rFonts w:cs="Times New Roman"/>
          <w:szCs w:val="24"/>
        </w:rPr>
        <w:t>tanding of Transnationalism, Hegemony and Civil Society. In A. Cafruny, L. S. Talani, &amp; G. P. Martin (Eds.), </w:t>
      </w:r>
      <w:r w:rsidRPr="00342967">
        <w:rPr>
          <w:rFonts w:cs="Times New Roman"/>
          <w:i/>
          <w:iCs/>
          <w:szCs w:val="24"/>
        </w:rPr>
        <w:t>The Palgrave Handbook of Critical International Political Economy</w:t>
      </w:r>
      <w:r w:rsidRPr="00342967">
        <w:rPr>
          <w:rFonts w:cs="Times New Roman"/>
          <w:szCs w:val="24"/>
        </w:rPr>
        <w:t> (pp. 67-83). London, United Kingdom: Springer Nature.</w:t>
      </w:r>
    </w:p>
    <w:p w14:paraId="1C9C3710" w14:textId="77777777" w:rsidR="008056EC" w:rsidRPr="00342967" w:rsidRDefault="008056EC" w:rsidP="008056EC">
      <w:pPr>
        <w:rPr>
          <w:rFonts w:cs="Times New Roman"/>
          <w:szCs w:val="24"/>
        </w:rPr>
      </w:pPr>
      <w:r w:rsidRPr="00342967">
        <w:rPr>
          <w:rFonts w:cs="Times New Roman"/>
          <w:szCs w:val="24"/>
        </w:rPr>
        <w:lastRenderedPageBreak/>
        <w:t>There is nothing “simple” about the European Commission’s securitisation proposal. (2016, May 23). Retrieved from https://crimfi.files.wordpress.com/2016/05/open-letter-to-meps-sts-securitisation.pdf</w:t>
      </w:r>
    </w:p>
    <w:p w14:paraId="2FF90FA5" w14:textId="77777777" w:rsidR="008056EC" w:rsidRPr="00342967" w:rsidRDefault="008056EC" w:rsidP="008056EC">
      <w:pPr>
        <w:rPr>
          <w:rFonts w:cs="Times New Roman"/>
          <w:szCs w:val="24"/>
        </w:rPr>
      </w:pPr>
      <w:r w:rsidRPr="00342967">
        <w:rPr>
          <w:rFonts w:cs="Times New Roman"/>
          <w:szCs w:val="24"/>
        </w:rPr>
        <w:t xml:space="preserve">Transnational Institute. (2015) Financialisation a primer. Amsterdam, The Netherlands. Transnational Institute. Retrieved from </w:t>
      </w:r>
      <w:hyperlink r:id="rId29" w:history="1">
        <w:r w:rsidRPr="00342967">
          <w:rPr>
            <w:rStyle w:val="Hyperlink"/>
            <w:rFonts w:cs="Times New Roman"/>
            <w:color w:val="auto"/>
            <w:szCs w:val="24"/>
          </w:rPr>
          <w:t>https://www.tni.org/files/publication-downloads/primer_financialisation-01-16.pdf</w:t>
        </w:r>
      </w:hyperlink>
    </w:p>
    <w:p w14:paraId="00D9F494" w14:textId="77777777" w:rsidR="008056EC" w:rsidRPr="00342967" w:rsidRDefault="008056EC" w:rsidP="008056EC">
      <w:pPr>
        <w:rPr>
          <w:rFonts w:cs="Times New Roman"/>
          <w:szCs w:val="24"/>
        </w:rPr>
      </w:pPr>
      <w:r w:rsidRPr="00342967">
        <w:rPr>
          <w:rFonts w:cs="Times New Roman"/>
          <w:szCs w:val="24"/>
          <w:lang w:val="nl-NL"/>
        </w:rPr>
        <w:t xml:space="preserve">Uhde, A., &amp; Michalak, T. C. (2010). </w:t>
      </w:r>
      <w:r w:rsidRPr="00342967">
        <w:rPr>
          <w:rFonts w:cs="Times New Roman"/>
          <w:szCs w:val="24"/>
        </w:rPr>
        <w:t>Securitization and systematic risk in European banking: Empirical evidence. </w:t>
      </w:r>
      <w:r w:rsidRPr="00342967">
        <w:rPr>
          <w:rFonts w:cs="Times New Roman"/>
          <w:i/>
          <w:szCs w:val="24"/>
        </w:rPr>
        <w:t>Journal of Banking &amp; Finance</w:t>
      </w:r>
      <w:r w:rsidRPr="00342967">
        <w:rPr>
          <w:rFonts w:cs="Times New Roman"/>
          <w:szCs w:val="24"/>
        </w:rPr>
        <w:t>, 34(12), 3061-3077.</w:t>
      </w:r>
    </w:p>
    <w:p w14:paraId="448877C1" w14:textId="77777777" w:rsidR="008056EC" w:rsidRPr="00342967" w:rsidRDefault="008056EC" w:rsidP="008056EC">
      <w:pPr>
        <w:rPr>
          <w:rFonts w:cs="Times New Roman"/>
          <w:szCs w:val="24"/>
        </w:rPr>
      </w:pPr>
      <w:r w:rsidRPr="00342967">
        <w:rPr>
          <w:rFonts w:cs="Times New Roman"/>
          <w:szCs w:val="24"/>
        </w:rPr>
        <w:t xml:space="preserve">US Chamber of Commerce. 2015. The U.S. Chamber of Commerce response to the Green Paper on Capital Markets Union. Retrieved from </w:t>
      </w:r>
      <w:hyperlink r:id="rId30" w:history="1">
        <w:r w:rsidRPr="00342967">
          <w:rPr>
            <w:rStyle w:val="Hyperlink"/>
            <w:rFonts w:cs="Times New Roman"/>
            <w:color w:val="auto"/>
            <w:szCs w:val="24"/>
          </w:rPr>
          <w:t>https://ec.europa.eu/eusurvey/files/e3aac1ef-3b45-4235-84a5-53b39cb20946/d824d005-862c-4f7b-af27-58a5e9980de4</w:t>
        </w:r>
      </w:hyperlink>
      <w:r w:rsidRPr="00342967">
        <w:rPr>
          <w:rFonts w:cs="Times New Roman"/>
          <w:szCs w:val="24"/>
        </w:rPr>
        <w:t xml:space="preserve"> </w:t>
      </w:r>
    </w:p>
    <w:p w14:paraId="052387B4" w14:textId="77777777" w:rsidR="008056EC" w:rsidRPr="00342967" w:rsidRDefault="008056EC" w:rsidP="008056EC">
      <w:pPr>
        <w:rPr>
          <w:rFonts w:cs="Times New Roman"/>
          <w:szCs w:val="24"/>
        </w:rPr>
      </w:pPr>
      <w:r w:rsidRPr="00566471">
        <w:rPr>
          <w:rFonts w:cs="Times New Roman"/>
          <w:szCs w:val="24"/>
          <w:lang w:val="nl-NL"/>
        </w:rPr>
        <w:t xml:space="preserve">Van Apeldoorn, B., Overbeek, H., &amp; Ryner, M. (2003). </w:t>
      </w:r>
      <w:r w:rsidRPr="00342967">
        <w:rPr>
          <w:rFonts w:cs="Times New Roman"/>
          <w:szCs w:val="24"/>
        </w:rPr>
        <w:t>Theories of European Integration A Critique. In A. W Cafruny, &amp; M. Ryner (Eds.), </w:t>
      </w:r>
      <w:r w:rsidRPr="00342967">
        <w:rPr>
          <w:rFonts w:cs="Times New Roman"/>
          <w:i/>
          <w:iCs/>
          <w:szCs w:val="24"/>
        </w:rPr>
        <w:t>A Ruined Fortress? Neoliberal Hegemony and Transformation in Europe</w:t>
      </w:r>
      <w:r w:rsidRPr="00342967">
        <w:rPr>
          <w:rFonts w:cs="Times New Roman"/>
          <w:szCs w:val="24"/>
        </w:rPr>
        <w:t> (pp. 17-45). Lanham, United States: Rowan &amp; Littlefield Publishers.</w:t>
      </w:r>
    </w:p>
    <w:p w14:paraId="3F19AD87" w14:textId="77777777" w:rsidR="008056EC" w:rsidRPr="00342967" w:rsidRDefault="008056EC" w:rsidP="008056EC">
      <w:pPr>
        <w:rPr>
          <w:rFonts w:cs="Times New Roman"/>
          <w:szCs w:val="24"/>
          <w:lang w:val="en-GB"/>
        </w:rPr>
      </w:pPr>
      <w:r w:rsidRPr="00342967">
        <w:rPr>
          <w:rFonts w:cs="Times New Roman"/>
          <w:szCs w:val="24"/>
          <w:lang w:val="en-GB"/>
        </w:rPr>
        <w:t xml:space="preserve">Van Apeldoorn, B., Horn, L. (2018) Critical Political Economy. </w:t>
      </w:r>
      <w:r w:rsidRPr="00342967">
        <w:rPr>
          <w:rFonts w:cs="Times New Roman"/>
          <w:i/>
          <w:szCs w:val="24"/>
          <w:lang w:val="en-GB"/>
        </w:rPr>
        <w:t>KFG Working Paper Series No. 87</w:t>
      </w:r>
    </w:p>
    <w:p w14:paraId="018F5C69" w14:textId="7F8165D0" w:rsidR="00566471" w:rsidRDefault="00566471" w:rsidP="00566471">
      <w:pPr>
        <w:rPr>
          <w:rFonts w:cs="Times New Roman"/>
          <w:szCs w:val="24"/>
        </w:rPr>
      </w:pPr>
      <w:r w:rsidRPr="00342967">
        <w:rPr>
          <w:rFonts w:cs="Times New Roman"/>
          <w:szCs w:val="24"/>
        </w:rPr>
        <w:t>Véron, N., &amp; Wolff, G. B. (2016). Capital Markets Union: a vision for the long term. </w:t>
      </w:r>
      <w:r w:rsidRPr="00342967">
        <w:rPr>
          <w:rFonts w:cs="Times New Roman"/>
          <w:i/>
          <w:iCs/>
          <w:szCs w:val="24"/>
        </w:rPr>
        <w:t>Journal of Financial Regulation</w:t>
      </w:r>
      <w:r w:rsidRPr="00342967">
        <w:rPr>
          <w:rFonts w:cs="Times New Roman"/>
          <w:szCs w:val="24"/>
        </w:rPr>
        <w:t>, </w:t>
      </w:r>
      <w:r w:rsidRPr="00342967">
        <w:rPr>
          <w:rFonts w:cs="Times New Roman"/>
          <w:i/>
          <w:iCs/>
          <w:szCs w:val="24"/>
        </w:rPr>
        <w:t>2</w:t>
      </w:r>
      <w:r w:rsidRPr="00342967">
        <w:rPr>
          <w:rFonts w:cs="Times New Roman"/>
          <w:szCs w:val="24"/>
        </w:rPr>
        <w:t>(1), 130-153.</w:t>
      </w:r>
    </w:p>
    <w:p w14:paraId="09002EAC" w14:textId="77777777" w:rsidR="009B0D25" w:rsidRPr="00342967" w:rsidRDefault="009B0D25" w:rsidP="009B0D25">
      <w:pPr>
        <w:rPr>
          <w:lang w:val="en-GB"/>
        </w:rPr>
      </w:pPr>
      <w:r w:rsidRPr="00342967">
        <w:rPr>
          <w:lang w:val="en-GB"/>
        </w:rPr>
        <w:t xml:space="preserve">Who will benefit from the Capital Markets Union. (2015, September 29) Retrieved from </w:t>
      </w:r>
      <w:hyperlink r:id="rId31" w:history="1">
        <w:r w:rsidRPr="00342967">
          <w:rPr>
            <w:rStyle w:val="Hyperlink"/>
            <w:color w:val="auto"/>
            <w:lang w:val="en-GB"/>
          </w:rPr>
          <w:t>http://www.finance-watch.org/hot-topics/blog/1148-who-will-benefit-from-cmu</w:t>
        </w:r>
      </w:hyperlink>
      <w:r w:rsidRPr="00342967">
        <w:rPr>
          <w:lang w:val="en-GB"/>
        </w:rPr>
        <w:t xml:space="preserve"> </w:t>
      </w:r>
    </w:p>
    <w:p w14:paraId="38AE3333" w14:textId="5342B385" w:rsidR="00DD42FA" w:rsidRPr="00DD42FA" w:rsidRDefault="00DD42FA" w:rsidP="008056EC">
      <w:pPr>
        <w:rPr>
          <w:rFonts w:cs="Times New Roman"/>
          <w:szCs w:val="24"/>
          <w:lang w:val="en-GB"/>
        </w:rPr>
      </w:pPr>
      <w:r w:rsidRPr="00DD42FA">
        <w:rPr>
          <w:rFonts w:cs="Times New Roman"/>
          <w:szCs w:val="24"/>
        </w:rPr>
        <w:t>Wigger, A., &amp; Horn, L. (2016). Taking critical ontology seriously. Implications for Political Science Methodology. </w:t>
      </w:r>
      <w:r w:rsidRPr="00DD42FA">
        <w:rPr>
          <w:rFonts w:cs="Times New Roman"/>
          <w:i/>
          <w:iCs/>
          <w:szCs w:val="24"/>
        </w:rPr>
        <w:t>Keman, H.; Woldendorp, J.(ed.), Handbook of Research Methods and Applications in Political Science</w:t>
      </w:r>
      <w:r w:rsidRPr="00DD42FA">
        <w:rPr>
          <w:rFonts w:cs="Times New Roman"/>
          <w:szCs w:val="24"/>
        </w:rPr>
        <w:t>, 38-53.</w:t>
      </w:r>
    </w:p>
    <w:p w14:paraId="7071BB44" w14:textId="2D8A9621" w:rsidR="008056EC" w:rsidRPr="00342967" w:rsidRDefault="008056EC" w:rsidP="008056EC">
      <w:pPr>
        <w:rPr>
          <w:rFonts w:cs="Times New Roman"/>
          <w:szCs w:val="24"/>
        </w:rPr>
      </w:pPr>
      <w:r w:rsidRPr="00342967">
        <w:rPr>
          <w:rFonts w:cs="Times New Roman"/>
          <w:szCs w:val="24"/>
          <w:lang w:val="nl-NL"/>
        </w:rPr>
        <w:t xml:space="preserve">Wolfson, M. H., &amp; Kotz, D. M. (2010). </w:t>
      </w:r>
      <w:r w:rsidRPr="00342967">
        <w:rPr>
          <w:rFonts w:cs="Times New Roman"/>
          <w:szCs w:val="24"/>
        </w:rPr>
        <w:t>A Reconceptualization of Social Structure of Accumulation Theory. In T. McDonough, M. Reich, &amp; D. M. Kotz (Eds.), </w:t>
      </w:r>
      <w:r w:rsidRPr="00342967">
        <w:rPr>
          <w:rFonts w:cs="Times New Roman"/>
          <w:i/>
          <w:iCs/>
          <w:szCs w:val="24"/>
        </w:rPr>
        <w:t>Contemporary Capitalism and Its Crises Social Structures of Accumulation Theory for the 21st Century</w:t>
      </w:r>
      <w:r w:rsidRPr="00342967">
        <w:rPr>
          <w:rFonts w:cs="Times New Roman"/>
          <w:szCs w:val="24"/>
        </w:rPr>
        <w:t> (pp. 72-90). Cambridge, United Kingdom: Cambridge University Pres</w:t>
      </w:r>
    </w:p>
    <w:p w14:paraId="562A06F4" w14:textId="77777777" w:rsidR="008056EC" w:rsidRPr="00342967" w:rsidRDefault="008056EC" w:rsidP="008056EC">
      <w:pPr>
        <w:rPr>
          <w:rFonts w:cs="Times New Roman"/>
          <w:szCs w:val="24"/>
        </w:rPr>
      </w:pPr>
      <w:r w:rsidRPr="00342967">
        <w:rPr>
          <w:rFonts w:cs="Times New Roman"/>
          <w:szCs w:val="24"/>
        </w:rPr>
        <w:lastRenderedPageBreak/>
        <w:t>Wood, E. M. (1982). The Separation of the Economic and the Political in Capitalism. </w:t>
      </w:r>
      <w:r w:rsidRPr="00342967">
        <w:rPr>
          <w:rFonts w:cs="Times New Roman"/>
          <w:i/>
          <w:iCs/>
          <w:szCs w:val="24"/>
        </w:rPr>
        <w:t>op. cit</w:t>
      </w:r>
      <w:r w:rsidRPr="00342967">
        <w:rPr>
          <w:rFonts w:cs="Times New Roman"/>
          <w:szCs w:val="24"/>
        </w:rPr>
        <w:t xml:space="preserve">, 29. </w:t>
      </w:r>
    </w:p>
    <w:p w14:paraId="7AFBE42D" w14:textId="77777777" w:rsidR="008056EC" w:rsidRPr="00342967" w:rsidRDefault="008056EC" w:rsidP="008056EC"/>
    <w:p w14:paraId="01DBD620" w14:textId="77777777" w:rsidR="00DA0BCA" w:rsidRPr="00342967" w:rsidRDefault="00DA0BCA" w:rsidP="00DA0BCA"/>
    <w:sectPr w:rsidR="00DA0BCA" w:rsidRPr="00342967" w:rsidSect="00DD14D3">
      <w:headerReference w:type="default" r:id="rId32"/>
      <w:footerReference w:type="default" r:id="rId3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7CDD5" w14:textId="77777777" w:rsidR="00796996" w:rsidRDefault="00796996">
      <w:pPr>
        <w:spacing w:after="0" w:line="240" w:lineRule="auto"/>
      </w:pPr>
      <w:r>
        <w:separator/>
      </w:r>
    </w:p>
  </w:endnote>
  <w:endnote w:type="continuationSeparator" w:id="0">
    <w:p w14:paraId="2339F1E0" w14:textId="77777777" w:rsidR="00796996" w:rsidRDefault="0079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230218"/>
      <w:docPartObj>
        <w:docPartGallery w:val="Page Numbers (Bottom of Page)"/>
        <w:docPartUnique/>
      </w:docPartObj>
    </w:sdtPr>
    <w:sdtEndPr/>
    <w:sdtContent>
      <w:p w14:paraId="0B9F916B" w14:textId="540AC10C" w:rsidR="00537280" w:rsidRDefault="00537280">
        <w:pPr>
          <w:pStyle w:val="Voettekst"/>
          <w:jc w:val="right"/>
        </w:pPr>
        <w:r>
          <w:fldChar w:fldCharType="begin"/>
        </w:r>
        <w:r>
          <w:instrText>PAGE   \* MERGEFORMAT</w:instrText>
        </w:r>
        <w:r>
          <w:fldChar w:fldCharType="separate"/>
        </w:r>
        <w:r w:rsidR="00534107" w:rsidRPr="00534107">
          <w:rPr>
            <w:noProof/>
            <w:lang w:val="nl-NL"/>
          </w:rPr>
          <w:t>62</w:t>
        </w:r>
        <w:r>
          <w:fldChar w:fldCharType="end"/>
        </w:r>
      </w:p>
    </w:sdtContent>
  </w:sdt>
  <w:p w14:paraId="27F3D762" w14:textId="7E03490A" w:rsidR="00537280" w:rsidRDefault="00537280" w:rsidP="34283B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411B" w14:textId="77777777" w:rsidR="00796996" w:rsidRDefault="00796996">
      <w:pPr>
        <w:spacing w:after="0" w:line="240" w:lineRule="auto"/>
      </w:pPr>
      <w:r>
        <w:separator/>
      </w:r>
    </w:p>
  </w:footnote>
  <w:footnote w:type="continuationSeparator" w:id="0">
    <w:p w14:paraId="259BD356" w14:textId="77777777" w:rsidR="00796996" w:rsidRDefault="0079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537280" w14:paraId="029019BF" w14:textId="77777777" w:rsidTr="34283BD5">
      <w:tc>
        <w:tcPr>
          <w:tcW w:w="3120" w:type="dxa"/>
        </w:tcPr>
        <w:p w14:paraId="7122A33C" w14:textId="0C5A2CB8" w:rsidR="00537280" w:rsidRDefault="00537280" w:rsidP="34283BD5">
          <w:pPr>
            <w:pStyle w:val="Koptekst"/>
            <w:ind w:left="-115"/>
          </w:pPr>
        </w:p>
      </w:tc>
      <w:tc>
        <w:tcPr>
          <w:tcW w:w="3120" w:type="dxa"/>
        </w:tcPr>
        <w:p w14:paraId="4EE269BC" w14:textId="77AA37DE" w:rsidR="00537280" w:rsidRDefault="00537280" w:rsidP="34283BD5">
          <w:pPr>
            <w:pStyle w:val="Koptekst"/>
            <w:jc w:val="center"/>
          </w:pPr>
        </w:p>
      </w:tc>
      <w:tc>
        <w:tcPr>
          <w:tcW w:w="3120" w:type="dxa"/>
        </w:tcPr>
        <w:p w14:paraId="3F637200" w14:textId="2E78F222" w:rsidR="00537280" w:rsidRDefault="00537280" w:rsidP="34283BD5">
          <w:pPr>
            <w:pStyle w:val="Koptekst"/>
            <w:ind w:right="-115"/>
            <w:jc w:val="right"/>
          </w:pPr>
        </w:p>
      </w:tc>
    </w:tr>
  </w:tbl>
  <w:p w14:paraId="50126F33" w14:textId="5D558E58" w:rsidR="00537280" w:rsidRDefault="00537280" w:rsidP="34283B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10D97"/>
    <w:multiLevelType w:val="hybridMultilevel"/>
    <w:tmpl w:val="846469E4"/>
    <w:lvl w:ilvl="0" w:tplc="7E3E70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7EA1468B"/>
    <w:multiLevelType w:val="hybridMultilevel"/>
    <w:tmpl w:val="2850F1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94"/>
    <w:rsid w:val="0000017B"/>
    <w:rsid w:val="00000C9B"/>
    <w:rsid w:val="00000D3A"/>
    <w:rsid w:val="00000EC0"/>
    <w:rsid w:val="00000F80"/>
    <w:rsid w:val="00001065"/>
    <w:rsid w:val="00001758"/>
    <w:rsid w:val="00001958"/>
    <w:rsid w:val="000023AE"/>
    <w:rsid w:val="00002DFA"/>
    <w:rsid w:val="000045B1"/>
    <w:rsid w:val="00004C58"/>
    <w:rsid w:val="00004CA6"/>
    <w:rsid w:val="00004E50"/>
    <w:rsid w:val="00005124"/>
    <w:rsid w:val="0000520B"/>
    <w:rsid w:val="0000538F"/>
    <w:rsid w:val="000064ED"/>
    <w:rsid w:val="000064F6"/>
    <w:rsid w:val="000066CA"/>
    <w:rsid w:val="00006BF6"/>
    <w:rsid w:val="000074E1"/>
    <w:rsid w:val="0000750A"/>
    <w:rsid w:val="00007546"/>
    <w:rsid w:val="0001004F"/>
    <w:rsid w:val="000103B2"/>
    <w:rsid w:val="00010ACE"/>
    <w:rsid w:val="00011EA3"/>
    <w:rsid w:val="000120E6"/>
    <w:rsid w:val="00012A54"/>
    <w:rsid w:val="00012D32"/>
    <w:rsid w:val="0001418A"/>
    <w:rsid w:val="000160A5"/>
    <w:rsid w:val="00016582"/>
    <w:rsid w:val="00020AC8"/>
    <w:rsid w:val="00020AFE"/>
    <w:rsid w:val="00020CE6"/>
    <w:rsid w:val="0002219F"/>
    <w:rsid w:val="0002551A"/>
    <w:rsid w:val="00025A3D"/>
    <w:rsid w:val="00026F14"/>
    <w:rsid w:val="0003115A"/>
    <w:rsid w:val="000317C4"/>
    <w:rsid w:val="00031A93"/>
    <w:rsid w:val="000320E8"/>
    <w:rsid w:val="000321A6"/>
    <w:rsid w:val="00032B8D"/>
    <w:rsid w:val="00033683"/>
    <w:rsid w:val="000338DC"/>
    <w:rsid w:val="00034A6E"/>
    <w:rsid w:val="00036872"/>
    <w:rsid w:val="000371DB"/>
    <w:rsid w:val="0003792F"/>
    <w:rsid w:val="000404D5"/>
    <w:rsid w:val="00040855"/>
    <w:rsid w:val="00040C94"/>
    <w:rsid w:val="0004165C"/>
    <w:rsid w:val="0004170F"/>
    <w:rsid w:val="000419AF"/>
    <w:rsid w:val="00041CDA"/>
    <w:rsid w:val="00042082"/>
    <w:rsid w:val="00042E02"/>
    <w:rsid w:val="00043A08"/>
    <w:rsid w:val="00044ACF"/>
    <w:rsid w:val="00044FFC"/>
    <w:rsid w:val="0004589A"/>
    <w:rsid w:val="00045F29"/>
    <w:rsid w:val="0004770F"/>
    <w:rsid w:val="00047EB0"/>
    <w:rsid w:val="00047F4E"/>
    <w:rsid w:val="00052493"/>
    <w:rsid w:val="00053C5C"/>
    <w:rsid w:val="000543F5"/>
    <w:rsid w:val="00056A40"/>
    <w:rsid w:val="00057073"/>
    <w:rsid w:val="00057AB3"/>
    <w:rsid w:val="00060AC2"/>
    <w:rsid w:val="00060BD0"/>
    <w:rsid w:val="00060EFD"/>
    <w:rsid w:val="00061639"/>
    <w:rsid w:val="000621BB"/>
    <w:rsid w:val="00062281"/>
    <w:rsid w:val="00062525"/>
    <w:rsid w:val="000626E0"/>
    <w:rsid w:val="0006287C"/>
    <w:rsid w:val="00062ADF"/>
    <w:rsid w:val="00063247"/>
    <w:rsid w:val="00063884"/>
    <w:rsid w:val="00063F10"/>
    <w:rsid w:val="0006505D"/>
    <w:rsid w:val="00065FD0"/>
    <w:rsid w:val="00070010"/>
    <w:rsid w:val="00072B8E"/>
    <w:rsid w:val="000737C7"/>
    <w:rsid w:val="00073D40"/>
    <w:rsid w:val="000747C1"/>
    <w:rsid w:val="00074C1C"/>
    <w:rsid w:val="0007640C"/>
    <w:rsid w:val="00076E25"/>
    <w:rsid w:val="00080197"/>
    <w:rsid w:val="000807B8"/>
    <w:rsid w:val="00081426"/>
    <w:rsid w:val="0008155E"/>
    <w:rsid w:val="000830DB"/>
    <w:rsid w:val="0008338D"/>
    <w:rsid w:val="00084518"/>
    <w:rsid w:val="000854B2"/>
    <w:rsid w:val="00085867"/>
    <w:rsid w:val="00085B8E"/>
    <w:rsid w:val="00086A6D"/>
    <w:rsid w:val="0008783B"/>
    <w:rsid w:val="000900A8"/>
    <w:rsid w:val="0009014B"/>
    <w:rsid w:val="000909F3"/>
    <w:rsid w:val="00090EBA"/>
    <w:rsid w:val="00091366"/>
    <w:rsid w:val="00091BBA"/>
    <w:rsid w:val="00091EA0"/>
    <w:rsid w:val="00092034"/>
    <w:rsid w:val="0009203A"/>
    <w:rsid w:val="000925F4"/>
    <w:rsid w:val="000926F8"/>
    <w:rsid w:val="00092EA7"/>
    <w:rsid w:val="00094762"/>
    <w:rsid w:val="00095DF9"/>
    <w:rsid w:val="00096D92"/>
    <w:rsid w:val="0009748F"/>
    <w:rsid w:val="00097DCE"/>
    <w:rsid w:val="000A0436"/>
    <w:rsid w:val="000A12E2"/>
    <w:rsid w:val="000A1891"/>
    <w:rsid w:val="000A1E3A"/>
    <w:rsid w:val="000A26F4"/>
    <w:rsid w:val="000A2C0B"/>
    <w:rsid w:val="000A2C5D"/>
    <w:rsid w:val="000A3074"/>
    <w:rsid w:val="000A35C4"/>
    <w:rsid w:val="000A3740"/>
    <w:rsid w:val="000A3E63"/>
    <w:rsid w:val="000A4962"/>
    <w:rsid w:val="000A5044"/>
    <w:rsid w:val="000A6DF2"/>
    <w:rsid w:val="000A788B"/>
    <w:rsid w:val="000A7BCF"/>
    <w:rsid w:val="000B017E"/>
    <w:rsid w:val="000B08A5"/>
    <w:rsid w:val="000B09FD"/>
    <w:rsid w:val="000B100B"/>
    <w:rsid w:val="000B3893"/>
    <w:rsid w:val="000B40E7"/>
    <w:rsid w:val="000B639C"/>
    <w:rsid w:val="000B670E"/>
    <w:rsid w:val="000B684B"/>
    <w:rsid w:val="000B7753"/>
    <w:rsid w:val="000C0AEB"/>
    <w:rsid w:val="000C0B7E"/>
    <w:rsid w:val="000C5059"/>
    <w:rsid w:val="000C6F97"/>
    <w:rsid w:val="000D1600"/>
    <w:rsid w:val="000D394D"/>
    <w:rsid w:val="000D4AFE"/>
    <w:rsid w:val="000D4BDF"/>
    <w:rsid w:val="000D5F2D"/>
    <w:rsid w:val="000D5FD4"/>
    <w:rsid w:val="000E0704"/>
    <w:rsid w:val="000E08B5"/>
    <w:rsid w:val="000E10A5"/>
    <w:rsid w:val="000E13C5"/>
    <w:rsid w:val="000E1CF3"/>
    <w:rsid w:val="000E4B29"/>
    <w:rsid w:val="000E50AE"/>
    <w:rsid w:val="000E511B"/>
    <w:rsid w:val="000E5562"/>
    <w:rsid w:val="000E5F22"/>
    <w:rsid w:val="000E6906"/>
    <w:rsid w:val="000E7FD0"/>
    <w:rsid w:val="000F0F0C"/>
    <w:rsid w:val="000F1956"/>
    <w:rsid w:val="000F3EF9"/>
    <w:rsid w:val="000F3F71"/>
    <w:rsid w:val="000F4CBF"/>
    <w:rsid w:val="000F54B8"/>
    <w:rsid w:val="000F57CF"/>
    <w:rsid w:val="000F6782"/>
    <w:rsid w:val="000F6808"/>
    <w:rsid w:val="000F6D0A"/>
    <w:rsid w:val="000F745B"/>
    <w:rsid w:val="000F7DBF"/>
    <w:rsid w:val="000F7F48"/>
    <w:rsid w:val="001002DD"/>
    <w:rsid w:val="00100FCB"/>
    <w:rsid w:val="00101360"/>
    <w:rsid w:val="00101F37"/>
    <w:rsid w:val="0010394A"/>
    <w:rsid w:val="00103E28"/>
    <w:rsid w:val="00104A05"/>
    <w:rsid w:val="001063DC"/>
    <w:rsid w:val="001071CE"/>
    <w:rsid w:val="0011144D"/>
    <w:rsid w:val="001116FC"/>
    <w:rsid w:val="00112F1C"/>
    <w:rsid w:val="0011361D"/>
    <w:rsid w:val="001139E0"/>
    <w:rsid w:val="00113FC2"/>
    <w:rsid w:val="0011442E"/>
    <w:rsid w:val="00114ABC"/>
    <w:rsid w:val="00115500"/>
    <w:rsid w:val="001157C2"/>
    <w:rsid w:val="001158B5"/>
    <w:rsid w:val="00116C52"/>
    <w:rsid w:val="001174C5"/>
    <w:rsid w:val="00120A72"/>
    <w:rsid w:val="00120C54"/>
    <w:rsid w:val="001216C1"/>
    <w:rsid w:val="00122381"/>
    <w:rsid w:val="00123371"/>
    <w:rsid w:val="00123603"/>
    <w:rsid w:val="001248B5"/>
    <w:rsid w:val="00125673"/>
    <w:rsid w:val="0012594C"/>
    <w:rsid w:val="00125C17"/>
    <w:rsid w:val="00126610"/>
    <w:rsid w:val="0012722A"/>
    <w:rsid w:val="00130027"/>
    <w:rsid w:val="0013009F"/>
    <w:rsid w:val="001330E0"/>
    <w:rsid w:val="00133979"/>
    <w:rsid w:val="001362D9"/>
    <w:rsid w:val="00137224"/>
    <w:rsid w:val="001403FD"/>
    <w:rsid w:val="00140649"/>
    <w:rsid w:val="00140700"/>
    <w:rsid w:val="00140DF0"/>
    <w:rsid w:val="001410A8"/>
    <w:rsid w:val="0014324E"/>
    <w:rsid w:val="001456FC"/>
    <w:rsid w:val="00146729"/>
    <w:rsid w:val="00146875"/>
    <w:rsid w:val="00146C03"/>
    <w:rsid w:val="00147633"/>
    <w:rsid w:val="00147856"/>
    <w:rsid w:val="00150D05"/>
    <w:rsid w:val="0015167F"/>
    <w:rsid w:val="001518B4"/>
    <w:rsid w:val="00152490"/>
    <w:rsid w:val="001526E3"/>
    <w:rsid w:val="00152E8B"/>
    <w:rsid w:val="00153923"/>
    <w:rsid w:val="00153B53"/>
    <w:rsid w:val="00153D60"/>
    <w:rsid w:val="001541C6"/>
    <w:rsid w:val="00154D55"/>
    <w:rsid w:val="00155593"/>
    <w:rsid w:val="00156489"/>
    <w:rsid w:val="00157422"/>
    <w:rsid w:val="00157CE8"/>
    <w:rsid w:val="001605A7"/>
    <w:rsid w:val="001606BE"/>
    <w:rsid w:val="00161223"/>
    <w:rsid w:val="00162C5A"/>
    <w:rsid w:val="001639DF"/>
    <w:rsid w:val="0016418B"/>
    <w:rsid w:val="0016418F"/>
    <w:rsid w:val="00165029"/>
    <w:rsid w:val="00165A94"/>
    <w:rsid w:val="001666BB"/>
    <w:rsid w:val="00171353"/>
    <w:rsid w:val="00173157"/>
    <w:rsid w:val="00174847"/>
    <w:rsid w:val="00175F88"/>
    <w:rsid w:val="00176659"/>
    <w:rsid w:val="00176FDA"/>
    <w:rsid w:val="001771E2"/>
    <w:rsid w:val="00177DDD"/>
    <w:rsid w:val="0018031E"/>
    <w:rsid w:val="001804E9"/>
    <w:rsid w:val="00180C37"/>
    <w:rsid w:val="001815C4"/>
    <w:rsid w:val="00181636"/>
    <w:rsid w:val="0018234A"/>
    <w:rsid w:val="00182D59"/>
    <w:rsid w:val="00183278"/>
    <w:rsid w:val="001843CB"/>
    <w:rsid w:val="001843F9"/>
    <w:rsid w:val="001846F2"/>
    <w:rsid w:val="00185251"/>
    <w:rsid w:val="001852AA"/>
    <w:rsid w:val="00186D8A"/>
    <w:rsid w:val="00186F68"/>
    <w:rsid w:val="001873CB"/>
    <w:rsid w:val="0018789A"/>
    <w:rsid w:val="00190CBC"/>
    <w:rsid w:val="001943B8"/>
    <w:rsid w:val="00194805"/>
    <w:rsid w:val="00194D12"/>
    <w:rsid w:val="0019505E"/>
    <w:rsid w:val="00195D0E"/>
    <w:rsid w:val="00196D6A"/>
    <w:rsid w:val="001978A1"/>
    <w:rsid w:val="001A1435"/>
    <w:rsid w:val="001A23EF"/>
    <w:rsid w:val="001A2C6C"/>
    <w:rsid w:val="001A484B"/>
    <w:rsid w:val="001A6E93"/>
    <w:rsid w:val="001A71F1"/>
    <w:rsid w:val="001A7321"/>
    <w:rsid w:val="001A7DA6"/>
    <w:rsid w:val="001B066C"/>
    <w:rsid w:val="001B08DA"/>
    <w:rsid w:val="001B09B2"/>
    <w:rsid w:val="001B21CC"/>
    <w:rsid w:val="001B2B97"/>
    <w:rsid w:val="001B2D7A"/>
    <w:rsid w:val="001B39A5"/>
    <w:rsid w:val="001B5C7C"/>
    <w:rsid w:val="001B7170"/>
    <w:rsid w:val="001B760F"/>
    <w:rsid w:val="001B7743"/>
    <w:rsid w:val="001B7EE8"/>
    <w:rsid w:val="001B7FE5"/>
    <w:rsid w:val="001C0813"/>
    <w:rsid w:val="001C09C7"/>
    <w:rsid w:val="001C11BF"/>
    <w:rsid w:val="001C18CD"/>
    <w:rsid w:val="001C2C67"/>
    <w:rsid w:val="001C3677"/>
    <w:rsid w:val="001C47C8"/>
    <w:rsid w:val="001C47E7"/>
    <w:rsid w:val="001C4D80"/>
    <w:rsid w:val="001C54A1"/>
    <w:rsid w:val="001C57ED"/>
    <w:rsid w:val="001C626F"/>
    <w:rsid w:val="001C6EFC"/>
    <w:rsid w:val="001C723A"/>
    <w:rsid w:val="001C7786"/>
    <w:rsid w:val="001D094B"/>
    <w:rsid w:val="001D099A"/>
    <w:rsid w:val="001D11F2"/>
    <w:rsid w:val="001D1FF3"/>
    <w:rsid w:val="001D2073"/>
    <w:rsid w:val="001D2501"/>
    <w:rsid w:val="001D2C10"/>
    <w:rsid w:val="001D3511"/>
    <w:rsid w:val="001D496A"/>
    <w:rsid w:val="001D50DA"/>
    <w:rsid w:val="001D52AF"/>
    <w:rsid w:val="001D59C7"/>
    <w:rsid w:val="001D657B"/>
    <w:rsid w:val="001D6F29"/>
    <w:rsid w:val="001E00B4"/>
    <w:rsid w:val="001E0337"/>
    <w:rsid w:val="001E0FC3"/>
    <w:rsid w:val="001E2177"/>
    <w:rsid w:val="001E6630"/>
    <w:rsid w:val="001E7189"/>
    <w:rsid w:val="001E7EE9"/>
    <w:rsid w:val="001F0A44"/>
    <w:rsid w:val="001F0E3F"/>
    <w:rsid w:val="001F1927"/>
    <w:rsid w:val="001F2B7E"/>
    <w:rsid w:val="001F302B"/>
    <w:rsid w:val="001F4D7F"/>
    <w:rsid w:val="001F510C"/>
    <w:rsid w:val="001F5508"/>
    <w:rsid w:val="001F64D3"/>
    <w:rsid w:val="001F6615"/>
    <w:rsid w:val="001F7206"/>
    <w:rsid w:val="001F73A2"/>
    <w:rsid w:val="0020017D"/>
    <w:rsid w:val="00202707"/>
    <w:rsid w:val="0020367E"/>
    <w:rsid w:val="00204EA4"/>
    <w:rsid w:val="00205363"/>
    <w:rsid w:val="00205B21"/>
    <w:rsid w:val="00205FD7"/>
    <w:rsid w:val="002065DA"/>
    <w:rsid w:val="0020667D"/>
    <w:rsid w:val="00206BBA"/>
    <w:rsid w:val="00207F55"/>
    <w:rsid w:val="0021147E"/>
    <w:rsid w:val="00211EAE"/>
    <w:rsid w:val="0021203C"/>
    <w:rsid w:val="00212A6F"/>
    <w:rsid w:val="00212DCD"/>
    <w:rsid w:val="00212F33"/>
    <w:rsid w:val="00213274"/>
    <w:rsid w:val="00215F7E"/>
    <w:rsid w:val="002160EE"/>
    <w:rsid w:val="00216957"/>
    <w:rsid w:val="002174AA"/>
    <w:rsid w:val="0022031C"/>
    <w:rsid w:val="002203D8"/>
    <w:rsid w:val="00220CA5"/>
    <w:rsid w:val="00220D08"/>
    <w:rsid w:val="0022162B"/>
    <w:rsid w:val="00222439"/>
    <w:rsid w:val="00222778"/>
    <w:rsid w:val="002243A8"/>
    <w:rsid w:val="002244AC"/>
    <w:rsid w:val="002255B9"/>
    <w:rsid w:val="002300D6"/>
    <w:rsid w:val="002303CB"/>
    <w:rsid w:val="00231BDC"/>
    <w:rsid w:val="00233F5A"/>
    <w:rsid w:val="0023540A"/>
    <w:rsid w:val="00237489"/>
    <w:rsid w:val="00237D09"/>
    <w:rsid w:val="00240E59"/>
    <w:rsid w:val="00241DF7"/>
    <w:rsid w:val="00242556"/>
    <w:rsid w:val="002432DF"/>
    <w:rsid w:val="00244459"/>
    <w:rsid w:val="00244674"/>
    <w:rsid w:val="002456B4"/>
    <w:rsid w:val="00247E38"/>
    <w:rsid w:val="002500A5"/>
    <w:rsid w:val="00251FD7"/>
    <w:rsid w:val="00252691"/>
    <w:rsid w:val="00253736"/>
    <w:rsid w:val="002548CF"/>
    <w:rsid w:val="00254E83"/>
    <w:rsid w:val="00255E13"/>
    <w:rsid w:val="00255ED7"/>
    <w:rsid w:val="00256412"/>
    <w:rsid w:val="00260080"/>
    <w:rsid w:val="00260767"/>
    <w:rsid w:val="00260C8E"/>
    <w:rsid w:val="00261084"/>
    <w:rsid w:val="002632A1"/>
    <w:rsid w:val="002647AD"/>
    <w:rsid w:val="00265CBF"/>
    <w:rsid w:val="002660A9"/>
    <w:rsid w:val="00266F7B"/>
    <w:rsid w:val="00267C4E"/>
    <w:rsid w:val="0027008B"/>
    <w:rsid w:val="00270C3D"/>
    <w:rsid w:val="0027402C"/>
    <w:rsid w:val="00275FA8"/>
    <w:rsid w:val="002772E1"/>
    <w:rsid w:val="00281DED"/>
    <w:rsid w:val="00282E38"/>
    <w:rsid w:val="00284A7A"/>
    <w:rsid w:val="00284D7A"/>
    <w:rsid w:val="00284FBF"/>
    <w:rsid w:val="00285EAA"/>
    <w:rsid w:val="002861ED"/>
    <w:rsid w:val="00286D09"/>
    <w:rsid w:val="00286E59"/>
    <w:rsid w:val="002901ED"/>
    <w:rsid w:val="002905C1"/>
    <w:rsid w:val="00292F06"/>
    <w:rsid w:val="00293968"/>
    <w:rsid w:val="00295048"/>
    <w:rsid w:val="00295720"/>
    <w:rsid w:val="002957B5"/>
    <w:rsid w:val="00295850"/>
    <w:rsid w:val="00295DC1"/>
    <w:rsid w:val="002963F2"/>
    <w:rsid w:val="00297FF5"/>
    <w:rsid w:val="002A1682"/>
    <w:rsid w:val="002B03AE"/>
    <w:rsid w:val="002B140A"/>
    <w:rsid w:val="002B14AA"/>
    <w:rsid w:val="002B2A9E"/>
    <w:rsid w:val="002B2DC4"/>
    <w:rsid w:val="002B32C3"/>
    <w:rsid w:val="002B5537"/>
    <w:rsid w:val="002B56D2"/>
    <w:rsid w:val="002B58CB"/>
    <w:rsid w:val="002B65E7"/>
    <w:rsid w:val="002B6AB2"/>
    <w:rsid w:val="002B6C23"/>
    <w:rsid w:val="002B6E51"/>
    <w:rsid w:val="002B78D2"/>
    <w:rsid w:val="002B7E9D"/>
    <w:rsid w:val="002C01AA"/>
    <w:rsid w:val="002C0609"/>
    <w:rsid w:val="002C0D7E"/>
    <w:rsid w:val="002C1E88"/>
    <w:rsid w:val="002C1FDC"/>
    <w:rsid w:val="002C36E3"/>
    <w:rsid w:val="002C3868"/>
    <w:rsid w:val="002C3869"/>
    <w:rsid w:val="002C41C8"/>
    <w:rsid w:val="002C5341"/>
    <w:rsid w:val="002C6588"/>
    <w:rsid w:val="002C6C40"/>
    <w:rsid w:val="002C6EA8"/>
    <w:rsid w:val="002C794D"/>
    <w:rsid w:val="002C7E34"/>
    <w:rsid w:val="002D0C67"/>
    <w:rsid w:val="002D3B90"/>
    <w:rsid w:val="002D40ED"/>
    <w:rsid w:val="002D4593"/>
    <w:rsid w:val="002D4B5A"/>
    <w:rsid w:val="002D58FF"/>
    <w:rsid w:val="002D5BC3"/>
    <w:rsid w:val="002D642C"/>
    <w:rsid w:val="002D6639"/>
    <w:rsid w:val="002E1D3E"/>
    <w:rsid w:val="002E2918"/>
    <w:rsid w:val="002E32CD"/>
    <w:rsid w:val="002E3608"/>
    <w:rsid w:val="002E3A2F"/>
    <w:rsid w:val="002E4A10"/>
    <w:rsid w:val="002E5049"/>
    <w:rsid w:val="002E614A"/>
    <w:rsid w:val="002E63DB"/>
    <w:rsid w:val="002E68B3"/>
    <w:rsid w:val="002E6D8C"/>
    <w:rsid w:val="002E7D1F"/>
    <w:rsid w:val="002F0471"/>
    <w:rsid w:val="002F0884"/>
    <w:rsid w:val="002F1411"/>
    <w:rsid w:val="002F26E4"/>
    <w:rsid w:val="002F3A4E"/>
    <w:rsid w:val="002F47BB"/>
    <w:rsid w:val="002F4B47"/>
    <w:rsid w:val="002F4E4C"/>
    <w:rsid w:val="002F5749"/>
    <w:rsid w:val="002F58FF"/>
    <w:rsid w:val="002F61AD"/>
    <w:rsid w:val="002F79D2"/>
    <w:rsid w:val="0030161A"/>
    <w:rsid w:val="00303065"/>
    <w:rsid w:val="00303103"/>
    <w:rsid w:val="0030543C"/>
    <w:rsid w:val="00305749"/>
    <w:rsid w:val="003059C2"/>
    <w:rsid w:val="0030642F"/>
    <w:rsid w:val="0030720E"/>
    <w:rsid w:val="00307889"/>
    <w:rsid w:val="00310B3F"/>
    <w:rsid w:val="00312671"/>
    <w:rsid w:val="003130E9"/>
    <w:rsid w:val="00313320"/>
    <w:rsid w:val="00313FC0"/>
    <w:rsid w:val="00315F01"/>
    <w:rsid w:val="00316061"/>
    <w:rsid w:val="00316B1E"/>
    <w:rsid w:val="0031740B"/>
    <w:rsid w:val="00317B52"/>
    <w:rsid w:val="00320A91"/>
    <w:rsid w:val="00321643"/>
    <w:rsid w:val="00321D2A"/>
    <w:rsid w:val="00322ABA"/>
    <w:rsid w:val="00322B4C"/>
    <w:rsid w:val="003231FE"/>
    <w:rsid w:val="00323543"/>
    <w:rsid w:val="00323FA6"/>
    <w:rsid w:val="00325718"/>
    <w:rsid w:val="00326570"/>
    <w:rsid w:val="00327740"/>
    <w:rsid w:val="003278E5"/>
    <w:rsid w:val="00331261"/>
    <w:rsid w:val="00332723"/>
    <w:rsid w:val="003335EA"/>
    <w:rsid w:val="003338ED"/>
    <w:rsid w:val="0033416F"/>
    <w:rsid w:val="00335272"/>
    <w:rsid w:val="0033595C"/>
    <w:rsid w:val="00335AD7"/>
    <w:rsid w:val="003367D2"/>
    <w:rsid w:val="00336E2B"/>
    <w:rsid w:val="00336E57"/>
    <w:rsid w:val="003373E3"/>
    <w:rsid w:val="003374F2"/>
    <w:rsid w:val="00341D18"/>
    <w:rsid w:val="00342110"/>
    <w:rsid w:val="0034212F"/>
    <w:rsid w:val="0034216F"/>
    <w:rsid w:val="00342967"/>
    <w:rsid w:val="00343226"/>
    <w:rsid w:val="00343945"/>
    <w:rsid w:val="00343D37"/>
    <w:rsid w:val="00344663"/>
    <w:rsid w:val="00344B4D"/>
    <w:rsid w:val="0035007B"/>
    <w:rsid w:val="00350705"/>
    <w:rsid w:val="003510B4"/>
    <w:rsid w:val="003518B9"/>
    <w:rsid w:val="003532C7"/>
    <w:rsid w:val="003534D6"/>
    <w:rsid w:val="00353FEC"/>
    <w:rsid w:val="00355213"/>
    <w:rsid w:val="00355E95"/>
    <w:rsid w:val="00356D60"/>
    <w:rsid w:val="003576B3"/>
    <w:rsid w:val="0035788F"/>
    <w:rsid w:val="003600C9"/>
    <w:rsid w:val="0036128B"/>
    <w:rsid w:val="00361416"/>
    <w:rsid w:val="00361ED9"/>
    <w:rsid w:val="00362250"/>
    <w:rsid w:val="00362255"/>
    <w:rsid w:val="00363083"/>
    <w:rsid w:val="00363098"/>
    <w:rsid w:val="003643BC"/>
    <w:rsid w:val="00364B77"/>
    <w:rsid w:val="00366918"/>
    <w:rsid w:val="00367FC0"/>
    <w:rsid w:val="003702F3"/>
    <w:rsid w:val="003707C8"/>
    <w:rsid w:val="00371388"/>
    <w:rsid w:val="0037156F"/>
    <w:rsid w:val="00371EA1"/>
    <w:rsid w:val="00372BBB"/>
    <w:rsid w:val="00372FF5"/>
    <w:rsid w:val="00374856"/>
    <w:rsid w:val="003751F6"/>
    <w:rsid w:val="00375D84"/>
    <w:rsid w:val="00375EF5"/>
    <w:rsid w:val="003763DF"/>
    <w:rsid w:val="00376C1C"/>
    <w:rsid w:val="00377395"/>
    <w:rsid w:val="003773C2"/>
    <w:rsid w:val="00381962"/>
    <w:rsid w:val="00381D2A"/>
    <w:rsid w:val="00384086"/>
    <w:rsid w:val="00384870"/>
    <w:rsid w:val="00385390"/>
    <w:rsid w:val="00386346"/>
    <w:rsid w:val="00386660"/>
    <w:rsid w:val="00391DF6"/>
    <w:rsid w:val="00394332"/>
    <w:rsid w:val="003944C8"/>
    <w:rsid w:val="00395672"/>
    <w:rsid w:val="00395AF5"/>
    <w:rsid w:val="00396D23"/>
    <w:rsid w:val="0039766E"/>
    <w:rsid w:val="00397D6A"/>
    <w:rsid w:val="003A03FC"/>
    <w:rsid w:val="003A1823"/>
    <w:rsid w:val="003A205B"/>
    <w:rsid w:val="003A306A"/>
    <w:rsid w:val="003A3EBC"/>
    <w:rsid w:val="003A47E2"/>
    <w:rsid w:val="003A5309"/>
    <w:rsid w:val="003A631F"/>
    <w:rsid w:val="003A6B2D"/>
    <w:rsid w:val="003B266C"/>
    <w:rsid w:val="003B343C"/>
    <w:rsid w:val="003B384F"/>
    <w:rsid w:val="003B4A1E"/>
    <w:rsid w:val="003B743D"/>
    <w:rsid w:val="003B7FB0"/>
    <w:rsid w:val="003C0280"/>
    <w:rsid w:val="003C04F1"/>
    <w:rsid w:val="003C1B81"/>
    <w:rsid w:val="003C2AD2"/>
    <w:rsid w:val="003C4387"/>
    <w:rsid w:val="003C58AA"/>
    <w:rsid w:val="003C58E3"/>
    <w:rsid w:val="003C5D4F"/>
    <w:rsid w:val="003C6068"/>
    <w:rsid w:val="003C62F3"/>
    <w:rsid w:val="003C6CA8"/>
    <w:rsid w:val="003D0E27"/>
    <w:rsid w:val="003D1C8E"/>
    <w:rsid w:val="003D2A6E"/>
    <w:rsid w:val="003D3859"/>
    <w:rsid w:val="003D3C6D"/>
    <w:rsid w:val="003D3F6C"/>
    <w:rsid w:val="003D404A"/>
    <w:rsid w:val="003D48BD"/>
    <w:rsid w:val="003D4C0C"/>
    <w:rsid w:val="003D4E25"/>
    <w:rsid w:val="003D512A"/>
    <w:rsid w:val="003D5171"/>
    <w:rsid w:val="003D51CF"/>
    <w:rsid w:val="003D598C"/>
    <w:rsid w:val="003D5FB2"/>
    <w:rsid w:val="003D6162"/>
    <w:rsid w:val="003D725A"/>
    <w:rsid w:val="003D77C7"/>
    <w:rsid w:val="003E10EB"/>
    <w:rsid w:val="003E1A52"/>
    <w:rsid w:val="003E1CBD"/>
    <w:rsid w:val="003E229E"/>
    <w:rsid w:val="003E46A6"/>
    <w:rsid w:val="003E6749"/>
    <w:rsid w:val="003E6C16"/>
    <w:rsid w:val="003E7BB9"/>
    <w:rsid w:val="003F171C"/>
    <w:rsid w:val="003F1C07"/>
    <w:rsid w:val="003F1D89"/>
    <w:rsid w:val="003F2049"/>
    <w:rsid w:val="003F224F"/>
    <w:rsid w:val="003F24E1"/>
    <w:rsid w:val="003F2BF0"/>
    <w:rsid w:val="003F2F5D"/>
    <w:rsid w:val="003F4773"/>
    <w:rsid w:val="003F4DBA"/>
    <w:rsid w:val="003F5E47"/>
    <w:rsid w:val="003F65CA"/>
    <w:rsid w:val="003F6851"/>
    <w:rsid w:val="003F6D0B"/>
    <w:rsid w:val="004007D8"/>
    <w:rsid w:val="004008C2"/>
    <w:rsid w:val="004008EB"/>
    <w:rsid w:val="00400932"/>
    <w:rsid w:val="00401BC0"/>
    <w:rsid w:val="00401DE9"/>
    <w:rsid w:val="0040243A"/>
    <w:rsid w:val="0040400B"/>
    <w:rsid w:val="004043E8"/>
    <w:rsid w:val="004061E7"/>
    <w:rsid w:val="00407AD4"/>
    <w:rsid w:val="00410A54"/>
    <w:rsid w:val="00411666"/>
    <w:rsid w:val="004139AE"/>
    <w:rsid w:val="00414418"/>
    <w:rsid w:val="004170E0"/>
    <w:rsid w:val="00417EB8"/>
    <w:rsid w:val="004208B1"/>
    <w:rsid w:val="00420B6F"/>
    <w:rsid w:val="00420DE8"/>
    <w:rsid w:val="00422497"/>
    <w:rsid w:val="00422A06"/>
    <w:rsid w:val="004231F1"/>
    <w:rsid w:val="0042367D"/>
    <w:rsid w:val="00423D1F"/>
    <w:rsid w:val="00424A9B"/>
    <w:rsid w:val="00425EEA"/>
    <w:rsid w:val="00426326"/>
    <w:rsid w:val="00426383"/>
    <w:rsid w:val="004269A8"/>
    <w:rsid w:val="00426B9B"/>
    <w:rsid w:val="0043080E"/>
    <w:rsid w:val="00431CB1"/>
    <w:rsid w:val="00432479"/>
    <w:rsid w:val="00432EEA"/>
    <w:rsid w:val="004332D1"/>
    <w:rsid w:val="004333E9"/>
    <w:rsid w:val="00436533"/>
    <w:rsid w:val="00436683"/>
    <w:rsid w:val="004379EF"/>
    <w:rsid w:val="00437BFE"/>
    <w:rsid w:val="00437C8F"/>
    <w:rsid w:val="00440724"/>
    <w:rsid w:val="00440B79"/>
    <w:rsid w:val="004419FF"/>
    <w:rsid w:val="00442235"/>
    <w:rsid w:val="004426B0"/>
    <w:rsid w:val="00442A95"/>
    <w:rsid w:val="00442E8C"/>
    <w:rsid w:val="0044370C"/>
    <w:rsid w:val="0044490E"/>
    <w:rsid w:val="00445740"/>
    <w:rsid w:val="00446E44"/>
    <w:rsid w:val="004476C9"/>
    <w:rsid w:val="0044787F"/>
    <w:rsid w:val="00450CFF"/>
    <w:rsid w:val="00451486"/>
    <w:rsid w:val="00451583"/>
    <w:rsid w:val="00451A08"/>
    <w:rsid w:val="00451A7F"/>
    <w:rsid w:val="00452E1C"/>
    <w:rsid w:val="00453943"/>
    <w:rsid w:val="0045488A"/>
    <w:rsid w:val="004564C0"/>
    <w:rsid w:val="00456CC8"/>
    <w:rsid w:val="00457F92"/>
    <w:rsid w:val="004604E5"/>
    <w:rsid w:val="00461E4D"/>
    <w:rsid w:val="00462163"/>
    <w:rsid w:val="004623FB"/>
    <w:rsid w:val="004636D3"/>
    <w:rsid w:val="00465007"/>
    <w:rsid w:val="00465574"/>
    <w:rsid w:val="00465EA7"/>
    <w:rsid w:val="0046697D"/>
    <w:rsid w:val="004676CB"/>
    <w:rsid w:val="00470441"/>
    <w:rsid w:val="00471CF8"/>
    <w:rsid w:val="00474219"/>
    <w:rsid w:val="004744D6"/>
    <w:rsid w:val="00474712"/>
    <w:rsid w:val="004768A6"/>
    <w:rsid w:val="00477113"/>
    <w:rsid w:val="00477730"/>
    <w:rsid w:val="0048022C"/>
    <w:rsid w:val="00480FFB"/>
    <w:rsid w:val="004823E0"/>
    <w:rsid w:val="00483714"/>
    <w:rsid w:val="00483837"/>
    <w:rsid w:val="0048389A"/>
    <w:rsid w:val="00483F10"/>
    <w:rsid w:val="00484807"/>
    <w:rsid w:val="00484C21"/>
    <w:rsid w:val="00484F88"/>
    <w:rsid w:val="00485D66"/>
    <w:rsid w:val="00487539"/>
    <w:rsid w:val="004875CD"/>
    <w:rsid w:val="0049001B"/>
    <w:rsid w:val="00492B94"/>
    <w:rsid w:val="00494155"/>
    <w:rsid w:val="00494B19"/>
    <w:rsid w:val="00494BC4"/>
    <w:rsid w:val="00495B18"/>
    <w:rsid w:val="00496332"/>
    <w:rsid w:val="00496445"/>
    <w:rsid w:val="00496C9F"/>
    <w:rsid w:val="00496D08"/>
    <w:rsid w:val="00497054"/>
    <w:rsid w:val="004A025B"/>
    <w:rsid w:val="004A0378"/>
    <w:rsid w:val="004A0506"/>
    <w:rsid w:val="004A08C6"/>
    <w:rsid w:val="004A1DF3"/>
    <w:rsid w:val="004A1E30"/>
    <w:rsid w:val="004A3D98"/>
    <w:rsid w:val="004A408C"/>
    <w:rsid w:val="004A4DD2"/>
    <w:rsid w:val="004A5D81"/>
    <w:rsid w:val="004A62B1"/>
    <w:rsid w:val="004A69C2"/>
    <w:rsid w:val="004A724B"/>
    <w:rsid w:val="004A743C"/>
    <w:rsid w:val="004A7EE6"/>
    <w:rsid w:val="004B0D07"/>
    <w:rsid w:val="004B1DD9"/>
    <w:rsid w:val="004B45E6"/>
    <w:rsid w:val="004B49D1"/>
    <w:rsid w:val="004B5601"/>
    <w:rsid w:val="004B5AAE"/>
    <w:rsid w:val="004B5CD9"/>
    <w:rsid w:val="004B5CE7"/>
    <w:rsid w:val="004B6270"/>
    <w:rsid w:val="004B6CC7"/>
    <w:rsid w:val="004C0785"/>
    <w:rsid w:val="004C104A"/>
    <w:rsid w:val="004C1202"/>
    <w:rsid w:val="004C3803"/>
    <w:rsid w:val="004C519C"/>
    <w:rsid w:val="004C567F"/>
    <w:rsid w:val="004C5FEF"/>
    <w:rsid w:val="004C6665"/>
    <w:rsid w:val="004C7B76"/>
    <w:rsid w:val="004C7F00"/>
    <w:rsid w:val="004D0E63"/>
    <w:rsid w:val="004D1408"/>
    <w:rsid w:val="004D215A"/>
    <w:rsid w:val="004D2DF5"/>
    <w:rsid w:val="004D39CB"/>
    <w:rsid w:val="004D3C1B"/>
    <w:rsid w:val="004D40E9"/>
    <w:rsid w:val="004D41A6"/>
    <w:rsid w:val="004D4415"/>
    <w:rsid w:val="004D52CF"/>
    <w:rsid w:val="004D598A"/>
    <w:rsid w:val="004D5B52"/>
    <w:rsid w:val="004D5CF0"/>
    <w:rsid w:val="004D61CD"/>
    <w:rsid w:val="004D622B"/>
    <w:rsid w:val="004D6BDD"/>
    <w:rsid w:val="004D7F30"/>
    <w:rsid w:val="004E003E"/>
    <w:rsid w:val="004E0473"/>
    <w:rsid w:val="004E1BC8"/>
    <w:rsid w:val="004E2284"/>
    <w:rsid w:val="004E28D5"/>
    <w:rsid w:val="004E2CC6"/>
    <w:rsid w:val="004E734A"/>
    <w:rsid w:val="004E7734"/>
    <w:rsid w:val="004F0760"/>
    <w:rsid w:val="004F0D29"/>
    <w:rsid w:val="004F0DA1"/>
    <w:rsid w:val="004F1478"/>
    <w:rsid w:val="004F14FE"/>
    <w:rsid w:val="004F1978"/>
    <w:rsid w:val="004F213D"/>
    <w:rsid w:val="004F263D"/>
    <w:rsid w:val="004F2E36"/>
    <w:rsid w:val="004F3142"/>
    <w:rsid w:val="004F35EE"/>
    <w:rsid w:val="004F3741"/>
    <w:rsid w:val="004F4B2C"/>
    <w:rsid w:val="004F4F5F"/>
    <w:rsid w:val="004F6D68"/>
    <w:rsid w:val="004F6EA6"/>
    <w:rsid w:val="004F7057"/>
    <w:rsid w:val="004F743C"/>
    <w:rsid w:val="00500A8B"/>
    <w:rsid w:val="00501268"/>
    <w:rsid w:val="005022CC"/>
    <w:rsid w:val="0050374D"/>
    <w:rsid w:val="00503C19"/>
    <w:rsid w:val="00503D6C"/>
    <w:rsid w:val="00503FB7"/>
    <w:rsid w:val="0050482F"/>
    <w:rsid w:val="00506DBD"/>
    <w:rsid w:val="00513106"/>
    <w:rsid w:val="00513A4A"/>
    <w:rsid w:val="00513FAF"/>
    <w:rsid w:val="00514485"/>
    <w:rsid w:val="00514BE8"/>
    <w:rsid w:val="005175E0"/>
    <w:rsid w:val="0051770B"/>
    <w:rsid w:val="00517AF3"/>
    <w:rsid w:val="00517B0E"/>
    <w:rsid w:val="00517B23"/>
    <w:rsid w:val="00517FA0"/>
    <w:rsid w:val="00520429"/>
    <w:rsid w:val="00520515"/>
    <w:rsid w:val="00520F38"/>
    <w:rsid w:val="0052116B"/>
    <w:rsid w:val="005212E7"/>
    <w:rsid w:val="00521A2E"/>
    <w:rsid w:val="0052266A"/>
    <w:rsid w:val="00522960"/>
    <w:rsid w:val="0052538E"/>
    <w:rsid w:val="00525676"/>
    <w:rsid w:val="00525A58"/>
    <w:rsid w:val="00526369"/>
    <w:rsid w:val="005266BB"/>
    <w:rsid w:val="00527709"/>
    <w:rsid w:val="00527775"/>
    <w:rsid w:val="005277AC"/>
    <w:rsid w:val="005277CC"/>
    <w:rsid w:val="0053012C"/>
    <w:rsid w:val="0053039F"/>
    <w:rsid w:val="00530D96"/>
    <w:rsid w:val="00531834"/>
    <w:rsid w:val="00532B5B"/>
    <w:rsid w:val="00533FE3"/>
    <w:rsid w:val="00534107"/>
    <w:rsid w:val="00534D56"/>
    <w:rsid w:val="00536BE6"/>
    <w:rsid w:val="00537035"/>
    <w:rsid w:val="00537280"/>
    <w:rsid w:val="005378F9"/>
    <w:rsid w:val="0054073B"/>
    <w:rsid w:val="005407D9"/>
    <w:rsid w:val="00543F0C"/>
    <w:rsid w:val="005442A8"/>
    <w:rsid w:val="005449F4"/>
    <w:rsid w:val="005453D8"/>
    <w:rsid w:val="0054721B"/>
    <w:rsid w:val="005506B2"/>
    <w:rsid w:val="005511A1"/>
    <w:rsid w:val="00552F7E"/>
    <w:rsid w:val="00553F61"/>
    <w:rsid w:val="00553F67"/>
    <w:rsid w:val="00556295"/>
    <w:rsid w:val="00556F0C"/>
    <w:rsid w:val="00557FD5"/>
    <w:rsid w:val="0056079C"/>
    <w:rsid w:val="00560B3C"/>
    <w:rsid w:val="00560EEF"/>
    <w:rsid w:val="005612A8"/>
    <w:rsid w:val="0056181D"/>
    <w:rsid w:val="0056388E"/>
    <w:rsid w:val="00563BB6"/>
    <w:rsid w:val="00564B9F"/>
    <w:rsid w:val="005662C6"/>
    <w:rsid w:val="00566471"/>
    <w:rsid w:val="005665AE"/>
    <w:rsid w:val="005675D2"/>
    <w:rsid w:val="00570A3C"/>
    <w:rsid w:val="005713DF"/>
    <w:rsid w:val="00571484"/>
    <w:rsid w:val="00573CC1"/>
    <w:rsid w:val="0057453D"/>
    <w:rsid w:val="005757E8"/>
    <w:rsid w:val="00577F3E"/>
    <w:rsid w:val="00580DA3"/>
    <w:rsid w:val="00581409"/>
    <w:rsid w:val="00582F7F"/>
    <w:rsid w:val="00583462"/>
    <w:rsid w:val="00583FBB"/>
    <w:rsid w:val="005850D5"/>
    <w:rsid w:val="005855D5"/>
    <w:rsid w:val="00585746"/>
    <w:rsid w:val="005857CF"/>
    <w:rsid w:val="005862B5"/>
    <w:rsid w:val="0058686A"/>
    <w:rsid w:val="00590A44"/>
    <w:rsid w:val="00590F9A"/>
    <w:rsid w:val="00591317"/>
    <w:rsid w:val="005913A0"/>
    <w:rsid w:val="00593E21"/>
    <w:rsid w:val="005945DD"/>
    <w:rsid w:val="00597751"/>
    <w:rsid w:val="00597EBB"/>
    <w:rsid w:val="005A03FD"/>
    <w:rsid w:val="005A09AE"/>
    <w:rsid w:val="005A12CF"/>
    <w:rsid w:val="005A3322"/>
    <w:rsid w:val="005A33E8"/>
    <w:rsid w:val="005A4662"/>
    <w:rsid w:val="005A5945"/>
    <w:rsid w:val="005A6C13"/>
    <w:rsid w:val="005A6DCD"/>
    <w:rsid w:val="005B00ED"/>
    <w:rsid w:val="005B02DD"/>
    <w:rsid w:val="005B0C16"/>
    <w:rsid w:val="005B23F9"/>
    <w:rsid w:val="005B2872"/>
    <w:rsid w:val="005B39F7"/>
    <w:rsid w:val="005B42E0"/>
    <w:rsid w:val="005B6A41"/>
    <w:rsid w:val="005C16DC"/>
    <w:rsid w:val="005C1BA4"/>
    <w:rsid w:val="005C2704"/>
    <w:rsid w:val="005C3495"/>
    <w:rsid w:val="005C4009"/>
    <w:rsid w:val="005C437C"/>
    <w:rsid w:val="005C4E31"/>
    <w:rsid w:val="005C6031"/>
    <w:rsid w:val="005C7CF5"/>
    <w:rsid w:val="005D075E"/>
    <w:rsid w:val="005D0E1F"/>
    <w:rsid w:val="005D1206"/>
    <w:rsid w:val="005D1901"/>
    <w:rsid w:val="005D22B3"/>
    <w:rsid w:val="005D2701"/>
    <w:rsid w:val="005D2D3A"/>
    <w:rsid w:val="005D3155"/>
    <w:rsid w:val="005D438A"/>
    <w:rsid w:val="005D5403"/>
    <w:rsid w:val="005D55DC"/>
    <w:rsid w:val="005D64EA"/>
    <w:rsid w:val="005D6E65"/>
    <w:rsid w:val="005D77DF"/>
    <w:rsid w:val="005D7899"/>
    <w:rsid w:val="005D7924"/>
    <w:rsid w:val="005D7AC7"/>
    <w:rsid w:val="005E01A5"/>
    <w:rsid w:val="005E243F"/>
    <w:rsid w:val="005E274C"/>
    <w:rsid w:val="005E37BF"/>
    <w:rsid w:val="005E470A"/>
    <w:rsid w:val="005E49D4"/>
    <w:rsid w:val="005E57E9"/>
    <w:rsid w:val="005E5872"/>
    <w:rsid w:val="005E6DE2"/>
    <w:rsid w:val="005E70C5"/>
    <w:rsid w:val="005E760A"/>
    <w:rsid w:val="005F01BB"/>
    <w:rsid w:val="005F067C"/>
    <w:rsid w:val="005F0EE9"/>
    <w:rsid w:val="005F1120"/>
    <w:rsid w:val="005F17CA"/>
    <w:rsid w:val="005F2631"/>
    <w:rsid w:val="005F38E7"/>
    <w:rsid w:val="005F4A3F"/>
    <w:rsid w:val="005F61E7"/>
    <w:rsid w:val="005F6F3E"/>
    <w:rsid w:val="005F7FD5"/>
    <w:rsid w:val="0060009A"/>
    <w:rsid w:val="006002F3"/>
    <w:rsid w:val="00600B74"/>
    <w:rsid w:val="0060266D"/>
    <w:rsid w:val="006026F6"/>
    <w:rsid w:val="00602788"/>
    <w:rsid w:val="0060354B"/>
    <w:rsid w:val="006041CD"/>
    <w:rsid w:val="00604401"/>
    <w:rsid w:val="006044D7"/>
    <w:rsid w:val="006045D2"/>
    <w:rsid w:val="00604824"/>
    <w:rsid w:val="00604AF5"/>
    <w:rsid w:val="00605D32"/>
    <w:rsid w:val="00605ED5"/>
    <w:rsid w:val="006066AB"/>
    <w:rsid w:val="0060692C"/>
    <w:rsid w:val="006071D0"/>
    <w:rsid w:val="0060728E"/>
    <w:rsid w:val="00607A8B"/>
    <w:rsid w:val="006117B9"/>
    <w:rsid w:val="0061196D"/>
    <w:rsid w:val="00613919"/>
    <w:rsid w:val="00614042"/>
    <w:rsid w:val="006141D5"/>
    <w:rsid w:val="00614E55"/>
    <w:rsid w:val="00615530"/>
    <w:rsid w:val="0061610E"/>
    <w:rsid w:val="0061623E"/>
    <w:rsid w:val="00617A18"/>
    <w:rsid w:val="0062121F"/>
    <w:rsid w:val="00621A6D"/>
    <w:rsid w:val="006220EC"/>
    <w:rsid w:val="00623479"/>
    <w:rsid w:val="00624A6D"/>
    <w:rsid w:val="00624FD8"/>
    <w:rsid w:val="0062584B"/>
    <w:rsid w:val="00625A79"/>
    <w:rsid w:val="006260F2"/>
    <w:rsid w:val="0062685A"/>
    <w:rsid w:val="006300E4"/>
    <w:rsid w:val="0063106D"/>
    <w:rsid w:val="006316E3"/>
    <w:rsid w:val="00631F7B"/>
    <w:rsid w:val="00632BEE"/>
    <w:rsid w:val="00632C6D"/>
    <w:rsid w:val="0063536B"/>
    <w:rsid w:val="00636139"/>
    <w:rsid w:val="00637B42"/>
    <w:rsid w:val="00640357"/>
    <w:rsid w:val="00640C31"/>
    <w:rsid w:val="00640F22"/>
    <w:rsid w:val="0064134D"/>
    <w:rsid w:val="0064157D"/>
    <w:rsid w:val="00643BCC"/>
    <w:rsid w:val="00644A6F"/>
    <w:rsid w:val="00645515"/>
    <w:rsid w:val="0064557B"/>
    <w:rsid w:val="00646234"/>
    <w:rsid w:val="0064681D"/>
    <w:rsid w:val="00646DDC"/>
    <w:rsid w:val="0064760C"/>
    <w:rsid w:val="00650002"/>
    <w:rsid w:val="00650ADA"/>
    <w:rsid w:val="00651CD0"/>
    <w:rsid w:val="006525C5"/>
    <w:rsid w:val="00652EA4"/>
    <w:rsid w:val="00652EC5"/>
    <w:rsid w:val="00653EAE"/>
    <w:rsid w:val="00654888"/>
    <w:rsid w:val="006550B9"/>
    <w:rsid w:val="00655936"/>
    <w:rsid w:val="00655AEC"/>
    <w:rsid w:val="00655BEB"/>
    <w:rsid w:val="006569B5"/>
    <w:rsid w:val="006575B1"/>
    <w:rsid w:val="006579CA"/>
    <w:rsid w:val="00660BB6"/>
    <w:rsid w:val="00661B8E"/>
    <w:rsid w:val="006633C5"/>
    <w:rsid w:val="00663B33"/>
    <w:rsid w:val="00665629"/>
    <w:rsid w:val="00665BB1"/>
    <w:rsid w:val="0066604B"/>
    <w:rsid w:val="006668CA"/>
    <w:rsid w:val="00666A71"/>
    <w:rsid w:val="00666C93"/>
    <w:rsid w:val="00667E91"/>
    <w:rsid w:val="0067063E"/>
    <w:rsid w:val="00670754"/>
    <w:rsid w:val="00670D8F"/>
    <w:rsid w:val="006718F5"/>
    <w:rsid w:val="00671D33"/>
    <w:rsid w:val="00671E65"/>
    <w:rsid w:val="00672D52"/>
    <w:rsid w:val="00673349"/>
    <w:rsid w:val="00674082"/>
    <w:rsid w:val="00674C26"/>
    <w:rsid w:val="00675879"/>
    <w:rsid w:val="00676C2D"/>
    <w:rsid w:val="006773A6"/>
    <w:rsid w:val="006777D5"/>
    <w:rsid w:val="006822B5"/>
    <w:rsid w:val="00682396"/>
    <w:rsid w:val="006826C9"/>
    <w:rsid w:val="00682947"/>
    <w:rsid w:val="006836BB"/>
    <w:rsid w:val="0068447E"/>
    <w:rsid w:val="00685052"/>
    <w:rsid w:val="00685FE5"/>
    <w:rsid w:val="00686625"/>
    <w:rsid w:val="00687664"/>
    <w:rsid w:val="00690ACF"/>
    <w:rsid w:val="0069134C"/>
    <w:rsid w:val="0069333B"/>
    <w:rsid w:val="00693E6E"/>
    <w:rsid w:val="00693FAC"/>
    <w:rsid w:val="00694650"/>
    <w:rsid w:val="006954E3"/>
    <w:rsid w:val="006963A0"/>
    <w:rsid w:val="00696496"/>
    <w:rsid w:val="0069746E"/>
    <w:rsid w:val="006974AF"/>
    <w:rsid w:val="006A28C6"/>
    <w:rsid w:val="006A2D11"/>
    <w:rsid w:val="006A35A9"/>
    <w:rsid w:val="006A3D3F"/>
    <w:rsid w:val="006A48B4"/>
    <w:rsid w:val="006A4DB1"/>
    <w:rsid w:val="006A5216"/>
    <w:rsid w:val="006A5AF0"/>
    <w:rsid w:val="006A5BBD"/>
    <w:rsid w:val="006A6228"/>
    <w:rsid w:val="006A7156"/>
    <w:rsid w:val="006A7226"/>
    <w:rsid w:val="006A7E57"/>
    <w:rsid w:val="006A7E96"/>
    <w:rsid w:val="006B0371"/>
    <w:rsid w:val="006B03DF"/>
    <w:rsid w:val="006B1342"/>
    <w:rsid w:val="006B1626"/>
    <w:rsid w:val="006B1643"/>
    <w:rsid w:val="006B2DDC"/>
    <w:rsid w:val="006B41E4"/>
    <w:rsid w:val="006B44C3"/>
    <w:rsid w:val="006B45A9"/>
    <w:rsid w:val="006B46E0"/>
    <w:rsid w:val="006B4CA4"/>
    <w:rsid w:val="006B5454"/>
    <w:rsid w:val="006B609E"/>
    <w:rsid w:val="006B7061"/>
    <w:rsid w:val="006C03F0"/>
    <w:rsid w:val="006C071D"/>
    <w:rsid w:val="006C0C7C"/>
    <w:rsid w:val="006C0FBD"/>
    <w:rsid w:val="006C11A5"/>
    <w:rsid w:val="006C1A46"/>
    <w:rsid w:val="006C2799"/>
    <w:rsid w:val="006C3AAE"/>
    <w:rsid w:val="006C4F64"/>
    <w:rsid w:val="006C620D"/>
    <w:rsid w:val="006C65FB"/>
    <w:rsid w:val="006C6777"/>
    <w:rsid w:val="006D07FB"/>
    <w:rsid w:val="006D086A"/>
    <w:rsid w:val="006D0942"/>
    <w:rsid w:val="006D0DC3"/>
    <w:rsid w:val="006D16B2"/>
    <w:rsid w:val="006D2926"/>
    <w:rsid w:val="006D30AC"/>
    <w:rsid w:val="006D374D"/>
    <w:rsid w:val="006D3E17"/>
    <w:rsid w:val="006D3EFA"/>
    <w:rsid w:val="006D4963"/>
    <w:rsid w:val="006D5777"/>
    <w:rsid w:val="006D5838"/>
    <w:rsid w:val="006D6B11"/>
    <w:rsid w:val="006D6D80"/>
    <w:rsid w:val="006D6FE3"/>
    <w:rsid w:val="006D7476"/>
    <w:rsid w:val="006E01EE"/>
    <w:rsid w:val="006E0802"/>
    <w:rsid w:val="006E0F85"/>
    <w:rsid w:val="006E2430"/>
    <w:rsid w:val="006E3003"/>
    <w:rsid w:val="006E4981"/>
    <w:rsid w:val="006E59EF"/>
    <w:rsid w:val="006E60BF"/>
    <w:rsid w:val="006E7855"/>
    <w:rsid w:val="006F07BE"/>
    <w:rsid w:val="006F0D17"/>
    <w:rsid w:val="006F1332"/>
    <w:rsid w:val="006F1E40"/>
    <w:rsid w:val="006F37E1"/>
    <w:rsid w:val="006F4585"/>
    <w:rsid w:val="006F4732"/>
    <w:rsid w:val="006F54B5"/>
    <w:rsid w:val="006F6962"/>
    <w:rsid w:val="006F6A5F"/>
    <w:rsid w:val="006F6AFA"/>
    <w:rsid w:val="006F78D9"/>
    <w:rsid w:val="0070156F"/>
    <w:rsid w:val="00701CC6"/>
    <w:rsid w:val="00701E52"/>
    <w:rsid w:val="00704E54"/>
    <w:rsid w:val="00706822"/>
    <w:rsid w:val="00706B17"/>
    <w:rsid w:val="00711666"/>
    <w:rsid w:val="00711CA7"/>
    <w:rsid w:val="00712FB3"/>
    <w:rsid w:val="00713829"/>
    <w:rsid w:val="00714522"/>
    <w:rsid w:val="00714636"/>
    <w:rsid w:val="00716277"/>
    <w:rsid w:val="00716603"/>
    <w:rsid w:val="0071743E"/>
    <w:rsid w:val="00720293"/>
    <w:rsid w:val="00720F16"/>
    <w:rsid w:val="0072101F"/>
    <w:rsid w:val="00721220"/>
    <w:rsid w:val="007226E8"/>
    <w:rsid w:val="00723904"/>
    <w:rsid w:val="00724E16"/>
    <w:rsid w:val="007259F4"/>
    <w:rsid w:val="00725D4C"/>
    <w:rsid w:val="00726C79"/>
    <w:rsid w:val="0072717F"/>
    <w:rsid w:val="00727B7B"/>
    <w:rsid w:val="007308FF"/>
    <w:rsid w:val="00730B8D"/>
    <w:rsid w:val="00730C15"/>
    <w:rsid w:val="00732374"/>
    <w:rsid w:val="007359AD"/>
    <w:rsid w:val="00735CD1"/>
    <w:rsid w:val="00737E0D"/>
    <w:rsid w:val="00741E78"/>
    <w:rsid w:val="00742EAE"/>
    <w:rsid w:val="00742F99"/>
    <w:rsid w:val="007457E1"/>
    <w:rsid w:val="00745921"/>
    <w:rsid w:val="007461C8"/>
    <w:rsid w:val="007469F3"/>
    <w:rsid w:val="00747096"/>
    <w:rsid w:val="00747AF4"/>
    <w:rsid w:val="00747F36"/>
    <w:rsid w:val="00750FAA"/>
    <w:rsid w:val="00751799"/>
    <w:rsid w:val="007519AF"/>
    <w:rsid w:val="00752362"/>
    <w:rsid w:val="00753923"/>
    <w:rsid w:val="00753B23"/>
    <w:rsid w:val="007544BF"/>
    <w:rsid w:val="0075638D"/>
    <w:rsid w:val="0075751D"/>
    <w:rsid w:val="0075757D"/>
    <w:rsid w:val="007578F8"/>
    <w:rsid w:val="00757E05"/>
    <w:rsid w:val="00757E19"/>
    <w:rsid w:val="007616E1"/>
    <w:rsid w:val="0076297B"/>
    <w:rsid w:val="007629D1"/>
    <w:rsid w:val="007630F5"/>
    <w:rsid w:val="00763913"/>
    <w:rsid w:val="00763DB3"/>
    <w:rsid w:val="007646A5"/>
    <w:rsid w:val="0076509C"/>
    <w:rsid w:val="007676DF"/>
    <w:rsid w:val="00767D83"/>
    <w:rsid w:val="0077029E"/>
    <w:rsid w:val="007703B7"/>
    <w:rsid w:val="0077141D"/>
    <w:rsid w:val="00771C3A"/>
    <w:rsid w:val="00772AC0"/>
    <w:rsid w:val="0077332B"/>
    <w:rsid w:val="00773B3D"/>
    <w:rsid w:val="007750B4"/>
    <w:rsid w:val="0077655C"/>
    <w:rsid w:val="00777140"/>
    <w:rsid w:val="00777E92"/>
    <w:rsid w:val="00780222"/>
    <w:rsid w:val="00780ADA"/>
    <w:rsid w:val="00780B3C"/>
    <w:rsid w:val="007819E2"/>
    <w:rsid w:val="00781DCB"/>
    <w:rsid w:val="007820A9"/>
    <w:rsid w:val="00782875"/>
    <w:rsid w:val="00782C77"/>
    <w:rsid w:val="00785484"/>
    <w:rsid w:val="00785A4F"/>
    <w:rsid w:val="0078691D"/>
    <w:rsid w:val="00787C7C"/>
    <w:rsid w:val="00787E45"/>
    <w:rsid w:val="00787F36"/>
    <w:rsid w:val="00790953"/>
    <w:rsid w:val="007916F2"/>
    <w:rsid w:val="0079301E"/>
    <w:rsid w:val="00793A5C"/>
    <w:rsid w:val="00794F74"/>
    <w:rsid w:val="00796996"/>
    <w:rsid w:val="007971E8"/>
    <w:rsid w:val="00797398"/>
    <w:rsid w:val="0079751B"/>
    <w:rsid w:val="007A2227"/>
    <w:rsid w:val="007A2897"/>
    <w:rsid w:val="007A3675"/>
    <w:rsid w:val="007A3E7C"/>
    <w:rsid w:val="007A4310"/>
    <w:rsid w:val="007A5DEC"/>
    <w:rsid w:val="007A60B1"/>
    <w:rsid w:val="007B0E6C"/>
    <w:rsid w:val="007B3F84"/>
    <w:rsid w:val="007B44BD"/>
    <w:rsid w:val="007B4990"/>
    <w:rsid w:val="007B4C7B"/>
    <w:rsid w:val="007B4ECA"/>
    <w:rsid w:val="007B69C4"/>
    <w:rsid w:val="007B70D2"/>
    <w:rsid w:val="007B7439"/>
    <w:rsid w:val="007C00FB"/>
    <w:rsid w:val="007C0F5F"/>
    <w:rsid w:val="007C0F68"/>
    <w:rsid w:val="007C0FEF"/>
    <w:rsid w:val="007C1C0D"/>
    <w:rsid w:val="007C21ED"/>
    <w:rsid w:val="007C249A"/>
    <w:rsid w:val="007C2D2A"/>
    <w:rsid w:val="007C2D75"/>
    <w:rsid w:val="007C6B9E"/>
    <w:rsid w:val="007C7619"/>
    <w:rsid w:val="007C7E74"/>
    <w:rsid w:val="007D00D5"/>
    <w:rsid w:val="007D1434"/>
    <w:rsid w:val="007D1D1D"/>
    <w:rsid w:val="007D3A6C"/>
    <w:rsid w:val="007D4B15"/>
    <w:rsid w:val="007D5B32"/>
    <w:rsid w:val="007D5B3D"/>
    <w:rsid w:val="007D61B9"/>
    <w:rsid w:val="007D638E"/>
    <w:rsid w:val="007D725A"/>
    <w:rsid w:val="007D75B2"/>
    <w:rsid w:val="007D77EA"/>
    <w:rsid w:val="007E02F7"/>
    <w:rsid w:val="007E0A73"/>
    <w:rsid w:val="007E1DF7"/>
    <w:rsid w:val="007E1E65"/>
    <w:rsid w:val="007E20A5"/>
    <w:rsid w:val="007E2996"/>
    <w:rsid w:val="007E3E9F"/>
    <w:rsid w:val="007E4936"/>
    <w:rsid w:val="007E5447"/>
    <w:rsid w:val="007E548A"/>
    <w:rsid w:val="007E55EE"/>
    <w:rsid w:val="007E5DCF"/>
    <w:rsid w:val="007E608C"/>
    <w:rsid w:val="007E60BC"/>
    <w:rsid w:val="007E6E86"/>
    <w:rsid w:val="007E7E66"/>
    <w:rsid w:val="007E7F07"/>
    <w:rsid w:val="007F0374"/>
    <w:rsid w:val="007F09D1"/>
    <w:rsid w:val="007F10B7"/>
    <w:rsid w:val="007F5B04"/>
    <w:rsid w:val="007F5D48"/>
    <w:rsid w:val="007F7B52"/>
    <w:rsid w:val="0080111A"/>
    <w:rsid w:val="008011E0"/>
    <w:rsid w:val="00801285"/>
    <w:rsid w:val="00801852"/>
    <w:rsid w:val="00801E51"/>
    <w:rsid w:val="00801FA2"/>
    <w:rsid w:val="00802E15"/>
    <w:rsid w:val="00802F7B"/>
    <w:rsid w:val="008056EC"/>
    <w:rsid w:val="0080674B"/>
    <w:rsid w:val="008070EB"/>
    <w:rsid w:val="0080795B"/>
    <w:rsid w:val="00807980"/>
    <w:rsid w:val="00807A46"/>
    <w:rsid w:val="00810851"/>
    <w:rsid w:val="00810957"/>
    <w:rsid w:val="008112A1"/>
    <w:rsid w:val="008117A5"/>
    <w:rsid w:val="00811813"/>
    <w:rsid w:val="00811E6C"/>
    <w:rsid w:val="00812996"/>
    <w:rsid w:val="00813188"/>
    <w:rsid w:val="0081375E"/>
    <w:rsid w:val="008141DD"/>
    <w:rsid w:val="008144BD"/>
    <w:rsid w:val="00816895"/>
    <w:rsid w:val="00816F29"/>
    <w:rsid w:val="00817630"/>
    <w:rsid w:val="00817C0A"/>
    <w:rsid w:val="00817D6F"/>
    <w:rsid w:val="0082034E"/>
    <w:rsid w:val="00820A36"/>
    <w:rsid w:val="00821B5C"/>
    <w:rsid w:val="00821CD4"/>
    <w:rsid w:val="00822AAD"/>
    <w:rsid w:val="008250A7"/>
    <w:rsid w:val="00826CFD"/>
    <w:rsid w:val="0082702B"/>
    <w:rsid w:val="008304A3"/>
    <w:rsid w:val="00830751"/>
    <w:rsid w:val="00830F3F"/>
    <w:rsid w:val="0083114C"/>
    <w:rsid w:val="0083121E"/>
    <w:rsid w:val="008328B9"/>
    <w:rsid w:val="00833F03"/>
    <w:rsid w:val="00834670"/>
    <w:rsid w:val="00835B6E"/>
    <w:rsid w:val="00836CC3"/>
    <w:rsid w:val="00840743"/>
    <w:rsid w:val="00841047"/>
    <w:rsid w:val="0084242F"/>
    <w:rsid w:val="008424AE"/>
    <w:rsid w:val="00842DD2"/>
    <w:rsid w:val="00842EAB"/>
    <w:rsid w:val="00844C8B"/>
    <w:rsid w:val="00844F62"/>
    <w:rsid w:val="00845294"/>
    <w:rsid w:val="00845ED0"/>
    <w:rsid w:val="00846BBB"/>
    <w:rsid w:val="00846D28"/>
    <w:rsid w:val="00850311"/>
    <w:rsid w:val="0085052B"/>
    <w:rsid w:val="0085185F"/>
    <w:rsid w:val="00851954"/>
    <w:rsid w:val="00851973"/>
    <w:rsid w:val="008528B6"/>
    <w:rsid w:val="00852AC4"/>
    <w:rsid w:val="00852F64"/>
    <w:rsid w:val="00853718"/>
    <w:rsid w:val="00853954"/>
    <w:rsid w:val="00853F62"/>
    <w:rsid w:val="0085517E"/>
    <w:rsid w:val="00855633"/>
    <w:rsid w:val="00855D05"/>
    <w:rsid w:val="00857372"/>
    <w:rsid w:val="008604FE"/>
    <w:rsid w:val="0086083C"/>
    <w:rsid w:val="00861300"/>
    <w:rsid w:val="00862A91"/>
    <w:rsid w:val="00862DED"/>
    <w:rsid w:val="00866002"/>
    <w:rsid w:val="008701E9"/>
    <w:rsid w:val="00870C95"/>
    <w:rsid w:val="00871137"/>
    <w:rsid w:val="00871CDF"/>
    <w:rsid w:val="00871FC2"/>
    <w:rsid w:val="0087220A"/>
    <w:rsid w:val="0087240D"/>
    <w:rsid w:val="00872BBD"/>
    <w:rsid w:val="00872E03"/>
    <w:rsid w:val="00873A8D"/>
    <w:rsid w:val="0087452F"/>
    <w:rsid w:val="00875868"/>
    <w:rsid w:val="00876568"/>
    <w:rsid w:val="008771C9"/>
    <w:rsid w:val="00877947"/>
    <w:rsid w:val="008804AB"/>
    <w:rsid w:val="00880509"/>
    <w:rsid w:val="00880F61"/>
    <w:rsid w:val="008812B2"/>
    <w:rsid w:val="00883077"/>
    <w:rsid w:val="00883129"/>
    <w:rsid w:val="00884055"/>
    <w:rsid w:val="008845D6"/>
    <w:rsid w:val="0088469B"/>
    <w:rsid w:val="008855EA"/>
    <w:rsid w:val="00885AB6"/>
    <w:rsid w:val="00885BB2"/>
    <w:rsid w:val="00887E99"/>
    <w:rsid w:val="0089019C"/>
    <w:rsid w:val="008904DD"/>
    <w:rsid w:val="00890885"/>
    <w:rsid w:val="00891649"/>
    <w:rsid w:val="00892AC9"/>
    <w:rsid w:val="00893ADE"/>
    <w:rsid w:val="00893E30"/>
    <w:rsid w:val="00893FF1"/>
    <w:rsid w:val="0089462D"/>
    <w:rsid w:val="0089532E"/>
    <w:rsid w:val="00895757"/>
    <w:rsid w:val="00895A08"/>
    <w:rsid w:val="00895E5C"/>
    <w:rsid w:val="008968D6"/>
    <w:rsid w:val="00897113"/>
    <w:rsid w:val="008973DE"/>
    <w:rsid w:val="008A0200"/>
    <w:rsid w:val="008A0308"/>
    <w:rsid w:val="008A0735"/>
    <w:rsid w:val="008A41FD"/>
    <w:rsid w:val="008A5AD0"/>
    <w:rsid w:val="008A6B1C"/>
    <w:rsid w:val="008B2CC1"/>
    <w:rsid w:val="008B2E19"/>
    <w:rsid w:val="008B371C"/>
    <w:rsid w:val="008B4974"/>
    <w:rsid w:val="008B52B0"/>
    <w:rsid w:val="008B696C"/>
    <w:rsid w:val="008C0F92"/>
    <w:rsid w:val="008C1A0A"/>
    <w:rsid w:val="008C236A"/>
    <w:rsid w:val="008C3272"/>
    <w:rsid w:val="008C3E88"/>
    <w:rsid w:val="008C453D"/>
    <w:rsid w:val="008C4F19"/>
    <w:rsid w:val="008C5CD6"/>
    <w:rsid w:val="008C5FDE"/>
    <w:rsid w:val="008C64EB"/>
    <w:rsid w:val="008C6FCE"/>
    <w:rsid w:val="008C726C"/>
    <w:rsid w:val="008D0336"/>
    <w:rsid w:val="008D438A"/>
    <w:rsid w:val="008D6210"/>
    <w:rsid w:val="008D6486"/>
    <w:rsid w:val="008D702C"/>
    <w:rsid w:val="008D7458"/>
    <w:rsid w:val="008E0C21"/>
    <w:rsid w:val="008E27A5"/>
    <w:rsid w:val="008E2F8E"/>
    <w:rsid w:val="008E38DA"/>
    <w:rsid w:val="008E414A"/>
    <w:rsid w:val="008E440C"/>
    <w:rsid w:val="008E4BA4"/>
    <w:rsid w:val="008E5904"/>
    <w:rsid w:val="008E7038"/>
    <w:rsid w:val="008E7041"/>
    <w:rsid w:val="008F083D"/>
    <w:rsid w:val="008F0E8C"/>
    <w:rsid w:val="008F107F"/>
    <w:rsid w:val="008F146D"/>
    <w:rsid w:val="008F1528"/>
    <w:rsid w:val="008F1568"/>
    <w:rsid w:val="008F1E97"/>
    <w:rsid w:val="008F21C0"/>
    <w:rsid w:val="008F35FC"/>
    <w:rsid w:val="008F491C"/>
    <w:rsid w:val="008F50FC"/>
    <w:rsid w:val="008F5E7E"/>
    <w:rsid w:val="008F61AC"/>
    <w:rsid w:val="008F6701"/>
    <w:rsid w:val="008F70CC"/>
    <w:rsid w:val="008F731C"/>
    <w:rsid w:val="008F75DF"/>
    <w:rsid w:val="008F7DAD"/>
    <w:rsid w:val="0090002C"/>
    <w:rsid w:val="009017D2"/>
    <w:rsid w:val="009025C0"/>
    <w:rsid w:val="009025C3"/>
    <w:rsid w:val="00902E31"/>
    <w:rsid w:val="00904276"/>
    <w:rsid w:val="009050A8"/>
    <w:rsid w:val="0090540D"/>
    <w:rsid w:val="00905A49"/>
    <w:rsid w:val="00905BA3"/>
    <w:rsid w:val="00906624"/>
    <w:rsid w:val="00907479"/>
    <w:rsid w:val="00910107"/>
    <w:rsid w:val="00911699"/>
    <w:rsid w:val="009149AF"/>
    <w:rsid w:val="00914AEE"/>
    <w:rsid w:val="00914CB5"/>
    <w:rsid w:val="0091559F"/>
    <w:rsid w:val="0091595B"/>
    <w:rsid w:val="00915BE9"/>
    <w:rsid w:val="00916726"/>
    <w:rsid w:val="0092033C"/>
    <w:rsid w:val="00922020"/>
    <w:rsid w:val="00922179"/>
    <w:rsid w:val="00923578"/>
    <w:rsid w:val="0092483C"/>
    <w:rsid w:val="00924B3D"/>
    <w:rsid w:val="00925408"/>
    <w:rsid w:val="00925799"/>
    <w:rsid w:val="00925BA7"/>
    <w:rsid w:val="009276FA"/>
    <w:rsid w:val="00927737"/>
    <w:rsid w:val="00927A3F"/>
    <w:rsid w:val="00930F2E"/>
    <w:rsid w:val="00931100"/>
    <w:rsid w:val="009318B7"/>
    <w:rsid w:val="00932F06"/>
    <w:rsid w:val="0093327B"/>
    <w:rsid w:val="00933B78"/>
    <w:rsid w:val="00935190"/>
    <w:rsid w:val="00935B30"/>
    <w:rsid w:val="00935D11"/>
    <w:rsid w:val="00937B23"/>
    <w:rsid w:val="00940826"/>
    <w:rsid w:val="00940F2C"/>
    <w:rsid w:val="009410AF"/>
    <w:rsid w:val="009415DF"/>
    <w:rsid w:val="00941BF8"/>
    <w:rsid w:val="009425C3"/>
    <w:rsid w:val="009427EB"/>
    <w:rsid w:val="00942827"/>
    <w:rsid w:val="00942C13"/>
    <w:rsid w:val="0094328A"/>
    <w:rsid w:val="0094334D"/>
    <w:rsid w:val="0094446C"/>
    <w:rsid w:val="00945D2A"/>
    <w:rsid w:val="0094606F"/>
    <w:rsid w:val="00946CE5"/>
    <w:rsid w:val="00947767"/>
    <w:rsid w:val="009500D0"/>
    <w:rsid w:val="00950D9C"/>
    <w:rsid w:val="009510AF"/>
    <w:rsid w:val="00951AA7"/>
    <w:rsid w:val="009533BD"/>
    <w:rsid w:val="00953B2C"/>
    <w:rsid w:val="00953BE6"/>
    <w:rsid w:val="00954482"/>
    <w:rsid w:val="00954782"/>
    <w:rsid w:val="0095694D"/>
    <w:rsid w:val="00957A22"/>
    <w:rsid w:val="009604BD"/>
    <w:rsid w:val="009609A8"/>
    <w:rsid w:val="00960BD8"/>
    <w:rsid w:val="00960CED"/>
    <w:rsid w:val="00962332"/>
    <w:rsid w:val="00962496"/>
    <w:rsid w:val="00963E5C"/>
    <w:rsid w:val="009640EB"/>
    <w:rsid w:val="0096478C"/>
    <w:rsid w:val="009654C0"/>
    <w:rsid w:val="00966B51"/>
    <w:rsid w:val="00966C35"/>
    <w:rsid w:val="00966F78"/>
    <w:rsid w:val="00967453"/>
    <w:rsid w:val="009712E9"/>
    <w:rsid w:val="00971416"/>
    <w:rsid w:val="0097144E"/>
    <w:rsid w:val="00972213"/>
    <w:rsid w:val="0097269C"/>
    <w:rsid w:val="00972780"/>
    <w:rsid w:val="0097334C"/>
    <w:rsid w:val="009742A4"/>
    <w:rsid w:val="009749B3"/>
    <w:rsid w:val="00974E72"/>
    <w:rsid w:val="009751D5"/>
    <w:rsid w:val="0097787F"/>
    <w:rsid w:val="00977D84"/>
    <w:rsid w:val="009809A2"/>
    <w:rsid w:val="00980F40"/>
    <w:rsid w:val="0098176B"/>
    <w:rsid w:val="00982B8E"/>
    <w:rsid w:val="0098485B"/>
    <w:rsid w:val="00984CDF"/>
    <w:rsid w:val="009852C2"/>
    <w:rsid w:val="00985A72"/>
    <w:rsid w:val="00986890"/>
    <w:rsid w:val="00986ABE"/>
    <w:rsid w:val="00987216"/>
    <w:rsid w:val="009874B5"/>
    <w:rsid w:val="00987923"/>
    <w:rsid w:val="00991C6F"/>
    <w:rsid w:val="00991CAF"/>
    <w:rsid w:val="009928C3"/>
    <w:rsid w:val="0099304B"/>
    <w:rsid w:val="00993524"/>
    <w:rsid w:val="009938DE"/>
    <w:rsid w:val="00994742"/>
    <w:rsid w:val="00995129"/>
    <w:rsid w:val="00997722"/>
    <w:rsid w:val="009978DC"/>
    <w:rsid w:val="0099793A"/>
    <w:rsid w:val="009A0019"/>
    <w:rsid w:val="009A07BE"/>
    <w:rsid w:val="009A0C8F"/>
    <w:rsid w:val="009A1380"/>
    <w:rsid w:val="009A2A1B"/>
    <w:rsid w:val="009A2EB6"/>
    <w:rsid w:val="009A36DC"/>
    <w:rsid w:val="009A4727"/>
    <w:rsid w:val="009A4916"/>
    <w:rsid w:val="009A4A04"/>
    <w:rsid w:val="009A5570"/>
    <w:rsid w:val="009A5586"/>
    <w:rsid w:val="009A6143"/>
    <w:rsid w:val="009A6941"/>
    <w:rsid w:val="009B00D6"/>
    <w:rsid w:val="009B0D25"/>
    <w:rsid w:val="009B1DDF"/>
    <w:rsid w:val="009B1FC2"/>
    <w:rsid w:val="009B23CE"/>
    <w:rsid w:val="009B2F73"/>
    <w:rsid w:val="009B2FDF"/>
    <w:rsid w:val="009B32E7"/>
    <w:rsid w:val="009B3650"/>
    <w:rsid w:val="009B3BCD"/>
    <w:rsid w:val="009B3BD1"/>
    <w:rsid w:val="009B444B"/>
    <w:rsid w:val="009B58D8"/>
    <w:rsid w:val="009B5BAD"/>
    <w:rsid w:val="009B6487"/>
    <w:rsid w:val="009B6B75"/>
    <w:rsid w:val="009B70C9"/>
    <w:rsid w:val="009C11C8"/>
    <w:rsid w:val="009C1E6F"/>
    <w:rsid w:val="009C2A87"/>
    <w:rsid w:val="009C321A"/>
    <w:rsid w:val="009C47C4"/>
    <w:rsid w:val="009C4C06"/>
    <w:rsid w:val="009C61C9"/>
    <w:rsid w:val="009C61F9"/>
    <w:rsid w:val="009C6E5D"/>
    <w:rsid w:val="009D03BF"/>
    <w:rsid w:val="009D1695"/>
    <w:rsid w:val="009D387C"/>
    <w:rsid w:val="009D4B8C"/>
    <w:rsid w:val="009D4D7A"/>
    <w:rsid w:val="009D50E0"/>
    <w:rsid w:val="009D5D5E"/>
    <w:rsid w:val="009D6427"/>
    <w:rsid w:val="009D7A3C"/>
    <w:rsid w:val="009D7BA2"/>
    <w:rsid w:val="009D7DE5"/>
    <w:rsid w:val="009E0F0D"/>
    <w:rsid w:val="009E20B3"/>
    <w:rsid w:val="009E2616"/>
    <w:rsid w:val="009E2A89"/>
    <w:rsid w:val="009E3F75"/>
    <w:rsid w:val="009E4795"/>
    <w:rsid w:val="009E49CC"/>
    <w:rsid w:val="009E5D81"/>
    <w:rsid w:val="009F3CE3"/>
    <w:rsid w:val="009F3D3A"/>
    <w:rsid w:val="009F3EE8"/>
    <w:rsid w:val="009F440D"/>
    <w:rsid w:val="009F4656"/>
    <w:rsid w:val="009F50EE"/>
    <w:rsid w:val="009F59F8"/>
    <w:rsid w:val="009F6AB8"/>
    <w:rsid w:val="009F714F"/>
    <w:rsid w:val="00A00241"/>
    <w:rsid w:val="00A00B95"/>
    <w:rsid w:val="00A03FED"/>
    <w:rsid w:val="00A0438C"/>
    <w:rsid w:val="00A04433"/>
    <w:rsid w:val="00A0478E"/>
    <w:rsid w:val="00A06F39"/>
    <w:rsid w:val="00A10745"/>
    <w:rsid w:val="00A107AD"/>
    <w:rsid w:val="00A10AD9"/>
    <w:rsid w:val="00A10B13"/>
    <w:rsid w:val="00A11207"/>
    <w:rsid w:val="00A11828"/>
    <w:rsid w:val="00A13540"/>
    <w:rsid w:val="00A13821"/>
    <w:rsid w:val="00A1391C"/>
    <w:rsid w:val="00A13FCC"/>
    <w:rsid w:val="00A1468F"/>
    <w:rsid w:val="00A14DF4"/>
    <w:rsid w:val="00A14EF1"/>
    <w:rsid w:val="00A155A9"/>
    <w:rsid w:val="00A15685"/>
    <w:rsid w:val="00A175FF"/>
    <w:rsid w:val="00A17A6B"/>
    <w:rsid w:val="00A20BA6"/>
    <w:rsid w:val="00A2122F"/>
    <w:rsid w:val="00A236B9"/>
    <w:rsid w:val="00A244C4"/>
    <w:rsid w:val="00A25660"/>
    <w:rsid w:val="00A26C87"/>
    <w:rsid w:val="00A317E7"/>
    <w:rsid w:val="00A31DED"/>
    <w:rsid w:val="00A321F5"/>
    <w:rsid w:val="00A32461"/>
    <w:rsid w:val="00A32C24"/>
    <w:rsid w:val="00A32D13"/>
    <w:rsid w:val="00A32FFD"/>
    <w:rsid w:val="00A3341F"/>
    <w:rsid w:val="00A3392D"/>
    <w:rsid w:val="00A345A1"/>
    <w:rsid w:val="00A345EF"/>
    <w:rsid w:val="00A34EEA"/>
    <w:rsid w:val="00A34F2B"/>
    <w:rsid w:val="00A357BE"/>
    <w:rsid w:val="00A358D6"/>
    <w:rsid w:val="00A3652D"/>
    <w:rsid w:val="00A37435"/>
    <w:rsid w:val="00A37624"/>
    <w:rsid w:val="00A37C58"/>
    <w:rsid w:val="00A37E07"/>
    <w:rsid w:val="00A414A4"/>
    <w:rsid w:val="00A4324D"/>
    <w:rsid w:val="00A43D7E"/>
    <w:rsid w:val="00A44479"/>
    <w:rsid w:val="00A4531A"/>
    <w:rsid w:val="00A45E1C"/>
    <w:rsid w:val="00A46310"/>
    <w:rsid w:val="00A46C7C"/>
    <w:rsid w:val="00A4766E"/>
    <w:rsid w:val="00A519DE"/>
    <w:rsid w:val="00A526E0"/>
    <w:rsid w:val="00A5361B"/>
    <w:rsid w:val="00A568D9"/>
    <w:rsid w:val="00A60367"/>
    <w:rsid w:val="00A60E9D"/>
    <w:rsid w:val="00A610C5"/>
    <w:rsid w:val="00A611CD"/>
    <w:rsid w:val="00A62F86"/>
    <w:rsid w:val="00A62FF5"/>
    <w:rsid w:val="00A641D1"/>
    <w:rsid w:val="00A65208"/>
    <w:rsid w:val="00A65497"/>
    <w:rsid w:val="00A65609"/>
    <w:rsid w:val="00A65624"/>
    <w:rsid w:val="00A65C42"/>
    <w:rsid w:val="00A660D3"/>
    <w:rsid w:val="00A66B69"/>
    <w:rsid w:val="00A66D17"/>
    <w:rsid w:val="00A67698"/>
    <w:rsid w:val="00A70063"/>
    <w:rsid w:val="00A704A1"/>
    <w:rsid w:val="00A70561"/>
    <w:rsid w:val="00A71397"/>
    <w:rsid w:val="00A7186C"/>
    <w:rsid w:val="00A719D9"/>
    <w:rsid w:val="00A72889"/>
    <w:rsid w:val="00A72BC4"/>
    <w:rsid w:val="00A72E77"/>
    <w:rsid w:val="00A72FEB"/>
    <w:rsid w:val="00A73647"/>
    <w:rsid w:val="00A74231"/>
    <w:rsid w:val="00A747E2"/>
    <w:rsid w:val="00A76CE9"/>
    <w:rsid w:val="00A76D1D"/>
    <w:rsid w:val="00A7706F"/>
    <w:rsid w:val="00A779E9"/>
    <w:rsid w:val="00A80773"/>
    <w:rsid w:val="00A8123F"/>
    <w:rsid w:val="00A818C9"/>
    <w:rsid w:val="00A81A91"/>
    <w:rsid w:val="00A82C14"/>
    <w:rsid w:val="00A831BF"/>
    <w:rsid w:val="00A837D1"/>
    <w:rsid w:val="00A859A5"/>
    <w:rsid w:val="00A859BE"/>
    <w:rsid w:val="00A85E82"/>
    <w:rsid w:val="00A86357"/>
    <w:rsid w:val="00A87388"/>
    <w:rsid w:val="00A87D56"/>
    <w:rsid w:val="00A9034A"/>
    <w:rsid w:val="00A90571"/>
    <w:rsid w:val="00A90F28"/>
    <w:rsid w:val="00A91AA1"/>
    <w:rsid w:val="00A92EFB"/>
    <w:rsid w:val="00A94BD0"/>
    <w:rsid w:val="00A94DA1"/>
    <w:rsid w:val="00A9552D"/>
    <w:rsid w:val="00A966F5"/>
    <w:rsid w:val="00A97AEF"/>
    <w:rsid w:val="00AA05E9"/>
    <w:rsid w:val="00AA0831"/>
    <w:rsid w:val="00AA2A08"/>
    <w:rsid w:val="00AA2A72"/>
    <w:rsid w:val="00AA2D97"/>
    <w:rsid w:val="00AA57D1"/>
    <w:rsid w:val="00AA5C1A"/>
    <w:rsid w:val="00AA744C"/>
    <w:rsid w:val="00AA7AFC"/>
    <w:rsid w:val="00AB00FD"/>
    <w:rsid w:val="00AB1048"/>
    <w:rsid w:val="00AB1E5F"/>
    <w:rsid w:val="00AB21B9"/>
    <w:rsid w:val="00AB2C04"/>
    <w:rsid w:val="00AB33B2"/>
    <w:rsid w:val="00AB3D47"/>
    <w:rsid w:val="00AB55A1"/>
    <w:rsid w:val="00AB615B"/>
    <w:rsid w:val="00AB62F4"/>
    <w:rsid w:val="00AC026E"/>
    <w:rsid w:val="00AC14F3"/>
    <w:rsid w:val="00AC1A92"/>
    <w:rsid w:val="00AC1AE4"/>
    <w:rsid w:val="00AC28FF"/>
    <w:rsid w:val="00AC2A84"/>
    <w:rsid w:val="00AC3590"/>
    <w:rsid w:val="00AC4063"/>
    <w:rsid w:val="00AC43E6"/>
    <w:rsid w:val="00AC5343"/>
    <w:rsid w:val="00AC5775"/>
    <w:rsid w:val="00AC592A"/>
    <w:rsid w:val="00AC5BB0"/>
    <w:rsid w:val="00AC6963"/>
    <w:rsid w:val="00AC6B88"/>
    <w:rsid w:val="00AC7817"/>
    <w:rsid w:val="00AD094E"/>
    <w:rsid w:val="00AD11FB"/>
    <w:rsid w:val="00AD128A"/>
    <w:rsid w:val="00AD2140"/>
    <w:rsid w:val="00AD21E6"/>
    <w:rsid w:val="00AD2AA9"/>
    <w:rsid w:val="00AD31DE"/>
    <w:rsid w:val="00AD41F7"/>
    <w:rsid w:val="00AD4724"/>
    <w:rsid w:val="00AD56FB"/>
    <w:rsid w:val="00AD5793"/>
    <w:rsid w:val="00AD66D7"/>
    <w:rsid w:val="00AD7DC3"/>
    <w:rsid w:val="00AD7F1B"/>
    <w:rsid w:val="00AE3164"/>
    <w:rsid w:val="00AE476A"/>
    <w:rsid w:val="00AE4967"/>
    <w:rsid w:val="00AE4E07"/>
    <w:rsid w:val="00AE60DF"/>
    <w:rsid w:val="00AE70E4"/>
    <w:rsid w:val="00AE7962"/>
    <w:rsid w:val="00AF00DC"/>
    <w:rsid w:val="00AF063D"/>
    <w:rsid w:val="00AF0A98"/>
    <w:rsid w:val="00AF17C1"/>
    <w:rsid w:val="00AF32F9"/>
    <w:rsid w:val="00AF32FF"/>
    <w:rsid w:val="00AF355D"/>
    <w:rsid w:val="00AF3E92"/>
    <w:rsid w:val="00AF4262"/>
    <w:rsid w:val="00AF4974"/>
    <w:rsid w:val="00AF5D07"/>
    <w:rsid w:val="00AF63FD"/>
    <w:rsid w:val="00AF6637"/>
    <w:rsid w:val="00AF6D3B"/>
    <w:rsid w:val="00B0007F"/>
    <w:rsid w:val="00B00291"/>
    <w:rsid w:val="00B01423"/>
    <w:rsid w:val="00B01B01"/>
    <w:rsid w:val="00B026F7"/>
    <w:rsid w:val="00B031EF"/>
    <w:rsid w:val="00B034D7"/>
    <w:rsid w:val="00B039C0"/>
    <w:rsid w:val="00B03B15"/>
    <w:rsid w:val="00B03B22"/>
    <w:rsid w:val="00B03EEC"/>
    <w:rsid w:val="00B04194"/>
    <w:rsid w:val="00B0634F"/>
    <w:rsid w:val="00B0747E"/>
    <w:rsid w:val="00B10921"/>
    <w:rsid w:val="00B11AAB"/>
    <w:rsid w:val="00B1277C"/>
    <w:rsid w:val="00B12F14"/>
    <w:rsid w:val="00B14391"/>
    <w:rsid w:val="00B14BD0"/>
    <w:rsid w:val="00B15EDE"/>
    <w:rsid w:val="00B179AB"/>
    <w:rsid w:val="00B20332"/>
    <w:rsid w:val="00B20375"/>
    <w:rsid w:val="00B20395"/>
    <w:rsid w:val="00B20FDB"/>
    <w:rsid w:val="00B214AD"/>
    <w:rsid w:val="00B22AB0"/>
    <w:rsid w:val="00B246E9"/>
    <w:rsid w:val="00B251DF"/>
    <w:rsid w:val="00B26B49"/>
    <w:rsid w:val="00B2774E"/>
    <w:rsid w:val="00B322B5"/>
    <w:rsid w:val="00B32983"/>
    <w:rsid w:val="00B3433F"/>
    <w:rsid w:val="00B34BD2"/>
    <w:rsid w:val="00B34CFB"/>
    <w:rsid w:val="00B35E4F"/>
    <w:rsid w:val="00B363D7"/>
    <w:rsid w:val="00B368FC"/>
    <w:rsid w:val="00B37039"/>
    <w:rsid w:val="00B373BC"/>
    <w:rsid w:val="00B4092C"/>
    <w:rsid w:val="00B40B74"/>
    <w:rsid w:val="00B40FE4"/>
    <w:rsid w:val="00B411A5"/>
    <w:rsid w:val="00B421E1"/>
    <w:rsid w:val="00B42618"/>
    <w:rsid w:val="00B42EB3"/>
    <w:rsid w:val="00B43256"/>
    <w:rsid w:val="00B4372F"/>
    <w:rsid w:val="00B439B4"/>
    <w:rsid w:val="00B43B1B"/>
    <w:rsid w:val="00B4425B"/>
    <w:rsid w:val="00B44C45"/>
    <w:rsid w:val="00B459E1"/>
    <w:rsid w:val="00B461B1"/>
    <w:rsid w:val="00B46DE3"/>
    <w:rsid w:val="00B4776C"/>
    <w:rsid w:val="00B51A74"/>
    <w:rsid w:val="00B52671"/>
    <w:rsid w:val="00B537E5"/>
    <w:rsid w:val="00B53B8A"/>
    <w:rsid w:val="00B540D9"/>
    <w:rsid w:val="00B54DA6"/>
    <w:rsid w:val="00B54F82"/>
    <w:rsid w:val="00B56778"/>
    <w:rsid w:val="00B56A3B"/>
    <w:rsid w:val="00B577B2"/>
    <w:rsid w:val="00B57E0E"/>
    <w:rsid w:val="00B57F2C"/>
    <w:rsid w:val="00B605E8"/>
    <w:rsid w:val="00B6139F"/>
    <w:rsid w:val="00B61E9A"/>
    <w:rsid w:val="00B62960"/>
    <w:rsid w:val="00B62D69"/>
    <w:rsid w:val="00B63CE2"/>
    <w:rsid w:val="00B644D0"/>
    <w:rsid w:val="00B651BA"/>
    <w:rsid w:val="00B651F2"/>
    <w:rsid w:val="00B661F6"/>
    <w:rsid w:val="00B6636D"/>
    <w:rsid w:val="00B66BD6"/>
    <w:rsid w:val="00B6702B"/>
    <w:rsid w:val="00B6716E"/>
    <w:rsid w:val="00B67240"/>
    <w:rsid w:val="00B6771D"/>
    <w:rsid w:val="00B7080E"/>
    <w:rsid w:val="00B7158F"/>
    <w:rsid w:val="00B7241B"/>
    <w:rsid w:val="00B72F15"/>
    <w:rsid w:val="00B74E78"/>
    <w:rsid w:val="00B76B7D"/>
    <w:rsid w:val="00B7761F"/>
    <w:rsid w:val="00B77C96"/>
    <w:rsid w:val="00B8066A"/>
    <w:rsid w:val="00B821B7"/>
    <w:rsid w:val="00B82DEC"/>
    <w:rsid w:val="00B84625"/>
    <w:rsid w:val="00B84798"/>
    <w:rsid w:val="00B84F89"/>
    <w:rsid w:val="00B85B7A"/>
    <w:rsid w:val="00B860F9"/>
    <w:rsid w:val="00B86D13"/>
    <w:rsid w:val="00B90AA4"/>
    <w:rsid w:val="00B9141D"/>
    <w:rsid w:val="00B917B2"/>
    <w:rsid w:val="00B93411"/>
    <w:rsid w:val="00B9388C"/>
    <w:rsid w:val="00B94122"/>
    <w:rsid w:val="00B94AA5"/>
    <w:rsid w:val="00B964F0"/>
    <w:rsid w:val="00B97D7D"/>
    <w:rsid w:val="00BA0115"/>
    <w:rsid w:val="00BA15F8"/>
    <w:rsid w:val="00BA1A8B"/>
    <w:rsid w:val="00BA22BF"/>
    <w:rsid w:val="00BA2EAB"/>
    <w:rsid w:val="00BA2F13"/>
    <w:rsid w:val="00BA4390"/>
    <w:rsid w:val="00BA578F"/>
    <w:rsid w:val="00BA5A29"/>
    <w:rsid w:val="00BA5C4D"/>
    <w:rsid w:val="00BA697B"/>
    <w:rsid w:val="00BA74B4"/>
    <w:rsid w:val="00BA7C47"/>
    <w:rsid w:val="00BA7EE7"/>
    <w:rsid w:val="00BB039D"/>
    <w:rsid w:val="00BB06FE"/>
    <w:rsid w:val="00BB13C1"/>
    <w:rsid w:val="00BB14BE"/>
    <w:rsid w:val="00BB359F"/>
    <w:rsid w:val="00BB3AE4"/>
    <w:rsid w:val="00BB3E23"/>
    <w:rsid w:val="00BB5199"/>
    <w:rsid w:val="00BB56A1"/>
    <w:rsid w:val="00BB5DCA"/>
    <w:rsid w:val="00BB6636"/>
    <w:rsid w:val="00BB6871"/>
    <w:rsid w:val="00BB7C1C"/>
    <w:rsid w:val="00BC0B88"/>
    <w:rsid w:val="00BC140F"/>
    <w:rsid w:val="00BC35FB"/>
    <w:rsid w:val="00BC3ADB"/>
    <w:rsid w:val="00BC41B3"/>
    <w:rsid w:val="00BC49E4"/>
    <w:rsid w:val="00BC4F42"/>
    <w:rsid w:val="00BC569C"/>
    <w:rsid w:val="00BC6EEE"/>
    <w:rsid w:val="00BC79F1"/>
    <w:rsid w:val="00BD0956"/>
    <w:rsid w:val="00BD09C2"/>
    <w:rsid w:val="00BD0A46"/>
    <w:rsid w:val="00BD0ADD"/>
    <w:rsid w:val="00BD3439"/>
    <w:rsid w:val="00BD5BE5"/>
    <w:rsid w:val="00BD5E0B"/>
    <w:rsid w:val="00BD7AD7"/>
    <w:rsid w:val="00BE0E94"/>
    <w:rsid w:val="00BE1D2E"/>
    <w:rsid w:val="00BE2A8F"/>
    <w:rsid w:val="00BE3375"/>
    <w:rsid w:val="00BE4AB4"/>
    <w:rsid w:val="00BE59A2"/>
    <w:rsid w:val="00BE71B6"/>
    <w:rsid w:val="00BE7313"/>
    <w:rsid w:val="00BE766B"/>
    <w:rsid w:val="00BE78E7"/>
    <w:rsid w:val="00BE7E24"/>
    <w:rsid w:val="00BF06B2"/>
    <w:rsid w:val="00BF127B"/>
    <w:rsid w:val="00BF1757"/>
    <w:rsid w:val="00BF1AEE"/>
    <w:rsid w:val="00BF5164"/>
    <w:rsid w:val="00BF5B0A"/>
    <w:rsid w:val="00BF6493"/>
    <w:rsid w:val="00BF6EC9"/>
    <w:rsid w:val="00C00B04"/>
    <w:rsid w:val="00C00FB3"/>
    <w:rsid w:val="00C01126"/>
    <w:rsid w:val="00C021D6"/>
    <w:rsid w:val="00C024ED"/>
    <w:rsid w:val="00C03B30"/>
    <w:rsid w:val="00C03F3B"/>
    <w:rsid w:val="00C044B3"/>
    <w:rsid w:val="00C046FE"/>
    <w:rsid w:val="00C04B11"/>
    <w:rsid w:val="00C05096"/>
    <w:rsid w:val="00C05404"/>
    <w:rsid w:val="00C0633C"/>
    <w:rsid w:val="00C071E5"/>
    <w:rsid w:val="00C07B8B"/>
    <w:rsid w:val="00C10D5F"/>
    <w:rsid w:val="00C11299"/>
    <w:rsid w:val="00C11741"/>
    <w:rsid w:val="00C123F7"/>
    <w:rsid w:val="00C12AD9"/>
    <w:rsid w:val="00C14CAD"/>
    <w:rsid w:val="00C15139"/>
    <w:rsid w:val="00C15446"/>
    <w:rsid w:val="00C156F5"/>
    <w:rsid w:val="00C16703"/>
    <w:rsid w:val="00C167D2"/>
    <w:rsid w:val="00C16EBE"/>
    <w:rsid w:val="00C17E0D"/>
    <w:rsid w:val="00C20171"/>
    <w:rsid w:val="00C2039A"/>
    <w:rsid w:val="00C20FF7"/>
    <w:rsid w:val="00C21624"/>
    <w:rsid w:val="00C22C04"/>
    <w:rsid w:val="00C2358A"/>
    <w:rsid w:val="00C2394B"/>
    <w:rsid w:val="00C23C43"/>
    <w:rsid w:val="00C2476E"/>
    <w:rsid w:val="00C24A96"/>
    <w:rsid w:val="00C254E0"/>
    <w:rsid w:val="00C25771"/>
    <w:rsid w:val="00C26CC6"/>
    <w:rsid w:val="00C27EF8"/>
    <w:rsid w:val="00C3051F"/>
    <w:rsid w:val="00C309FA"/>
    <w:rsid w:val="00C30A56"/>
    <w:rsid w:val="00C31C07"/>
    <w:rsid w:val="00C32DFD"/>
    <w:rsid w:val="00C32E56"/>
    <w:rsid w:val="00C33BC2"/>
    <w:rsid w:val="00C34303"/>
    <w:rsid w:val="00C35309"/>
    <w:rsid w:val="00C35528"/>
    <w:rsid w:val="00C35E47"/>
    <w:rsid w:val="00C362AF"/>
    <w:rsid w:val="00C41882"/>
    <w:rsid w:val="00C423A8"/>
    <w:rsid w:val="00C42681"/>
    <w:rsid w:val="00C42870"/>
    <w:rsid w:val="00C439EA"/>
    <w:rsid w:val="00C51BEC"/>
    <w:rsid w:val="00C51DBC"/>
    <w:rsid w:val="00C53CC8"/>
    <w:rsid w:val="00C55477"/>
    <w:rsid w:val="00C56559"/>
    <w:rsid w:val="00C56B31"/>
    <w:rsid w:val="00C57130"/>
    <w:rsid w:val="00C574AF"/>
    <w:rsid w:val="00C6006E"/>
    <w:rsid w:val="00C6053F"/>
    <w:rsid w:val="00C63D3B"/>
    <w:rsid w:val="00C640EE"/>
    <w:rsid w:val="00C65393"/>
    <w:rsid w:val="00C65F54"/>
    <w:rsid w:val="00C677E4"/>
    <w:rsid w:val="00C7031E"/>
    <w:rsid w:val="00C70B1E"/>
    <w:rsid w:val="00C71C62"/>
    <w:rsid w:val="00C727CD"/>
    <w:rsid w:val="00C72916"/>
    <w:rsid w:val="00C72CBF"/>
    <w:rsid w:val="00C72D0D"/>
    <w:rsid w:val="00C7392B"/>
    <w:rsid w:val="00C75827"/>
    <w:rsid w:val="00C75B0C"/>
    <w:rsid w:val="00C764D7"/>
    <w:rsid w:val="00C776A3"/>
    <w:rsid w:val="00C77F18"/>
    <w:rsid w:val="00C8044D"/>
    <w:rsid w:val="00C81295"/>
    <w:rsid w:val="00C8174E"/>
    <w:rsid w:val="00C822D2"/>
    <w:rsid w:val="00C823E9"/>
    <w:rsid w:val="00C82640"/>
    <w:rsid w:val="00C83ACC"/>
    <w:rsid w:val="00C84EC1"/>
    <w:rsid w:val="00C85290"/>
    <w:rsid w:val="00C85575"/>
    <w:rsid w:val="00C857D8"/>
    <w:rsid w:val="00C85EF8"/>
    <w:rsid w:val="00C86136"/>
    <w:rsid w:val="00C8630A"/>
    <w:rsid w:val="00C864F4"/>
    <w:rsid w:val="00C867CD"/>
    <w:rsid w:val="00C87BD7"/>
    <w:rsid w:val="00C903C6"/>
    <w:rsid w:val="00C91399"/>
    <w:rsid w:val="00C91674"/>
    <w:rsid w:val="00C926AF"/>
    <w:rsid w:val="00C92BA5"/>
    <w:rsid w:val="00C92D05"/>
    <w:rsid w:val="00C945D9"/>
    <w:rsid w:val="00C96D15"/>
    <w:rsid w:val="00C9716A"/>
    <w:rsid w:val="00CA002E"/>
    <w:rsid w:val="00CA0054"/>
    <w:rsid w:val="00CA1736"/>
    <w:rsid w:val="00CA2028"/>
    <w:rsid w:val="00CA22F1"/>
    <w:rsid w:val="00CA25B5"/>
    <w:rsid w:val="00CA2672"/>
    <w:rsid w:val="00CA46AF"/>
    <w:rsid w:val="00CB1EF5"/>
    <w:rsid w:val="00CB2281"/>
    <w:rsid w:val="00CB5058"/>
    <w:rsid w:val="00CB6291"/>
    <w:rsid w:val="00CB65A2"/>
    <w:rsid w:val="00CB69A6"/>
    <w:rsid w:val="00CB7221"/>
    <w:rsid w:val="00CC002C"/>
    <w:rsid w:val="00CC006A"/>
    <w:rsid w:val="00CC08D2"/>
    <w:rsid w:val="00CC23BD"/>
    <w:rsid w:val="00CC378B"/>
    <w:rsid w:val="00CC492F"/>
    <w:rsid w:val="00CC5736"/>
    <w:rsid w:val="00CC5D95"/>
    <w:rsid w:val="00CC6A73"/>
    <w:rsid w:val="00CC6FE7"/>
    <w:rsid w:val="00CC708F"/>
    <w:rsid w:val="00CC79B1"/>
    <w:rsid w:val="00CD0215"/>
    <w:rsid w:val="00CD0397"/>
    <w:rsid w:val="00CD09DC"/>
    <w:rsid w:val="00CD0CAF"/>
    <w:rsid w:val="00CD2291"/>
    <w:rsid w:val="00CD27D3"/>
    <w:rsid w:val="00CD27FB"/>
    <w:rsid w:val="00CD34C8"/>
    <w:rsid w:val="00CD3996"/>
    <w:rsid w:val="00CD4358"/>
    <w:rsid w:val="00CD4CCE"/>
    <w:rsid w:val="00CD4D4A"/>
    <w:rsid w:val="00CD5A56"/>
    <w:rsid w:val="00CD6226"/>
    <w:rsid w:val="00CD6826"/>
    <w:rsid w:val="00CD6CC3"/>
    <w:rsid w:val="00CD73A4"/>
    <w:rsid w:val="00CD767B"/>
    <w:rsid w:val="00CD779D"/>
    <w:rsid w:val="00CE3E35"/>
    <w:rsid w:val="00CE3F96"/>
    <w:rsid w:val="00CE4345"/>
    <w:rsid w:val="00CE4EB6"/>
    <w:rsid w:val="00CE5390"/>
    <w:rsid w:val="00CE6C9C"/>
    <w:rsid w:val="00CE70B9"/>
    <w:rsid w:val="00CE7445"/>
    <w:rsid w:val="00CF0198"/>
    <w:rsid w:val="00CF1CB5"/>
    <w:rsid w:val="00CF28BE"/>
    <w:rsid w:val="00CF2DBF"/>
    <w:rsid w:val="00CF385C"/>
    <w:rsid w:val="00CF4797"/>
    <w:rsid w:val="00CF4A1F"/>
    <w:rsid w:val="00CF53F0"/>
    <w:rsid w:val="00CF5B09"/>
    <w:rsid w:val="00CF645B"/>
    <w:rsid w:val="00CF7285"/>
    <w:rsid w:val="00D00020"/>
    <w:rsid w:val="00D01EB6"/>
    <w:rsid w:val="00D0239D"/>
    <w:rsid w:val="00D02E5D"/>
    <w:rsid w:val="00D0334C"/>
    <w:rsid w:val="00D036E1"/>
    <w:rsid w:val="00D03EF4"/>
    <w:rsid w:val="00D04401"/>
    <w:rsid w:val="00D04650"/>
    <w:rsid w:val="00D04D0B"/>
    <w:rsid w:val="00D05554"/>
    <w:rsid w:val="00D05912"/>
    <w:rsid w:val="00D06751"/>
    <w:rsid w:val="00D06AE7"/>
    <w:rsid w:val="00D07266"/>
    <w:rsid w:val="00D07712"/>
    <w:rsid w:val="00D078EB"/>
    <w:rsid w:val="00D117D5"/>
    <w:rsid w:val="00D123C4"/>
    <w:rsid w:val="00D12895"/>
    <w:rsid w:val="00D1308D"/>
    <w:rsid w:val="00D13CDB"/>
    <w:rsid w:val="00D1422D"/>
    <w:rsid w:val="00D149DE"/>
    <w:rsid w:val="00D21C1B"/>
    <w:rsid w:val="00D2248C"/>
    <w:rsid w:val="00D235A4"/>
    <w:rsid w:val="00D23CD2"/>
    <w:rsid w:val="00D23F87"/>
    <w:rsid w:val="00D25C86"/>
    <w:rsid w:val="00D26BCE"/>
    <w:rsid w:val="00D270CB"/>
    <w:rsid w:val="00D27310"/>
    <w:rsid w:val="00D27B5D"/>
    <w:rsid w:val="00D27B80"/>
    <w:rsid w:val="00D27F4A"/>
    <w:rsid w:val="00D316C6"/>
    <w:rsid w:val="00D31A52"/>
    <w:rsid w:val="00D32DF3"/>
    <w:rsid w:val="00D32E25"/>
    <w:rsid w:val="00D3305A"/>
    <w:rsid w:val="00D33AE8"/>
    <w:rsid w:val="00D33E8F"/>
    <w:rsid w:val="00D33F20"/>
    <w:rsid w:val="00D3481F"/>
    <w:rsid w:val="00D37C0D"/>
    <w:rsid w:val="00D40576"/>
    <w:rsid w:val="00D40A17"/>
    <w:rsid w:val="00D41C74"/>
    <w:rsid w:val="00D42037"/>
    <w:rsid w:val="00D42303"/>
    <w:rsid w:val="00D42D4E"/>
    <w:rsid w:val="00D44594"/>
    <w:rsid w:val="00D4504A"/>
    <w:rsid w:val="00D45773"/>
    <w:rsid w:val="00D46B62"/>
    <w:rsid w:val="00D46FF1"/>
    <w:rsid w:val="00D47601"/>
    <w:rsid w:val="00D50DAC"/>
    <w:rsid w:val="00D517BD"/>
    <w:rsid w:val="00D52212"/>
    <w:rsid w:val="00D52B90"/>
    <w:rsid w:val="00D53601"/>
    <w:rsid w:val="00D53A22"/>
    <w:rsid w:val="00D54546"/>
    <w:rsid w:val="00D546FE"/>
    <w:rsid w:val="00D54A1B"/>
    <w:rsid w:val="00D55040"/>
    <w:rsid w:val="00D5526F"/>
    <w:rsid w:val="00D56A51"/>
    <w:rsid w:val="00D56D35"/>
    <w:rsid w:val="00D57756"/>
    <w:rsid w:val="00D57AE3"/>
    <w:rsid w:val="00D622B3"/>
    <w:rsid w:val="00D62FEF"/>
    <w:rsid w:val="00D63419"/>
    <w:rsid w:val="00D64017"/>
    <w:rsid w:val="00D64F6E"/>
    <w:rsid w:val="00D64FD2"/>
    <w:rsid w:val="00D6699A"/>
    <w:rsid w:val="00D66AF4"/>
    <w:rsid w:val="00D67111"/>
    <w:rsid w:val="00D67EDA"/>
    <w:rsid w:val="00D70B28"/>
    <w:rsid w:val="00D70E6A"/>
    <w:rsid w:val="00D737F0"/>
    <w:rsid w:val="00D74FE8"/>
    <w:rsid w:val="00D7547F"/>
    <w:rsid w:val="00D77059"/>
    <w:rsid w:val="00D7728B"/>
    <w:rsid w:val="00D77B33"/>
    <w:rsid w:val="00D81218"/>
    <w:rsid w:val="00D82792"/>
    <w:rsid w:val="00D82C9D"/>
    <w:rsid w:val="00D82E74"/>
    <w:rsid w:val="00D84F30"/>
    <w:rsid w:val="00D8609D"/>
    <w:rsid w:val="00D8656E"/>
    <w:rsid w:val="00D8680A"/>
    <w:rsid w:val="00D872D9"/>
    <w:rsid w:val="00D903B9"/>
    <w:rsid w:val="00D904F7"/>
    <w:rsid w:val="00D9181B"/>
    <w:rsid w:val="00D9277D"/>
    <w:rsid w:val="00D93B7E"/>
    <w:rsid w:val="00D93DA0"/>
    <w:rsid w:val="00D9622C"/>
    <w:rsid w:val="00D9673B"/>
    <w:rsid w:val="00D97CE4"/>
    <w:rsid w:val="00DA0BCA"/>
    <w:rsid w:val="00DA0E54"/>
    <w:rsid w:val="00DA0F03"/>
    <w:rsid w:val="00DA0FCF"/>
    <w:rsid w:val="00DA1EAF"/>
    <w:rsid w:val="00DA1ECB"/>
    <w:rsid w:val="00DA25A4"/>
    <w:rsid w:val="00DA32D6"/>
    <w:rsid w:val="00DA396F"/>
    <w:rsid w:val="00DA3AB9"/>
    <w:rsid w:val="00DA48D1"/>
    <w:rsid w:val="00DA4A5A"/>
    <w:rsid w:val="00DA4CB9"/>
    <w:rsid w:val="00DA7FD8"/>
    <w:rsid w:val="00DB0176"/>
    <w:rsid w:val="00DB0C8F"/>
    <w:rsid w:val="00DB0C99"/>
    <w:rsid w:val="00DB1133"/>
    <w:rsid w:val="00DB1A11"/>
    <w:rsid w:val="00DB38E4"/>
    <w:rsid w:val="00DB5C22"/>
    <w:rsid w:val="00DB79BF"/>
    <w:rsid w:val="00DC09C2"/>
    <w:rsid w:val="00DC2D40"/>
    <w:rsid w:val="00DC4B04"/>
    <w:rsid w:val="00DC60D7"/>
    <w:rsid w:val="00DC6819"/>
    <w:rsid w:val="00DC6847"/>
    <w:rsid w:val="00DC7336"/>
    <w:rsid w:val="00DD030F"/>
    <w:rsid w:val="00DD1180"/>
    <w:rsid w:val="00DD14B6"/>
    <w:rsid w:val="00DD14D3"/>
    <w:rsid w:val="00DD20B7"/>
    <w:rsid w:val="00DD239A"/>
    <w:rsid w:val="00DD3626"/>
    <w:rsid w:val="00DD38E2"/>
    <w:rsid w:val="00DD3F68"/>
    <w:rsid w:val="00DD41FB"/>
    <w:rsid w:val="00DD421E"/>
    <w:rsid w:val="00DD42FA"/>
    <w:rsid w:val="00DD4D46"/>
    <w:rsid w:val="00DD629C"/>
    <w:rsid w:val="00DD6372"/>
    <w:rsid w:val="00DD63E9"/>
    <w:rsid w:val="00DD77A8"/>
    <w:rsid w:val="00DE0997"/>
    <w:rsid w:val="00DE16FE"/>
    <w:rsid w:val="00DE1F4B"/>
    <w:rsid w:val="00DE2853"/>
    <w:rsid w:val="00DE3364"/>
    <w:rsid w:val="00DE37E8"/>
    <w:rsid w:val="00DE52D8"/>
    <w:rsid w:val="00DE5CF6"/>
    <w:rsid w:val="00DE6EAE"/>
    <w:rsid w:val="00DE709D"/>
    <w:rsid w:val="00DF271A"/>
    <w:rsid w:val="00DF271D"/>
    <w:rsid w:val="00DF36CD"/>
    <w:rsid w:val="00DF3768"/>
    <w:rsid w:val="00DF39BA"/>
    <w:rsid w:val="00DF65E2"/>
    <w:rsid w:val="00DF6CED"/>
    <w:rsid w:val="00DF6FF9"/>
    <w:rsid w:val="00DF7A2F"/>
    <w:rsid w:val="00DF7B7A"/>
    <w:rsid w:val="00DF7E16"/>
    <w:rsid w:val="00E01201"/>
    <w:rsid w:val="00E0168C"/>
    <w:rsid w:val="00E01B17"/>
    <w:rsid w:val="00E01C82"/>
    <w:rsid w:val="00E03702"/>
    <w:rsid w:val="00E03A93"/>
    <w:rsid w:val="00E04824"/>
    <w:rsid w:val="00E04835"/>
    <w:rsid w:val="00E04A40"/>
    <w:rsid w:val="00E068A9"/>
    <w:rsid w:val="00E07998"/>
    <w:rsid w:val="00E10212"/>
    <w:rsid w:val="00E11E14"/>
    <w:rsid w:val="00E13F93"/>
    <w:rsid w:val="00E14007"/>
    <w:rsid w:val="00E15619"/>
    <w:rsid w:val="00E160C8"/>
    <w:rsid w:val="00E16780"/>
    <w:rsid w:val="00E16FC9"/>
    <w:rsid w:val="00E1711B"/>
    <w:rsid w:val="00E174BD"/>
    <w:rsid w:val="00E17BFA"/>
    <w:rsid w:val="00E2213D"/>
    <w:rsid w:val="00E24D31"/>
    <w:rsid w:val="00E25AA3"/>
    <w:rsid w:val="00E26BCE"/>
    <w:rsid w:val="00E279DC"/>
    <w:rsid w:val="00E30DB6"/>
    <w:rsid w:val="00E310F4"/>
    <w:rsid w:val="00E314C4"/>
    <w:rsid w:val="00E31D11"/>
    <w:rsid w:val="00E31DFA"/>
    <w:rsid w:val="00E33022"/>
    <w:rsid w:val="00E339C2"/>
    <w:rsid w:val="00E33CB1"/>
    <w:rsid w:val="00E34129"/>
    <w:rsid w:val="00E34D3F"/>
    <w:rsid w:val="00E36AB4"/>
    <w:rsid w:val="00E377C1"/>
    <w:rsid w:val="00E37FC8"/>
    <w:rsid w:val="00E4053E"/>
    <w:rsid w:val="00E423D9"/>
    <w:rsid w:val="00E42AA2"/>
    <w:rsid w:val="00E42E0E"/>
    <w:rsid w:val="00E434F0"/>
    <w:rsid w:val="00E44155"/>
    <w:rsid w:val="00E44A44"/>
    <w:rsid w:val="00E468E1"/>
    <w:rsid w:val="00E50FFC"/>
    <w:rsid w:val="00E52C53"/>
    <w:rsid w:val="00E52C59"/>
    <w:rsid w:val="00E53869"/>
    <w:rsid w:val="00E53B21"/>
    <w:rsid w:val="00E53B63"/>
    <w:rsid w:val="00E53DE8"/>
    <w:rsid w:val="00E54A51"/>
    <w:rsid w:val="00E5568D"/>
    <w:rsid w:val="00E560D9"/>
    <w:rsid w:val="00E57A58"/>
    <w:rsid w:val="00E60BBD"/>
    <w:rsid w:val="00E61255"/>
    <w:rsid w:val="00E6153F"/>
    <w:rsid w:val="00E61FA0"/>
    <w:rsid w:val="00E61FC5"/>
    <w:rsid w:val="00E63B39"/>
    <w:rsid w:val="00E63C42"/>
    <w:rsid w:val="00E63C47"/>
    <w:rsid w:val="00E64709"/>
    <w:rsid w:val="00E64E52"/>
    <w:rsid w:val="00E6509B"/>
    <w:rsid w:val="00E66382"/>
    <w:rsid w:val="00E66CFA"/>
    <w:rsid w:val="00E66EF5"/>
    <w:rsid w:val="00E6732F"/>
    <w:rsid w:val="00E675FA"/>
    <w:rsid w:val="00E676FC"/>
    <w:rsid w:val="00E67744"/>
    <w:rsid w:val="00E707D5"/>
    <w:rsid w:val="00E70895"/>
    <w:rsid w:val="00E70A6F"/>
    <w:rsid w:val="00E72011"/>
    <w:rsid w:val="00E73A7E"/>
    <w:rsid w:val="00E74CF8"/>
    <w:rsid w:val="00E750C2"/>
    <w:rsid w:val="00E752F6"/>
    <w:rsid w:val="00E7595D"/>
    <w:rsid w:val="00E77E21"/>
    <w:rsid w:val="00E80162"/>
    <w:rsid w:val="00E806F7"/>
    <w:rsid w:val="00E80C0E"/>
    <w:rsid w:val="00E82443"/>
    <w:rsid w:val="00E825E7"/>
    <w:rsid w:val="00E82A65"/>
    <w:rsid w:val="00E834D3"/>
    <w:rsid w:val="00E84BEF"/>
    <w:rsid w:val="00E86731"/>
    <w:rsid w:val="00E901A6"/>
    <w:rsid w:val="00E90365"/>
    <w:rsid w:val="00E905ED"/>
    <w:rsid w:val="00E917C0"/>
    <w:rsid w:val="00E91830"/>
    <w:rsid w:val="00E920F7"/>
    <w:rsid w:val="00E92282"/>
    <w:rsid w:val="00E92676"/>
    <w:rsid w:val="00E9396A"/>
    <w:rsid w:val="00E93EAC"/>
    <w:rsid w:val="00E946A8"/>
    <w:rsid w:val="00E95566"/>
    <w:rsid w:val="00E96CA3"/>
    <w:rsid w:val="00EA0563"/>
    <w:rsid w:val="00EA0F33"/>
    <w:rsid w:val="00EA1153"/>
    <w:rsid w:val="00EA1272"/>
    <w:rsid w:val="00EA2A68"/>
    <w:rsid w:val="00EA32BD"/>
    <w:rsid w:val="00EA32C3"/>
    <w:rsid w:val="00EA3394"/>
    <w:rsid w:val="00EA6777"/>
    <w:rsid w:val="00EA6D34"/>
    <w:rsid w:val="00EA6E5B"/>
    <w:rsid w:val="00EA710B"/>
    <w:rsid w:val="00EA7132"/>
    <w:rsid w:val="00EA7344"/>
    <w:rsid w:val="00EB0828"/>
    <w:rsid w:val="00EB13BB"/>
    <w:rsid w:val="00EB3017"/>
    <w:rsid w:val="00EB3827"/>
    <w:rsid w:val="00EB49DC"/>
    <w:rsid w:val="00EB623D"/>
    <w:rsid w:val="00EB6A11"/>
    <w:rsid w:val="00EB6AF7"/>
    <w:rsid w:val="00EB6BB9"/>
    <w:rsid w:val="00EB6BC0"/>
    <w:rsid w:val="00EC0108"/>
    <w:rsid w:val="00EC0F1A"/>
    <w:rsid w:val="00EC0F3C"/>
    <w:rsid w:val="00EC1D91"/>
    <w:rsid w:val="00EC2561"/>
    <w:rsid w:val="00EC3BB3"/>
    <w:rsid w:val="00EC4464"/>
    <w:rsid w:val="00EC4D52"/>
    <w:rsid w:val="00EC5E1B"/>
    <w:rsid w:val="00EC61C4"/>
    <w:rsid w:val="00EC6A74"/>
    <w:rsid w:val="00EC7AED"/>
    <w:rsid w:val="00ED004F"/>
    <w:rsid w:val="00ED08F4"/>
    <w:rsid w:val="00ED0B83"/>
    <w:rsid w:val="00ED0E2F"/>
    <w:rsid w:val="00ED1F73"/>
    <w:rsid w:val="00ED2559"/>
    <w:rsid w:val="00ED2B9E"/>
    <w:rsid w:val="00ED2BF7"/>
    <w:rsid w:val="00ED2EC7"/>
    <w:rsid w:val="00ED40D9"/>
    <w:rsid w:val="00ED41E3"/>
    <w:rsid w:val="00ED53A9"/>
    <w:rsid w:val="00ED54E8"/>
    <w:rsid w:val="00ED5843"/>
    <w:rsid w:val="00ED5A13"/>
    <w:rsid w:val="00ED5AA4"/>
    <w:rsid w:val="00EE0414"/>
    <w:rsid w:val="00EE04FD"/>
    <w:rsid w:val="00EE0E60"/>
    <w:rsid w:val="00EE0E75"/>
    <w:rsid w:val="00EE2113"/>
    <w:rsid w:val="00EE24D0"/>
    <w:rsid w:val="00EE2CF8"/>
    <w:rsid w:val="00EE3004"/>
    <w:rsid w:val="00EE3519"/>
    <w:rsid w:val="00EE3536"/>
    <w:rsid w:val="00EE3EA1"/>
    <w:rsid w:val="00EE5B6B"/>
    <w:rsid w:val="00EE632E"/>
    <w:rsid w:val="00EE72AF"/>
    <w:rsid w:val="00EE7464"/>
    <w:rsid w:val="00EE7981"/>
    <w:rsid w:val="00EE7B24"/>
    <w:rsid w:val="00EE7D4E"/>
    <w:rsid w:val="00EF2248"/>
    <w:rsid w:val="00EF2AD9"/>
    <w:rsid w:val="00EF4D1E"/>
    <w:rsid w:val="00EF5524"/>
    <w:rsid w:val="00EF5C72"/>
    <w:rsid w:val="00EF65CB"/>
    <w:rsid w:val="00EF7B23"/>
    <w:rsid w:val="00EF7CBA"/>
    <w:rsid w:val="00F00CCF"/>
    <w:rsid w:val="00F01F56"/>
    <w:rsid w:val="00F02113"/>
    <w:rsid w:val="00F02405"/>
    <w:rsid w:val="00F0292B"/>
    <w:rsid w:val="00F02BC9"/>
    <w:rsid w:val="00F02C05"/>
    <w:rsid w:val="00F03011"/>
    <w:rsid w:val="00F03609"/>
    <w:rsid w:val="00F0375E"/>
    <w:rsid w:val="00F04462"/>
    <w:rsid w:val="00F05791"/>
    <w:rsid w:val="00F06085"/>
    <w:rsid w:val="00F06862"/>
    <w:rsid w:val="00F06B5C"/>
    <w:rsid w:val="00F06BE7"/>
    <w:rsid w:val="00F11C9C"/>
    <w:rsid w:val="00F11EB4"/>
    <w:rsid w:val="00F12EFC"/>
    <w:rsid w:val="00F143ED"/>
    <w:rsid w:val="00F148DA"/>
    <w:rsid w:val="00F179FD"/>
    <w:rsid w:val="00F17DD8"/>
    <w:rsid w:val="00F2014F"/>
    <w:rsid w:val="00F20A7F"/>
    <w:rsid w:val="00F21542"/>
    <w:rsid w:val="00F22026"/>
    <w:rsid w:val="00F22170"/>
    <w:rsid w:val="00F226D2"/>
    <w:rsid w:val="00F260B1"/>
    <w:rsid w:val="00F263E3"/>
    <w:rsid w:val="00F26E99"/>
    <w:rsid w:val="00F2738B"/>
    <w:rsid w:val="00F308F6"/>
    <w:rsid w:val="00F30BEC"/>
    <w:rsid w:val="00F3169B"/>
    <w:rsid w:val="00F32535"/>
    <w:rsid w:val="00F3312B"/>
    <w:rsid w:val="00F3358E"/>
    <w:rsid w:val="00F33BD1"/>
    <w:rsid w:val="00F34A55"/>
    <w:rsid w:val="00F34C43"/>
    <w:rsid w:val="00F34F67"/>
    <w:rsid w:val="00F3579D"/>
    <w:rsid w:val="00F36A41"/>
    <w:rsid w:val="00F36ED4"/>
    <w:rsid w:val="00F36EFB"/>
    <w:rsid w:val="00F37BD4"/>
    <w:rsid w:val="00F4018F"/>
    <w:rsid w:val="00F4136D"/>
    <w:rsid w:val="00F41B38"/>
    <w:rsid w:val="00F425B3"/>
    <w:rsid w:val="00F442CF"/>
    <w:rsid w:val="00F445D8"/>
    <w:rsid w:val="00F450A0"/>
    <w:rsid w:val="00F45D9A"/>
    <w:rsid w:val="00F4650F"/>
    <w:rsid w:val="00F46721"/>
    <w:rsid w:val="00F46823"/>
    <w:rsid w:val="00F47398"/>
    <w:rsid w:val="00F477B7"/>
    <w:rsid w:val="00F50083"/>
    <w:rsid w:val="00F52580"/>
    <w:rsid w:val="00F534CD"/>
    <w:rsid w:val="00F537BF"/>
    <w:rsid w:val="00F54560"/>
    <w:rsid w:val="00F54DFE"/>
    <w:rsid w:val="00F55857"/>
    <w:rsid w:val="00F55A2F"/>
    <w:rsid w:val="00F563C3"/>
    <w:rsid w:val="00F563FF"/>
    <w:rsid w:val="00F56509"/>
    <w:rsid w:val="00F5660A"/>
    <w:rsid w:val="00F571F1"/>
    <w:rsid w:val="00F6002F"/>
    <w:rsid w:val="00F6154B"/>
    <w:rsid w:val="00F628E9"/>
    <w:rsid w:val="00F62FAC"/>
    <w:rsid w:val="00F64646"/>
    <w:rsid w:val="00F64767"/>
    <w:rsid w:val="00F6607A"/>
    <w:rsid w:val="00F666F8"/>
    <w:rsid w:val="00F6699C"/>
    <w:rsid w:val="00F66B6B"/>
    <w:rsid w:val="00F6793A"/>
    <w:rsid w:val="00F7316F"/>
    <w:rsid w:val="00F73523"/>
    <w:rsid w:val="00F73A8B"/>
    <w:rsid w:val="00F73AE3"/>
    <w:rsid w:val="00F73B2F"/>
    <w:rsid w:val="00F754ED"/>
    <w:rsid w:val="00F75CC9"/>
    <w:rsid w:val="00F75E71"/>
    <w:rsid w:val="00F772C9"/>
    <w:rsid w:val="00F77454"/>
    <w:rsid w:val="00F80377"/>
    <w:rsid w:val="00F80538"/>
    <w:rsid w:val="00F80C8B"/>
    <w:rsid w:val="00F825D6"/>
    <w:rsid w:val="00F82700"/>
    <w:rsid w:val="00F82A0A"/>
    <w:rsid w:val="00F836E0"/>
    <w:rsid w:val="00F845FC"/>
    <w:rsid w:val="00F8491E"/>
    <w:rsid w:val="00F86324"/>
    <w:rsid w:val="00F867E8"/>
    <w:rsid w:val="00F87718"/>
    <w:rsid w:val="00F87DC1"/>
    <w:rsid w:val="00F91004"/>
    <w:rsid w:val="00F94F2E"/>
    <w:rsid w:val="00F95210"/>
    <w:rsid w:val="00F96E75"/>
    <w:rsid w:val="00F97D22"/>
    <w:rsid w:val="00FA0099"/>
    <w:rsid w:val="00FA0E2C"/>
    <w:rsid w:val="00FA1011"/>
    <w:rsid w:val="00FA115A"/>
    <w:rsid w:val="00FA1A29"/>
    <w:rsid w:val="00FA2EEF"/>
    <w:rsid w:val="00FA30E1"/>
    <w:rsid w:val="00FA3FB2"/>
    <w:rsid w:val="00FA4497"/>
    <w:rsid w:val="00FA4751"/>
    <w:rsid w:val="00FA785D"/>
    <w:rsid w:val="00FA7C71"/>
    <w:rsid w:val="00FA7EBD"/>
    <w:rsid w:val="00FB2735"/>
    <w:rsid w:val="00FB2C77"/>
    <w:rsid w:val="00FB2FDF"/>
    <w:rsid w:val="00FB3EA6"/>
    <w:rsid w:val="00FB4068"/>
    <w:rsid w:val="00FB449D"/>
    <w:rsid w:val="00FB6308"/>
    <w:rsid w:val="00FB7B83"/>
    <w:rsid w:val="00FC02FC"/>
    <w:rsid w:val="00FC07CE"/>
    <w:rsid w:val="00FC1672"/>
    <w:rsid w:val="00FC1929"/>
    <w:rsid w:val="00FC21D4"/>
    <w:rsid w:val="00FC2F9B"/>
    <w:rsid w:val="00FC3052"/>
    <w:rsid w:val="00FC3382"/>
    <w:rsid w:val="00FC34FA"/>
    <w:rsid w:val="00FC3B41"/>
    <w:rsid w:val="00FC4251"/>
    <w:rsid w:val="00FC44AF"/>
    <w:rsid w:val="00FC4779"/>
    <w:rsid w:val="00FC51E5"/>
    <w:rsid w:val="00FC747B"/>
    <w:rsid w:val="00FC7696"/>
    <w:rsid w:val="00FC76C5"/>
    <w:rsid w:val="00FC7891"/>
    <w:rsid w:val="00FC7B2F"/>
    <w:rsid w:val="00FC7E88"/>
    <w:rsid w:val="00FD03AB"/>
    <w:rsid w:val="00FD066F"/>
    <w:rsid w:val="00FD0BC7"/>
    <w:rsid w:val="00FD13B4"/>
    <w:rsid w:val="00FD28DB"/>
    <w:rsid w:val="00FD34C2"/>
    <w:rsid w:val="00FD50BC"/>
    <w:rsid w:val="00FD572E"/>
    <w:rsid w:val="00FD5969"/>
    <w:rsid w:val="00FD6C4E"/>
    <w:rsid w:val="00FD70F8"/>
    <w:rsid w:val="00FD757F"/>
    <w:rsid w:val="00FD76AE"/>
    <w:rsid w:val="00FE09B7"/>
    <w:rsid w:val="00FE0BEC"/>
    <w:rsid w:val="00FE0BEF"/>
    <w:rsid w:val="00FE1D3D"/>
    <w:rsid w:val="00FE1E8E"/>
    <w:rsid w:val="00FE2144"/>
    <w:rsid w:val="00FE2721"/>
    <w:rsid w:val="00FE2856"/>
    <w:rsid w:val="00FE3922"/>
    <w:rsid w:val="00FE3A05"/>
    <w:rsid w:val="00FE43C5"/>
    <w:rsid w:val="00FE4557"/>
    <w:rsid w:val="00FE4CF1"/>
    <w:rsid w:val="00FE6086"/>
    <w:rsid w:val="00FE62D6"/>
    <w:rsid w:val="00FE67B6"/>
    <w:rsid w:val="00FE77CA"/>
    <w:rsid w:val="00FF03A2"/>
    <w:rsid w:val="00FF08AA"/>
    <w:rsid w:val="00FF1D66"/>
    <w:rsid w:val="00FF21DF"/>
    <w:rsid w:val="00FF2207"/>
    <w:rsid w:val="00FF24E2"/>
    <w:rsid w:val="00FF2D36"/>
    <w:rsid w:val="00FF308F"/>
    <w:rsid w:val="00FF4CDB"/>
    <w:rsid w:val="00FF50C8"/>
    <w:rsid w:val="00FF5351"/>
    <w:rsid w:val="00FF555F"/>
    <w:rsid w:val="00FF72F6"/>
    <w:rsid w:val="00FF7DBC"/>
    <w:rsid w:val="00FF7F33"/>
    <w:rsid w:val="34283BD5"/>
    <w:rsid w:val="5B8664F6"/>
    <w:rsid w:val="67B9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AC69E"/>
  <w15:docId w15:val="{978EF49D-66B9-4084-ADE4-89208B3E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6AF4"/>
    <w:pPr>
      <w:spacing w:line="360" w:lineRule="auto"/>
    </w:pPr>
    <w:rPr>
      <w:rFonts w:ascii="Times New Roman" w:hAnsi="Times New Roman"/>
      <w:sz w:val="24"/>
    </w:rPr>
  </w:style>
  <w:style w:type="paragraph" w:styleId="Kop1">
    <w:name w:val="heading 1"/>
    <w:aliases w:val="Hoofdstuk titel"/>
    <w:basedOn w:val="Standaard"/>
    <w:next w:val="Standaard"/>
    <w:link w:val="Kop1Char"/>
    <w:uiPriority w:val="9"/>
    <w:qFormat/>
    <w:rsid w:val="00EA3394"/>
    <w:pPr>
      <w:keepNext/>
      <w:keepLines/>
      <w:spacing w:before="480" w:after="480"/>
      <w:outlineLvl w:val="0"/>
    </w:pPr>
    <w:rPr>
      <w:rFonts w:eastAsiaTheme="majorEastAsia" w:cstheme="majorBidi"/>
      <w:b/>
      <w:sz w:val="26"/>
      <w:szCs w:val="32"/>
    </w:rPr>
  </w:style>
  <w:style w:type="paragraph" w:styleId="Kop2">
    <w:name w:val="heading 2"/>
    <w:basedOn w:val="Standaard"/>
    <w:next w:val="Standaard"/>
    <w:link w:val="Kop2Char"/>
    <w:uiPriority w:val="9"/>
    <w:unhideWhenUsed/>
    <w:qFormat/>
    <w:rsid w:val="00285EAA"/>
    <w:pPr>
      <w:keepNext/>
      <w:keepLines/>
      <w:spacing w:before="480" w:after="48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ED2559"/>
    <w:pPr>
      <w:keepNext/>
      <w:keepLines/>
      <w:spacing w:before="400" w:after="40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titel Char"/>
    <w:basedOn w:val="Standaardalinea-lettertype"/>
    <w:link w:val="Kop1"/>
    <w:uiPriority w:val="9"/>
    <w:rsid w:val="00EA3394"/>
    <w:rPr>
      <w:rFonts w:ascii="Times New Roman" w:eastAsiaTheme="majorEastAsia" w:hAnsi="Times New Roman" w:cstheme="majorBidi"/>
      <w:b/>
      <w:sz w:val="26"/>
      <w:szCs w:val="32"/>
    </w:rPr>
  </w:style>
  <w:style w:type="paragraph" w:styleId="Ondertitel">
    <w:name w:val="Subtitle"/>
    <w:aliases w:val="Subtitels"/>
    <w:basedOn w:val="Standaard"/>
    <w:next w:val="Standaard"/>
    <w:link w:val="OndertitelChar"/>
    <w:uiPriority w:val="11"/>
    <w:qFormat/>
    <w:rsid w:val="00EA3394"/>
    <w:pPr>
      <w:numPr>
        <w:ilvl w:val="1"/>
      </w:numPr>
      <w:spacing w:before="480" w:after="480"/>
    </w:pPr>
    <w:rPr>
      <w:rFonts w:eastAsiaTheme="minorEastAsia"/>
      <w:b/>
      <w:spacing w:val="15"/>
    </w:rPr>
  </w:style>
  <w:style w:type="character" w:customStyle="1" w:styleId="OndertitelChar">
    <w:name w:val="Ondertitel Char"/>
    <w:aliases w:val="Subtitels Char"/>
    <w:basedOn w:val="Standaardalinea-lettertype"/>
    <w:link w:val="Ondertitel"/>
    <w:uiPriority w:val="11"/>
    <w:rsid w:val="00EA3394"/>
    <w:rPr>
      <w:rFonts w:ascii="Times New Roman" w:eastAsiaTheme="minorEastAsia" w:hAnsi="Times New Roman"/>
      <w:b/>
      <w:spacing w:val="15"/>
      <w:sz w:val="24"/>
    </w:rPr>
  </w:style>
  <w:style w:type="paragraph" w:styleId="Ballontekst">
    <w:name w:val="Balloon Text"/>
    <w:basedOn w:val="Standaard"/>
    <w:link w:val="BallontekstChar"/>
    <w:uiPriority w:val="99"/>
    <w:semiHidden/>
    <w:unhideWhenUsed/>
    <w:rsid w:val="006D0D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DC3"/>
    <w:rPr>
      <w:rFonts w:ascii="Segoe UI" w:hAnsi="Segoe UI" w:cs="Segoe UI"/>
      <w:sz w:val="18"/>
      <w:szCs w:val="18"/>
    </w:rPr>
  </w:style>
  <w:style w:type="paragraph" w:styleId="Lijstalinea">
    <w:name w:val="List Paragraph"/>
    <w:basedOn w:val="Standaard"/>
    <w:uiPriority w:val="34"/>
    <w:qFormat/>
    <w:rsid w:val="00A1468F"/>
    <w:pPr>
      <w:ind w:left="720"/>
      <w:contextualSpacing/>
    </w:pPr>
  </w:style>
  <w:style w:type="character" w:styleId="Hyperlink">
    <w:name w:val="Hyperlink"/>
    <w:basedOn w:val="Standaardalinea-lettertype"/>
    <w:uiPriority w:val="99"/>
    <w:unhideWhenUsed/>
    <w:rsid w:val="009B2FDF"/>
    <w:rPr>
      <w:color w:val="0563C1" w:themeColor="hyperlink"/>
      <w:u w:val="single"/>
    </w:rPr>
  </w:style>
  <w:style w:type="character" w:customStyle="1" w:styleId="Onopgelostemelding1">
    <w:name w:val="Onopgeloste melding1"/>
    <w:basedOn w:val="Standaardalinea-lettertype"/>
    <w:uiPriority w:val="99"/>
    <w:semiHidden/>
    <w:unhideWhenUsed/>
    <w:rsid w:val="00D47601"/>
    <w:rPr>
      <w:color w:val="605E5C"/>
      <w:shd w:val="clear" w:color="auto" w:fill="E1DFDD"/>
    </w:rPr>
  </w:style>
  <w:style w:type="character" w:styleId="GevolgdeHyperlink">
    <w:name w:val="FollowedHyperlink"/>
    <w:basedOn w:val="Standaardalinea-lettertype"/>
    <w:uiPriority w:val="99"/>
    <w:semiHidden/>
    <w:unhideWhenUsed/>
    <w:rsid w:val="0091595B"/>
    <w:rPr>
      <w:color w:val="954F72" w:themeColor="followed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Voetnoottekst">
    <w:name w:val="footnote text"/>
    <w:basedOn w:val="Standaard"/>
    <w:link w:val="VoetnoottekstChar"/>
    <w:uiPriority w:val="99"/>
    <w:semiHidden/>
    <w:unhideWhenUsed/>
    <w:rsid w:val="00B846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4625"/>
    <w:rPr>
      <w:rFonts w:ascii="Times New Roman" w:hAnsi="Times New Roman"/>
      <w:sz w:val="20"/>
      <w:szCs w:val="20"/>
    </w:rPr>
  </w:style>
  <w:style w:type="character" w:styleId="Voetnootmarkering">
    <w:name w:val="footnote reference"/>
    <w:basedOn w:val="Standaardalinea-lettertype"/>
    <w:uiPriority w:val="99"/>
    <w:semiHidden/>
    <w:unhideWhenUsed/>
    <w:rsid w:val="00B84625"/>
    <w:rPr>
      <w:vertAlign w:val="superscript"/>
    </w:rPr>
  </w:style>
  <w:style w:type="character" w:styleId="Verwijzingopmerking">
    <w:name w:val="annotation reference"/>
    <w:basedOn w:val="Standaardalinea-lettertype"/>
    <w:uiPriority w:val="99"/>
    <w:semiHidden/>
    <w:unhideWhenUsed/>
    <w:rsid w:val="00B42618"/>
    <w:rPr>
      <w:sz w:val="18"/>
      <w:szCs w:val="18"/>
    </w:rPr>
  </w:style>
  <w:style w:type="paragraph" w:styleId="Tekstopmerking">
    <w:name w:val="annotation text"/>
    <w:basedOn w:val="Standaard"/>
    <w:link w:val="TekstopmerkingChar"/>
    <w:uiPriority w:val="99"/>
    <w:semiHidden/>
    <w:unhideWhenUsed/>
    <w:rsid w:val="00B42618"/>
    <w:pPr>
      <w:spacing w:line="240" w:lineRule="auto"/>
    </w:pPr>
    <w:rPr>
      <w:szCs w:val="24"/>
    </w:rPr>
  </w:style>
  <w:style w:type="character" w:customStyle="1" w:styleId="TekstopmerkingChar">
    <w:name w:val="Tekst opmerking Char"/>
    <w:basedOn w:val="Standaardalinea-lettertype"/>
    <w:link w:val="Tekstopmerking"/>
    <w:uiPriority w:val="99"/>
    <w:semiHidden/>
    <w:rsid w:val="00B42618"/>
    <w:rPr>
      <w:rFonts w:ascii="Times New Roman" w:hAnsi="Times New Roman"/>
      <w:sz w:val="24"/>
      <w:szCs w:val="24"/>
    </w:rPr>
  </w:style>
  <w:style w:type="paragraph" w:styleId="Geenafstand">
    <w:name w:val="No Spacing"/>
    <w:link w:val="GeenafstandChar"/>
    <w:uiPriority w:val="1"/>
    <w:qFormat/>
    <w:rsid w:val="00255ED7"/>
    <w:pPr>
      <w:spacing w:after="0" w:line="240" w:lineRule="auto"/>
    </w:pPr>
    <w:rPr>
      <w:rFonts w:eastAsiaTheme="minorEastAsia"/>
      <w:lang w:val="nl-NL" w:eastAsia="nl-NL"/>
    </w:rPr>
  </w:style>
  <w:style w:type="character" w:customStyle="1" w:styleId="GeenafstandChar">
    <w:name w:val="Geen afstand Char"/>
    <w:basedOn w:val="Standaardalinea-lettertype"/>
    <w:link w:val="Geenafstand"/>
    <w:uiPriority w:val="1"/>
    <w:rsid w:val="00255ED7"/>
    <w:rPr>
      <w:rFonts w:eastAsiaTheme="minorEastAsia"/>
      <w:lang w:val="nl-NL" w:eastAsia="nl-NL"/>
    </w:rPr>
  </w:style>
  <w:style w:type="paragraph" w:styleId="Kopvaninhoudsopgave">
    <w:name w:val="TOC Heading"/>
    <w:basedOn w:val="Kop1"/>
    <w:next w:val="Standaard"/>
    <w:uiPriority w:val="39"/>
    <w:unhideWhenUsed/>
    <w:qFormat/>
    <w:rsid w:val="009A07BE"/>
    <w:pPr>
      <w:spacing w:before="240" w:after="0" w:line="259" w:lineRule="auto"/>
      <w:outlineLvl w:val="9"/>
    </w:pPr>
    <w:rPr>
      <w:rFonts w:asciiTheme="majorHAnsi" w:hAnsiTheme="majorHAnsi"/>
      <w:b w:val="0"/>
      <w:color w:val="2F5496" w:themeColor="accent1" w:themeShade="BF"/>
      <w:sz w:val="32"/>
      <w:lang w:val="nl-NL" w:eastAsia="nl-NL"/>
    </w:rPr>
  </w:style>
  <w:style w:type="paragraph" w:styleId="Inhopg2">
    <w:name w:val="toc 2"/>
    <w:basedOn w:val="Standaard"/>
    <w:next w:val="Standaard"/>
    <w:autoRedefine/>
    <w:uiPriority w:val="39"/>
    <w:unhideWhenUsed/>
    <w:rsid w:val="009A07BE"/>
    <w:pPr>
      <w:spacing w:after="100" w:line="259" w:lineRule="auto"/>
      <w:ind w:left="220"/>
    </w:pPr>
    <w:rPr>
      <w:rFonts w:asciiTheme="minorHAnsi" w:eastAsiaTheme="minorEastAsia" w:hAnsiTheme="minorHAnsi" w:cs="Times New Roman"/>
      <w:sz w:val="22"/>
      <w:lang w:val="nl-NL" w:eastAsia="nl-NL"/>
    </w:rPr>
  </w:style>
  <w:style w:type="paragraph" w:styleId="Inhopg1">
    <w:name w:val="toc 1"/>
    <w:basedOn w:val="Standaard"/>
    <w:next w:val="Standaard"/>
    <w:autoRedefine/>
    <w:uiPriority w:val="39"/>
    <w:unhideWhenUsed/>
    <w:rsid w:val="009A07BE"/>
    <w:pPr>
      <w:spacing w:after="100" w:line="259" w:lineRule="auto"/>
    </w:pPr>
    <w:rPr>
      <w:rFonts w:asciiTheme="minorHAnsi" w:eastAsiaTheme="minorEastAsia" w:hAnsiTheme="minorHAnsi" w:cs="Times New Roman"/>
      <w:sz w:val="22"/>
      <w:lang w:val="nl-NL" w:eastAsia="nl-NL"/>
    </w:rPr>
  </w:style>
  <w:style w:type="paragraph" w:styleId="Inhopg3">
    <w:name w:val="toc 3"/>
    <w:basedOn w:val="Standaard"/>
    <w:next w:val="Standaard"/>
    <w:autoRedefine/>
    <w:uiPriority w:val="39"/>
    <w:unhideWhenUsed/>
    <w:rsid w:val="009A07BE"/>
    <w:pPr>
      <w:spacing w:after="100" w:line="259" w:lineRule="auto"/>
      <w:ind w:left="440"/>
    </w:pPr>
    <w:rPr>
      <w:rFonts w:asciiTheme="minorHAnsi" w:eastAsiaTheme="minorEastAsia" w:hAnsiTheme="minorHAnsi" w:cs="Times New Roman"/>
      <w:sz w:val="22"/>
      <w:lang w:val="nl-NL" w:eastAsia="nl-NL"/>
    </w:rPr>
  </w:style>
  <w:style w:type="character" w:customStyle="1" w:styleId="Kop2Char">
    <w:name w:val="Kop 2 Char"/>
    <w:basedOn w:val="Standaardalinea-lettertype"/>
    <w:link w:val="Kop2"/>
    <w:uiPriority w:val="9"/>
    <w:rsid w:val="00285EAA"/>
    <w:rPr>
      <w:rFonts w:ascii="Times New Roman" w:eastAsiaTheme="majorEastAsia" w:hAnsi="Times New Roman" w:cstheme="majorBidi"/>
      <w:b/>
      <w:sz w:val="24"/>
      <w:szCs w:val="26"/>
    </w:rPr>
  </w:style>
  <w:style w:type="character" w:customStyle="1" w:styleId="Kop3Char">
    <w:name w:val="Kop 3 Char"/>
    <w:basedOn w:val="Standaardalinea-lettertype"/>
    <w:link w:val="Kop3"/>
    <w:uiPriority w:val="9"/>
    <w:rsid w:val="00ED2559"/>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4651">
      <w:bodyDiv w:val="1"/>
      <w:marLeft w:val="0"/>
      <w:marRight w:val="0"/>
      <w:marTop w:val="0"/>
      <w:marBottom w:val="0"/>
      <w:divBdr>
        <w:top w:val="none" w:sz="0" w:space="0" w:color="auto"/>
        <w:left w:val="none" w:sz="0" w:space="0" w:color="auto"/>
        <w:bottom w:val="none" w:sz="0" w:space="0" w:color="auto"/>
        <w:right w:val="none" w:sz="0" w:space="0" w:color="auto"/>
      </w:divBdr>
    </w:div>
    <w:div w:id="1144351533">
      <w:bodyDiv w:val="1"/>
      <w:marLeft w:val="0"/>
      <w:marRight w:val="0"/>
      <w:marTop w:val="0"/>
      <w:marBottom w:val="0"/>
      <w:divBdr>
        <w:top w:val="none" w:sz="0" w:space="0" w:color="auto"/>
        <w:left w:val="none" w:sz="0" w:space="0" w:color="auto"/>
        <w:bottom w:val="none" w:sz="0" w:space="0" w:color="auto"/>
        <w:right w:val="none" w:sz="0" w:space="0" w:color="auto"/>
      </w:divBdr>
      <w:divsChild>
        <w:div w:id="352652210">
          <w:marLeft w:val="0"/>
          <w:marRight w:val="0"/>
          <w:marTop w:val="0"/>
          <w:marBottom w:val="0"/>
          <w:divBdr>
            <w:top w:val="none" w:sz="0" w:space="0" w:color="auto"/>
            <w:left w:val="none" w:sz="0" w:space="0" w:color="auto"/>
            <w:bottom w:val="none" w:sz="0" w:space="0" w:color="auto"/>
            <w:right w:val="none" w:sz="0" w:space="0" w:color="auto"/>
          </w:divBdr>
          <w:divsChild>
            <w:div w:id="18126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2956">
      <w:bodyDiv w:val="1"/>
      <w:marLeft w:val="0"/>
      <w:marRight w:val="0"/>
      <w:marTop w:val="0"/>
      <w:marBottom w:val="0"/>
      <w:divBdr>
        <w:top w:val="none" w:sz="0" w:space="0" w:color="auto"/>
        <w:left w:val="none" w:sz="0" w:space="0" w:color="auto"/>
        <w:bottom w:val="none" w:sz="0" w:space="0" w:color="auto"/>
        <w:right w:val="none" w:sz="0" w:space="0" w:color="auto"/>
      </w:divBdr>
    </w:div>
    <w:div w:id="2028173790">
      <w:bodyDiv w:val="1"/>
      <w:marLeft w:val="0"/>
      <w:marRight w:val="0"/>
      <w:marTop w:val="0"/>
      <w:marBottom w:val="0"/>
      <w:divBdr>
        <w:top w:val="none" w:sz="0" w:space="0" w:color="auto"/>
        <w:left w:val="none" w:sz="0" w:space="0" w:color="auto"/>
        <w:bottom w:val="none" w:sz="0" w:space="0" w:color="auto"/>
        <w:right w:val="none" w:sz="0" w:space="0" w:color="auto"/>
      </w:divBdr>
      <w:divsChild>
        <w:div w:id="1426153165">
          <w:marLeft w:val="0"/>
          <w:marRight w:val="0"/>
          <w:marTop w:val="0"/>
          <w:marBottom w:val="0"/>
          <w:divBdr>
            <w:top w:val="none" w:sz="0" w:space="0" w:color="auto"/>
            <w:left w:val="none" w:sz="0" w:space="0" w:color="auto"/>
            <w:bottom w:val="none" w:sz="0" w:space="0" w:color="auto"/>
            <w:right w:val="none" w:sz="0" w:space="0" w:color="auto"/>
          </w:divBdr>
          <w:divsChild>
            <w:div w:id="1169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loosterman@student.ru.nl" TargetMode="External"/><Relationship Id="rId13" Type="http://schemas.openxmlformats.org/officeDocument/2006/relationships/hyperlink" Target="https://ec.europa.eu/eusurvey/files/e3aac1ef-3b45-4235-84a5-53b39cb20946/0cb66dce-f211-4c02-93cb-4e2bb882a623" TargetMode="External"/><Relationship Id="rId18" Type="http://schemas.openxmlformats.org/officeDocument/2006/relationships/hyperlink" Target="http://eur-lex.europa.eu/legal-content/EN/TXT/PDF/?uri=CELEX:52015PC0472&amp;from=EN" TargetMode="External"/><Relationship Id="rId26" Type="http://schemas.openxmlformats.org/officeDocument/2006/relationships/hyperlink" Target="https://www.oecd.org/finance/Tracing-the-origins-of-the-financial-crisis.pdf" TargetMode="External"/><Relationship Id="rId3" Type="http://schemas.openxmlformats.org/officeDocument/2006/relationships/styles" Target="styles.xml"/><Relationship Id="rId21" Type="http://schemas.openxmlformats.org/officeDocument/2006/relationships/hyperlink" Target="http://www.europarl.europa.eu/RegData/etudes/IDAN/2015/569017/EPRS_IDA%282015%29569017_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guardian.com/business/2011/feb/01/guy-hands-emi-securitisation" TargetMode="External"/><Relationship Id="rId17" Type="http://schemas.openxmlformats.org/officeDocument/2006/relationships/hyperlink" Target="https://eur-lex.europa.eu/legal-content/EN/TXT/HTML/?uri=CELEX:52015DC0063&amp;from=EN" TargetMode="External"/><Relationship Id="rId25" Type="http://schemas.openxmlformats.org/officeDocument/2006/relationships/hyperlink" Target="https://www.brookings.edu/wp-content/uploads/2015/02/20150225_hill_euro_transcript.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opa.eu/rapid/press-release_DOC-01-10_en.pdf" TargetMode="External"/><Relationship Id="rId20" Type="http://schemas.openxmlformats.org/officeDocument/2006/relationships/hyperlink" Target="https://ec.europa.eu/eusurvey/files/e3aac1ef-3b45-4235-84a5-53b39cb20946/5415da49-6041-47a5-a906-28467e26d0d6" TargetMode="External"/><Relationship Id="rId29" Type="http://schemas.openxmlformats.org/officeDocument/2006/relationships/hyperlink" Target="https://www.tni.org/files/publication-downloads/primer_financialisation-01-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bnpparibas.com/sites/default/files/documents/ef_31.12.17_en.pdf" TargetMode="External"/><Relationship Id="rId24" Type="http://schemas.openxmlformats.org/officeDocument/2006/relationships/hyperlink" Target="http://www.finance-watch.org/ifile/Publications/Reports/FW-report-LTF-dec-2014.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eusurvey/files/0d587089-6bf3-479c-b40f-c74085946345/4aae9ddf-d639-4b09-b224-05ea00535a56" TargetMode="External"/><Relationship Id="rId23" Type="http://schemas.openxmlformats.org/officeDocument/2006/relationships/hyperlink" Target="https://ec.europa.eu/eusurvey/files/e3aac1ef-3b45-4235-84a5-53b39cb20946/8b9960ee-f66f-4dc6-924b-b488520e90ce" TargetMode="External"/><Relationship Id="rId28" Type="http://schemas.openxmlformats.org/officeDocument/2006/relationships/hyperlink" Target="http://pcsmarket.org/draft//wp-content/uploads/bsk-pdf-manager/Risk_Transfer_Eligibility_Criteria_FINAL,_v1_15.pdf" TargetMode="External"/><Relationship Id="rId10" Type="http://schemas.openxmlformats.org/officeDocument/2006/relationships/hyperlink" Target="https://ec.europa.eu/eusurvey/files/e3aac1ef-3b45-4235-84a5-53b39cb20946/7060c10a-b8b9-41ef-b0e8-af65e66d3a15" TargetMode="External"/><Relationship Id="rId19" Type="http://schemas.openxmlformats.org/officeDocument/2006/relationships/hyperlink" Target="http://ec.europa.eu/finance/consultations/2015/securitisation/docs/consultation-document_en.pdf" TargetMode="External"/><Relationship Id="rId31" Type="http://schemas.openxmlformats.org/officeDocument/2006/relationships/hyperlink" Target="http://www.finance-watch.org/hot-topics/blog/1148-who-will-benefit-from-cmu" TargetMode="External"/><Relationship Id="rId4" Type="http://schemas.openxmlformats.org/officeDocument/2006/relationships/settings" Target="settings.xml"/><Relationship Id="rId9" Type="http://schemas.openxmlformats.org/officeDocument/2006/relationships/hyperlink" Target="https://ec.europa.eu/eusurvey/files/0d587089-6bf3-479c-b40f-c74085946345/b9f08f02-bd0f-4fbd-be01-58fa5a984275" TargetMode="External"/><Relationship Id="rId14" Type="http://schemas.openxmlformats.org/officeDocument/2006/relationships/hyperlink" Target="https://invest.bnpparibas.com/sites/default/files/documents/ef_31.12.17_en.pdf" TargetMode="External"/><Relationship Id="rId22" Type="http://schemas.openxmlformats.org/officeDocument/2006/relationships/hyperlink" Target="https://ec.europa.eu/eusurvey/files/e3aac1ef-3b45-4235-84a5-53b39cb20946/7fc5a887-ccf6-4960-8638-8325b685a6a9" TargetMode="External"/><Relationship Id="rId27" Type="http://schemas.openxmlformats.org/officeDocument/2006/relationships/hyperlink" Target="http://www.efr.be/documents/news/PCS%20press%20release%2020120612.pdf" TargetMode="External"/><Relationship Id="rId30" Type="http://schemas.openxmlformats.org/officeDocument/2006/relationships/hyperlink" Target="https://ec.europa.eu/eusurvey/files/e3aac1ef-3b45-4235-84a5-53b39cb20946/d824d005-862c-4f7b-af27-58a5e9980de4" TargetMode="Externa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0741-D7F5-4783-A073-A419A462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71</Pages>
  <Words>26044</Words>
  <Characters>143247</Characters>
  <Application>Microsoft Office Word</Application>
  <DocSecurity>0</DocSecurity>
  <Lines>1193</Lines>
  <Paragraphs>337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Roben Kloosterman</dc:creator>
  <cp:keywords/>
  <dc:description/>
  <cp:lastModifiedBy>Roben Kloosterman</cp:lastModifiedBy>
  <cp:revision>23</cp:revision>
  <cp:lastPrinted>2018-07-03T06:44:00Z</cp:lastPrinted>
  <dcterms:created xsi:type="dcterms:W3CDTF">2018-07-02T20:17:00Z</dcterms:created>
  <dcterms:modified xsi:type="dcterms:W3CDTF">2018-07-03T06:44:00Z</dcterms:modified>
</cp:coreProperties>
</file>