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D21" w:rsidRPr="003A5F28" w:rsidRDefault="005C2CD8" w:rsidP="005C2CD8">
      <w:pPr>
        <w:jc w:val="center"/>
        <w:rPr>
          <w:rFonts w:ascii="Times New Roman" w:hAnsi="Times New Roman" w:cs="Times New Roman"/>
          <w:b/>
          <w:sz w:val="44"/>
          <w:szCs w:val="44"/>
          <w:lang w:val="nl-NL"/>
        </w:rPr>
      </w:pPr>
      <w:r w:rsidRPr="003A5F28">
        <w:rPr>
          <w:rFonts w:ascii="Times New Roman" w:hAnsi="Times New Roman" w:cs="Times New Roman"/>
          <w:b/>
          <w:sz w:val="44"/>
          <w:szCs w:val="44"/>
          <w:lang w:val="nl-NL"/>
        </w:rPr>
        <w:t>Grenzeloos Eigenbelang:</w:t>
      </w:r>
    </w:p>
    <w:p w:rsidR="005C2CD8" w:rsidRPr="003A5F28" w:rsidRDefault="005C2CD8" w:rsidP="005C2CD8">
      <w:pPr>
        <w:jc w:val="center"/>
        <w:rPr>
          <w:rFonts w:ascii="Times New Roman" w:hAnsi="Times New Roman" w:cs="Times New Roman"/>
          <w:b/>
          <w:i/>
          <w:sz w:val="32"/>
          <w:szCs w:val="32"/>
          <w:lang w:val="nl-NL"/>
        </w:rPr>
      </w:pPr>
      <w:r w:rsidRPr="003A5F28">
        <w:rPr>
          <w:rFonts w:ascii="Times New Roman" w:hAnsi="Times New Roman" w:cs="Times New Roman"/>
          <w:b/>
          <w:i/>
          <w:sz w:val="32"/>
          <w:szCs w:val="32"/>
          <w:lang w:val="nl-NL"/>
        </w:rPr>
        <w:t>Eigenbelang en Moraliteit in het Neorealisme</w:t>
      </w: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r>
        <w:rPr>
          <w:rFonts w:ascii="Times New Roman" w:hAnsi="Times New Roman" w:cs="Times New Roman"/>
          <w:i/>
          <w:noProof/>
          <w:sz w:val="32"/>
          <w:szCs w:val="32"/>
        </w:rPr>
        <w:drawing>
          <wp:inline distT="0" distB="0" distL="0" distR="0">
            <wp:extent cx="3133725" cy="3133725"/>
            <wp:effectExtent l="19050" t="0" r="9525" b="0"/>
            <wp:docPr id="1" name="Picture 0" descr="glo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e.jpg"/>
                    <pic:cNvPicPr/>
                  </pic:nvPicPr>
                  <pic:blipFill>
                    <a:blip r:embed="rId8" cstate="print"/>
                    <a:stretch>
                      <a:fillRect/>
                    </a:stretch>
                  </pic:blipFill>
                  <pic:spPr>
                    <a:xfrm>
                      <a:off x="0" y="0"/>
                      <a:ext cx="3133212" cy="3133212"/>
                    </a:xfrm>
                    <a:prstGeom prst="rect">
                      <a:avLst/>
                    </a:prstGeom>
                  </pic:spPr>
                </pic:pic>
              </a:graphicData>
            </a:graphic>
          </wp:inline>
        </w:drawing>
      </w: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Default="005C2CD8" w:rsidP="005C2CD8">
      <w:pPr>
        <w:jc w:val="center"/>
        <w:rPr>
          <w:rFonts w:ascii="Times New Roman" w:hAnsi="Times New Roman" w:cs="Times New Roman"/>
          <w:i/>
          <w:sz w:val="32"/>
          <w:szCs w:val="32"/>
          <w:lang w:val="nl-NL"/>
        </w:rPr>
      </w:pPr>
    </w:p>
    <w:p w:rsidR="005C2CD8" w:rsidRPr="005C2CD8" w:rsidRDefault="005C2CD8" w:rsidP="005C2CD8">
      <w:pPr>
        <w:pStyle w:val="Geenafstand"/>
        <w:jc w:val="right"/>
        <w:rPr>
          <w:lang w:val="nl-NL"/>
        </w:rPr>
      </w:pPr>
      <w:r w:rsidRPr="005C2CD8">
        <w:rPr>
          <w:lang w:val="nl-NL"/>
        </w:rPr>
        <w:t>Michel Graef (s0703400)</w:t>
      </w:r>
    </w:p>
    <w:p w:rsidR="005C2CD8" w:rsidRDefault="005C2CD8" w:rsidP="005C2CD8">
      <w:pPr>
        <w:pStyle w:val="Geenafstand"/>
        <w:jc w:val="right"/>
        <w:rPr>
          <w:lang w:val="nl-NL"/>
        </w:rPr>
      </w:pPr>
      <w:r>
        <w:rPr>
          <w:lang w:val="nl-NL"/>
        </w:rPr>
        <w:t xml:space="preserve">Masterthesis Politicologie: Politieke Theorie </w:t>
      </w:r>
    </w:p>
    <w:p w:rsidR="005C2CD8" w:rsidRDefault="005C2CD8" w:rsidP="005C2CD8">
      <w:pPr>
        <w:pStyle w:val="Geenafstand"/>
        <w:jc w:val="right"/>
        <w:rPr>
          <w:lang w:val="nl-NL"/>
        </w:rPr>
      </w:pPr>
      <w:r>
        <w:rPr>
          <w:lang w:val="nl-NL"/>
        </w:rPr>
        <w:t>Begeleider: Prof. Dr. Wissenburg</w:t>
      </w:r>
    </w:p>
    <w:p w:rsidR="003A5F28" w:rsidRDefault="003A5F28" w:rsidP="005C2CD8">
      <w:pPr>
        <w:pStyle w:val="Geenafstand"/>
        <w:jc w:val="right"/>
        <w:rPr>
          <w:lang w:val="nl-NL"/>
        </w:rPr>
      </w:pPr>
    </w:p>
    <w:p w:rsidR="003A5F28" w:rsidRDefault="003A5F28" w:rsidP="005C2CD8">
      <w:pPr>
        <w:pStyle w:val="Geenafstand"/>
        <w:jc w:val="right"/>
        <w:rPr>
          <w:lang w:val="nl-NL"/>
        </w:rPr>
      </w:pPr>
    </w:p>
    <w:p w:rsidR="003A5F28" w:rsidRPr="003A5F28" w:rsidRDefault="003A5F28" w:rsidP="003A5F28">
      <w:pPr>
        <w:pStyle w:val="Kop1"/>
        <w:rPr>
          <w:rFonts w:ascii="Times New Roman" w:hAnsi="Times New Roman" w:cs="Times New Roman"/>
          <w:color w:val="000000" w:themeColor="text1"/>
        </w:rPr>
      </w:pPr>
      <w:bookmarkStart w:id="0" w:name="_Toc381272062"/>
      <w:r w:rsidRPr="003A5F28">
        <w:rPr>
          <w:rFonts w:ascii="Times New Roman" w:hAnsi="Times New Roman" w:cs="Times New Roman"/>
          <w:color w:val="000000" w:themeColor="text1"/>
        </w:rPr>
        <w:lastRenderedPageBreak/>
        <w:t>Inhoudspagina</w:t>
      </w:r>
      <w:bookmarkEnd w:id="0"/>
    </w:p>
    <w:p w:rsidR="003A5F28" w:rsidRPr="002C67D0" w:rsidRDefault="003A5F28" w:rsidP="003A5F28"/>
    <w:p w:rsidR="003A5F28" w:rsidRDefault="003A5F28" w:rsidP="003A5F28">
      <w:pPr>
        <w:pStyle w:val="Lijstalinea"/>
        <w:numPr>
          <w:ilvl w:val="0"/>
          <w:numId w:val="11"/>
        </w:numPr>
        <w:rPr>
          <w:rFonts w:ascii="Times New Roman" w:hAnsi="Times New Roman" w:cs="Times New Roman"/>
        </w:rPr>
      </w:pPr>
      <w:r w:rsidRPr="00B547DB">
        <w:rPr>
          <w:rFonts w:ascii="Times New Roman" w:hAnsi="Times New Roman" w:cs="Times New Roman"/>
        </w:rPr>
        <w:t>Inleiding</w:t>
      </w:r>
      <w:r>
        <w:rPr>
          <w:rFonts w:ascii="Times New Roman" w:hAnsi="Times New Roman" w:cs="Times New Roman"/>
        </w:rPr>
        <w:t xml:space="preserve">                                                                                                         3</w:t>
      </w:r>
    </w:p>
    <w:p w:rsidR="003A5F28" w:rsidRDefault="003A5F28" w:rsidP="003A5F28">
      <w:pPr>
        <w:pStyle w:val="Lijstalinea"/>
        <w:numPr>
          <w:ilvl w:val="1"/>
          <w:numId w:val="11"/>
        </w:numPr>
        <w:rPr>
          <w:rFonts w:ascii="Times New Roman" w:hAnsi="Times New Roman" w:cs="Times New Roman"/>
        </w:rPr>
      </w:pPr>
      <w:r>
        <w:rPr>
          <w:rFonts w:ascii="Times New Roman" w:hAnsi="Times New Roman" w:cs="Times New Roman"/>
        </w:rPr>
        <w:t>Realisme                                                                                                  4</w:t>
      </w:r>
    </w:p>
    <w:p w:rsidR="003A5F28" w:rsidRPr="00B547DB" w:rsidRDefault="003A5F28" w:rsidP="003A5F28">
      <w:pPr>
        <w:pStyle w:val="Lijstalinea"/>
        <w:numPr>
          <w:ilvl w:val="1"/>
          <w:numId w:val="11"/>
        </w:numPr>
        <w:rPr>
          <w:rFonts w:ascii="Times New Roman" w:hAnsi="Times New Roman" w:cs="Times New Roman"/>
        </w:rPr>
      </w:pPr>
      <w:r>
        <w:rPr>
          <w:rFonts w:ascii="Times New Roman" w:hAnsi="Times New Roman" w:cs="Times New Roman"/>
        </w:rPr>
        <w:t>Neorealisme                                                                                            6</w:t>
      </w:r>
    </w:p>
    <w:p w:rsidR="003A5F28" w:rsidRDefault="003A5F28" w:rsidP="003A5F28">
      <w:pPr>
        <w:pStyle w:val="Kop1"/>
        <w:rPr>
          <w:rFonts w:ascii="Times New Roman" w:hAnsi="Times New Roman" w:cs="Times New Roman"/>
          <w:color w:val="000000" w:themeColor="text1"/>
          <w:sz w:val="22"/>
          <w:szCs w:val="22"/>
        </w:rPr>
      </w:pPr>
      <w:r w:rsidRPr="003A5F28">
        <w:rPr>
          <w:rFonts w:ascii="Times New Roman" w:hAnsi="Times New Roman" w:cs="Times New Roman"/>
          <w:color w:val="000000" w:themeColor="text1"/>
          <w:sz w:val="22"/>
          <w:szCs w:val="22"/>
        </w:rPr>
        <w:t>Deel A Eigenbelang</w:t>
      </w:r>
    </w:p>
    <w:p w:rsidR="003A5F28" w:rsidRPr="003A5F28" w:rsidRDefault="003A5F28" w:rsidP="003A5F28">
      <w:pPr>
        <w:rPr>
          <w:lang w:val="nl-NL"/>
        </w:rPr>
      </w:pPr>
    </w:p>
    <w:p w:rsidR="003A5F28" w:rsidRPr="00B547DB" w:rsidRDefault="003A5F28" w:rsidP="003A5F28">
      <w:pPr>
        <w:pStyle w:val="Lijstalinea"/>
        <w:numPr>
          <w:ilvl w:val="0"/>
          <w:numId w:val="11"/>
        </w:numPr>
        <w:rPr>
          <w:rFonts w:ascii="Times New Roman" w:hAnsi="Times New Roman" w:cs="Times New Roman"/>
        </w:rPr>
      </w:pPr>
      <w:r w:rsidRPr="00B547DB">
        <w:rPr>
          <w:rFonts w:ascii="Times New Roman" w:hAnsi="Times New Roman" w:cs="Times New Roman"/>
        </w:rPr>
        <w:t>Van helden naar gebrekkige individuen</w:t>
      </w:r>
      <w:r w:rsidR="00A13D21">
        <w:rPr>
          <w:rFonts w:ascii="Times New Roman" w:hAnsi="Times New Roman" w:cs="Times New Roman"/>
        </w:rPr>
        <w:t xml:space="preserve">                                                        11</w:t>
      </w:r>
    </w:p>
    <w:p w:rsidR="003A5F28" w:rsidRPr="00AE1B99" w:rsidRDefault="003A5F28" w:rsidP="003A5F28">
      <w:pPr>
        <w:pStyle w:val="Lijstalinea"/>
        <w:ind w:left="1092"/>
        <w:rPr>
          <w:rFonts w:ascii="Times New Roman" w:hAnsi="Times New Roman" w:cs="Times New Roman"/>
        </w:rPr>
      </w:pPr>
    </w:p>
    <w:p w:rsidR="003A5F28" w:rsidRPr="00AE1B99" w:rsidRDefault="003A5F28" w:rsidP="003A5F28">
      <w:pPr>
        <w:pStyle w:val="Lijstalinea"/>
        <w:numPr>
          <w:ilvl w:val="0"/>
          <w:numId w:val="11"/>
        </w:numPr>
        <w:rPr>
          <w:rFonts w:ascii="Times New Roman" w:hAnsi="Times New Roman" w:cs="Times New Roman"/>
        </w:rPr>
      </w:pPr>
      <w:r w:rsidRPr="00AE1B99">
        <w:rPr>
          <w:rFonts w:ascii="Times New Roman" w:hAnsi="Times New Roman" w:cs="Times New Roman"/>
        </w:rPr>
        <w:t>Eigenbelang, passies en de ratio</w:t>
      </w:r>
      <w:r w:rsidR="00A13D21">
        <w:rPr>
          <w:rFonts w:ascii="Times New Roman" w:hAnsi="Times New Roman" w:cs="Times New Roman"/>
        </w:rPr>
        <w:t xml:space="preserve">                                                                    14</w:t>
      </w:r>
    </w:p>
    <w:p w:rsidR="003A5F28" w:rsidRPr="00AE1B99" w:rsidRDefault="003A5F28" w:rsidP="003A5F28">
      <w:pPr>
        <w:pStyle w:val="Lijstalinea"/>
        <w:rPr>
          <w:rFonts w:ascii="Times New Roman" w:hAnsi="Times New Roman" w:cs="Times New Roman"/>
        </w:rPr>
      </w:pPr>
    </w:p>
    <w:p w:rsidR="003A5F28" w:rsidRPr="00AE1B99" w:rsidRDefault="003A5F28" w:rsidP="003A5F28">
      <w:pPr>
        <w:pStyle w:val="Lijstalinea"/>
        <w:rPr>
          <w:rFonts w:ascii="Times New Roman" w:hAnsi="Times New Roman" w:cs="Times New Roman"/>
        </w:rPr>
      </w:pPr>
      <w:r>
        <w:rPr>
          <w:rFonts w:ascii="Times New Roman" w:hAnsi="Times New Roman" w:cs="Times New Roman"/>
        </w:rPr>
        <w:t>3</w:t>
      </w:r>
      <w:r w:rsidRPr="00AE1B99">
        <w:rPr>
          <w:rFonts w:ascii="Times New Roman" w:hAnsi="Times New Roman" w:cs="Times New Roman"/>
        </w:rPr>
        <w:t>.1. Eigenbelang gedreven door de passies: Hobbes &amp; Spinoza</w:t>
      </w:r>
      <w:r w:rsidR="00A13D21">
        <w:rPr>
          <w:rFonts w:ascii="Times New Roman" w:hAnsi="Times New Roman" w:cs="Times New Roman"/>
        </w:rPr>
        <w:t xml:space="preserve">                   15</w:t>
      </w:r>
    </w:p>
    <w:p w:rsidR="003A5F28" w:rsidRPr="00AE1B99" w:rsidRDefault="003A5F28" w:rsidP="003A5F28">
      <w:pPr>
        <w:pStyle w:val="Lijstalinea"/>
        <w:rPr>
          <w:rFonts w:ascii="Times New Roman" w:hAnsi="Times New Roman" w:cs="Times New Roman"/>
        </w:rPr>
      </w:pPr>
      <w:r>
        <w:rPr>
          <w:rFonts w:ascii="Times New Roman" w:hAnsi="Times New Roman" w:cs="Times New Roman"/>
        </w:rPr>
        <w:t>3</w:t>
      </w:r>
      <w:r w:rsidRPr="00AE1B99">
        <w:rPr>
          <w:rFonts w:ascii="Times New Roman" w:hAnsi="Times New Roman" w:cs="Times New Roman"/>
        </w:rPr>
        <w:t>.2. Eigenbelang getemd door de passies: Smith</w:t>
      </w:r>
      <w:r w:rsidR="00A13D21">
        <w:rPr>
          <w:rFonts w:ascii="Times New Roman" w:hAnsi="Times New Roman" w:cs="Times New Roman"/>
        </w:rPr>
        <w:t xml:space="preserve">                                           18</w:t>
      </w:r>
    </w:p>
    <w:p w:rsidR="003A5F28" w:rsidRPr="00AE1B99" w:rsidRDefault="003A5F28" w:rsidP="003A5F28">
      <w:pPr>
        <w:pStyle w:val="Lijstalinea"/>
        <w:rPr>
          <w:rFonts w:ascii="Times New Roman" w:hAnsi="Times New Roman" w:cs="Times New Roman"/>
        </w:rPr>
      </w:pPr>
      <w:r>
        <w:rPr>
          <w:rFonts w:ascii="Times New Roman" w:hAnsi="Times New Roman" w:cs="Times New Roman"/>
        </w:rPr>
        <w:t>3</w:t>
      </w:r>
      <w:r w:rsidRPr="00AE1B99">
        <w:rPr>
          <w:rFonts w:ascii="Times New Roman" w:hAnsi="Times New Roman" w:cs="Times New Roman"/>
        </w:rPr>
        <w:t>.3. Rationaliteit uiteengezet: Weber</w:t>
      </w:r>
      <w:r w:rsidR="00A13D21">
        <w:rPr>
          <w:rFonts w:ascii="Times New Roman" w:hAnsi="Times New Roman" w:cs="Times New Roman"/>
        </w:rPr>
        <w:t xml:space="preserve">                                                             19</w:t>
      </w:r>
    </w:p>
    <w:p w:rsidR="003A5F28" w:rsidRPr="00AE1B99" w:rsidRDefault="003A5F28" w:rsidP="003A5F28">
      <w:pPr>
        <w:pStyle w:val="Lijstalinea"/>
        <w:rPr>
          <w:rFonts w:ascii="Times New Roman" w:hAnsi="Times New Roman" w:cs="Times New Roman"/>
        </w:rPr>
      </w:pPr>
      <w:r>
        <w:rPr>
          <w:rFonts w:ascii="Times New Roman" w:hAnsi="Times New Roman" w:cs="Times New Roman"/>
        </w:rPr>
        <w:t xml:space="preserve">        3</w:t>
      </w:r>
      <w:r w:rsidRPr="00AE1B99">
        <w:rPr>
          <w:rFonts w:ascii="Times New Roman" w:hAnsi="Times New Roman" w:cs="Times New Roman"/>
        </w:rPr>
        <w:t>.3.1. Rational Choice</w:t>
      </w:r>
      <w:r w:rsidR="00A13D21">
        <w:rPr>
          <w:rFonts w:ascii="Times New Roman" w:hAnsi="Times New Roman" w:cs="Times New Roman"/>
        </w:rPr>
        <w:t xml:space="preserve">                                                                            21</w:t>
      </w:r>
    </w:p>
    <w:p w:rsidR="003A5F28" w:rsidRPr="003A5F28" w:rsidRDefault="003A5F28" w:rsidP="003A5F28">
      <w:pPr>
        <w:rPr>
          <w:rFonts w:ascii="Times New Roman" w:hAnsi="Times New Roman" w:cs="Times New Roman"/>
          <w:lang w:val="nl-NL"/>
        </w:rPr>
      </w:pPr>
      <w:r w:rsidRPr="003A5F28">
        <w:rPr>
          <w:rFonts w:ascii="Times New Roman" w:hAnsi="Times New Roman" w:cs="Times New Roman"/>
          <w:lang w:val="nl-NL"/>
        </w:rPr>
        <w:t xml:space="preserve">         4.   Objectief vs. subjectief eigenbelang</w:t>
      </w:r>
      <w:r w:rsidR="00A13D21">
        <w:rPr>
          <w:rFonts w:ascii="Times New Roman" w:hAnsi="Times New Roman" w:cs="Times New Roman"/>
          <w:lang w:val="nl-NL"/>
        </w:rPr>
        <w:t xml:space="preserve">                                                             22</w:t>
      </w: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4.1. Objectieve notie van eigenbelang</w:t>
      </w:r>
      <w:r w:rsidR="00A13D21">
        <w:rPr>
          <w:rFonts w:ascii="Times New Roman" w:hAnsi="Times New Roman" w:cs="Times New Roman"/>
          <w:lang w:val="nl-NL"/>
        </w:rPr>
        <w:t xml:space="preserve">                                                         22</w:t>
      </w: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4.2. Subjectieve notie van eigenbelang</w:t>
      </w:r>
      <w:r w:rsidR="00A13D21">
        <w:rPr>
          <w:rFonts w:ascii="Times New Roman" w:hAnsi="Times New Roman" w:cs="Times New Roman"/>
          <w:lang w:val="nl-NL"/>
        </w:rPr>
        <w:t xml:space="preserve">                                                        25</w:t>
      </w:r>
    </w:p>
    <w:p w:rsidR="003A5F28" w:rsidRPr="003A5F28" w:rsidRDefault="003A5F28" w:rsidP="003A5F28">
      <w:pPr>
        <w:pStyle w:val="Geenafstand"/>
        <w:rPr>
          <w:rFonts w:ascii="Times New Roman" w:hAnsi="Times New Roman" w:cs="Times New Roman"/>
          <w:lang w:val="nl-NL"/>
        </w:rPr>
      </w:pP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4.2.1. Kritiek op de subjectieve notie: Cirkelredenering</w:t>
      </w:r>
      <w:r w:rsidR="00A13D21">
        <w:rPr>
          <w:rFonts w:ascii="Times New Roman" w:hAnsi="Times New Roman" w:cs="Times New Roman"/>
          <w:lang w:val="nl-NL"/>
        </w:rPr>
        <w:t xml:space="preserve">                      25</w:t>
      </w: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4.2.2. Kritiek op de subjectieve notie: Omgekeerde preferenties</w:t>
      </w:r>
      <w:r w:rsidR="00A13D21">
        <w:rPr>
          <w:rFonts w:ascii="Times New Roman" w:hAnsi="Times New Roman" w:cs="Times New Roman"/>
          <w:lang w:val="nl-NL"/>
        </w:rPr>
        <w:t xml:space="preserve">        26</w:t>
      </w:r>
    </w:p>
    <w:p w:rsidR="003A5F28" w:rsidRPr="003A5F28" w:rsidRDefault="003A5F28" w:rsidP="003A5F28">
      <w:pPr>
        <w:pStyle w:val="Geenafstand"/>
        <w:rPr>
          <w:rFonts w:ascii="Times New Roman" w:hAnsi="Times New Roman" w:cs="Times New Roman"/>
          <w:lang w:val="nl-NL"/>
        </w:rPr>
      </w:pP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5. Nationaal belang: Eigenbelang in de internationale wereld</w:t>
      </w:r>
      <w:r w:rsidR="00A13D21">
        <w:rPr>
          <w:rFonts w:ascii="Times New Roman" w:hAnsi="Times New Roman" w:cs="Times New Roman"/>
          <w:lang w:val="nl-NL"/>
        </w:rPr>
        <w:t xml:space="preserve">                           27</w:t>
      </w:r>
    </w:p>
    <w:p w:rsidR="003A5F28" w:rsidRPr="003A5F28" w:rsidRDefault="003A5F28" w:rsidP="003A5F28">
      <w:pPr>
        <w:pStyle w:val="Geenafstand"/>
        <w:rPr>
          <w:rFonts w:ascii="Times New Roman" w:hAnsi="Times New Roman" w:cs="Times New Roman"/>
          <w:lang w:val="nl-NL"/>
        </w:rPr>
      </w:pP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6</w:t>
      </w:r>
      <w:r w:rsidR="00A13D21">
        <w:rPr>
          <w:rFonts w:ascii="Times New Roman" w:hAnsi="Times New Roman" w:cs="Times New Roman"/>
          <w:lang w:val="nl-NL"/>
        </w:rPr>
        <w:t xml:space="preserve">. </w:t>
      </w:r>
      <w:r w:rsidRPr="003A5F28">
        <w:rPr>
          <w:rFonts w:ascii="Times New Roman" w:hAnsi="Times New Roman" w:cs="Times New Roman"/>
          <w:lang w:val="nl-NL"/>
        </w:rPr>
        <w:t>Tussenbalans: Eigenbelang een Containerbegrip?</w:t>
      </w:r>
      <w:r w:rsidR="00A13D21">
        <w:rPr>
          <w:rFonts w:ascii="Times New Roman" w:hAnsi="Times New Roman" w:cs="Times New Roman"/>
          <w:lang w:val="nl-NL"/>
        </w:rPr>
        <w:t xml:space="preserve">                                         29</w:t>
      </w:r>
    </w:p>
    <w:p w:rsidR="003A5F28" w:rsidRPr="003A5F28" w:rsidRDefault="003A5F28" w:rsidP="003A5F28">
      <w:pPr>
        <w:pStyle w:val="Geenafstand"/>
        <w:rPr>
          <w:rFonts w:ascii="Times New Roman" w:hAnsi="Times New Roman" w:cs="Times New Roman"/>
          <w:lang w:val="nl-NL"/>
        </w:rPr>
      </w:pPr>
    </w:p>
    <w:p w:rsidR="003A5F28" w:rsidRPr="003A5F28" w:rsidRDefault="003A5F28" w:rsidP="003A5F28">
      <w:pPr>
        <w:pStyle w:val="Kop1"/>
        <w:rPr>
          <w:rFonts w:ascii="Times New Roman" w:hAnsi="Times New Roman" w:cs="Times New Roman"/>
          <w:color w:val="000000" w:themeColor="text1"/>
          <w:sz w:val="22"/>
          <w:szCs w:val="22"/>
        </w:rPr>
      </w:pPr>
      <w:r w:rsidRPr="003A5F28">
        <w:rPr>
          <w:rFonts w:ascii="Times New Roman" w:hAnsi="Times New Roman" w:cs="Times New Roman"/>
          <w:color w:val="000000" w:themeColor="text1"/>
          <w:sz w:val="22"/>
          <w:szCs w:val="22"/>
        </w:rPr>
        <w:t>Deel B Analyse: Eigenbelang in het hedendaags realisme</w:t>
      </w:r>
    </w:p>
    <w:p w:rsidR="003A5F28" w:rsidRPr="003A5F28" w:rsidRDefault="003A5F28" w:rsidP="003A5F28">
      <w:pPr>
        <w:rPr>
          <w:rFonts w:ascii="Times New Roman" w:hAnsi="Times New Roman" w:cs="Times New Roman"/>
          <w:lang w:val="nl-NL"/>
        </w:rPr>
      </w:pPr>
    </w:p>
    <w:p w:rsidR="003A5F28" w:rsidRPr="003A5F28" w:rsidRDefault="003A5F28" w:rsidP="003A5F28">
      <w:pPr>
        <w:rPr>
          <w:rFonts w:ascii="Times New Roman" w:hAnsi="Times New Roman" w:cs="Times New Roman"/>
          <w:lang w:val="nl-NL"/>
        </w:rPr>
      </w:pPr>
      <w:r w:rsidRPr="003A5F28">
        <w:rPr>
          <w:rFonts w:ascii="Times New Roman" w:hAnsi="Times New Roman" w:cs="Times New Roman"/>
          <w:lang w:val="nl-NL"/>
        </w:rPr>
        <w:t xml:space="preserve">              7. Eigenbelang in het klassiek realisme: Niebuhr versus Morgenthau</w:t>
      </w:r>
      <w:r w:rsidR="00A13D21">
        <w:rPr>
          <w:rFonts w:ascii="Times New Roman" w:hAnsi="Times New Roman" w:cs="Times New Roman"/>
          <w:lang w:val="nl-NL"/>
        </w:rPr>
        <w:t xml:space="preserve">          31</w:t>
      </w: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8. Neorealisme en eigenbelang</w:t>
      </w:r>
      <w:r w:rsidR="00A13D21">
        <w:rPr>
          <w:rFonts w:ascii="Times New Roman" w:hAnsi="Times New Roman" w:cs="Times New Roman"/>
          <w:lang w:val="nl-NL"/>
        </w:rPr>
        <w:t xml:space="preserve">                                                                        33</w:t>
      </w:r>
    </w:p>
    <w:p w:rsidR="003A5F28" w:rsidRPr="003A5F28" w:rsidRDefault="003A5F28" w:rsidP="003A5F28">
      <w:pPr>
        <w:pStyle w:val="Geenafstand"/>
        <w:rPr>
          <w:rFonts w:ascii="Times New Roman" w:hAnsi="Times New Roman" w:cs="Times New Roman"/>
          <w:lang w:val="nl-NL"/>
        </w:rPr>
      </w:pPr>
      <w:r w:rsidRPr="003A5F28">
        <w:rPr>
          <w:rFonts w:ascii="Times New Roman" w:hAnsi="Times New Roman" w:cs="Times New Roman"/>
          <w:lang w:val="nl-NL"/>
        </w:rPr>
        <w:t xml:space="preserve">                   8.1. Eigenbelang en anarchie</w:t>
      </w:r>
      <w:r w:rsidR="00A13D21">
        <w:rPr>
          <w:rFonts w:ascii="Times New Roman" w:hAnsi="Times New Roman" w:cs="Times New Roman"/>
          <w:lang w:val="nl-NL"/>
        </w:rPr>
        <w:t xml:space="preserve">                                                                     34</w:t>
      </w:r>
    </w:p>
    <w:p w:rsidR="003A5F28" w:rsidRPr="00AE1B99" w:rsidRDefault="003A5F28" w:rsidP="003A5F28">
      <w:pPr>
        <w:pStyle w:val="Lijstalinea"/>
        <w:ind w:left="1080"/>
        <w:rPr>
          <w:rFonts w:ascii="Times New Roman" w:hAnsi="Times New Roman" w:cs="Times New Roman"/>
        </w:rPr>
      </w:pPr>
      <w:r>
        <w:rPr>
          <w:rFonts w:ascii="Times New Roman" w:hAnsi="Times New Roman" w:cs="Times New Roman"/>
        </w:rPr>
        <w:t>8</w:t>
      </w:r>
      <w:r w:rsidRPr="00AE1B99">
        <w:rPr>
          <w:rFonts w:ascii="Times New Roman" w:hAnsi="Times New Roman" w:cs="Times New Roman"/>
        </w:rPr>
        <w:t>.2. Neorealisme als tautologie</w:t>
      </w:r>
      <w:r w:rsidR="00A13D21">
        <w:rPr>
          <w:rFonts w:ascii="Times New Roman" w:hAnsi="Times New Roman" w:cs="Times New Roman"/>
        </w:rPr>
        <w:t xml:space="preserve">                                                                 37</w:t>
      </w:r>
    </w:p>
    <w:p w:rsidR="003A5F28" w:rsidRPr="00AE1B99" w:rsidRDefault="003A5F28" w:rsidP="003A5F28">
      <w:pPr>
        <w:pStyle w:val="Lijstalinea"/>
        <w:ind w:left="1080"/>
        <w:rPr>
          <w:rFonts w:ascii="Times New Roman" w:hAnsi="Times New Roman" w:cs="Times New Roman"/>
        </w:rPr>
      </w:pPr>
      <w:r>
        <w:rPr>
          <w:rFonts w:ascii="Times New Roman" w:hAnsi="Times New Roman" w:cs="Times New Roman"/>
        </w:rPr>
        <w:t xml:space="preserve">8.3. </w:t>
      </w:r>
      <w:r w:rsidRPr="00AE1B99">
        <w:rPr>
          <w:rFonts w:ascii="Times New Roman" w:hAnsi="Times New Roman" w:cs="Times New Roman"/>
        </w:rPr>
        <w:t>Eigenbelang en Rationaliteit</w:t>
      </w:r>
      <w:r w:rsidR="00A13D21">
        <w:rPr>
          <w:rFonts w:ascii="Times New Roman" w:hAnsi="Times New Roman" w:cs="Times New Roman"/>
        </w:rPr>
        <w:t xml:space="preserve">                                                              38</w:t>
      </w:r>
    </w:p>
    <w:p w:rsidR="003A5F28" w:rsidRPr="00AE1B99" w:rsidRDefault="003A5F28" w:rsidP="003A5F28">
      <w:pPr>
        <w:pStyle w:val="Lijstalinea"/>
        <w:ind w:left="1080"/>
        <w:rPr>
          <w:rFonts w:ascii="Times New Roman" w:hAnsi="Times New Roman" w:cs="Times New Roman"/>
        </w:rPr>
      </w:pPr>
    </w:p>
    <w:p w:rsidR="003A5F28" w:rsidRPr="00B547DB" w:rsidRDefault="003A5F28" w:rsidP="003A5F28">
      <w:pPr>
        <w:pStyle w:val="Lijstalinea"/>
        <w:numPr>
          <w:ilvl w:val="0"/>
          <w:numId w:val="14"/>
        </w:numPr>
        <w:rPr>
          <w:rFonts w:ascii="Times New Roman" w:hAnsi="Times New Roman" w:cs="Times New Roman"/>
        </w:rPr>
      </w:pPr>
      <w:r w:rsidRPr="00B547DB">
        <w:rPr>
          <w:rFonts w:ascii="Times New Roman" w:hAnsi="Times New Roman" w:cs="Times New Roman"/>
        </w:rPr>
        <w:t>Conclusies</w:t>
      </w:r>
      <w:r w:rsidR="00E261B3">
        <w:rPr>
          <w:rFonts w:ascii="Times New Roman" w:hAnsi="Times New Roman" w:cs="Times New Roman"/>
        </w:rPr>
        <w:t xml:space="preserve">                                                                                                 40</w:t>
      </w:r>
    </w:p>
    <w:p w:rsidR="003A5F28" w:rsidRDefault="003A5F28" w:rsidP="003A5F28">
      <w:pPr>
        <w:ind w:left="720"/>
        <w:rPr>
          <w:rFonts w:ascii="Times New Roman" w:hAnsi="Times New Roman" w:cs="Times New Roman"/>
        </w:rPr>
      </w:pPr>
      <w:r w:rsidRPr="00AE1B99">
        <w:rPr>
          <w:rFonts w:ascii="Times New Roman" w:hAnsi="Times New Roman" w:cs="Times New Roman"/>
        </w:rPr>
        <w:t>Literatuur</w:t>
      </w:r>
      <w:r w:rsidR="00E261B3">
        <w:rPr>
          <w:rFonts w:ascii="Times New Roman" w:hAnsi="Times New Roman" w:cs="Times New Roman"/>
        </w:rPr>
        <w:t xml:space="preserve">                                                                                                         44</w:t>
      </w:r>
    </w:p>
    <w:p w:rsidR="003A5F28" w:rsidRPr="003A5F28" w:rsidRDefault="003A5F28" w:rsidP="003A5F28">
      <w:pPr>
        <w:ind w:left="720"/>
        <w:rPr>
          <w:rFonts w:ascii="Times New Roman" w:hAnsi="Times New Roman" w:cs="Times New Roman"/>
        </w:rPr>
      </w:pPr>
    </w:p>
    <w:p w:rsidR="003A5F28" w:rsidRPr="005B58C6" w:rsidRDefault="003A5F28" w:rsidP="003A5F28">
      <w:pPr>
        <w:pStyle w:val="Lijstalinea"/>
        <w:numPr>
          <w:ilvl w:val="0"/>
          <w:numId w:val="15"/>
        </w:numPr>
        <w:rPr>
          <w:rFonts w:ascii="Times New Roman" w:hAnsi="Times New Roman" w:cs="Times New Roman"/>
          <w:b/>
          <w:lang w:val="en-US"/>
        </w:rPr>
      </w:pPr>
      <w:r w:rsidRPr="005B58C6">
        <w:rPr>
          <w:rFonts w:ascii="Times New Roman" w:hAnsi="Times New Roman" w:cs="Times New Roman"/>
          <w:b/>
          <w:lang w:val="en-US"/>
        </w:rPr>
        <w:lastRenderedPageBreak/>
        <w:t>Inleiding</w:t>
      </w:r>
    </w:p>
    <w:p w:rsidR="003A5F28" w:rsidRPr="00AE1B99" w:rsidRDefault="003A5F28" w:rsidP="003A5F28">
      <w:pPr>
        <w:pStyle w:val="Geenafstand"/>
        <w:jc w:val="right"/>
        <w:rPr>
          <w:rFonts w:ascii="Times New Roman" w:hAnsi="Times New Roman" w:cs="Times New Roman"/>
          <w:i/>
          <w:lang w:eastAsia="nl-NL"/>
        </w:rPr>
      </w:pPr>
      <w:r w:rsidRPr="00AE1B99">
        <w:rPr>
          <w:rFonts w:ascii="Times New Roman" w:hAnsi="Times New Roman" w:cs="Times New Roman"/>
          <w:i/>
          <w:lang w:eastAsia="nl-NL"/>
        </w:rPr>
        <w:t xml:space="preserve"> “Self-interest speaks all sort of languages, and plays all sort of roles--even that of disinterest”.</w:t>
      </w:r>
    </w:p>
    <w:p w:rsidR="003A5F28" w:rsidRPr="003A5F28" w:rsidRDefault="003A5F28" w:rsidP="003A5F28">
      <w:pPr>
        <w:pStyle w:val="Geenafstand"/>
        <w:jc w:val="right"/>
        <w:rPr>
          <w:rFonts w:ascii="Times New Roman" w:hAnsi="Times New Roman" w:cs="Times New Roman"/>
          <w:lang w:val="nl-NL" w:eastAsia="nl-NL"/>
        </w:rPr>
      </w:pPr>
      <w:r w:rsidRPr="003A5F28">
        <w:rPr>
          <w:rFonts w:ascii="Times New Roman" w:hAnsi="Times New Roman" w:cs="Times New Roman"/>
          <w:lang w:val="nl-NL" w:eastAsia="nl-NL"/>
        </w:rPr>
        <w:t>François De La Rochefaucould (1613-1680).</w:t>
      </w:r>
    </w:p>
    <w:p w:rsidR="003A5F28" w:rsidRPr="003A5F28" w:rsidRDefault="003A5F28" w:rsidP="003A5F28">
      <w:pPr>
        <w:pStyle w:val="Geenafstand"/>
        <w:jc w:val="right"/>
        <w:rPr>
          <w:rFonts w:ascii="Times New Roman" w:hAnsi="Times New Roman" w:cs="Times New Roman"/>
          <w:lang w:val="nl-NL" w:eastAsia="nl-NL"/>
        </w:rPr>
      </w:pPr>
    </w:p>
    <w:p w:rsidR="003A5F28" w:rsidRPr="003A5F28" w:rsidRDefault="003A5F28" w:rsidP="003A5F28">
      <w:pPr>
        <w:pStyle w:val="Geenafstand"/>
        <w:rPr>
          <w:rFonts w:ascii="Times New Roman" w:hAnsi="Times New Roman" w:cs="Times New Roman"/>
          <w:lang w:val="nl-NL" w:eastAsia="nl-NL"/>
        </w:rPr>
      </w:pP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r w:rsidRPr="003A5F28">
        <w:rPr>
          <w:rFonts w:ascii="Times New Roman" w:eastAsia="Times New Roman" w:hAnsi="Times New Roman" w:cs="Times New Roman"/>
          <w:color w:val="000000"/>
          <w:lang w:val="nl-NL" w:eastAsia="nl-NL"/>
        </w:rPr>
        <w:t xml:space="preserve">Bovenstaand citaat over eigenbelang is van de Franse schrijver François de la Rochefoucauld, vooral bekend als schrijver van de zogenaamde </w:t>
      </w:r>
      <w:r w:rsidRPr="003A5F28">
        <w:rPr>
          <w:rFonts w:ascii="Times New Roman" w:eastAsia="Times New Roman" w:hAnsi="Times New Roman" w:cs="Times New Roman"/>
          <w:i/>
          <w:color w:val="000000"/>
          <w:lang w:val="nl-NL" w:eastAsia="nl-NL"/>
        </w:rPr>
        <w:t>Maximen</w:t>
      </w:r>
      <w:r w:rsidRPr="003A5F28">
        <w:rPr>
          <w:rFonts w:ascii="Times New Roman" w:eastAsia="Times New Roman" w:hAnsi="Times New Roman" w:cs="Times New Roman"/>
          <w:color w:val="000000"/>
          <w:lang w:val="nl-NL" w:eastAsia="nl-NL"/>
        </w:rPr>
        <w:t xml:space="preserve">, korte verhandelingen over deugden en moraliteit. Eigenbelang is tegenwoordig niet het begrip dat ons als eerste binnenschiet wanneer we het over moraliteit hebben. In sommige gevallen worden de twee zelfs als elkaars tegenovergestelde gepresenteerd. Handelen naar eigenbelang of egoïsme hebben- zeker in het dagelijks taalgebruik- veelal een negatieve connotatie. </w:t>
      </w: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r w:rsidRPr="003A5F28">
        <w:rPr>
          <w:rFonts w:ascii="Times New Roman" w:eastAsia="Times New Roman" w:hAnsi="Times New Roman" w:cs="Times New Roman"/>
          <w:color w:val="000000"/>
          <w:lang w:val="nl-NL" w:eastAsia="nl-NL"/>
        </w:rPr>
        <w:t xml:space="preserve">Deze spanning vinden we ook in de internationale politieke theorie, waar de zogenaamde neorealist eigenbelang een prominente rol geeft in de mechanismen van de internationale politiek. Handelingen van individuen dan wel staten zijn handelingen die voortkomen uit eigenbelang. Moraliteit heeft geen plaats in de hachelijke wereld van de internationale betrekkingen. Morele waarden zijn er niet wanneer we met de sceptische bril van de neorealist de wereld bekijken. Althans, dat beweren de neorealisten zelf. Hun theorie zou zich niet beroepen op idealisme of normatieve claims. De normatieve elementen in bijvoorbeeld het liberalisme of het marxisme zijn in hun ogen juist de zwakke elementen van deze theorieën. Moraliteit zou een juiste analyse van de wereld van de internationale politiek in de weg staan. Voor een goede analyse dient de realist zijn casus moraalvrij te benaderen. </w:t>
      </w: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r w:rsidRPr="003A5F28">
        <w:rPr>
          <w:rFonts w:ascii="Times New Roman" w:eastAsia="Times New Roman" w:hAnsi="Times New Roman" w:cs="Times New Roman"/>
          <w:color w:val="000000"/>
          <w:lang w:val="nl-NL" w:eastAsia="nl-NL"/>
        </w:rPr>
        <w:t>De vraag is of dit zo evident is als de neorealisten ons willen doen geloven. Is eigenbelang wel het moraalvrije concept zoals de neorealisten het gebruiken? Is het neorealisme wel de amorele theorie die het claimt te zijn? Twee vragen die ik zal proberen te beantwoorden. Daarvoor zal ik eerst meer specifiek in gaan op de realistische en – in het verlengde daarvan- de neorealistische theorie. Indien het duidelijk is wat deze theorieën behelzen en wat de rol van eigenbelang binnen deze theorieën is, zal ik ingaan op het concept eigenbelang. Wat verstaan we onder eigenbelang? Heeft het meerdere onderdelen en welke concepten hebben te maken met het concept eigenbelang? Het citaat van La Rochefoucauld voorziet ons al van een hint. In Deel A zullen we zien dat eigenbelang inderdaad meerdere rollen vervult en verschillende betekenissen kan hebben. Ik zal dan ook niet tot een eenduidige conclusie komen, allesbehalve zelfs. Ik zal dan ook aantonen dat het gebruik van eigenbelang problematisch is en dat dit de neorealist dwingt aspecten van zijn theorie te herzien. Wil de neorealist het concept eigenbelang gebruiken zal hij terug naar de tekentafel moeten.</w:t>
      </w: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lang w:val="nl-NL" w:eastAsia="nl-NL"/>
        </w:rPr>
      </w:pPr>
      <w:r w:rsidRPr="003A5F28">
        <w:rPr>
          <w:rFonts w:ascii="Times New Roman" w:eastAsia="Times New Roman" w:hAnsi="Times New Roman" w:cs="Times New Roman"/>
          <w:color w:val="000000"/>
          <w:lang w:val="nl-NL" w:eastAsia="nl-NL"/>
        </w:rPr>
        <w:lastRenderedPageBreak/>
        <w:t>Deel B zal een analyse bevatten. Ik zal kijken hoe de bevindingen uit A terugkomen in het werk van de neorealisten, met name in het werk van Kenneth Waltz die door velen als de vader van het neorealisme wordt gezien</w:t>
      </w:r>
      <w:r>
        <w:rPr>
          <w:rStyle w:val="Voetnootmarkering"/>
          <w:rFonts w:ascii="Times New Roman" w:eastAsia="Times New Roman" w:hAnsi="Times New Roman" w:cs="Times New Roman"/>
          <w:color w:val="000000"/>
          <w:lang w:eastAsia="nl-NL"/>
        </w:rPr>
        <w:footnoteReference w:id="1"/>
      </w:r>
      <w:r w:rsidRPr="003A5F28">
        <w:rPr>
          <w:rFonts w:ascii="Times New Roman" w:eastAsia="Times New Roman" w:hAnsi="Times New Roman" w:cs="Times New Roman"/>
          <w:color w:val="000000"/>
          <w:lang w:val="nl-NL" w:eastAsia="nl-NL"/>
        </w:rPr>
        <w:t>. Daarvoor zal ik eerst het werk van enkele klassiek realisten samenvatten. Niet alleen om een duidelijk kader te scheppen waar de neorealisten zich tegen af zetten, maar ook om aan te tonen dat verschillende interpretaties van het begrip eigenbelang wel degelijk leiden tot normatieve verschillen en daarmee wel degelijk van belang zijn. Voordat ik echter dieper inga op het begrip (eigen)belang en zijn rol binnen het neorealisme zal ik eerst uiteenzetten wat dit (neo)realisme nu precies inhoudt. Ik zal de belangrijkste ideeën en concepten beschrijven en enkele belangrijke auteurs noemen. In § 1.2 zal ik de belangrijkste verschillen tussen het klassiek realisme en zijn moderne equivalent het neorealisme beschrijven. Het neorealisme zal uiteindelijk- na mijn theoretische verdieping in het begrip eigenbelang- het object van mijn kritiek zijn.</w:t>
      </w:r>
    </w:p>
    <w:p w:rsidR="003A5F28" w:rsidRPr="007877E9" w:rsidRDefault="003A5F28" w:rsidP="003A5F28">
      <w:pPr>
        <w:pStyle w:val="Normaalweb"/>
        <w:spacing w:line="360" w:lineRule="auto"/>
        <w:rPr>
          <w:b/>
          <w:sz w:val="22"/>
          <w:szCs w:val="22"/>
        </w:rPr>
      </w:pPr>
      <w:r w:rsidRPr="007877E9">
        <w:rPr>
          <w:b/>
          <w:sz w:val="22"/>
          <w:szCs w:val="22"/>
        </w:rPr>
        <w:t>§ 1.1. Het Realisme</w:t>
      </w:r>
    </w:p>
    <w:p w:rsidR="003A5F28" w:rsidRDefault="003A5F28" w:rsidP="003A5F28">
      <w:pPr>
        <w:pStyle w:val="Normaalweb"/>
        <w:spacing w:line="360" w:lineRule="auto"/>
        <w:rPr>
          <w:sz w:val="22"/>
          <w:szCs w:val="22"/>
        </w:rPr>
      </w:pPr>
      <w:r w:rsidRPr="00AE1B99">
        <w:rPr>
          <w:sz w:val="22"/>
          <w:szCs w:val="22"/>
        </w:rPr>
        <w:t xml:space="preserve">Binnen de internationale betrekkingen vinden we verscheidene theoretische perspectieven. Het realisme als theoretische stroming is niet alleen de oudste maar ook een van de meest dominante theorieën binnen de internationale betrekkingen. Deze </w:t>
      </w:r>
      <w:r>
        <w:rPr>
          <w:sz w:val="22"/>
          <w:szCs w:val="22"/>
        </w:rPr>
        <w:t>theorie</w:t>
      </w:r>
      <w:r w:rsidRPr="00AE1B99">
        <w:rPr>
          <w:sz w:val="22"/>
          <w:szCs w:val="22"/>
        </w:rPr>
        <w:t xml:space="preserve"> benadrukt vooral de conflictueuze aard van de internationale politiek en wordt vaak gecontrasteerd met idealisme en liberalisme. </w:t>
      </w:r>
      <w:r>
        <w:rPr>
          <w:sz w:val="22"/>
          <w:szCs w:val="22"/>
        </w:rPr>
        <w:t>Het benadrukt de machtstrijd tussen naar eigenbelang handelende staten en was met name tijdens de Koude Oorlog de dominante theorie. Niet alleen omdat de gruwelijkheden ten tijde van Nazi-Duitsland een meer dan krachtige empirische kritiek vormden op de idealistische en liberale theorieën van de vooroorlogse jaren, maar ook omdat het realisme sterke en passende verklaringen bood ten tijde van de rivaliteit tussen de V.S. en de Sovjet-Unie (Walt, 1998).</w:t>
      </w:r>
      <w:r w:rsidRPr="00AE1B99">
        <w:rPr>
          <w:sz w:val="22"/>
          <w:szCs w:val="22"/>
        </w:rPr>
        <w:t>Het realisme binnen de internationale betrekkingen omvat een grote hoeveelheid literatuur die te dateren is tot het verslag van de Peloponnesische oorlogen dat Thucydides schreef in de 5</w:t>
      </w:r>
      <w:r w:rsidRPr="00AE1B99">
        <w:rPr>
          <w:sz w:val="22"/>
          <w:szCs w:val="22"/>
          <w:vertAlign w:val="superscript"/>
        </w:rPr>
        <w:t>de</w:t>
      </w:r>
      <w:r w:rsidRPr="00AE1B99">
        <w:rPr>
          <w:sz w:val="22"/>
          <w:szCs w:val="22"/>
        </w:rPr>
        <w:t xml:space="preserve"> eeuw v. Chr. </w:t>
      </w:r>
      <w:r>
        <w:rPr>
          <w:sz w:val="22"/>
          <w:szCs w:val="22"/>
        </w:rPr>
        <w:t>Een andere grondlegger van de realistische traditie is Machiavelli die in zijn</w:t>
      </w:r>
      <w:r w:rsidRPr="000F045E">
        <w:rPr>
          <w:i/>
          <w:sz w:val="22"/>
          <w:szCs w:val="22"/>
        </w:rPr>
        <w:t xml:space="preserve"> Discorsi</w:t>
      </w:r>
      <w:r>
        <w:rPr>
          <w:sz w:val="22"/>
          <w:szCs w:val="22"/>
        </w:rPr>
        <w:t xml:space="preserve"> stelt dat republieken alle middelen mogen gebruiken- hoe wreed of onrechtvaardig ook- om zichzelf te beschermen (Machiavelli in Caney, 2005). Ook ThomasHobbes met zijn beschrijving van anarchie in de natuurstaat en de oorlog van allen tegen allen vormt een belangrijke inspiratiebron voor latere realisten. Meer recentelijk kunnen we</w:t>
      </w:r>
      <w:r w:rsidRPr="00AE1B99">
        <w:rPr>
          <w:sz w:val="22"/>
          <w:szCs w:val="22"/>
        </w:rPr>
        <w:t xml:space="preserve"> namen als Morgenthau en Waltz </w:t>
      </w:r>
      <w:r>
        <w:rPr>
          <w:sz w:val="22"/>
          <w:szCs w:val="22"/>
        </w:rPr>
        <w:t>noteren als belangrijke auteurs binnen de realistische stroming.</w:t>
      </w:r>
    </w:p>
    <w:p w:rsidR="003A5F28" w:rsidRPr="00AE1B99" w:rsidRDefault="003A5F28" w:rsidP="003A5F28">
      <w:pPr>
        <w:pStyle w:val="Normaalweb"/>
        <w:spacing w:line="360" w:lineRule="auto"/>
        <w:jc w:val="both"/>
        <w:rPr>
          <w:sz w:val="22"/>
          <w:szCs w:val="22"/>
          <w:lang w:val="de-DE"/>
        </w:rPr>
      </w:pPr>
      <w:r w:rsidRPr="00AE1B99">
        <w:rPr>
          <w:sz w:val="22"/>
          <w:szCs w:val="22"/>
        </w:rPr>
        <w:t xml:space="preserve">Hoewel de hoeveelheid auteurs en werken binnen de realistische literatuur meer dan talrijk is, herkennen we toch enkele centrale aannames die vele eeuwen debat hebben overleefd. Dit is dan ook geen </w:t>
      </w:r>
      <w:r w:rsidRPr="00AE1B99">
        <w:rPr>
          <w:sz w:val="22"/>
          <w:szCs w:val="22"/>
        </w:rPr>
        <w:lastRenderedPageBreak/>
        <w:t xml:space="preserve">eenduidige heldere definitie van het realisme maar meer een karakterschets. Ik zal aangeven wat de belangrijkste kenmerken zijn en wat de gemeenschappelijke aannames zijn. We zullen straks zien dat er enkele belangrijke verschillen zijn tussen de zogenaamde klassiek realisten en de neorealisten of structureel realisten. Deze bespreek ik in paragraaf </w:t>
      </w:r>
      <w:r>
        <w:rPr>
          <w:sz w:val="22"/>
          <w:szCs w:val="22"/>
        </w:rPr>
        <w:t>1.2;</w:t>
      </w:r>
      <w:r w:rsidRPr="00AE1B99">
        <w:rPr>
          <w:sz w:val="22"/>
          <w:szCs w:val="22"/>
        </w:rPr>
        <w:t xml:space="preserve"> vooralsnog zal ik enkele algemene aannames benoemen die voor beide (sub)stromingen gelden.</w:t>
      </w:r>
    </w:p>
    <w:p w:rsidR="003A5F28" w:rsidRPr="00AE1B99" w:rsidRDefault="003A5F28" w:rsidP="003A5F28">
      <w:pPr>
        <w:pStyle w:val="Normaalweb"/>
        <w:spacing w:line="360" w:lineRule="auto"/>
        <w:rPr>
          <w:sz w:val="22"/>
          <w:szCs w:val="22"/>
        </w:rPr>
      </w:pPr>
      <w:r w:rsidRPr="00AE1B99">
        <w:rPr>
          <w:sz w:val="22"/>
          <w:szCs w:val="22"/>
        </w:rPr>
        <w:t>Realisten (met name de klassieke realisten zoals we straks zullen zien) staan bekend om hun sceptische blik op de mensheid. Individuen worden gezien als intrinsiek egoïstisch en gedr</w:t>
      </w:r>
      <w:r>
        <w:rPr>
          <w:sz w:val="22"/>
          <w:szCs w:val="22"/>
        </w:rPr>
        <w:t>even door eigenbelang. Het individu is in theoretische zin echter minder belangrijk dan de</w:t>
      </w:r>
      <w:r w:rsidRPr="00AE1B99">
        <w:rPr>
          <w:sz w:val="22"/>
          <w:szCs w:val="22"/>
        </w:rPr>
        <w:t xml:space="preserve"> staa</w:t>
      </w:r>
      <w:r>
        <w:rPr>
          <w:sz w:val="22"/>
          <w:szCs w:val="22"/>
        </w:rPr>
        <w:t xml:space="preserve">t, </w:t>
      </w:r>
      <w:r w:rsidRPr="00AE1B99">
        <w:rPr>
          <w:sz w:val="22"/>
          <w:szCs w:val="22"/>
        </w:rPr>
        <w:t>de centrale actor binnen het realistisch paradigma. Het is het gedrag van staten dat bestudeerd word</w:t>
      </w:r>
      <w:r>
        <w:rPr>
          <w:sz w:val="22"/>
          <w:szCs w:val="22"/>
        </w:rPr>
        <w:t>t</w:t>
      </w:r>
      <w:r w:rsidRPr="00AE1B99">
        <w:rPr>
          <w:sz w:val="22"/>
          <w:szCs w:val="22"/>
        </w:rPr>
        <w:t xml:space="preserve">, het is het gedrag van staten dat verklaring behoeft. Andere spelers op het internationale toneel zoals internationale organisaties of multinationals worden binnen het realisme als irrelevant </w:t>
      </w:r>
      <w:r>
        <w:rPr>
          <w:sz w:val="22"/>
          <w:szCs w:val="22"/>
        </w:rPr>
        <w:t>gezien</w:t>
      </w:r>
      <w:r w:rsidRPr="00AE1B99">
        <w:rPr>
          <w:sz w:val="22"/>
          <w:szCs w:val="22"/>
        </w:rPr>
        <w:t>. Het is de soevereine staat die leidend is in de internationale betrekkingen.</w:t>
      </w:r>
      <w:r>
        <w:rPr>
          <w:sz w:val="22"/>
          <w:szCs w:val="22"/>
        </w:rPr>
        <w:t xml:space="preserve"> </w:t>
      </w:r>
      <w:r w:rsidRPr="005C6ECD">
        <w:rPr>
          <w:sz w:val="22"/>
          <w:szCs w:val="22"/>
        </w:rPr>
        <w:t xml:space="preserve">Doordat er geen gelegitimeerd centraal gezag is, zijn staten de hoogst gelegitimeerde gebruikers van geweld en daarmee </w:t>
      </w:r>
      <w:r>
        <w:rPr>
          <w:sz w:val="22"/>
          <w:szCs w:val="22"/>
        </w:rPr>
        <w:t xml:space="preserve">de belangrijkste eenheden (Waltz, 2011). </w:t>
      </w:r>
    </w:p>
    <w:p w:rsidR="003A5F28" w:rsidRPr="00AE1B99" w:rsidRDefault="003A5F28" w:rsidP="003A5F28">
      <w:pPr>
        <w:pStyle w:val="Normaalweb"/>
        <w:spacing w:line="360" w:lineRule="auto"/>
        <w:rPr>
          <w:sz w:val="22"/>
          <w:szCs w:val="22"/>
        </w:rPr>
      </w:pPr>
      <w:r w:rsidRPr="00AE1B99">
        <w:rPr>
          <w:sz w:val="22"/>
          <w:szCs w:val="22"/>
        </w:rPr>
        <w:t>Politieke uitkomsten op het internationale vlak worden zwaar beïnvloed door de afwezigheid van autoriteit. Anarchie is het belangrijkste kenmerk van het internationale systeem. Geen anarchie in de zin van chaos maar in de zin van het ontbreken van een centrale regering. Geen enkel instituut is bevoegd om bevelen uit te delen net zoals</w:t>
      </w:r>
      <w:r>
        <w:rPr>
          <w:sz w:val="22"/>
          <w:szCs w:val="22"/>
        </w:rPr>
        <w:t xml:space="preserve"> geen enkele staat verplicht zou zijn </w:t>
      </w:r>
      <w:r w:rsidRPr="00AE1B99">
        <w:rPr>
          <w:sz w:val="22"/>
          <w:szCs w:val="22"/>
        </w:rPr>
        <w:t>naar deze bevelen te handelen. Eenieder die opereert binnen het internationale systeem is aangewezen op zichzelf en dient zelf zijn belangen te definiëren en te behartigen. Deze situatie zorgt ervoor dat macht (vooral ten opzichte van anderen) leidend is in onderlinge relaties</w:t>
      </w:r>
      <w:r w:rsidRPr="00AE1B99">
        <w:rPr>
          <w:rStyle w:val="Voetnootmarkering"/>
          <w:sz w:val="22"/>
          <w:szCs w:val="22"/>
        </w:rPr>
        <w:footnoteReference w:id="2"/>
      </w:r>
      <w:r w:rsidRPr="00AE1B99">
        <w:rPr>
          <w:sz w:val="22"/>
          <w:szCs w:val="22"/>
        </w:rPr>
        <w:t>. Aangezien niemand zich kan beroepen op een hogere autoriteit is elke staat primair voor zijn eigen veiligheid verantwoordelijk. Dit resulteert in een sterke focus op de eigen bescherming en het eigen overleven. Macht</w:t>
      </w:r>
      <w:r>
        <w:rPr>
          <w:sz w:val="22"/>
          <w:szCs w:val="22"/>
        </w:rPr>
        <w:t xml:space="preserve"> - </w:t>
      </w:r>
      <w:r w:rsidRPr="00AE1B99">
        <w:rPr>
          <w:sz w:val="22"/>
          <w:szCs w:val="22"/>
        </w:rPr>
        <w:t xml:space="preserve">het verbeteren van de machtspositie- is het belangrijkste middel om deze doelen te bereiken. Het vergroten van macht wordt door realisten gezien als een </w:t>
      </w:r>
      <w:r w:rsidRPr="00AE1B99">
        <w:rPr>
          <w:i/>
          <w:sz w:val="22"/>
          <w:szCs w:val="22"/>
        </w:rPr>
        <w:t>zero sum game</w:t>
      </w:r>
      <w:r>
        <w:rPr>
          <w:sz w:val="22"/>
          <w:szCs w:val="22"/>
        </w:rPr>
        <w:t xml:space="preserve">. Een verbeterde machtspositie </w:t>
      </w:r>
      <w:r w:rsidRPr="00AE1B99">
        <w:rPr>
          <w:sz w:val="22"/>
          <w:szCs w:val="22"/>
        </w:rPr>
        <w:t>van de een leidt tot een verslechterde positie van de ander. Vooral voor de neorealist is de machtsbalans een belangrijk theoretisch instrument. Indien de ene staat zijn positie verbetert zal een andere staat dit proberen te counteren. Dit kan deze intern doen (door bijvoorbeeld zijn militaire capaciteiten te vergroten) of extern (door bijvoorbeeld een bon</w:t>
      </w:r>
      <w:r>
        <w:rPr>
          <w:sz w:val="22"/>
          <w:szCs w:val="22"/>
        </w:rPr>
        <w:t>d</w:t>
      </w:r>
      <w:r w:rsidRPr="00AE1B99">
        <w:rPr>
          <w:sz w:val="22"/>
          <w:szCs w:val="22"/>
        </w:rPr>
        <w:t>genootschap met een derde staat aan te gaan). Volgens de realist zijn staten op deze manier constant op zoek naar een theoretisch equilibrium waarin geen enkele staat de andere domineert (Mearsheimer, 2010).</w:t>
      </w:r>
    </w:p>
    <w:p w:rsidR="003A5F28" w:rsidRPr="002C67D0" w:rsidRDefault="003A5F28" w:rsidP="003A5F28">
      <w:pPr>
        <w:pStyle w:val="Normaalweb"/>
        <w:spacing w:line="360" w:lineRule="auto"/>
        <w:rPr>
          <w:sz w:val="22"/>
          <w:szCs w:val="22"/>
        </w:rPr>
      </w:pPr>
      <w:r w:rsidRPr="00AE1B99">
        <w:rPr>
          <w:sz w:val="22"/>
          <w:szCs w:val="22"/>
        </w:rPr>
        <w:lastRenderedPageBreak/>
        <w:t>Realisten zijn sceptisch wanneer ze de rol van moraliteit in de international</w:t>
      </w:r>
      <w:r>
        <w:rPr>
          <w:sz w:val="22"/>
          <w:szCs w:val="22"/>
        </w:rPr>
        <w:t>e politiek bespreken. Voor veel auteurs (met name de neorealisten)</w:t>
      </w:r>
      <w:r w:rsidRPr="00AE1B99">
        <w:rPr>
          <w:sz w:val="22"/>
          <w:szCs w:val="22"/>
        </w:rPr>
        <w:t xml:space="preserve"> betekent dit dat moraliteit of morele afwegingen geen plaats </w:t>
      </w:r>
      <w:r>
        <w:rPr>
          <w:sz w:val="22"/>
          <w:szCs w:val="22"/>
        </w:rPr>
        <w:t xml:space="preserve">hebben </w:t>
      </w:r>
      <w:r w:rsidRPr="00AE1B99">
        <w:rPr>
          <w:sz w:val="22"/>
          <w:szCs w:val="22"/>
        </w:rPr>
        <w:t>binnen de in</w:t>
      </w:r>
      <w:r>
        <w:rPr>
          <w:sz w:val="22"/>
          <w:szCs w:val="22"/>
        </w:rPr>
        <w:t>ternationale betrekkingen</w:t>
      </w:r>
      <w:r w:rsidRPr="00AE1B99">
        <w:rPr>
          <w:sz w:val="22"/>
          <w:szCs w:val="22"/>
        </w:rPr>
        <w:t>. Minder extreme posities zijn er ook, maar weinig realisten zullen de frictie tussen morele overwegingen en succesvolle internationale politiek ontkennen. Zo zijn er realisten als Morgenthau die niet de mogelijkheid tot een moreel oordeel afwijzen maar wijzen op de gevaren van een abstract moreel discours waarin geen rekening word</w:t>
      </w:r>
      <w:r>
        <w:rPr>
          <w:sz w:val="22"/>
          <w:szCs w:val="22"/>
        </w:rPr>
        <w:t>t</w:t>
      </w:r>
      <w:r w:rsidRPr="00AE1B99">
        <w:rPr>
          <w:sz w:val="22"/>
          <w:szCs w:val="22"/>
        </w:rPr>
        <w:t xml:space="preserve"> gehouden met</w:t>
      </w:r>
      <w:r>
        <w:rPr>
          <w:sz w:val="22"/>
          <w:szCs w:val="22"/>
        </w:rPr>
        <w:t xml:space="preserve"> de harde politieke realiteit.</w:t>
      </w:r>
      <w:r>
        <w:rPr>
          <w:rStyle w:val="Voetnootmarkering"/>
          <w:sz w:val="22"/>
          <w:szCs w:val="22"/>
        </w:rPr>
        <w:footnoteReference w:id="3"/>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1.2. Het Neorealisme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Tot nu toe heb ik enkele centrale realistische aannames besproken. Er bestaan echter substantiële verschillen binnen het realisme. Een belangrijke herinterpretatie (en bovendien het onderwerp van mijn kritiek) is het zogenaamde neorealisme. Deze stroming kan gezien worden als een kritische herformulering van het realistische gedachtegoed. De continentale invloeden verdwenen</w:t>
      </w:r>
      <w:r w:rsidRPr="00AE1B99">
        <w:rPr>
          <w:rStyle w:val="Voetnootmarkering"/>
          <w:rFonts w:ascii="Times New Roman" w:hAnsi="Times New Roman" w:cs="Times New Roman"/>
        </w:rPr>
        <w:footnoteReference w:id="4"/>
      </w:r>
      <w:r w:rsidRPr="003A5F28">
        <w:rPr>
          <w:rFonts w:ascii="Times New Roman" w:hAnsi="Times New Roman" w:cs="Times New Roman"/>
          <w:lang w:val="nl-NL"/>
        </w:rPr>
        <w:t xml:space="preserve"> en met invloeden van o.a. het </w:t>
      </w:r>
      <w:r w:rsidRPr="003A5F28">
        <w:rPr>
          <w:rFonts w:ascii="Times New Roman" w:hAnsi="Times New Roman" w:cs="Times New Roman"/>
          <w:i/>
          <w:lang w:val="nl-NL"/>
        </w:rPr>
        <w:t>behaviorisme</w:t>
      </w:r>
      <w:r w:rsidRPr="003A5F28">
        <w:rPr>
          <w:rFonts w:ascii="Times New Roman" w:hAnsi="Times New Roman" w:cs="Times New Roman"/>
          <w:lang w:val="nl-NL"/>
        </w:rPr>
        <w:t xml:space="preserve"> formuleerden grotendeels Amerikaanse theoretici een in hun ogen meer structurele en wetenschappelijke aanpak. Aspecten als metafysica en psychologie die nog veelvuldig aanwezig waren in het werk van de klassieke realisten verdwenen en werden niet langer als relevant beschouwd. De focus verschoof naar gedrag dat geobserveerd kon worden; acties en interacties tussen verschillende eenheden die in de empirie waarneembaar waren en die bovendien als gekwantificeerde variabelen te registreren waren. Kenneth Waltz kan gezien worden als de grondlegger van deze neorealistische stroming en heeft bovendien als schrijver van </w:t>
      </w:r>
      <w:r w:rsidRPr="003A5F28">
        <w:rPr>
          <w:rFonts w:ascii="Times New Roman" w:hAnsi="Times New Roman" w:cs="Times New Roman"/>
          <w:i/>
          <w:lang w:val="nl-NL"/>
        </w:rPr>
        <w:t xml:space="preserve">Theory of International Politcs </w:t>
      </w:r>
      <w:r w:rsidRPr="003A5F28">
        <w:rPr>
          <w:rFonts w:ascii="Times New Roman" w:hAnsi="Times New Roman" w:cs="Times New Roman"/>
          <w:lang w:val="nl-NL"/>
        </w:rPr>
        <w:t>(1979) een van de invloedrijkste teksten op het gebied van de internationale betrekkingen van de afgelopen 50 jaar geschreven (Mearscheimer, 2010).</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De precieze inhoud van het neorealisme komt het duidelijkst tot stand wanneer we de belangrijkste verschillen met het klassieke realisme bespreken. Ondanks vele nuanceverschillen en verschillen tussen auteurs binnen dezelfde stroming kunnen we enkele duidelijke verschillen herkennen. Deze verschillen vinden we terug bij (1) de normatieve elementen, (2) de definitie van macht, (3) de rol van staten binnen de theorie en- wellicht het belangrijkste verschil- (4) de oorzaak van conflicten.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Allereerst zien we dat de normatieve elementen binnen het neorealisme uit de analyse zijn verdwenen. In tegenstelling tot de neorealisten zal ik echter in Deel B betogen dat ze niet uit de theorie zijn verdwenen </w:t>
      </w:r>
      <w:r w:rsidRPr="003A5F28">
        <w:rPr>
          <w:rFonts w:ascii="Times New Roman" w:hAnsi="Times New Roman" w:cs="Times New Roman"/>
          <w:lang w:val="nl-NL"/>
        </w:rPr>
        <w:lastRenderedPageBreak/>
        <w:t>maar simpelweg genegeerd worden. Vooralsnog volstaat de constatering dat de neorealisten in beginsel geen plaats zien voor normatieve elementen in de internationale politiek.</w:t>
      </w:r>
    </w:p>
    <w:p w:rsidR="003A5F28" w:rsidRPr="00AE1B99" w:rsidRDefault="003A5F28" w:rsidP="003A5F28">
      <w:pPr>
        <w:pStyle w:val="Normaalweb"/>
        <w:spacing w:line="360" w:lineRule="auto"/>
        <w:rPr>
          <w:sz w:val="22"/>
          <w:szCs w:val="22"/>
        </w:rPr>
      </w:pPr>
      <w:r w:rsidRPr="00AE1B99">
        <w:rPr>
          <w:sz w:val="22"/>
          <w:szCs w:val="22"/>
        </w:rPr>
        <w:t xml:space="preserve">Macht is zowel in het klassieke </w:t>
      </w:r>
      <w:r>
        <w:rPr>
          <w:sz w:val="22"/>
          <w:szCs w:val="22"/>
        </w:rPr>
        <w:t xml:space="preserve">realisme </w:t>
      </w:r>
      <w:r w:rsidRPr="00AE1B99">
        <w:rPr>
          <w:sz w:val="22"/>
          <w:szCs w:val="22"/>
        </w:rPr>
        <w:t xml:space="preserve">als </w:t>
      </w:r>
      <w:r>
        <w:rPr>
          <w:sz w:val="22"/>
          <w:szCs w:val="22"/>
        </w:rPr>
        <w:t xml:space="preserve">in het </w:t>
      </w:r>
      <w:r w:rsidRPr="00AE1B99">
        <w:rPr>
          <w:sz w:val="22"/>
          <w:szCs w:val="22"/>
        </w:rPr>
        <w:t xml:space="preserve">neorealisme een belangrijk concept. Mede door de wetenschappelijke benadering van het neorealisme heeft macht </w:t>
      </w:r>
      <w:r>
        <w:rPr>
          <w:sz w:val="22"/>
          <w:szCs w:val="22"/>
        </w:rPr>
        <w:t xml:space="preserve">binnen deze stroming </w:t>
      </w:r>
      <w:r w:rsidRPr="00AE1B99">
        <w:rPr>
          <w:sz w:val="22"/>
          <w:szCs w:val="22"/>
        </w:rPr>
        <w:t xml:space="preserve">een veel beperktere definitie dan in het klassieke realisme. Waltz bijvoorbeeld definieert macht in termen van capaciteiten: de grootte van de bevolking en territorium, grondstoffen, economische capaciteit, militaire kracht, politieke stabiliteit en vaardigheid (Waltz, 2011). Ondanks dat Waltz ook meer abstracte capaciteiten hanteert (zoals politieke stabiliteit) ligt zijn nadruk op materiële meetbare variabelen. Hierin verschilt hij duidelijk met bijvoorbeeld Morgenthau die in zijn definitie van macht ook Foucaultiaanse elementen toelaat. </w:t>
      </w:r>
      <w:r w:rsidRPr="00AE1B99">
        <w:rPr>
          <w:sz w:val="22"/>
          <w:szCs w:val="22"/>
          <w:lang w:val="en-US"/>
        </w:rPr>
        <w:t>Hoewel Morgenthau militaire capaciteiten als het belangrijkste aspect erkent is zijn definitie van macht veel breder dan een enkel aspect: “Power may comprise anything that establishes and maintains the power of man over man …. from physical violence to the most subtle psychological ties by which one mind controls another” (Morgenthau, 1954: p. 9).</w:t>
      </w:r>
      <w:r w:rsidRPr="00AE1B99">
        <w:rPr>
          <w:rStyle w:val="Voetnootmarkering"/>
          <w:sz w:val="22"/>
          <w:szCs w:val="22"/>
          <w:lang w:val="en-US"/>
        </w:rPr>
        <w:footnoteReference w:id="5"/>
      </w:r>
      <w:r w:rsidRPr="00AE1B99">
        <w:rPr>
          <w:sz w:val="22"/>
          <w:szCs w:val="22"/>
        </w:rPr>
        <w:t>Ook het belang en de rol van macht verschilt tussen beide stromingen. Binnen het klassiek realis</w:t>
      </w:r>
      <w:r>
        <w:rPr>
          <w:sz w:val="22"/>
          <w:szCs w:val="22"/>
        </w:rPr>
        <w:t xml:space="preserve">me is het verkrijgen van macht -een verbeterde machtspositie - </w:t>
      </w:r>
      <w:r w:rsidRPr="00AE1B99">
        <w:rPr>
          <w:sz w:val="22"/>
          <w:szCs w:val="22"/>
        </w:rPr>
        <w:t>het doel terwijl neorealisten macht als een middel zien om het uiteindelijke doel</w:t>
      </w:r>
      <w:r>
        <w:rPr>
          <w:sz w:val="22"/>
          <w:szCs w:val="22"/>
        </w:rPr>
        <w:t xml:space="preserve"> –</w:t>
      </w:r>
      <w:r w:rsidRPr="00AE1B99">
        <w:rPr>
          <w:sz w:val="22"/>
          <w:szCs w:val="22"/>
        </w:rPr>
        <w:t>overleven</w:t>
      </w:r>
      <w:r>
        <w:rPr>
          <w:sz w:val="22"/>
          <w:szCs w:val="22"/>
        </w:rPr>
        <w:t>-</w:t>
      </w:r>
      <w:r w:rsidRPr="00AE1B99">
        <w:rPr>
          <w:sz w:val="22"/>
          <w:szCs w:val="22"/>
        </w:rPr>
        <w:t xml:space="preserve"> te waarborgen.</w:t>
      </w:r>
    </w:p>
    <w:p w:rsidR="003A5F28" w:rsidRPr="00AE1B99" w:rsidRDefault="003A5F28" w:rsidP="003A5F28">
      <w:pPr>
        <w:pStyle w:val="Normaalweb"/>
        <w:spacing w:line="360" w:lineRule="auto"/>
        <w:rPr>
          <w:sz w:val="22"/>
          <w:szCs w:val="22"/>
        </w:rPr>
      </w:pPr>
      <w:r>
        <w:rPr>
          <w:sz w:val="22"/>
          <w:szCs w:val="22"/>
        </w:rPr>
        <w:t xml:space="preserve">Bovendien verschilt </w:t>
      </w:r>
      <w:r w:rsidRPr="00AE1B99">
        <w:rPr>
          <w:sz w:val="22"/>
          <w:szCs w:val="22"/>
        </w:rPr>
        <w:t>de rol van de staat tussen de klassiek</w:t>
      </w:r>
      <w:r>
        <w:rPr>
          <w:sz w:val="22"/>
          <w:szCs w:val="22"/>
        </w:rPr>
        <w:t xml:space="preserve"> realisten</w:t>
      </w:r>
      <w:r w:rsidRPr="00AE1B99">
        <w:rPr>
          <w:sz w:val="22"/>
          <w:szCs w:val="22"/>
        </w:rPr>
        <w:t xml:space="preserve"> en de neorealisten. Voor de klassiek</w:t>
      </w:r>
      <w:r>
        <w:rPr>
          <w:sz w:val="22"/>
          <w:szCs w:val="22"/>
        </w:rPr>
        <w:t>e</w:t>
      </w:r>
      <w:r w:rsidRPr="00AE1B99">
        <w:rPr>
          <w:sz w:val="22"/>
          <w:szCs w:val="22"/>
        </w:rPr>
        <w:t xml:space="preserve"> realist is de staat een collectieve reflectie van de individuele belangen, een instrument waarmee het individu zijn doelen nastreeft op het internationale toneel. Binnen het neorealisme is de staat een op zichzelf staande entiteit en bovendien de leidende actor in de internationale politiek. </w:t>
      </w:r>
      <w:r w:rsidRPr="007F555C">
        <w:rPr>
          <w:sz w:val="22"/>
          <w:szCs w:val="22"/>
        </w:rPr>
        <w:t>Doelen en handelingen zijn niet gericht op het creëren van een bepaalde orde maar gericht op hun eigen intern geformuleerde belangen</w:t>
      </w:r>
      <w:r>
        <w:rPr>
          <w:rStyle w:val="Voetnootmarkering"/>
          <w:sz w:val="22"/>
          <w:szCs w:val="22"/>
        </w:rPr>
        <w:footnoteReference w:id="6"/>
      </w:r>
      <w:r w:rsidRPr="007F555C">
        <w:rPr>
          <w:sz w:val="22"/>
          <w:szCs w:val="22"/>
        </w:rPr>
        <w:t>. Dit is een duidelijk verschil met het werk van bijvoorbeeld Morgenthau volgens wie er op geen enkele manier sprake is van een natie die onafhankelijk kan handelen maar er sprake is van individuen die handelen in naam van de natie doordat er wetten zijn die hen verplichten dit te doen (Morgenthau,1954).</w:t>
      </w:r>
      <w:r w:rsidRPr="00AE1B99">
        <w:rPr>
          <w:sz w:val="22"/>
          <w:szCs w:val="22"/>
        </w:rPr>
        <w:t xml:space="preserve">Bovendien zien we dat binnen het neorealisme de staat een rationele capaciteit wordt toegeschreven. Handelingen die de staat doet zijn volgens neorealisten te vangen in economische, speltheoretische modellen. Dit wil niet zeggen dat staten geen foute inschattingen kunnen maken </w:t>
      </w:r>
      <w:r>
        <w:rPr>
          <w:sz w:val="22"/>
          <w:szCs w:val="22"/>
        </w:rPr>
        <w:t>(</w:t>
      </w:r>
      <w:r w:rsidRPr="00AE1B99">
        <w:rPr>
          <w:sz w:val="22"/>
          <w:szCs w:val="22"/>
        </w:rPr>
        <w:t>in een wereld waar de juiste informatie niet altijd voorhanden is</w:t>
      </w:r>
      <w:r>
        <w:rPr>
          <w:sz w:val="22"/>
          <w:szCs w:val="22"/>
        </w:rPr>
        <w:t>)</w:t>
      </w:r>
      <w:r w:rsidRPr="00AE1B99">
        <w:rPr>
          <w:sz w:val="22"/>
          <w:szCs w:val="22"/>
        </w:rPr>
        <w:t>. Desondanks menen de neorealisten voorspellingen te kunnen doen op basis van de aanname van rationaliteit.</w:t>
      </w:r>
      <w:r w:rsidRPr="00AE1B99">
        <w:rPr>
          <w:rStyle w:val="Voetnootmarkering"/>
          <w:sz w:val="22"/>
          <w:szCs w:val="22"/>
        </w:rPr>
        <w:footnoteReference w:id="7"/>
      </w:r>
    </w:p>
    <w:p w:rsidR="003A5F28" w:rsidRPr="00AE1B99" w:rsidRDefault="003A5F28" w:rsidP="003A5F28">
      <w:pPr>
        <w:pStyle w:val="Normaalweb"/>
        <w:spacing w:line="360" w:lineRule="auto"/>
        <w:rPr>
          <w:sz w:val="22"/>
          <w:szCs w:val="22"/>
        </w:rPr>
      </w:pPr>
      <w:r w:rsidRPr="00AE1B99">
        <w:rPr>
          <w:sz w:val="22"/>
          <w:szCs w:val="22"/>
        </w:rPr>
        <w:lastRenderedPageBreak/>
        <w:t xml:space="preserve">Het grootste verschil met de klassieke realisten is wellicht het startpunt van de theorie. De oorzaak van conflicten </w:t>
      </w:r>
      <w:r>
        <w:rPr>
          <w:sz w:val="22"/>
          <w:szCs w:val="22"/>
        </w:rPr>
        <w:t xml:space="preserve">is </w:t>
      </w:r>
      <w:r w:rsidRPr="00AE1B99">
        <w:rPr>
          <w:sz w:val="22"/>
          <w:szCs w:val="22"/>
        </w:rPr>
        <w:t xml:space="preserve">volgens de klassieke realisten </w:t>
      </w:r>
      <w:r>
        <w:rPr>
          <w:sz w:val="22"/>
          <w:szCs w:val="22"/>
        </w:rPr>
        <w:t xml:space="preserve">een gevolg van de menselijke natuur. </w:t>
      </w:r>
      <w:r w:rsidRPr="00AE1B99">
        <w:rPr>
          <w:sz w:val="22"/>
          <w:szCs w:val="22"/>
        </w:rPr>
        <w:t>De neorealisten zien echter de anarchische structuur als de oorzaak van conflict en in feite van alle handelingen van staten. De kritiek op de reductionistische visie van de klassiek</w:t>
      </w:r>
      <w:r>
        <w:rPr>
          <w:sz w:val="22"/>
          <w:szCs w:val="22"/>
        </w:rPr>
        <w:t xml:space="preserve"> </w:t>
      </w:r>
      <w:r w:rsidRPr="00AE1B99">
        <w:rPr>
          <w:sz w:val="22"/>
          <w:szCs w:val="22"/>
        </w:rPr>
        <w:t>realisten vormt de kern van het neorealistisch betoog. Bovendien is de opbouw van deze kritiek van belang voor mijn verdere betoog, ik zal hier dan ook gedetailleerder te werk gaan.</w:t>
      </w:r>
    </w:p>
    <w:p w:rsidR="003A5F28" w:rsidRPr="00AE1B99" w:rsidRDefault="003A5F28" w:rsidP="003A5F28">
      <w:pPr>
        <w:pStyle w:val="Normaalweb"/>
        <w:spacing w:line="360" w:lineRule="auto"/>
        <w:rPr>
          <w:sz w:val="22"/>
          <w:szCs w:val="22"/>
        </w:rPr>
      </w:pPr>
      <w:r w:rsidRPr="00AE1B99">
        <w:rPr>
          <w:sz w:val="22"/>
          <w:szCs w:val="22"/>
        </w:rPr>
        <w:t xml:space="preserve"> De neorealistische kritiek, voor het eerst door Kenneth Waltz uiteengezet in </w:t>
      </w:r>
      <w:r w:rsidRPr="00AE1B99">
        <w:rPr>
          <w:i/>
          <w:sz w:val="22"/>
          <w:szCs w:val="22"/>
        </w:rPr>
        <w:t>Man, the State and War</w:t>
      </w:r>
      <w:r w:rsidRPr="00AE1B99">
        <w:rPr>
          <w:sz w:val="22"/>
          <w:szCs w:val="22"/>
        </w:rPr>
        <w:t xml:space="preserve"> (1959) concentreert zich </w:t>
      </w:r>
      <w:r>
        <w:rPr>
          <w:sz w:val="22"/>
          <w:szCs w:val="22"/>
        </w:rPr>
        <w:t xml:space="preserve">zoals gezegd </w:t>
      </w:r>
      <w:r w:rsidRPr="00AE1B99">
        <w:rPr>
          <w:sz w:val="22"/>
          <w:szCs w:val="22"/>
        </w:rPr>
        <w:t xml:space="preserve">vooral op het gebruik van de menselijke natuur als verklarend mechanisme en op de holistische benadering van de politiek. Volgens Waltz zijn er meerdere niveaus </w:t>
      </w:r>
      <w:r>
        <w:rPr>
          <w:sz w:val="22"/>
          <w:szCs w:val="22"/>
        </w:rPr>
        <w:t>met elk</w:t>
      </w:r>
      <w:r w:rsidRPr="00AE1B99">
        <w:rPr>
          <w:sz w:val="22"/>
          <w:szCs w:val="22"/>
        </w:rPr>
        <w:t xml:space="preserve"> hun eigen </w:t>
      </w:r>
      <w:r>
        <w:rPr>
          <w:sz w:val="22"/>
          <w:szCs w:val="22"/>
        </w:rPr>
        <w:t>verklaringen</w:t>
      </w:r>
      <w:r w:rsidRPr="00AE1B99">
        <w:rPr>
          <w:sz w:val="22"/>
          <w:szCs w:val="22"/>
        </w:rPr>
        <w:t xml:space="preserve"> ( dat wil zeggen het individu, de staat en het internationale systeem). </w:t>
      </w:r>
      <w:r>
        <w:rPr>
          <w:sz w:val="22"/>
          <w:szCs w:val="22"/>
        </w:rPr>
        <w:t xml:space="preserve">Volgens Waltz kunnen de conventionele theorieën verdeeld worden aan de hand van deze niveaus. Theorieën van het eerste niveau verklaren internationale handelingen aan de hand van de menselijke natuur. Theorieën van het tweede niveau refereren aan binnenlandse factoren zoals de politieke structuur. In de derde variant worden verklaringen gezocht aan de hand van de structuur van het internationale systeem. Waltz (en met hem andere neorealisten) hebben een duidelijke voorkeur voor de derde theoretische benadering en hekelen een reductionistische benadering. </w:t>
      </w:r>
      <w:r w:rsidRPr="00AE1B99">
        <w:rPr>
          <w:sz w:val="22"/>
          <w:szCs w:val="22"/>
        </w:rPr>
        <w:t>Het nationaal belang</w:t>
      </w:r>
      <w:r w:rsidRPr="00AE1B99">
        <w:rPr>
          <w:rStyle w:val="Voetnootmarkering"/>
          <w:sz w:val="22"/>
          <w:szCs w:val="22"/>
        </w:rPr>
        <w:footnoteReference w:id="8"/>
      </w:r>
      <w:r w:rsidRPr="00AE1B99">
        <w:rPr>
          <w:sz w:val="22"/>
          <w:szCs w:val="22"/>
        </w:rPr>
        <w:t>kan dan ook niet geformuleerd worden als de som van de delen. De staat is volgens hem een unitaire actor die zijn eigen belang formuleert onafhankelijk van de inwoners van die staat</w:t>
      </w:r>
      <w:r w:rsidRPr="00AE1B99">
        <w:rPr>
          <w:rStyle w:val="Voetnootmarkering"/>
          <w:sz w:val="22"/>
          <w:szCs w:val="22"/>
        </w:rPr>
        <w:footnoteReference w:id="9"/>
      </w:r>
      <w:r w:rsidRPr="00AE1B99">
        <w:rPr>
          <w:sz w:val="22"/>
          <w:szCs w:val="22"/>
        </w:rPr>
        <w:t>. Dit belang komt tot stand als een product van het internationale systeem waarin de staat zich bevind</w:t>
      </w:r>
      <w:r>
        <w:rPr>
          <w:sz w:val="22"/>
          <w:szCs w:val="22"/>
        </w:rPr>
        <w:t>t</w:t>
      </w:r>
      <w:r w:rsidRPr="00AE1B99">
        <w:rPr>
          <w:sz w:val="22"/>
          <w:szCs w:val="22"/>
        </w:rPr>
        <w:t xml:space="preserve">.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De neorealisten concentreren in beginsel hun kritiek op het volgens hen foutieve gebruik van het individu als verklarende kracht op het internationale toneel. Volgens onder andere Waltz (2001) kan onze historie niet los gezien worden van de mens die hem gemaakt heeft. Het probleem echter, wanneer we de menselijke natuur als verklaringsmechanisme willen gebruiken, is dat dezelfde menselijke natuur een grote variëteit aan mogelijke uitkomsten moet verklaren. De vraag die we ons moeten stellen is in hoeverre de blik van de auteur niet van invloed is op onze bevindingen. Zo kan men zich afvragen of het aantal conflicten in de wereld te verklaren is door het inherent slechte in de mens of dat het inherent goede in elk individu er juist voor zorgt dat er niet veel meer conflicten zijn. Waltz noemt dit in navolging van Durkheim het probleem van psychologisme</w:t>
      </w:r>
      <w:r w:rsidRPr="00AE1B99">
        <w:rPr>
          <w:rStyle w:val="Voetnootmarkering"/>
          <w:rFonts w:ascii="Times New Roman" w:hAnsi="Times New Roman" w:cs="Times New Roman"/>
        </w:rPr>
        <w:footnoteReference w:id="10"/>
      </w:r>
      <w:r w:rsidRPr="003A5F28">
        <w:rPr>
          <w:rFonts w:ascii="Times New Roman" w:hAnsi="Times New Roman" w:cs="Times New Roman"/>
          <w:lang w:val="nl-NL"/>
        </w:rPr>
        <w:t xml:space="preserve">. De psychologische factor kan zo algemeen worden dat </w:t>
      </w:r>
      <w:r w:rsidRPr="003A5F28">
        <w:rPr>
          <w:rFonts w:ascii="Times New Roman" w:hAnsi="Times New Roman" w:cs="Times New Roman"/>
          <w:lang w:val="nl-NL"/>
        </w:rPr>
        <w:lastRenderedPageBreak/>
        <w:t>het daarmee in verklaring voor vrijwel alles kan geven en daardoor eigenlijk helemaal niets verklaart. Een analyse van individueel gedrag wordt zonder enige kritische beschouwing foutief gebruikt om het gedrag van groepen te verklaren (Waltz, 2001).</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Mede door deze bevindingen raakt Waltz overtuigd van de noodzaak van een systematische verklaring. Na de eerste aanzet werkt hij deze aanpak uit in het eerder genoemde </w:t>
      </w:r>
      <w:r w:rsidRPr="003A5F28">
        <w:rPr>
          <w:rFonts w:ascii="Times New Roman" w:hAnsi="Times New Roman" w:cs="Times New Roman"/>
          <w:i/>
          <w:lang w:val="nl-NL"/>
        </w:rPr>
        <w:t>Theory of International Politics</w:t>
      </w:r>
      <w:r w:rsidRPr="003A5F28">
        <w:rPr>
          <w:rFonts w:ascii="Times New Roman" w:hAnsi="Times New Roman" w:cs="Times New Roman"/>
          <w:lang w:val="nl-NL"/>
        </w:rPr>
        <w:t xml:space="preserve"> (1979). Waltz is inmiddels overtuigd van een systematische aanpak. Ondanks dat de actoren, omstandigheden en mogelijkheden veranderen is er volgens hem voldoende sprake van continuïteit. Dit wijst volgens Waltz dan ook op een systeemoorzaak, een oorzaak die verankert ligt in het systeem van de internationale politiek (Waltz, 2011). Dit moet volgens Waltz nadrukkelijk niet op een reductionistische wijze worden gedaan zoals dat in het klassiek realisme het geval was. Volgens hem is het construeren van een systeem door te kijken naar de delen een onjuiste wijze.</w:t>
      </w:r>
      <w:r>
        <w:rPr>
          <w:rStyle w:val="Voetnootmarkering"/>
          <w:rFonts w:ascii="Times New Roman" w:hAnsi="Times New Roman" w:cs="Times New Roman"/>
        </w:rPr>
        <w:footnoteReference w:id="11"/>
      </w:r>
      <w:r w:rsidRPr="003A5F28">
        <w:rPr>
          <w:rFonts w:ascii="Times New Roman" w:hAnsi="Times New Roman" w:cs="Times New Roman"/>
          <w:lang w:val="nl-NL"/>
        </w:rPr>
        <w:t xml:space="preserve">Voor de klassiek realisten was het systeem veelal een aggregatie van eigenschappen van de eenheden binnen het systeem. Het systeem was in die situatie een product en niet productief (Waltz, 1979: p. 50). In de ogen van Waltz dient het systeem productief te zijn en moet het systeem - en niet de eenheden in het systeem- eigenschappen hebben die een verklaring bieden voor het gedrag van de eenheden in datzelfde systeem.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Waltz maakt een belangrijk onderscheid tussen systeem en eenheid en tussen structuur en proces. Een systeem bestaat uit een structuur en inter-acterende eenheden. De structuur is de component die door het hele systeem aanwezig is en die het mogelijk maakt het geheel überhaupt als een systeem te zien, de structuur maakt het tot een systeem (Waltz, 2011). Deze definitie - dit idee betreffende systeem- is afkomstig uit het werk van Durkheim: wanneer bepaalde elementen combineren- en door die combinatie nieuwe fenomenen produceren- dan is het duidelijk dat deze fenomenen niet aanwezig zijn in de originele elementen maar in de totaliteit gevormd door hun combinatie. Een systeem is daarmee een nieuwe totaliteit, gevormd door de combinatie van de onderdelen met een eigen specifieke waarheid en eigen karakteristieken (Durkheim in Ruggie,1983).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Waltz verklaart door middel van de impact van variatie van het systeem bepaalde internationale uitkomsten terwijl de overeenkomsten in veel situaties worden uitgelegd door de continuïteit van de structuur. Dit staat in schril contrast met de klassiek realisten die elke verklaring van conflict verbonden aan het inherente potentieel tot het slechte in de menselijke natuur. Waltz liet al eerder zien dat de menselijke natuur volgens hem geen geldige verklaring kon zijn. Het is volgens hem dan ook niet relevant of we instemmen met de bewering dat de mens een inherent potentieel tot het kwade heeft. Om zijn voorbeeld te gebruiken; De menselijke natuur kan in zekere zin de oorzaak zijn voor de Eerste </w:t>
      </w:r>
      <w:r w:rsidRPr="003A5F28">
        <w:rPr>
          <w:rFonts w:ascii="Times New Roman" w:hAnsi="Times New Roman" w:cs="Times New Roman"/>
          <w:lang w:val="nl-NL"/>
        </w:rPr>
        <w:lastRenderedPageBreak/>
        <w:t>Wereldoorlog in 1914, maar kan net zo goed de oorzaak zijn van de vrede in 1910 (Waltz, 2001). Veel omstandigheden veranderden in de tussenliggende jaren; de menselijke natuur niet. De structuur van het internationale systeem biedt volgens hem dan ook een veel betere verklaring.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Nu ik het neorealisme heb uiteengezet en het verschil met het klassieke realisme heb toegelicht kan ik terugkeren naar mijn object van kritiek. In de inleiding vroegen we ons af of eigenbelang wel het moraal neutrale concept is dat de neorealisten claimen dat het is. Hoewel de neorealist afstand lijkt te doen van de normatieve elementen in het klassieke realisme zal ik betogen dat dit weinig overtuigend gebeurt. Doordat de neorealisten zich focussen op de structuur van het internationale systeem en op gedrag van staten hebben ze een verklarende variabele binnen hun theorie nodig. Eigenbelang of (zoals we verderop zullen zien) het nationaal belang is de drijvende kracht achter de handeling van staten. Eigenbelang vult hier een centrale rol mee in binnen de theorie. Des te teleurstellender is het wanneer we zien dat in veel gevallen de precieze betekenis en rol van eigenbelang onderbelicht blijft. Mijn kritiek zal zich dan ook concentreren op het gebruik van eigenbelang binnen de neorealistische theorie. Daarvoor is het nodig om eerst dieper in te gaan op het begrip eigenbelang zelf. Wat bedoelen we nu eigenlijk wanneer we het over eigenbelang hebben en –in het verlengde daarvan- wat bedoelen de neorealisten nu wanneer ze het over eigenbelang hebben? Voor dat we terugkeren naar het realisme zal ik dan ook eerst het begrip eigenbelang onder het vergrootglas leggen.</w:t>
      </w: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lang w:val="nl-NL"/>
        </w:rPr>
      </w:pPr>
    </w:p>
    <w:p w:rsidR="003A5F28" w:rsidRPr="003A5F28" w:rsidRDefault="003A5F28" w:rsidP="003A5F28">
      <w:pPr>
        <w:shd w:val="clear" w:color="auto" w:fill="FFFFFF"/>
        <w:spacing w:after="0" w:line="360" w:lineRule="auto"/>
        <w:rPr>
          <w:rFonts w:ascii="Times New Roman" w:hAnsi="Times New Roman" w:cs="Times New Roman"/>
          <w:sz w:val="28"/>
          <w:szCs w:val="28"/>
          <w:lang w:val="nl-NL"/>
        </w:rPr>
      </w:pPr>
    </w:p>
    <w:p w:rsidR="003A5F28" w:rsidRPr="003A5F28" w:rsidRDefault="003A5F28" w:rsidP="003A5F28">
      <w:pPr>
        <w:shd w:val="clear" w:color="auto" w:fill="FFFFFF"/>
        <w:spacing w:after="0" w:line="360" w:lineRule="auto"/>
        <w:rPr>
          <w:rFonts w:ascii="Times New Roman" w:hAnsi="Times New Roman" w:cs="Times New Roman"/>
          <w:sz w:val="28"/>
          <w:szCs w:val="28"/>
          <w:lang w:val="nl-NL"/>
        </w:rPr>
      </w:pPr>
    </w:p>
    <w:p w:rsidR="003A5F28" w:rsidRDefault="003A5F28" w:rsidP="003A5F28">
      <w:pPr>
        <w:shd w:val="clear" w:color="auto" w:fill="FFFFFF"/>
        <w:spacing w:after="0" w:line="360" w:lineRule="auto"/>
        <w:rPr>
          <w:rFonts w:ascii="Times New Roman" w:hAnsi="Times New Roman" w:cs="Times New Roman"/>
          <w:sz w:val="28"/>
          <w:szCs w:val="28"/>
          <w:lang w:val="nl-NL"/>
        </w:rPr>
      </w:pPr>
    </w:p>
    <w:p w:rsidR="003A5F28" w:rsidRPr="003A5F28" w:rsidRDefault="003A5F28" w:rsidP="003A5F28">
      <w:pPr>
        <w:shd w:val="clear" w:color="auto" w:fill="FFFFFF"/>
        <w:spacing w:after="0" w:line="360" w:lineRule="auto"/>
        <w:rPr>
          <w:rFonts w:ascii="Times New Roman" w:eastAsia="Times New Roman" w:hAnsi="Times New Roman" w:cs="Times New Roman"/>
          <w:color w:val="000000"/>
          <w:sz w:val="28"/>
          <w:szCs w:val="28"/>
          <w:lang w:val="nl-NL" w:eastAsia="nl-NL"/>
        </w:rPr>
      </w:pPr>
      <w:r w:rsidRPr="003A5F28">
        <w:rPr>
          <w:rFonts w:ascii="Times New Roman" w:hAnsi="Times New Roman" w:cs="Times New Roman"/>
          <w:sz w:val="28"/>
          <w:szCs w:val="28"/>
          <w:lang w:val="nl-NL"/>
        </w:rPr>
        <w:lastRenderedPageBreak/>
        <w:t>Deel A Eigenbelang</w:t>
      </w:r>
    </w:p>
    <w:p w:rsidR="003A5F28" w:rsidRPr="003A5F28" w:rsidRDefault="003A5F28" w:rsidP="003A5F28">
      <w:pPr>
        <w:rPr>
          <w:rFonts w:ascii="Times New Roman" w:hAnsi="Times New Roman" w:cs="Times New Roman"/>
          <w:b/>
          <w:lang w:val="nl-NL"/>
        </w:rPr>
      </w:pPr>
      <w:r w:rsidRPr="003A5F28">
        <w:rPr>
          <w:rFonts w:ascii="Times New Roman" w:hAnsi="Times New Roman" w:cs="Times New Roman"/>
          <w:b/>
          <w:lang w:val="nl-NL"/>
        </w:rPr>
        <w:t>2. Van helden naar gebrekkige individuen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dit hoofdstuk zal ik het begrip eigenbelang onder het vergrootglas leggen. Een snelle blik op de inhoudspagina verraadt al dat het begrip zoals het in het realisme (of in het dagelijks taalgebruik wat dat betreft) wordt gebruikt veel meer variaties kent en veel complexer is dan men op het eerste oog zou denken. Om dit het beste in kaart te kunnen brengen heb ik besloten een indeling te maken aan de hand van verschillende onderdelen van het begrip eigenbelang. De chronologische volgorde heb ik in het achterhoofd gehouden maar is (met uitzondering van deze inleiding) niet leidend geweest. De onderwerpen zijn veelal verdeeld naar een bepaald onderscheid (bijvoorbeeld het onderscheid tussen objectief en subjectief eigenbelang). Ook zijn enkele paragrafen gewijd aan bepaalde auteurs die in mijn ogen essentieel zijn bij het bespreken van het begrip eigenbelang (denk bijvoorbeeld aan een Thomas Hobbes). Voordat ik in ga op de specifieke eigenschappen van het begrip wil ik echter in meer algemene termen het begrip bespreken. Ik zal eerst de historische context schetsen waardoor het duidelijk zou moeten worden in welk klimaat het concept eigenbelang tot leven kwam. Vervolgens zullen we de historie van het begrip in vogelvlucht doornemen. In de hoofdstukken die volgen zal ik meer specifiek op verschillende facetten van het begrip ingaan en proberen het begrip in al zijn variëteit en complexiteit weer te geven. Het concept eigenbelang wordt door sommigen gezien als de centrale bouwsteen van het heersend paradigma in economische en sociale wetenschappen</w:t>
      </w:r>
      <w:r w:rsidRPr="003A5F28">
        <w:rPr>
          <w:rStyle w:val="Voetnootmarkering"/>
          <w:rFonts w:ascii="Times New Roman" w:hAnsi="Times New Roman" w:cs="Times New Roman"/>
          <w:lang w:val="nl-NL"/>
        </w:rPr>
        <w:t>·.</w:t>
      </w:r>
      <w:r w:rsidRPr="003A5F28">
        <w:rPr>
          <w:rFonts w:ascii="Times New Roman" w:hAnsi="Times New Roman" w:cs="Times New Roman"/>
          <w:lang w:val="nl-NL"/>
        </w:rPr>
        <w:t xml:space="preserve"> Veel onderwerpen zijn al dan niet direct verbonden met het begrip eigenbelang en veel auteurs uit verschillende tradities hebben dan ook wel enkele woorden gezegd over het concept eigenbelang. Met het oog op die constatering wordt het mij hopelijk vergeven dat ik keuzes heb gemaakt over het al dan niet toevoegen van bepaalde denkers in de volgende hoofdstukken.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Hoewel ik deze korte ideeëngeschiedenis over eigenbelang in een veel eerder tijdperk kan beginnen</w:t>
      </w:r>
      <w:r w:rsidRPr="00AE1B99">
        <w:rPr>
          <w:rStyle w:val="Voetnootmarkering"/>
          <w:rFonts w:ascii="Times New Roman" w:hAnsi="Times New Roman" w:cs="Times New Roman"/>
        </w:rPr>
        <w:footnoteReference w:id="12"/>
      </w:r>
      <w:r w:rsidRPr="003A5F28">
        <w:rPr>
          <w:rFonts w:ascii="Times New Roman" w:hAnsi="Times New Roman" w:cs="Times New Roman"/>
          <w:lang w:val="nl-NL"/>
        </w:rPr>
        <w:t>, begin ik deze verkenning met Augustinus. Zijn gedachten over zonden en moraliteit in het algemeen waren leidend in het middeleeuwse denken en was datgene waar denkers als Smith en Mandeville zich later tegen af zouden zetten. Gebaseerd op de christelijke leer waren zaken als honger naar macht (</w:t>
      </w:r>
      <w:r w:rsidRPr="003A5F28">
        <w:rPr>
          <w:rFonts w:ascii="Times New Roman" w:hAnsi="Times New Roman" w:cs="Times New Roman"/>
          <w:i/>
          <w:lang w:val="nl-NL"/>
        </w:rPr>
        <w:t>libido dominandi</w:t>
      </w:r>
      <w:r w:rsidRPr="003A5F28">
        <w:rPr>
          <w:rFonts w:ascii="Times New Roman" w:hAnsi="Times New Roman" w:cs="Times New Roman"/>
          <w:lang w:val="nl-NL"/>
        </w:rPr>
        <w:t xml:space="preserve">), bezittingen en seksuele lusten principiële zondes (Hirschmann, 1977). In zijn beschouwing over het Romeinse rijk constateert Augustinus dat de </w:t>
      </w:r>
      <w:r w:rsidRPr="003A5F28">
        <w:rPr>
          <w:rFonts w:ascii="Times New Roman" w:hAnsi="Times New Roman" w:cs="Times New Roman"/>
          <w:i/>
          <w:lang w:val="nl-NL"/>
        </w:rPr>
        <w:t xml:space="preserve">libido dominandi </w:t>
      </w:r>
      <w:r w:rsidRPr="003A5F28">
        <w:rPr>
          <w:rFonts w:ascii="Times New Roman" w:hAnsi="Times New Roman" w:cs="Times New Roman"/>
          <w:lang w:val="nl-NL"/>
        </w:rPr>
        <w:t xml:space="preserve">bij de Romeinen vaak gecombineerd ging met een drang naar waardering en glorie. De verdienste van de Romeinen was dat deze drang naar glorie –voor het individu maar ook voor het Romeinse rijk als geheel- als het ware </w:t>
      </w:r>
      <w:r w:rsidRPr="003A5F28">
        <w:rPr>
          <w:rFonts w:ascii="Times New Roman" w:hAnsi="Times New Roman" w:cs="Times New Roman"/>
          <w:lang w:val="nl-NL"/>
        </w:rPr>
        <w:lastRenderedPageBreak/>
        <w:t>gebruikt werd om de drang naar andere zondige begeertes te onderdrukken. Glorie en waardering werden als deugdelijk ervaren in tegenstelling tot zelfverrijking. Het verschil volgens Augustinus was de mogelijke maatschappelijke waarde van glorie ten opzichte van zelfverrijking. De constatering die Augustinus hierna maakt is voor ons wellicht het belangrijkst voor de ontwikkeling van het begrip eigenbelang. Augustinus presenteert voor het eerst het idee dat de ene kwalijke eigenschap de andere slechte eigenschap kan bedwingen; menselijke gebreken worden opgeheven door andere gebreken. Wat op zichzelf staande slechte eigenschappen zijn, kunnen binnen een sociale context goede eigenschappen worden. Individuele zondige handelingen kunnen op die manier maatschappelijk gunstige effecten hebben</w:t>
      </w:r>
      <w:r w:rsidRPr="00AE1B99">
        <w:rPr>
          <w:rStyle w:val="Voetnootmarkering"/>
          <w:rFonts w:ascii="Times New Roman" w:hAnsi="Times New Roman" w:cs="Times New Roman"/>
        </w:rPr>
        <w:footnoteReference w:id="13"/>
      </w:r>
      <w:r w:rsidRPr="003A5F28">
        <w:rPr>
          <w:rFonts w:ascii="Times New Roman" w:hAnsi="Times New Roman" w:cs="Times New Roman"/>
          <w:lang w:val="nl-NL"/>
        </w:rPr>
        <w:t xml:space="preserve">. De Romeinse drang naar glorie (de individueel zondige eigenschap, althans naar christelijke maatstaven) resulteerde uiteindelijk in een van de grootste en best georganiseerde rijken uit de oudheid (de maatschappelijk gunstige uitkomst). Deze drang naar eer en glorie zou leidend worden in het middeleeuwse ethos van de ridder (Hirschman, 1977: p. 10). Het ideaal van de held- strevend naar persoonlijke glorie- zou toonaangevend worden en het model worden voor deugdelijk handelen in het algemeen. Dit ideaal zou in contrast komen te staan met het latere idee van het naar eigenbelang handelend individu.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Een eerste aanzet tot een andere benadering kwam van de hand van Machiavelli. Het door hem gemaakte onderscheid tussen de feitelijke werkelijkheid van dingen en de gefingeerde voorstelling ervan stond aan de basis van zijn handleiding voor de prins (Machiavelli, 2009). Volgens Machiavelli hadden de politieke denkers voor hem bijna uitsluitend over imaginaire staatsvormen gesproken waardoor ze van weinig tot geen nut waren voor de vorsten die opereerden in de politieke werkelijkheid (Hirschman, 1977). Anderen in navolging van Machiavelli realiseerden dat ze voor een volledig beeld van de feitelijke werkelijkheid de aandacht moesten verleggen van de staat naar het individu en de menselijke aard. Analoog aan de wetten die werden ontwikkeld binnen de natuurwetenschappen besloten politieke theoretici dat er ook binnen de politieke context wetmatigheden gezocht moesten worden. Hierbij zou het individu en de menselijke aard centraal komen te staan.</w:t>
      </w:r>
      <w:r>
        <w:rPr>
          <w:rStyle w:val="Voetnootmarkering"/>
          <w:rFonts w:ascii="Times New Roman" w:hAnsi="Times New Roman" w:cs="Times New Roman"/>
        </w:rPr>
        <w:footnoteReference w:id="14"/>
      </w:r>
      <w:r w:rsidRPr="003A5F28">
        <w:rPr>
          <w:rFonts w:ascii="Times New Roman" w:hAnsi="Times New Roman" w:cs="Times New Roman"/>
          <w:lang w:val="nl-NL"/>
        </w:rPr>
        <w:t xml:space="preserve"> Wanneer deze aard bekend was, was dit het vertrekpunt voor een politieke theorie. Wetmatigheden konden immers op een logische manier afgeleid worden uit de kennis over de aard van het individu. Het klassieke voorbeeld van deze methode die de utopische en meer normatieve benadering verving, is te vinden in het werk van Hobbes (die uitgebreid besproken zal worden in § 2.2). Hobbes leidde uit de menselijke aard - met al zijn driften en begeertes- af dat eigenbelang een leidende rol had. Voor het eerst was de mens niet meer het individu dat streefde naar het moreel juiste </w:t>
      </w:r>
      <w:r w:rsidRPr="003A5F28">
        <w:rPr>
          <w:rFonts w:ascii="Times New Roman" w:hAnsi="Times New Roman" w:cs="Times New Roman"/>
          <w:lang w:val="nl-NL"/>
        </w:rPr>
        <w:lastRenderedPageBreak/>
        <w:t>(zoals de middeleeuwse held) maar een egoïstisch naar eigenbelang handelend wezen gedreven door zijn innerlijke haast dierlijke lusten. Eigenbelang werd voor veel theoretici (of dit nu politiek, economisch of sociaal was) de motor van het menselijk handelen. Diegenen die eigenbelang niet onderschreven als een centrale aanname werden verplicht dit uitvoerig toe te lichten. Kortom, een paradigma was geboren (Hirschman, 1977).</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Het concept eigenbelang evolueerde vervolgens. Voorheen was eigenbelang met name een verklaring voor het handelen van de mens. Langzaam werd het echter een denkwijze, een manier om al het menselijk handelen zowel in de praktijk als theoretisch te duiden. Waar het naar eigenbelang handelende individu eerst een moreel probleem was dat een oplossing behoefde was het nu de oplossing geworden. Eerst diende er een moreel theoretische oplossing geboden te worden; het  naar eigenbelang handelen leek onderdeel te zijn van de menselijke aard. Nu was het echter zo dat het naar eigenbelang handelen de oplossing was voor morele vraagstukken. Indien ieder individu naar eigenbelang zou handelen, zou dit moreel juiste uitkomsten bieden. Morele theorieën baseerden hun proposities op dit concept en gaven richtingwijzers die doordrenkt waren met het besef dat de mens handelde naar eigenbelang. De klassieke ethische theorieën en religieuze voorschriften hielden niet genoeg rekening met de menselijke aard en konden daardoor niet langer gebruikt worden om de menselijke verlangens te beheersen (Hirschman, 1977). Eigenbelang was niet langer alleen het vertrekpunt en de essentie van de menselijke aard. Het bood nu een manier waarop de passies binnen een theoretisch model gecontroleerd konden worden. Waar voorheen eigenbelang gedreven werd door passies en daardoor moreel gezien problematisch kon zijn veranderde het in een oplossing. Eigenbelang bood een moreel instrument om in theoretische zin passies te kunnen beheersen en moreel wenselijke situaties te creëren. Eigenbelang was een essentieel onderdeel geworden van een morele handleiding, naar eigenbelang handelen werd moreel juist.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De eerste strategie die hiervoor werd toegepast was die van onderdrukking. Wederom is Hobbes toonaangevend; doordat ieder individu handelt uit eigenbelang zal men vroeg of laat realiseren dat een derde partij (de soeverein) nodig is om wederzijdse bescherming af te dwingen. Deze repressieve benadering verloor echter al snel terrein. In plaats daarvan besloten verschillende denkers het concept eigenbelang te omarmen en te gebruiken om de passies te bedwingen (Hirschman, 1977: p. 16). Niet door middel van opgelegde regels of een externe partij, maar door de maatschappij zo in te richten dat individuen die uit eigenbelang handelen uiteindelijk maatschappelijk positieve resultaten teweeg brengen. Hierin herkennen we het werk van Augustinus die als een van de eersten beargumenteerde dat individuen die ondeugdelijk handelen - paradoxaal genoeg – op collectief niveau moreel gunstige uitkomsten konden bewerkstelligen. In plaats van helden die streefden naar eer en glorie waren het nu echter individuen die handelden uit eigenbelang. Deze individuen zouden – zonder het zelf te realiseren- maatschappelijk </w:t>
      </w:r>
      <w:r w:rsidRPr="003A5F28">
        <w:rPr>
          <w:rFonts w:ascii="Times New Roman" w:hAnsi="Times New Roman" w:cs="Times New Roman"/>
          <w:lang w:val="nl-NL"/>
        </w:rPr>
        <w:lastRenderedPageBreak/>
        <w:t>gunstige effecten teweegbrengen. Het debat zou zich vanaf dit moment met name richten op een verdere uitwerking en verklaring van dit effect. Hoe zorgen deze individuen voor maatschappelijk gunstige uitkomsten? Wat is het proces achter dit effect? Hoe dienen we onze maatschappij in te richten om maximaal gebruik te maken van dit effect?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De antwoorden op deze vragen worden voor het eerst uitgebreid uiteengezet door Bernard de Mandeville. Accumulatie van welvaart komt volgens hem tot stand door een proces van competitie tussen individuen die gedreven worden door het menselijke verlangen naar macht, status en welbehagen. Volgens Mandeville is dit essentieel voor het functioneren van een samenleving</w:t>
      </w:r>
      <w:r w:rsidRPr="00AE1B99">
        <w:rPr>
          <w:rStyle w:val="Voetnootmarkering"/>
          <w:rFonts w:ascii="Times New Roman" w:hAnsi="Times New Roman" w:cs="Times New Roman"/>
        </w:rPr>
        <w:footnoteReference w:id="15"/>
      </w:r>
      <w:r w:rsidRPr="003A5F28">
        <w:rPr>
          <w:rFonts w:ascii="Times New Roman" w:hAnsi="Times New Roman" w:cs="Times New Roman"/>
          <w:lang w:val="nl-NL"/>
        </w:rPr>
        <w:t xml:space="preserve">. Doordat ieder individu handelt naar zijn eigen belangen en zijn eigen positie wil verbeteren functioneert de maatschappij optimaal. Wanneer iedereen namelijk tevreden zou zijn met datgene wat hij had, zou er volgens Mandeville stagnatie optreden. Belangrijk verschil met Hobbes is daarmee dat eigenbelang meer is dan zelfbehoud. Eigenbelang leidt er niet toe dat een derde partij of soeverein nodig is om een staat van orde en stabiliteit te creëren. Sterker nog, het handelen naar eigenbelang door individuen zorgt voor orde en stabiliteit. In de woorden van Mandeville; “private vices, public virtue’’. Het idee dat passies door eigenbelang getransformeerd kunnen worden totdat ze in dienst werken van de maatschappij komt het duidelijkst tot stand in de werken van Adam Smith (zie ook § 3.2). Zo is het niet uit sympathie dat de bakker zijn werk doet, maar zorgt het winstbejag van de bakker ervoor dat er brood is voor degenen die daar behoefte aan hebben. Het idee dat eigenbelang de passies kan sturen en leidend is voor het menselijk handelen, zal na Smith – op enkele nuances na- nauwelijks meer veranderen. De vraag wordt vooral waar dit eigenbelang uit bestaat. Hoe komt het tot stand? Hoe verhoudt de ratio zich ten opzichte van de passies met betrekking tot het vormen van eigenbelang? Is het eigenbelang subjectief of bevat het ook objectieve elementen? Vragen die centraal staan in de volgende hoofdstukken en die ons een duidelijk beeld zullen geven van de vele variaties en de complexiteit die komt kijken bij het gebruik van het begrip eigenbelang. </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3. Eigenbelang, de passies en de ratio</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Een helder begrip van het concept eigenbelang vooronderstelt dat we kunnen beargumenteren wat onderdeel is van dit concept en hoe de interne mechanismen functioneren. De passies en de ratio zijn in </w:t>
      </w:r>
      <w:r w:rsidRPr="003A5F28">
        <w:rPr>
          <w:rFonts w:ascii="Times New Roman" w:hAnsi="Times New Roman" w:cs="Times New Roman"/>
          <w:lang w:val="nl-NL"/>
        </w:rPr>
        <w:lastRenderedPageBreak/>
        <w:t xml:space="preserve">dit geval kernwoorden en dit hoofdstuk zal zich dan ook vooral richten op deze twee begrippen. In de inleiding zagen we al dat de passies als concept een belangrijke rol speelden in de totstandkoming van het concept eigenbelang (zie 2). Mijn analyse begint dan ook bij diezelfde passies. Als tegengewicht voor het klassieke idee van de deugd waren het vooral Hobbes en Spinoza die de passies voor het eerst uitgebreid uiteenzetten als de motor van het menselijk handelen. Niet onze zoektocht naar het moreel juiste maar onze dagelijkse verlangens en behoeftes komen centraal te staan in de analyse van de menselijke natuur (Hirschman, 1977). Het begrip eigenbelang kwam centraal te staan; eerst als verlengde van onze passies (§ 3.1), vervolgens als het tegengewicht ervoor (§ 3.2). Het debat met betrekking tot de passies en eigenbelang is essentieel in de vorming van het concept eigenbelang en heeft het begrip tot vandaag de dag betekenis gegeven. In § 3.3 zal ik ingaan op de rol van de ratio, niet alleen als onderdeel van het begrip eigenbelang maar ook op zijn relatie tot de passies. Dat verlangens en ratio beide een onderdeel vormen van het concept eigenbelang maar ook (vooral in meer het populaire taalgebruik) als elkaars tegenpolen worden gepresenteerd, vergroot de onduidelijkheid en complexiteit des te meer. In deel B zal blijken dat deze complexiteit vaak genegeerd wordt en het normatieve debat dat hiermee samenhangt wordt ontweken. </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3.1. Eigenbelang gedreven door de passies: Hobbes &amp; Spinoza</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het werk van Hobbes zijn de passies een essentieel onderdeel van het concept eigenbelang. Hobbes begint zijn argumentatie met het zogenaamde eerste natuurrecht, namelijk het recht op zelfbehoud. Ieder individu streeft in beginsel –en zou moet streven- naar zelfbehoud. Dit streven naar zelfbehoud, deze drang tot overleven is de leidende component wat eigenbelang betreft. Alle handelingen van een individu volgen volgens Hobbes uit deze centrale aanname. Enkel zelfbehoud is niet voldoende. Enkel streven naar datgene dat in behoefte voorziet (enkel dat wat men nodig heeft) is in de meeste gevallen niet voldoende en kan volgens Hobbes zelfs gevaarlijk zijn. Enkel diegenen die ernaar streven meer macht te vergaren kunnen zich namelijk weren tegen anderen die onverzadigbaar zijn. Het individu heeft in de wereld van Hobbes dan ook een structurele positie van zwakte. Door de structurele positie van zwakte zal ieder rationeel individu streven naar een versterkte machtspositie. In de wereld van Hobbes is dit de enige manier om de kans op overleven te vergroten (natuurlijk met uitzondering van onderwerping aan de soeverein). Het streven naar een verbeterde positie is niet omdat een individu niet tevreden of voldaan kan zijn met zijn huidige positie. Het streven naar een verbeterde positie en de handelingen die daarbij horen zijn de enige manier waarop een individu zijn positie kan behouden. Vrezend voor ons bestaan blijven we handelen op een manier die onze positie van zwakte lijkt te verbeteren.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lastRenderedPageBreak/>
        <w:t>In deze wereld waarin elk individu in oorlog is met ieder ander individu kan er volgens Hobbes dan ook geen sprake zijn van goed of fout, van rechtvaardig of onrechtvaardig (Hobbes, 1998). In deze natuurstaat is het leven niet immoreel maar amoreel, iemand doden is in morele zin niet altijd onwenselijker dan iemand laten leven. Moraliteit biedt slechts een tijdelijke oplossing of zelfs een schijnoplossing. Er is namelijk geen garantie dat wanneer iemand zich volgens een bepaalde moraal gedraagt anderen dit ook zullend doen. Iemand die handelt binnen een moreel kader terwijl anderen dit niet doen is volgens Hobbes dan ook een makkelijke prooi</w:t>
      </w:r>
      <w:r w:rsidRPr="00AE1B99">
        <w:rPr>
          <w:rStyle w:val="Voetnootmarkering"/>
          <w:rFonts w:ascii="Times New Roman" w:hAnsi="Times New Roman" w:cs="Times New Roman"/>
        </w:rPr>
        <w:footnoteReference w:id="16"/>
      </w:r>
      <w:r w:rsidRPr="003A5F28">
        <w:rPr>
          <w:rFonts w:ascii="Times New Roman" w:hAnsi="Times New Roman" w:cs="Times New Roman"/>
          <w:lang w:val="nl-NL"/>
        </w:rPr>
        <w:t xml:space="preserve">. Sociale conventie is voor Hobbes geen oplossing, enkel een derde partij (de soeverein in het geval van Hobbes) kan voor stabiliteit zorgen en orde opleggen in de anarchische maatschappij door middel van wederzijdse zelfbescherming. Voor individuen moet het vanuit hun eigenbelang rationeel te rechtvaardigen zijn om zich aan de soeverein te onderwerpen. Duidelijk is dat het klassieke idee van objectief (intrinsiek) goede handelingen is verdwenen, handelingen worden beoordeeld in het licht van het eerste natuurrecht- en in het verlengde daarvan- eigenbelang.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Handelen vanuit eigenbelang lijkt bij Hobbes op het eerste oog een rationele handeling. Het individu beredeneert dat het streven naar een verbeterde machtspositie in zijn voordeel zal zijn. Hier gaat men echter voorbij aan het eerste natuurrecht. Het streven naar zelfbehoud komt niet voort uit een berekende afweging maar uit de liefde die het individu voor zichzelf heeft. Het eerste natuurrecht, en daarmee Hobbes’ conceptie van eigenbelang komt in essentie dus voort uit verlangens, passies. De mens heeft volgens Hobbes namelijk een natuurlijke honger die zijn oorsprong vindt in zijn dierlijke natuur (Strauss, 1963, p. 8). De mens is een dier als alle andere, constant onder de invloed van impressies en indrukken die verlangens en passies opwekken. Volgens Hobbes is er echter een wezenlijk verschil met het dier; de rede of de ratio</w:t>
      </w:r>
      <w:r w:rsidRPr="003A5F28">
        <w:rPr>
          <w:rStyle w:val="Voetnootmarkering"/>
          <w:rFonts w:ascii="Times New Roman" w:hAnsi="Times New Roman" w:cs="Times New Roman"/>
          <w:lang w:val="nl-NL"/>
        </w:rPr>
        <w:t xml:space="preserve">·. </w:t>
      </w:r>
      <w:r w:rsidRPr="003A5F28">
        <w:rPr>
          <w:rFonts w:ascii="Times New Roman" w:hAnsi="Times New Roman" w:cs="Times New Roman"/>
          <w:lang w:val="nl-NL"/>
        </w:rPr>
        <w:t xml:space="preserve">De mens reageert niet alleen op de korte termijn maar kan ook lange termijn beslissingen maken op basis van zijn indrukken en verlangens. Dat maakt de mens het geslepenste, het sterkste en gevaarlijkste van alle dieren (Strauss, 1963). Verlangens kunnen daarmee gezien worden als de bron van het menselijk handelen terwijl de ratio een middel is om de menselijke verlangens te kunnen bevredigen. Dat wil echter niet zeggen dat menselijk handelen niet irrationeel kan zijn. Als het streven naar een verbeterde machtspositie volgens Hobbes rationeel is kan het volgens Strauss niet voortkomen uit de natuurlijke honger die ieder individu zou bezitten. Volgens hem zouden veel handelingen die een verbeterde machtspositie als doel hebben dan ook irrationeel zijn. Zoals eerder al besproken komt dit machtsstreven echter voort uit het eerste natuurrecht, het recht op zelfbehoud. Dit kan dus wel als een </w:t>
      </w:r>
      <w:r w:rsidRPr="003A5F28">
        <w:rPr>
          <w:rFonts w:ascii="Times New Roman" w:hAnsi="Times New Roman" w:cs="Times New Roman"/>
          <w:lang w:val="nl-NL"/>
        </w:rPr>
        <w:lastRenderedPageBreak/>
        <w:t xml:space="preserve">verlangen gezien worden en daarmee een afgeleide van de natuurlijke honger. Het is immers deze wisselwerking tussen verlangens en ratio die de mens uniek maakt. </w:t>
      </w:r>
    </w:p>
    <w:p w:rsid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Waar Hobbes vaak wordt gezien als een van de grondleggers van het rationele calculerende individu zijn het juist begeertes en verlangens die aan de basis staan van zijn theorie. De wisselwerking tussen de passies en de ratio die hij beschrijft kan vergeleken worden met de theorie van Spinoza. Bij Spinoza lijkt de wisselwerking echter nog iets subtieler te zijn. In zijn optiek zijn verlangens en passies de kern van het menselijk wezen (en daarmee leidend wanneer we eigenbelang willen definiëren). De diverse verlangens die een individu bezit, dwingen hem op een bepaalde manier te handelen. Twee belangrijke aannames hierbij zijn dat (1) de rede of ratio alleen niet voldoende is om de verlangens te overwinnen dan wel te controleren en dat (2) verlangens enkel en alleen gecontroleerd kunnen worden door een ander groter verlangen (Den Uyl, 1987: p.375). Hoewel de hartstochten dus een leidende rol hebben, hoeft dit niet te betekenen dat de rede geen rol heeft. Anders dan in het werk van Mandeville waarin de rede enkel de slaaf lijkt te zijn van de verlangens, maakt Spinoza een subtieler onderscheid. Volgens hem is er sprake van zowel actieve als passieve affecties. De eerste – de actieve affecties- ontstaan uit de rede terwijl we de tweede affecties slechts passief ondergaan (Den Uyl, 1987). Passieve affecties ontstaan door onze plaats in het geheel, onze </w:t>
      </w:r>
      <w:r w:rsidRPr="003A5F28">
        <w:rPr>
          <w:rFonts w:ascii="Times New Roman" w:hAnsi="Times New Roman" w:cs="Times New Roman"/>
          <w:i/>
          <w:lang w:val="nl-NL"/>
        </w:rPr>
        <w:t>conatus</w:t>
      </w:r>
      <w:r w:rsidRPr="003A5F28">
        <w:rPr>
          <w:rFonts w:ascii="Times New Roman" w:hAnsi="Times New Roman" w:cs="Times New Roman"/>
          <w:lang w:val="nl-NL"/>
        </w:rPr>
        <w:t>, ons streven, onze neiging tot het behoud van onszelf en de indrukken die zijn ontstaan in de buitenwereld. Als een vorm van antwoord op deze emoties ontwikkelen we actieve affecties (bijv. rust) die als onderdeel van de rede ons in staat stellen de passieve affecties te controleren. Er is daarmee geen tegenspraak met de eerder genoemde aannames. Het is namelijk niet de pure rede die het individu in staat stelt hartstochten te controleren, maar de actieve affecties die onderdeel zijn van de rede. Daarmee wordt aan de tweede aanname voldaan, het is immers niet de rede maar een sterkere passie of sterker verlangen dat het mogelijk maakt het eerdere (passieve) verlangen te overwinnen. Ook bij Spinoza vinden we een symbiose tussen de rede en verlangens wanneer we de handelingen van het individu trachten te verklaren. Wanneer we eigenbelang trachten te definiëren zullen we dus enkele keuzes dienen te maken die sterk afhankelijk zullen zijn van het gehanteerde mensbeeld. Simpelweg de mens neerzetten als een rationele, calculerende entiteit (een aanname die in veel realistische werken lijkt te worden gedaan) is op zijn minst problematisch. De veel gebruikte basisaannames van Hobbes kunnen niet tot stand komen wanneer we de passies en verlangens negeren. De basale aanname van zelfbehoud is zelfs de meest directe uiting van het belang van verlangens indien we een begrip als eigenbelang willen gebruiken.</w:t>
      </w:r>
    </w:p>
    <w:p w:rsidR="00A13D21" w:rsidRDefault="00A13D21" w:rsidP="003A5F28">
      <w:pPr>
        <w:spacing w:line="360" w:lineRule="auto"/>
        <w:rPr>
          <w:rFonts w:ascii="Times New Roman" w:hAnsi="Times New Roman" w:cs="Times New Roman"/>
          <w:lang w:val="nl-NL"/>
        </w:rPr>
      </w:pPr>
    </w:p>
    <w:p w:rsidR="00A13D21" w:rsidRPr="003A5F28" w:rsidRDefault="00A13D21" w:rsidP="003A5F28">
      <w:pPr>
        <w:spacing w:line="360" w:lineRule="auto"/>
        <w:rPr>
          <w:rFonts w:ascii="Times New Roman" w:hAnsi="Times New Roman" w:cs="Times New Roman"/>
          <w:lang w:val="nl-NL"/>
        </w:rPr>
      </w:pP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lastRenderedPageBreak/>
        <w:t>§ 3.2. Passies getemd door eigenbelang: Smith</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In de inleiding zagen we al dat de ideeën betreffende passies en verlangens een verandering doormaakten na het werk van Hobbes en Spinoza. In het eerder werk hadden de passies een vormende rol ten opzichte van het concept eigenbelang. De passies waren als het ware de motor van eigenbelang, het onderdeel van de menselijke natuur dat ervoor zorgde dat de mens handelde uit eigenbelang. Passies en verlangens zouden in de loop van tijd een andere rol krijgen ten opzichte van het vormen van een eigenbelang. In plaats van een onderdeel van het te vormen belang zouden de passies gestuurd worden door het eigenbelang. Van een passief product werd het een concept dat actief interacteerde met verlangens en ze op die manier stuurde. Die sturing werd neergezet en gekwalificeerd als maatschappelijk wenselijk. In het werk van Mandeville en later Smith werd eigenbelang datgene dat de passies kanaliseerde naar maatschappelijk gunstige uitkomsten. De twee verschillende rollen die eigenbelang vervulde bij verschillende auteurs maken het moeilijk de ene rol van de andere te onderscheiden en zorgen ervoor dat het begrip eigenbelang in essentie een complex (en in sommige gevallen zelfs verwarrend) begrip is. Voor Adam Smiths betoog was het echter nodig om het begrip eigenbelang gedetailleerd uiteen te zetten. Op haast analytische wijze is Smith dan ook de eerste die het begrip zo duidelijk neerzet en al zijn facetten probeert te bouwen in zijn algehele model en morele theorie (Smith, 2002). Doordat Smith op geen enkele manier ambigu was wanneer hij zijn conceptie van eigenbelang uiteenzette is het nog steeds een van de meest geciteerde auteurs wanneer we het over eigenbelang hebben.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Smith maakt allereerst een onderscheid tussen egoïstische en altruïstische handelingen. Egoïstische handelingen zijn gericht op het eigenbelang terwijl altruïstische handelingen geen eigenbelang als motivatie hebben. Volgens Hobbes zouden alle handelingen in essentie egoïstisch zijn. Smith brengt hier echter een nuance aan; zo dienen niet alle handelingen het</w:t>
      </w:r>
      <w:r w:rsidRPr="003A5F28">
        <w:rPr>
          <w:rFonts w:ascii="Times New Roman" w:hAnsi="Times New Roman" w:cs="Times New Roman"/>
          <w:i/>
          <w:lang w:val="nl-NL"/>
        </w:rPr>
        <w:t xml:space="preserve"> directe</w:t>
      </w:r>
      <w:r w:rsidRPr="003A5F28">
        <w:rPr>
          <w:rFonts w:ascii="Times New Roman" w:hAnsi="Times New Roman" w:cs="Times New Roman"/>
          <w:lang w:val="nl-NL"/>
        </w:rPr>
        <w:t xml:space="preserve"> eigenbelang. Zo is het niet altijd het geval dat een individu direct profiteert van zijn handeling. Zo kan het zijn dat hij zijn maatschappij voorrang geeft op zijn eigen individuele belangen. Smith noemt in dit geval de soldaat die zijn leven opoffert voor zijn land. Dit offer is niet in het directe belang van de soldaat, hij neemt een groot risico en verliest daarbij mogelijk zijn leven. Op het eerste oog een altruïstische handeling. Het is inderdaad zo dat de soldaat niet zijn directe eigenbelang dient. Toch is deze actie niet zuiver altruïstisch maar egoïstisch. Smith maakt namelijk een onderscheid tussen egoïstische handelingen en egocentrische handelingen (let op; egoïsme heeft hier niet de gebruikelijke populaire betekenis). Egocentrische handelingen zijn enkel en alleen gericht op het directe eigenbelang van het individu. Egoïstische handelingen zijn handelingen gericht op het belang van het individu maar ook op de belangen van degene met wie het individu zich verbonden voelt. De soldaat die zijn leven geeft, doet dat omdat hij op deze manier zijn vrouw, kinderen en anderen met wie hij zich verbonden voelt beschermt. In principe gaat het hier dus om een egoïstische </w:t>
      </w:r>
      <w:r w:rsidRPr="003A5F28">
        <w:rPr>
          <w:rFonts w:ascii="Times New Roman" w:hAnsi="Times New Roman" w:cs="Times New Roman"/>
          <w:lang w:val="nl-NL"/>
        </w:rPr>
        <w:lastRenderedPageBreak/>
        <w:t xml:space="preserve">actie. Wanneer een andere staat een beroep had gedaan op ditzelfde individu is immers de kans groot dat deze geweigerd had. Het belangrijkste verschil tussen egoïstisch en egocentrisch is vooral de mate waarin het het individu zelf betreft. Handelingen puur en alleen gericht op het eigen welzijn zijn egocentrisch, handelingen die ook maar voor een klein deel anderen begunstigen zijn egoïstisch. Smith wil vooral laten zien dat zuiver egocentrisch gedrag zeldzaam is maar ook dat zuiver altruïstisch gedrag amper voorkomt. Wanneer we egoïsme op een dergelijke manier definiëren blijven er weinig handelingen over die puur altruïstisch zijn. Dit is echter ook het punt dat Smith probeert te maken; slechts weinig handelingen worden gedaan zonder dat daar een direct of indirect eigenbelang niet mee geholpen is.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Smith hecht hier geen negatief waardeoordeel aan zoals Augustinus dat deed. Voor hem is egoïsme niet alleen de gangbare maar ook de moreel wenselijke </w:t>
      </w:r>
      <w:r w:rsidRPr="003A5F28">
        <w:rPr>
          <w:rFonts w:ascii="Times New Roman" w:hAnsi="Times New Roman" w:cs="Times New Roman"/>
          <w:i/>
          <w:lang w:val="nl-NL"/>
        </w:rPr>
        <w:t>modus vivendi</w:t>
      </w:r>
      <w:r w:rsidRPr="003A5F28">
        <w:rPr>
          <w:rFonts w:ascii="Times New Roman" w:hAnsi="Times New Roman" w:cs="Times New Roman"/>
          <w:lang w:val="nl-NL"/>
        </w:rPr>
        <w:t>. In navolging van Mandeville betoogt Smith dan ook dat de naar (indirect) eigenbelang handelde individuen de stuwende kracht zijn in een goed functionerende maatschappij. Individuen handelen niet alleen in empirische zin naar eigenbelang, maar zouden dit in normatieve zin ook moeten doen.</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3.3. Rationaliteit uiteengezet: Weber</w:t>
      </w:r>
    </w:p>
    <w:p w:rsidR="003A5F28" w:rsidRPr="00AE1B99" w:rsidRDefault="003A5F28" w:rsidP="003A5F28">
      <w:pPr>
        <w:pStyle w:val="Normaalweb"/>
        <w:spacing w:line="360" w:lineRule="auto"/>
        <w:rPr>
          <w:bCs/>
          <w:sz w:val="22"/>
          <w:szCs w:val="22"/>
        </w:rPr>
      </w:pPr>
      <w:r w:rsidRPr="00AE1B99">
        <w:rPr>
          <w:bCs/>
          <w:sz w:val="22"/>
          <w:szCs w:val="22"/>
        </w:rPr>
        <w:t>Tot nu toe heb ik de verlangens en passies besproken en me met name gericht op hun rol ten opzichte van eigenbelang. Onder andere bij Hobbes had echter ook de rede of ratio een rol ten opzichte van eigenbelang. Na het werk van Smith verdwenen de passies naar de achtergrond en werd de rede een belangrijk onderdeel binnen het concept eigenbelang. In enkele gevallen werd het naar eigenbelang handelen zelfs vrijwel synoniem met het rationeel handelen (Hirschman, 1977). Een belangrijk onderscheid in deze is de oorsprong van de handeling en de handeling zelf. Een handeling kan rationeel zijn ten opzichte van een bepaald doel. Dat doel kan echter geformuleerd worden door ingegeven verlangens. Neem het volgende voorbeeld: Individu A heeft de langgekoesterde wens om van statiegeldflessen een fort te bouwen in zijn achtertuin. Dit doel komt voort uit zijn verlangen zich te onderscheiden van zijn buren. Het doel is op het eerste oog niet heel rationeel, het bevordert bijvoorbeeld niet zijn economische positie of zijn machtspositie ten opzichte van anderen. Om dit doel te kunnen realiseren koopt individu A zijn frisdank in statiegeldflessen en niet in andere vormen zoals in blik. Deze handeling is rationeel ten opzichte van zijn vrij absurde doel. Voor het bouwen van zijn fort heeft hij namelijk statiegeldflessen nodig, handelen op een manier die hem statiegeldflessen oplevert is daarmee rationeel. Rationaliteit is daarmee niet evident en kan op verschillende wijzen geïnterpreteerd worden. De meest duidelijke en omvattende uiteenzetting over de verschillende types van handelen met betrekking tot rationaliteit staat op naam van de Duitse socioloog Max Weber.</w:t>
      </w:r>
    </w:p>
    <w:p w:rsidR="003A5F28" w:rsidRPr="00AE1B99" w:rsidRDefault="003A5F28" w:rsidP="003A5F28">
      <w:pPr>
        <w:pStyle w:val="Normaalweb"/>
        <w:spacing w:line="360" w:lineRule="auto"/>
        <w:rPr>
          <w:bCs/>
          <w:sz w:val="22"/>
          <w:szCs w:val="22"/>
        </w:rPr>
      </w:pPr>
      <w:r w:rsidRPr="00AE1B99">
        <w:rPr>
          <w:bCs/>
          <w:sz w:val="22"/>
          <w:szCs w:val="22"/>
        </w:rPr>
        <w:lastRenderedPageBreak/>
        <w:t>Weber onderscheidde vier ideaaltypes</w:t>
      </w:r>
      <w:r w:rsidRPr="00AE1B99">
        <w:rPr>
          <w:rStyle w:val="Voetnootmarkering"/>
          <w:bCs/>
          <w:sz w:val="22"/>
          <w:szCs w:val="22"/>
        </w:rPr>
        <w:footnoteReference w:id="17"/>
      </w:r>
      <w:r w:rsidRPr="00AE1B99">
        <w:rPr>
          <w:bCs/>
          <w:sz w:val="22"/>
          <w:szCs w:val="22"/>
        </w:rPr>
        <w:t xml:space="preserve"> van handelen; waarderationeel, doelrationeel, affectief en traditioneel. De eerste twee zijn rationele types van handelen. Bij waarderationaliteit is het handelen gebaseerd op een waarde of op een principe. Deze waarde of dit principe kan religieus, ethisch of esthetisch zijn en heeft een enkel op zichzelf staande waarde en is onafhankelijk van het te verwachten resultaat (Weber, 2009). Dit is geen absolute of objectieve waarde, deze waarde verschilt per individu. Het handelen vanuit waarderationaliteit kan voor anderen dan ook moeilijk te doorgronden zijn. Wanneer het waarderationaliteit betreft is het eindresultaat leidend in de overweging. Er is geen sprake van een afweging van middelen om tot dat doel te komen (efficiëntie en effectiviteit zijn niet belangrijk), middelen worden niet met elkaar vergeleken. Mogelijk andere resultaten –dat wil zeggen resultaten anders dan de gewenste waarde- zijn niet van belang in de gemaakte overweging en beïnvloedden daarmee het handelen niet. </w:t>
      </w:r>
    </w:p>
    <w:p w:rsidR="003A5F28" w:rsidRPr="00AE1B99" w:rsidRDefault="003A5F28" w:rsidP="003A5F28">
      <w:pPr>
        <w:pStyle w:val="Normaalweb"/>
        <w:spacing w:line="360" w:lineRule="auto"/>
        <w:rPr>
          <w:bCs/>
          <w:sz w:val="22"/>
          <w:szCs w:val="22"/>
        </w:rPr>
      </w:pPr>
      <w:r w:rsidRPr="00AE1B99">
        <w:rPr>
          <w:bCs/>
          <w:sz w:val="22"/>
          <w:szCs w:val="22"/>
        </w:rPr>
        <w:t>Doelrationaliteit is een doelgerichte wijze van handelen waarbij er een afweging word</w:t>
      </w:r>
      <w:r>
        <w:rPr>
          <w:bCs/>
          <w:sz w:val="22"/>
          <w:szCs w:val="22"/>
        </w:rPr>
        <w:t>t</w:t>
      </w:r>
      <w:r w:rsidRPr="00AE1B99">
        <w:rPr>
          <w:bCs/>
          <w:sz w:val="22"/>
          <w:szCs w:val="22"/>
        </w:rPr>
        <w:t xml:space="preserve"> gemaakt van kosten en baten en waarbij het verwachte handelen van anderen onderdeel is van de overweging. Het handelen is een uitkomst van een berekening waarbij de verwachte baten hoger zijn dan de kosten en er een voldoende kennis is van feiten en het verwachte gedrag van derden. Deze systematische manier van handelen is emotioneel neutraal en is kenmerkend voor de zogenaamde </w:t>
      </w:r>
      <w:r w:rsidRPr="00AE1B99">
        <w:rPr>
          <w:bCs/>
          <w:i/>
          <w:sz w:val="22"/>
          <w:szCs w:val="22"/>
        </w:rPr>
        <w:t>homo oeconomicus</w:t>
      </w:r>
      <w:r w:rsidRPr="00AE1B99">
        <w:rPr>
          <w:bCs/>
          <w:sz w:val="22"/>
          <w:szCs w:val="22"/>
        </w:rPr>
        <w:t>. In tegenstelling tot waarderationaliteit worden bij doelrationaliteit alle middelen die mogelijk tot het doel leiden meegewogen. Kosten, baten, mogelijke consequenties en alternatieve resultaten worden alle meegenomen in de overweging. Een vooropgestelde conclusie (bijvoorbeeld door traditie) is niet verenigbaar met deze vorm van rationaliteit. Wel kan het zijn dat waarderationele overwegingen worden meegewogen. Echter</w:t>
      </w:r>
      <w:r>
        <w:rPr>
          <w:bCs/>
          <w:sz w:val="22"/>
          <w:szCs w:val="22"/>
        </w:rPr>
        <w:t>,</w:t>
      </w:r>
      <w:r w:rsidRPr="00AE1B99">
        <w:rPr>
          <w:bCs/>
          <w:sz w:val="22"/>
          <w:szCs w:val="22"/>
        </w:rPr>
        <w:t xml:space="preserve"> hoe meer een waarde of verschillende waardes worden meegenomen en hoe meer deze geprefereerd worden boven andere (doelrationele overwegingen) des te irrationeler zal een handeling zijn. Hoe groter de rol is van waarderationaliteit des te kleiner is immers de rol van verwachtingen of mogelijke consequenties. </w:t>
      </w:r>
    </w:p>
    <w:p w:rsidR="003A5F28" w:rsidRPr="00AE1B99" w:rsidRDefault="003A5F28" w:rsidP="003A5F28">
      <w:pPr>
        <w:pStyle w:val="Normaalweb"/>
        <w:spacing w:line="360" w:lineRule="auto"/>
        <w:rPr>
          <w:bCs/>
          <w:sz w:val="22"/>
          <w:szCs w:val="22"/>
        </w:rPr>
      </w:pPr>
      <w:r w:rsidRPr="00AE1B99">
        <w:rPr>
          <w:bCs/>
          <w:sz w:val="22"/>
          <w:szCs w:val="22"/>
        </w:rPr>
        <w:t xml:space="preserve">Als we nu terugkeren naar ons eerdere voorbeeld van individu A zien we dat beide vormen van rationaliteit voorkomen in zijn handelingen. De handeling heeft een doelrationeel element wanneer het gaat om de aanschaf van frisdrank in statiegeldflessen. Dit is met het oog op het fort namelijk effectiever dan het kopen van blikjes waarmee hij niet kan bouwen. De handeling is echter grotendeels gebaseerd op een door het individu zelf bepaalde waarde en is daarmee in hoge mate een waarderationele handeling. </w:t>
      </w:r>
      <w:r>
        <w:rPr>
          <w:bCs/>
          <w:sz w:val="22"/>
          <w:szCs w:val="22"/>
        </w:rPr>
        <w:lastRenderedPageBreak/>
        <w:t xml:space="preserve">Vandaar dat </w:t>
      </w:r>
      <w:r w:rsidRPr="00AE1B99">
        <w:rPr>
          <w:bCs/>
          <w:sz w:val="22"/>
          <w:szCs w:val="22"/>
        </w:rPr>
        <w:t xml:space="preserve">het ook niet vreemd </w:t>
      </w:r>
      <w:r>
        <w:rPr>
          <w:bCs/>
          <w:sz w:val="22"/>
          <w:szCs w:val="22"/>
        </w:rPr>
        <w:t xml:space="preserve">is </w:t>
      </w:r>
      <w:r w:rsidRPr="00AE1B99">
        <w:rPr>
          <w:bCs/>
          <w:sz w:val="22"/>
          <w:szCs w:val="22"/>
        </w:rPr>
        <w:t xml:space="preserve">dat deze handeling </w:t>
      </w:r>
      <w:r>
        <w:rPr>
          <w:bCs/>
          <w:sz w:val="22"/>
          <w:szCs w:val="22"/>
        </w:rPr>
        <w:t xml:space="preserve">(het bouwen van een fort van statiegeldflessen) </w:t>
      </w:r>
      <w:r w:rsidRPr="00AE1B99">
        <w:rPr>
          <w:bCs/>
          <w:sz w:val="22"/>
          <w:szCs w:val="22"/>
        </w:rPr>
        <w:t xml:space="preserve">in het oog van andere individuen nogal irrationeel gevonden wordt. </w:t>
      </w:r>
    </w:p>
    <w:p w:rsidR="003A5F28" w:rsidRPr="00AE1B99" w:rsidRDefault="003A5F28" w:rsidP="003A5F28">
      <w:pPr>
        <w:pStyle w:val="Normaalweb"/>
        <w:spacing w:line="360" w:lineRule="auto"/>
        <w:rPr>
          <w:bCs/>
          <w:sz w:val="22"/>
          <w:szCs w:val="22"/>
        </w:rPr>
      </w:pPr>
      <w:r w:rsidRPr="00AE1B99">
        <w:rPr>
          <w:bCs/>
          <w:sz w:val="22"/>
          <w:szCs w:val="22"/>
        </w:rPr>
        <w:t xml:space="preserve">Volgens Weber zijn er echter ook vormen van handelen die niet direct rationeel zijn. Zo is affectief handelen gedrag dat wordt gemotiveerd door affecties. Gestimuleerd door factoren in de omgeving reageert het individu op een manier waarvan de intentie niet altijd (op het eerste oog) duidelijk is. De directe impuls wraak te nemen is een voorbeeld van affectief handelen. Hoewel dit handelen niet altijd direct rationeel is, kan het wel (achteraf) gerationaliseerd worden. Affectief handelen is dan ook in veel gevallen niet betekenisloos. Het op de loop laten van emoties is vaak een bewuste handeling en onderdeel van het rationalisatieproces. </w:t>
      </w:r>
      <w:r>
        <w:rPr>
          <w:rStyle w:val="Voetnootmarkering"/>
          <w:bCs/>
          <w:sz w:val="22"/>
          <w:szCs w:val="22"/>
        </w:rPr>
        <w:footnoteReference w:id="18"/>
      </w:r>
      <w:r w:rsidRPr="00AE1B99">
        <w:rPr>
          <w:bCs/>
          <w:sz w:val="22"/>
          <w:szCs w:val="22"/>
        </w:rPr>
        <w:t xml:space="preserve">De laatste vorm van handelen die Weber beschrijft is het traditioneel handelen. Dit handelen komt voort uit tradities en gewoontes, het handelen is geïnternaliseerd. Dit handelen is onbewust, zodra dit handelen namelijk op een bewuste wijze een bepaalde waarde wordt gegeven is er namelijk sprake van waarderationeel handelen. Volgens Weber grenst dit type handeling aan betekenisloze handelingen en kan het in veel gevallen ook daadwerkelijk gezien worden als een </w:t>
      </w:r>
      <w:r>
        <w:rPr>
          <w:bCs/>
          <w:sz w:val="22"/>
          <w:szCs w:val="22"/>
        </w:rPr>
        <w:t>handeling zonder betekenis (Weber, 2009</w:t>
      </w:r>
      <w:r w:rsidRPr="00AE1B99">
        <w:rPr>
          <w:bCs/>
          <w:sz w:val="22"/>
          <w:szCs w:val="22"/>
        </w:rPr>
        <w:t>: p. 116). Deze vaak automatische handelingen vormen dan ook het grootste deel van onze dagelijkse handelingen.</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xml:space="preserve">       § 3.3.1. Rationaliteit in de 20</w:t>
      </w:r>
      <w:r w:rsidRPr="003A5F28">
        <w:rPr>
          <w:rFonts w:ascii="Times New Roman" w:hAnsi="Times New Roman" w:cs="Times New Roman"/>
          <w:b/>
          <w:vertAlign w:val="superscript"/>
          <w:lang w:val="nl-NL"/>
        </w:rPr>
        <w:t>ste</w:t>
      </w:r>
      <w:r w:rsidRPr="003A5F28">
        <w:rPr>
          <w:rFonts w:ascii="Times New Roman" w:hAnsi="Times New Roman" w:cs="Times New Roman"/>
          <w:b/>
          <w:lang w:val="nl-NL"/>
        </w:rPr>
        <w:t xml:space="preserve"> eeuw: Rational Choice Theory</w:t>
      </w:r>
    </w:p>
    <w:p w:rsidR="003A5F28" w:rsidRPr="003A5F28" w:rsidRDefault="003A5F28" w:rsidP="003A5F28">
      <w:pPr>
        <w:spacing w:line="360" w:lineRule="auto"/>
        <w:rPr>
          <w:rFonts w:ascii="Times New Roman" w:hAnsi="Times New Roman" w:cs="Times New Roman"/>
          <w:i/>
          <w:lang w:val="nl-NL"/>
        </w:rPr>
      </w:pPr>
      <w:r w:rsidRPr="003A5F28">
        <w:rPr>
          <w:rFonts w:ascii="Times New Roman" w:hAnsi="Times New Roman" w:cs="Times New Roman"/>
          <w:lang w:val="nl-NL"/>
        </w:rPr>
        <w:t xml:space="preserve">In het werk van Weber werd rationaliteit nog onderverdeeld in ideaaltypes waarvan bovendien combinaties konden bestaan. Rationaliteit werd echter al snel synoniem met Webers doelrationaliteit. </w:t>
      </w:r>
      <w:r w:rsidRPr="003A5F28">
        <w:rPr>
          <w:rFonts w:ascii="Times New Roman" w:hAnsi="Times New Roman" w:cs="Times New Roman"/>
          <w:i/>
          <w:lang w:val="nl-NL"/>
        </w:rPr>
        <w:t>Rational choice theory</w:t>
      </w:r>
      <w:r w:rsidRPr="003A5F28">
        <w:rPr>
          <w:rFonts w:ascii="Times New Roman" w:hAnsi="Times New Roman" w:cs="Times New Roman"/>
          <w:lang w:val="nl-NL"/>
        </w:rPr>
        <w:t xml:space="preserve"> is kenmerkend voor deze tendens; het onderscheidt zich van andere theorieën doordat het enkel en alleen uitgaat van puur rationele handelingen. Alle sociale handelingen worden gezien als rationele, instrumentele handelingen, hoezeer ze ook gezien worden als irrationeel. Alle handelingen zijn gecalculeerde handelingen van individuen die handelen uit eigenbelang.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Het elementaire deel van het sociale of maatschappelijke leven is het individuele menselijk handelen. Het verklaren van sociale instituties en sociale veranderingen is het laten zien hoe deze tot stand komen door de acties en interacties van individuen (Elster, 1983: p. 13, </w:t>
      </w:r>
      <w:r w:rsidRPr="003A5F28">
        <w:rPr>
          <w:rFonts w:ascii="Times New Roman" w:hAnsi="Times New Roman" w:cs="Times New Roman"/>
          <w:i/>
          <w:lang w:val="nl-NL"/>
        </w:rPr>
        <w:t>eigen vertaling</w:t>
      </w:r>
      <w:r w:rsidRPr="003A5F28">
        <w:rPr>
          <w:rFonts w:ascii="Times New Roman" w:hAnsi="Times New Roman" w:cs="Times New Roman"/>
          <w:lang w:val="nl-NL"/>
        </w:rPr>
        <w:t xml:space="preserve">). Individuele preferenties zijn leidend, op basis van deze maakt het individu een overweging waarin hij rekening houdt met kosten en baten. In Webers terminologie, een zuiver doelrationele handeling. Individuen anticiperen op mogelijke </w:t>
      </w:r>
      <w:r w:rsidRPr="003A5F28">
        <w:rPr>
          <w:rFonts w:ascii="Times New Roman" w:hAnsi="Times New Roman" w:cs="Times New Roman"/>
          <w:lang w:val="nl-NL"/>
        </w:rPr>
        <w:lastRenderedPageBreak/>
        <w:t xml:space="preserve">uitkomsten en maken een keuze voor het alternatief dat hen de meeste voldoening zal geven. Doordat er sprake is van een preferentieordening en kostenbaten analyses hebben economische theorieën en methodes een grote invloed binnen de </w:t>
      </w:r>
      <w:r w:rsidRPr="003A5F28">
        <w:rPr>
          <w:rFonts w:ascii="Times New Roman" w:hAnsi="Times New Roman" w:cs="Times New Roman"/>
          <w:i/>
          <w:lang w:val="nl-NL"/>
        </w:rPr>
        <w:t>rational choice theory</w:t>
      </w:r>
      <w:r w:rsidRPr="003A5F28">
        <w:rPr>
          <w:rFonts w:ascii="Times New Roman" w:hAnsi="Times New Roman" w:cs="Times New Roman"/>
          <w:lang w:val="nl-NL"/>
        </w:rPr>
        <w: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Vooral </w:t>
      </w:r>
      <w:r w:rsidRPr="003A5F28">
        <w:rPr>
          <w:rFonts w:ascii="Times New Roman" w:hAnsi="Times New Roman" w:cs="Times New Roman"/>
          <w:i/>
          <w:lang w:val="nl-NL"/>
        </w:rPr>
        <w:t xml:space="preserve">rational choice theory </w:t>
      </w:r>
      <w:r w:rsidRPr="003A5F28">
        <w:rPr>
          <w:rFonts w:ascii="Times New Roman" w:hAnsi="Times New Roman" w:cs="Times New Roman"/>
          <w:lang w:val="nl-NL"/>
        </w:rPr>
        <w:t>heeft er aan bijgedragen dat handelen naar eigenbelang vrijwel synoniem werd met rationeel handelen. Het subtiele onderscheid tussen verlangens en de ratio werd volledig aan de kant geschoven ten bate van theoretische eenvoud. Verderop zal ik aantonen dat dit het normatieve karakter van het concept eigenbelang handig heeft verstopt maar dat het onvermijdelijk is het concept normatief te duiden wanneer men besluit het te gebruiken.</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4. Objectief vs. subjectief eigenbelang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Het begrip eigenbelang is een ambigu begrip; dat zagen we al eerder. Dit is echter ook zo wanneer we een onderscheid maken tussen een objectief (eigen)belang en een subjectief belang. Dit onderscheid is wellicht de meest complexe factor bij het bepalen van wat we bedoelen als we het over eigenbelang hebben. Met name met betrekking tot vragen over moraliteit is het belangrijk aan te geven over welke vorm van eigenbelang het we nu daadwerkelijk hebben. Volgens Bloomfield (en dit is het meest gangbare onderscheid) kan eigenbelang op twee manieren geïnterpreteerd worden: (1)het eigenbelang zoals het gezien wordt door een specifiek individu zelf of (2) dat wat werkelijk in het belang is van een bepaald individu. Hoewel deze twee definities elkaar niet uitsluiten kan het zijn dat er frictie is tussen wat in het belang is van een bepaald individu en wat het individu denkt dat in zijn belang is (Bloomfield, 2007). Hoewel deze allerminst omstreden zijn zal ik de hiervoor de termen objectief (dat wat in het belang is van het individu) respectievelijk subjectief eigenbelang (dat wat het individu in zijn belang acht) gebruiken. </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4.1. Objectieve notie van eigenbelang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Zuiver objectief eigenbelang- dat wat werkelijk in het belang is van een bepaald individu- heeft een universeel aspect, het suggereert een universeel karakter. De claim is veelal dat het individu, ongeacht en onafhankelijk van de specifieke context, dit belang kan formuleren. Een zuiver objectief belang is echter complexer dan het op het eerste oog lijkt. Hoewel de term “objectief ” anders suggereert zijn er ook hier verscheidene interpretaties al dan niet in combinatie met subjectieve elementen. Bovendien kan objectiviteit in relatie tot de waargenomen praktijk ook verschillende zienswijzen opleveren. Volgens Murray (2003) is objectief eigenbelang dan ook onder te verdelen in twee categorieën; normatieve noties en beschrijvende noties. In het eerste geval stelt Murray dat een individu belang zou moeten hechten aan bepaalde objecten. Dit belang formuleert het individu door gebruik te maken van externe argumenten die onafhankelijk zijn van datzelfde individu. Wanneer we spreken over een normatieve notie wordt </w:t>
      </w:r>
      <w:r w:rsidRPr="003A5F28">
        <w:rPr>
          <w:rFonts w:ascii="Times New Roman" w:hAnsi="Times New Roman" w:cs="Times New Roman"/>
          <w:lang w:val="nl-NL"/>
        </w:rPr>
        <w:lastRenderedPageBreak/>
        <w:t>beargumenteerd wat individuen in hun belang zouden moeten achten (universeel gezien) om vervolgens te kunnen vergelijken met het gedrag van diezelfde individuen in de praktijk. Een beschrijvende notie neemt een ander vertrekpunt. Bij een beschrijvende notie wordt er van uitgegaan dat het vastgestelde objectieve eigenbelang ook daadwerkelijk in het belang is van elk individu dat in de praktijk te vinden is. Vanuit dit vertrekpunt is het dan zaak een verklaring te vinden voor het niet erkennen al dan wel niet handelen naar het eigenbelang</w:t>
      </w:r>
      <w:r w:rsidRPr="00AE1B99">
        <w:rPr>
          <w:rStyle w:val="Voetnootmarkering"/>
          <w:rFonts w:ascii="Times New Roman" w:hAnsi="Times New Roman" w:cs="Times New Roman"/>
        </w:rPr>
        <w:footnoteReference w:id="19"/>
      </w:r>
      <w:r w:rsidRPr="003A5F28">
        <w:rPr>
          <w:rFonts w:ascii="Times New Roman" w:hAnsi="Times New Roman" w:cs="Times New Roman"/>
          <w:lang w:val="nl-NL"/>
        </w:rPr>
        <w:t xml:space="preserve">. Een normatieve interpretatie van objectief eigenbelang is een poging te beargumenteren waarom bepaalde objecten/behoeftes in ieders belang zouden moeten zijn. Beschrijvende interpretaties van objectief eigenbelang proberen een verklaring te geven voor het niet handelen naar eigenbelang van bepaalde individuen of groepen.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Murray verduidelijkt het onderscheid tussen de normatieve en de beschrijvende interpretatie van eigenbelang met een voorbeeld. Wanneer we iemand zien die rookt, zwaar drinkt en enkel ongezond eet zijn we geneigd te denken dat deze persoon handelt op een manier die zijn gezondheid schaadt en daarmee handelt op een manier die tegen zijn eigenbelang lijkt in te gaan. Dit roept twee mogelijke vragen op: (1) acht deze persoon zijn gezondheid überhaupt in zijn belang en (2) zou deze persoon zijn gezondheid van belang moeten achten? Normatief gezien zouden we kunnen stellen dat deze persoon kennelijk zijn gezondheid niet van belang acht maar dit wel zou moeten doen</w:t>
      </w:r>
      <w:r w:rsidRPr="00AE1B99">
        <w:rPr>
          <w:rStyle w:val="Voetnootmarkering"/>
          <w:rFonts w:ascii="Times New Roman" w:hAnsi="Times New Roman" w:cs="Times New Roman"/>
        </w:rPr>
        <w:footnoteReference w:id="20"/>
      </w:r>
      <w:r w:rsidRPr="003A5F28">
        <w:rPr>
          <w:rFonts w:ascii="Times New Roman" w:hAnsi="Times New Roman" w:cs="Times New Roman"/>
          <w:lang w:val="nl-NL"/>
        </w:rPr>
        <w:t>. Een andere bewering zou kunnen zijn dat gezondheid wel degelijk in zijn belang is maar dat iets of iemand hem ervan weerhoudt te handelen naar dit belang. In het eerste geval definiëren we een objectief belang en beoordelen we de specifieke situatie aan de hand van dit belang. Door dat we een waardeoordeel vellen aan de hand van het door ons geformuleerde belang kan deze notie normatief genoemd worden. In het geval van de tweede constatering - iets of iemand weerhoudt het individu ervan te handelen naar zijn eigenbelang - is het objectief belang al een gegeven. De notie is beschrijvend aangezien we op zoek gaan naar een verklaring voor de gevonden discrepantie. Met de eerste bevinding gaan we ervan uit dat het eigenbelang extern bepaald kan worden, terwijl in het geval van de tweede notie niet het belang maar de verklaring voor de gevonden discrepantie extern gezocht wordt. We zoeken dus manieren om deze waarneming in de praktijk te kunnen plaatsen bij onze conceptie van objectief eigenbelang.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lastRenderedPageBreak/>
        <w:t>De waarneming van een discrepantie tussen objectief beargumenteerde belangen en de praktijk, tussen een ideale en non-ideale situatie, kan ook gebruikt worden als bewijs voor het bestaan van objectieve belangen. Zo is voor Railton (1986) het feit dat een goed geïnformeerd individu (ideale situatie) andere keuzes maakt dan een minder geïnformeerd individu (non-ideale situatie) bewijs voor een objectief belang. Naar dit objectief belang wordt gehandeld wanneer het individu zich in een ideale situatie bevindt. Het feit dat onze verlangens en behoeftes veranderen is volgens Railton geen bewijs voor de subjectiviteit van eigenbelang maar toont aan dat we onze begeertes aanpassen naarmate onze kennis en informatie toenemen. Dat we als individu streven naar zo veel mogelijk informatie alvorens we keuzes maken suggereert dat er een ideale situatie is en daarmee een objectief belang. Hoewel Railton spreekt van een objectief belang is dit belang wel contextgevoelig. In ieder denkbare specifieke situatie moet het objectieve belang opnieuw geformuleerd worden. Dit lijkt een contradictie; dit is het echter niet. In veel gevallen wordt objectiviteit verward met universaliteit en in veel gevallen wordt een objectief belang ook daadwerkelijk geformuleerd als een universeel belang. Het is echter niet zo dat een belang objectief is wanneer het universeel is. Een belang is objectief geformuleerd wanneer het extern geformuleerd wordt. Zonder dat het individu hier zelf inspraak in heeft word bepaald wat in het belang is van dat bepaalde individu. Dat kan voor alle individuen of alle situaties gelden maar dat is geen vereiste.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De objectieve waarde van het eigenbelang is daarmee afhankelijk van de situatie, van universaliteit is geen sprake. Railton illustreert dit met een voorbeeld (1986, p.174): Een toerist is op bezoek in een warm en droog land, hij heeft heimwee lijdt bovendien aan dehydratatie. In eerste instantie verlangt hij naar melk, hier is hij namelijk bekend mee en wellicht neemt het zijn heimwee weg. Als deze toerist echter alle feiten op een rijtje zet bedenkt hij zich dat melk hem waarschijnlijk alleen maar erger zal doen voelen en dat hij beter af wanneer hij een heldere vloeistof neemt. In een ideale situatie met alle nodige informatie zal de toerist dus voor heldere vloeistoffen kiezen (let op, dit geldt enkel in dit geval) ondanks zijn voorkeur voor melk in eerste instantie. Volgens Railton geeft dit voorbeeld weer dat er in elke specifieke situatie een bepaald alternatief is dat in de ideale situatie gekozen wordt. Als er een alternatief aangewezen kan worden dat met toegang tot alle informatie gekozen wordt, geldt dat alternatief in deze context als een objectief belang. Individuen definiëren hun belang als dat wat hun ideale zelf de non-ideale zelf zou aanraden te doen aldus Railton. In mijn beschouwing over subjectieve noties van eigenbelang zal ik aan de hand van Murray (2003) kritiek leveren op deze notie (en vergelijkbare) van objectief eigenbelang. Vooralsnog illustreert Railtons visie dat zelfs een objectieve notie van eigenbelang, op het eerste gezicht een helder concept, complex is en dat de grenzen tussen objectief en subjectief in veel gevallen slechts vaag zijn. Wanneer niet expliciet vermeld wordt welke notie van eigenbelang </w:t>
      </w:r>
      <w:r w:rsidRPr="003A5F28">
        <w:rPr>
          <w:rFonts w:ascii="Times New Roman" w:hAnsi="Times New Roman" w:cs="Times New Roman"/>
          <w:lang w:val="nl-NL"/>
        </w:rPr>
        <w:lastRenderedPageBreak/>
        <w:t>gehanteerd wordt (zoals het geval is binnen het hedendaags realisme zoals ik in deel B zal betogen) zal ieder theoretisch concept vooral onduidelijk blijven.</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4.2. Subjectieve notie van eigenbelang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Een subjectieve interpretatie van eigenbelang gaat ervan uit dat wat we in ons belang achten (dat wat we verlangen) in ons belang is (Murray, 2003). Ons eigenbelang wordt dus niet gedefinieerd door middel van externe objectieve argumenten maar door subjectieve individuele argumenten. Wat het ene individu in zijn belang acht zegt niets over anderen en hun preferenties. </w:t>
      </w:r>
      <w:r w:rsidRPr="00AE1B99">
        <w:rPr>
          <w:rFonts w:ascii="Times New Roman" w:hAnsi="Times New Roman" w:cs="Times New Roman"/>
        </w:rPr>
        <w:t xml:space="preserve">Een van de eerste subjectieve interpretaties van belang vinden we in het werk van Hobbes: “That which men desire, they are also said to love: and to hate those things, for which they have aversion. So that desire, and love, are the same thing; save that by desire, we always signify the absence of the object; by love, most commonly the presence of the same” (Hobbes, 1996: p. 34). </w:t>
      </w:r>
      <w:r w:rsidRPr="003A5F28">
        <w:rPr>
          <w:rFonts w:ascii="Times New Roman" w:hAnsi="Times New Roman" w:cs="Times New Roman"/>
          <w:lang w:val="nl-NL"/>
        </w:rPr>
        <w:t xml:space="preserve">Voor Hobbes komt ons verlangen voor een bepaald object dus overeen met de liefde die we voor dat object hebben, een persoonlijke liefde wel te verstaan. Wat wij verlangen of wat wij in ons belang achten is daarmee subjectief geformuleerd. Een subjectieve notie van eigenbelang is allesbehalve onomstreden. In de volgende twee paragrafen zal ik me dan ook richten op twee belangrijke kritiekpunten. </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 4.2.1. Kritiek op de subjectieve notie: cirkelredenering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Voorlopig kunnen we al concluderen dat eigenbelang allesbehalve een eenduidig begrip is. Een antwoord op de vraag “Wanneer handelt iemand uit eigenbelang?” is lastig te beantwoorden. Wanneer het over een subjectief belang gaat zouden we de vraag kunnen beantwoorden met: een individu handelt altijd naar zijn eigenbelang. Het subjectief eigenbelang is immers het eigenbelang zoals het gezien wordt door een specifiek individu zelf. Waarom zou dat specifieke individu handelen op een manier die tegen zijn eigenbelang ingaat? Het probleem is hier echter dat we aannemen dat een individu handelt naar zijn eigenbelang en dat we vervolgens dat subjectief eigenbelang definiëren aan de hand van de handelingen van het individu. Er ontstaat op die manier een cirkelredenering; Eigenbelang wordt gedefinieerd aan de hand van individuele handelingen terwijl we al aannamen dat deze handelingen waren ingegeven door het subjectief eigenbelang. </w:t>
      </w:r>
      <w:r w:rsidRPr="00AE1B99">
        <w:rPr>
          <w:rFonts w:ascii="Times New Roman" w:hAnsi="Times New Roman" w:cs="Times New Roman"/>
        </w:rPr>
        <w:t xml:space="preserve">Dit argument is al te vinden in het werk van Spinoza: “It is clear…that we do not endeavor, will, seek or desire because we judge a thing good. On the contrary, we judge a thing to be good because we will, seek after and desire it” (Spinoza, 2001: p. 171). </w:t>
      </w:r>
      <w:r w:rsidRPr="003A5F28">
        <w:rPr>
          <w:rFonts w:ascii="Times New Roman" w:hAnsi="Times New Roman" w:cs="Times New Roman"/>
          <w:lang w:val="nl-NL"/>
        </w:rPr>
        <w:t xml:space="preserve">Subjectief eigenbelang is daarmee tautologisch van aard, alle individuele handelingen zijn handelingen uit eigenbelang. Wanneer alle handelingen verklaard kunnen worden door subjectief eigenbelang wordt er eigenlijk geen enkele handeling verklaard. Er wordt slechts een eigenschap aan die handeling toegevoegd. Wanneer we willen verklaren aan de hand van eigenbelang moeten er verschillen mogelijk zijn die verschillen in uitkomsten </w:t>
      </w:r>
      <w:r w:rsidRPr="003A5F28">
        <w:rPr>
          <w:rFonts w:ascii="Times New Roman" w:hAnsi="Times New Roman" w:cs="Times New Roman"/>
          <w:lang w:val="nl-NL"/>
        </w:rPr>
        <w:lastRenderedPageBreak/>
        <w:t>kunnen verklaren. Het lijkt daarmee dat een notie van eigenbelang - wil ze enkele verklarende kracht hebben - op zijn minst een vleugje objectiviteit nodig heeft. Zoals ik liet zien in § 4.1 kunnen we dan namelijk discrepanties waarnemen tussen eigenbelang en de praktijk.</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b/>
          <w:lang w:val="nl-NL"/>
        </w:rPr>
        <w:t>§ 4.2.2. Kritiek op de subjectieve notie: omgekeerde preferenties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De vraag die critici van een subjectieve notie van eigenbelang stellen is of er binnen een subjectieve interpretatie geen sprake is van een chronologische fout. Klopt de voorgestelde volgorde wel? David Brink – een van deze critici - stelt dat we waarde hechten aan een bepaald object omdat we denken dat dit object een bepaalde waarde heeft. Objecten hebben niet een waarde omdat wij ze verlangen, we verlangen ze omdat ze een bepaalde waarde hebben (Brink, 1989). Volgens hen is het niet zo dat ik bijvoorbeeld vriendschap goed acht omdat ik het begeer, ik begeer vriendschap omdat ik het goed acht. Als we er vanuit gaan dat onze begeertes niet compleet arbitrair zijn, moeten we ons afvragen waarom we iets verlangen. Er moet iets inherent aan een object zijn dat verklaart waarom we het verlangen. Waarom zou ik immers object X begeren als er niets inherent aan X is waardoor ik het zou begeren? Er lijkt dus een objectieve standaard te zijn, objecten hebben een inherente aantrekkingskracht of ze hebben het niet. Wanneer we een belang subjectief formuleren draaien we volgens onder andere Brink de volgorde om.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Murray weerlegt deze kritiek door aan te tonen dat dit leidt tot een absurde conclusie; als de voorgaande aannames kloppen wil dat namelijk zeggen dat iedereen dezelfde verlangens zou hebben. Objecten worden immers begeerd doordat het object een inherente kwaliteit heeft die ervoor zorgt dat het object begeerd wordt. Doordat het object deze kwaliteit bezit zou het door iedereen begeerd moeten worden, het heeft immers een voor iedereen begeerlijke kwaliteit. In de praktijk is het echter zo dat preferenties verschillen (soms enorm) van individu tot individu. Volgens Murray moet er dus wel degelijk sprake zijn van een subjectief onderdeel dat de preferenties van individu A doet onderscheiden van de preferenties van individu B. Subjectiviteit is nodig om preferentieverschillen te kunnen verklaren. Het argument dat bepaalde individuen sommige belangen simpelweg niet herkennen (vergelijkbaar met de beschrijvende notie zoals beschreven bij objectief belang) werkt ook niet. Het maakt het weliswaar mogelijk variatie in begeertes te verklaren maar lost het probleem van arbitraire preferenties niet op. Waarom begeert individu A wel object X (dat hij in objectieve zin niet zou moeten begeren) maar niet object Y (dat ook in objectieve zin niet in zijn belang is)? Of, waarom worden er objecten begeerd die in objectieve zin niet begeerlijk zijn? Kortom, er is een subjectief element nodig om een verklaring te kunnen geven. Zonder ook maar een vleugje subjectivisme blijft het probleem van arbitraire preferenties bestaan.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We zouden de aanname kunnen maken dat niet iedereen in staat is te beredeneren wat daadwerkelijk zijn objectief belang is. Zo is het voor Hobbes duidelijk dat ieder rationeel individu zich zou schikken naar het </w:t>
      </w:r>
      <w:r w:rsidRPr="003A5F28">
        <w:rPr>
          <w:rFonts w:ascii="Times New Roman" w:hAnsi="Times New Roman" w:cs="Times New Roman"/>
          <w:lang w:val="nl-NL"/>
        </w:rPr>
        <w:lastRenderedPageBreak/>
        <w:t xml:space="preserve">contract en naar de soeverein. Het ontbreken van het rationeel vermogen dit objectief belang te herkennen zou een verklaring kunnen zijn voor het verschil in de preferenties van individu A ten opzichte van individu B. </w:t>
      </w:r>
      <w:r>
        <w:rPr>
          <w:rStyle w:val="Voetnootmarkering"/>
          <w:rFonts w:ascii="Times New Roman" w:hAnsi="Times New Roman" w:cs="Times New Roman"/>
        </w:rPr>
        <w:footnoteReference w:id="21"/>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5. Nationaal belang: Eigenbelang in de internationale politiek</w:t>
      </w:r>
    </w:p>
    <w:p w:rsidR="003A5F28" w:rsidRPr="003A5F28" w:rsidRDefault="003A5F28" w:rsidP="003A5F28">
      <w:pPr>
        <w:spacing w:line="360" w:lineRule="auto"/>
        <w:rPr>
          <w:rFonts w:ascii="Times New Roman" w:hAnsi="Times New Roman" w:cs="Times New Roman"/>
          <w:bCs/>
          <w:lang w:val="nl-NL"/>
        </w:rPr>
      </w:pPr>
      <w:r w:rsidRPr="003A5F28">
        <w:rPr>
          <w:rFonts w:ascii="Times New Roman" w:hAnsi="Times New Roman" w:cs="Times New Roman"/>
          <w:lang w:val="nl-NL"/>
        </w:rPr>
        <w:t xml:space="preserve">Zowel de klassiek realisten als neorealisten zien de staat als de primaire actor in de internationale wereld. Tot nu toe heb ik echter voornamelijk over eigenbelang op een individueel niveau gesproken. Dit een op een vertalen naar het collectief of de staat is op zijn minst problematisch. De staat als entiteit heeft immers geen “zelf”. Wanneer we het over de staat hebben spreken we meestal dan ook over een nationaal belang. Dit belang kan op twee manieren geformuleerd worden. In het klassiek realisme veelal op een reductionistische manier, binnen het neorealisme als een product van het internationaal systeem. Het formuleren van het nationaal belang - en daarmee het verklaren van de handelingen door staten - vormt dan ook een breuk tussen de twee (sub)stromingen. Voordat we de twee benaderingen vergelijken kunnen we enkele algemene aannames maken. Zo zal een invulling van het begrip nationaal belang volgens Nincic (1999) aan enkele principes moeten voldoen. </w:t>
      </w:r>
      <w:r w:rsidRPr="003A5F28">
        <w:rPr>
          <w:rFonts w:ascii="Times New Roman" w:hAnsi="Times New Roman" w:cs="Times New Roman"/>
          <w:bCs/>
          <w:lang w:val="nl-NL"/>
        </w:rPr>
        <w:t xml:space="preserve">Hij formuleert drie principes die nodig zijn willen we zinvol over het begrip nationaal belang kunnen spreken. Allereerst is er het principe van inclusiviteit; de claim in naam van het nationaal belang dient de staat als geheel te betreffen dan wel een substantieel deel ervan. De claim dient in ieder geval de wensen en benodigdheden van een specifieke (sub)groep te overstijgen. Het tweede principe is volgens Nincic het principe van exclusiviteit. Het nationaal belang dient gedefinieerd te worden buiten de belangen om van groepen buiten de staatsvorm tenzij deze toevalligerwijs overeenkomen. Belangrijk is dat de externe belangen niet doorslaggevend zijn bij de totstandkoming van het nationaal belang. Ten derde dient de claim extern relevant te zijn dat wil zeggen dat de geformuleerde belangen significant beïnvloed worden door de internationale omgeving. Anders zal het immers weinig tot geen nut hebben om deze belangen te definiëren binnen de buitenlandse politiek (Nincic, 1999). Laten we dit illustreren met een voorbeeld: een versterkte militaire capaciteit heeft bijvoorbeeld direct effect op de machtsbalans en de internationale wereld en is daarmee extern relevant. Ook is het inclusief – de versterkte militaire capaciteit geldt voor de staat als geheel - en exclusief – externe belangen zijn niet gediend bij het vergroten van de militaire capaciteit. </w:t>
      </w:r>
    </w:p>
    <w:p w:rsidR="003A5F28" w:rsidRPr="003A5F28" w:rsidRDefault="003A5F28" w:rsidP="003A5F28">
      <w:pPr>
        <w:spacing w:line="360" w:lineRule="auto"/>
        <w:rPr>
          <w:rFonts w:ascii="Times New Roman" w:hAnsi="Times New Roman" w:cs="Times New Roman"/>
          <w:bCs/>
          <w:lang w:val="nl-NL"/>
        </w:rPr>
      </w:pPr>
      <w:r w:rsidRPr="003A5F28">
        <w:rPr>
          <w:rFonts w:ascii="Times New Roman" w:hAnsi="Times New Roman" w:cs="Times New Roman"/>
          <w:bCs/>
          <w:lang w:val="nl-NL"/>
        </w:rPr>
        <w:t xml:space="preserve">Neem nu een snelheidsbeperking op een regionale weg. Deze is maar voor een bepaalde (sub)groep direct van belang, de individuen die de weg gebruiken. Deze snelheidsbeperking is echter niet extern relevant, </w:t>
      </w:r>
      <w:r w:rsidRPr="003A5F28">
        <w:rPr>
          <w:rFonts w:ascii="Times New Roman" w:hAnsi="Times New Roman" w:cs="Times New Roman"/>
          <w:bCs/>
          <w:lang w:val="nl-NL"/>
        </w:rPr>
        <w:lastRenderedPageBreak/>
        <w:t>andere staten zullen geen last ondervinden van deze lokale snelheidsbeperking en zullen dus geen belang hebben in deze situatie.</w:t>
      </w:r>
    </w:p>
    <w:p w:rsidR="003A5F28" w:rsidRPr="003A5F28" w:rsidRDefault="003A5F28" w:rsidP="003A5F28">
      <w:pPr>
        <w:spacing w:line="360" w:lineRule="auto"/>
        <w:rPr>
          <w:b/>
          <w:bCs/>
          <w:lang w:val="nl-NL"/>
        </w:rPr>
      </w:pPr>
      <w:r w:rsidRPr="003A5F28">
        <w:rPr>
          <w:rFonts w:ascii="Times New Roman" w:hAnsi="Times New Roman" w:cs="Times New Roman"/>
          <w:bCs/>
          <w:lang w:val="nl-NL"/>
        </w:rPr>
        <w:t xml:space="preserve">Als we deze principes in het achterhoofd houden zijn er twee manieren waarop we een nationaal belang kunnen formuleren. </w:t>
      </w:r>
      <w:r w:rsidRPr="003A5F28">
        <w:rPr>
          <w:rFonts w:ascii="Times New Roman" w:hAnsi="Times New Roman" w:cs="Times New Roman"/>
          <w:lang w:val="nl-NL"/>
        </w:rPr>
        <w:t xml:space="preserve">Allereerst is er de reductionistische manier. Het nationaal belang is hierbij een som van de delen – dat wil zeggen - het collectief belang is de som van de individuele belangen. </w:t>
      </w:r>
      <w:r w:rsidRPr="00AE1B99">
        <w:rPr>
          <w:rFonts w:ascii="Times New Roman" w:hAnsi="Times New Roman" w:cs="Times New Roman"/>
        </w:rPr>
        <w:t xml:space="preserve">In zijn meest pure vorm is dit een utilitaristische som zoals we die tegenkomen in het werk van onder andere Bentham:” The community is a fictitious </w:t>
      </w:r>
      <w:r w:rsidRPr="00AE1B99">
        <w:rPr>
          <w:rFonts w:ascii="Times New Roman" w:hAnsi="Times New Roman" w:cs="Times New Roman"/>
          <w:i/>
          <w:iCs/>
        </w:rPr>
        <w:t>body,</w:t>
      </w:r>
      <w:r w:rsidRPr="00AE1B99">
        <w:rPr>
          <w:rFonts w:ascii="Times New Roman" w:hAnsi="Times New Roman" w:cs="Times New Roman"/>
        </w:rPr>
        <w:t xml:space="preserve"> composed of the individual persons who are considered as constituting as it were its </w:t>
      </w:r>
      <w:r w:rsidRPr="00AE1B99">
        <w:rPr>
          <w:rFonts w:ascii="Times New Roman" w:hAnsi="Times New Roman" w:cs="Times New Roman"/>
          <w:i/>
          <w:iCs/>
        </w:rPr>
        <w:t>members.</w:t>
      </w:r>
      <w:r w:rsidRPr="00AE1B99">
        <w:rPr>
          <w:rFonts w:ascii="Times New Roman" w:hAnsi="Times New Roman" w:cs="Times New Roman"/>
        </w:rPr>
        <w:t xml:space="preserve"> The interest of the community then is, what?—the sum of the interests of the several members who compose it” (Bentham, 2000: p.15). </w:t>
      </w:r>
      <w:r w:rsidRPr="003A5F28">
        <w:rPr>
          <w:rFonts w:ascii="Times New Roman" w:hAnsi="Times New Roman" w:cs="Times New Roman"/>
          <w:lang w:val="nl-NL"/>
        </w:rPr>
        <w:t>Op het eerste oog een simpele oplossing; deze definitie veronderstelt wel dat we het individueel belang herkennen. Voor de uitkomst van de som dienen we de exacte waarden van de delen te weten. In deel A zagen we al dat dit niet geheel probleemloos is. De klassiek realisten die het nationaal belang definiëren maken dan ook een duidelijke normatieve keuze. Het door hen gehanteerde nationaal belang is immers direct afgeleid van het individuele eigenbelang. In § 7 zal ik de rol van eigenbelang in de werken van Morgenthau en Niebuhr uitwerken. Beiden zullen een duidelijk voorbeeld geven van een reductionistisch geformuleerd nationaal belang geven en bovendien illustreren ze het normatieve karakter van een dergelijke methode.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Het nationaal belang kan echter ook onafhankelijk van individuele belangen gedefinieerd worden. Deze benadering zien we terug in het neorealisme. De staat is een unitaire abstracte entiteit die zijn eigen belangen formuleert volgens zijn eigen (internationale) logica. Een onafhankelijk geformuleerd staatsbelang zien we voor het eerst in het werk van Machiavelli en is bekend komen te staan als de doctrine van </w:t>
      </w:r>
      <w:r w:rsidRPr="003A5F28">
        <w:rPr>
          <w:rFonts w:ascii="Times New Roman" w:hAnsi="Times New Roman" w:cs="Times New Roman"/>
          <w:i/>
          <w:lang w:val="nl-NL"/>
        </w:rPr>
        <w:t>raison d’état</w:t>
      </w:r>
      <w:r>
        <w:rPr>
          <w:rStyle w:val="Voetnootmarkering"/>
          <w:rFonts w:ascii="Times New Roman" w:hAnsi="Times New Roman" w:cs="Times New Roman"/>
          <w:i/>
        </w:rPr>
        <w:footnoteReference w:id="22"/>
      </w:r>
      <w:r w:rsidRPr="003A5F28">
        <w:rPr>
          <w:rFonts w:ascii="Times New Roman" w:hAnsi="Times New Roman" w:cs="Times New Roman"/>
          <w:lang w:val="nl-NL"/>
        </w:rPr>
        <w:t xml:space="preserve">. Deze benadering is echter niet zonder problemen. Door de subjectieve aard van een dergelijke benadering ( de staat formuleert immers zijn eigen belang) is het problematisch de precieze invulling van et nationaal belang te bepalen. Binnen het neorealistische kader is de invulling van dit begrip voor een groot deel afhankelijk van de (economische, militaire etc.) omstandigheden. </w:t>
      </w:r>
      <w:r w:rsidRPr="00AE1B99">
        <w:rPr>
          <w:rFonts w:ascii="Times New Roman" w:hAnsi="Times New Roman" w:cs="Times New Roman"/>
        </w:rPr>
        <w:t xml:space="preserve">Zoals </w:t>
      </w:r>
      <w:r>
        <w:rPr>
          <w:rFonts w:ascii="Times New Roman" w:hAnsi="Times New Roman" w:cs="Times New Roman"/>
        </w:rPr>
        <w:t xml:space="preserve">bijvoorbeeld Waltz </w:t>
      </w:r>
      <w:r w:rsidRPr="00AE1B99">
        <w:rPr>
          <w:rFonts w:ascii="Times New Roman" w:hAnsi="Times New Roman" w:cs="Times New Roman"/>
        </w:rPr>
        <w:t>stelt:”To say that a country acts in its national interest (…)</w:t>
      </w:r>
      <w:r>
        <w:rPr>
          <w:rFonts w:ascii="Times New Roman" w:hAnsi="Times New Roman" w:cs="Times New Roman"/>
        </w:rPr>
        <w:t xml:space="preserve"> </w:t>
      </w:r>
      <w:r w:rsidRPr="00AE1B99">
        <w:rPr>
          <w:rFonts w:ascii="Times New Roman" w:hAnsi="Times New Roman" w:cs="Times New Roman"/>
        </w:rPr>
        <w:t>means that, having examined its security requirements, it tries to meet them” (Waltz, 2011: p. 135</w:t>
      </w:r>
      <w:r>
        <w:rPr>
          <w:rFonts w:ascii="Times New Roman" w:hAnsi="Times New Roman" w:cs="Times New Roman"/>
        </w:rPr>
        <w:t>)</w:t>
      </w:r>
      <w:r w:rsidRPr="00AE1B99">
        <w:rPr>
          <w:rFonts w:ascii="Times New Roman" w:hAnsi="Times New Roman" w:cs="Times New Roman"/>
        </w:rPr>
        <w:t xml:space="preserve">. </w:t>
      </w:r>
      <w:r w:rsidRPr="003A5F28">
        <w:rPr>
          <w:rFonts w:ascii="Times New Roman" w:hAnsi="Times New Roman" w:cs="Times New Roman"/>
          <w:lang w:val="nl-NL"/>
        </w:rPr>
        <w:t xml:space="preserve">Het belang waar staten naar zouden handelen is op de manier waarop Waltz het formuleert zeer ruim te interpreteren namelijk het enige substantiële deel van de invulling vinden in het woord veiligheid. Wil belang een concrete verklarende kracht hebben, dan zullen we dit onderdeel van het nationaal belang nader moeten bekijken. </w:t>
      </w:r>
      <w:r w:rsidRPr="003A5F28">
        <w:rPr>
          <w:rFonts w:ascii="Times New Roman" w:hAnsi="Times New Roman" w:cs="Times New Roman"/>
          <w:lang w:val="nl-NL"/>
        </w:rPr>
        <w:lastRenderedPageBreak/>
        <w:t>Indien ook dit geen oplossing biedt zullen we eenzelfde conclusie als Steve Smith bereiken:”Self-interest (…) can be used to mean whatever the user wishes” (Smith, 1986: p. 23).</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 8.1 zullen we naar de relatie tussen eigenbelang en anarchie kijken. Het is binnen het neorealisme immers het internationale systeem dat de situatie creëert waarin individuele staten hun belang definiëren. In § 8.2 zal ik het subjectieve karakter van het nationaal belang analyseren waarbij ik de bevindingen uit deel A zal vergelijken met het neorealistische nationaal belang. In § 8.3. zal ik ingaan op het rationele element dat de neorealisten toepassen in het nationaal belang.</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b/>
          <w:lang w:val="nl-NL"/>
        </w:rPr>
        <w:t>6. Tussenbalans: Eigenbelang als containerbegrip?</w:t>
      </w:r>
    </w:p>
    <w:p w:rsidR="003A5F28" w:rsidRPr="003A5F28" w:rsidRDefault="003A5F28" w:rsidP="003A5F28">
      <w:pPr>
        <w:autoSpaceDE w:val="0"/>
        <w:autoSpaceDN w:val="0"/>
        <w:adjustRightInd w:val="0"/>
        <w:spacing w:after="0" w:line="360" w:lineRule="auto"/>
        <w:rPr>
          <w:rFonts w:ascii="Times New Roman" w:hAnsi="Times New Roman" w:cs="Times New Roman"/>
          <w:lang w:val="nl-NL"/>
        </w:rPr>
      </w:pPr>
      <w:r w:rsidRPr="003A5F28">
        <w:rPr>
          <w:rFonts w:ascii="Times New Roman" w:hAnsi="Times New Roman" w:cs="Times New Roman"/>
          <w:lang w:val="nl-NL"/>
        </w:rPr>
        <w:t xml:space="preserve">In mijn poging eigenbelang te definiëren bleek al snel dat het begrip eigenbelang een enorme complexiteit en veelzijdigheid bevat. Een eenduidige simpele uitleg in enkele zinnen blijf ik dan ook verschuldigd. Eigenbelang heeft enorm veel dimensies en kan naarmate een het gebruik ervan zeer veel verschillende betekenissen hebben. </w:t>
      </w:r>
      <w:r w:rsidRPr="00AE1B99">
        <w:rPr>
          <w:rFonts w:ascii="Times New Roman" w:hAnsi="Times New Roman" w:cs="Times New Roman"/>
        </w:rPr>
        <w:t xml:space="preserve">Een </w:t>
      </w:r>
      <w:r>
        <w:rPr>
          <w:rFonts w:ascii="Times New Roman" w:hAnsi="Times New Roman" w:cs="Times New Roman"/>
        </w:rPr>
        <w:t>conclusie</w:t>
      </w:r>
      <w:r w:rsidRPr="00AE1B99">
        <w:rPr>
          <w:rFonts w:ascii="Times New Roman" w:hAnsi="Times New Roman" w:cs="Times New Roman"/>
        </w:rPr>
        <w:t xml:space="preserve"> die Jeremy Bent</w:t>
      </w:r>
      <w:r>
        <w:rPr>
          <w:rFonts w:ascii="Times New Roman" w:hAnsi="Times New Roman" w:cs="Times New Roman"/>
        </w:rPr>
        <w:t>ham al twee eeuwen voor mij trok</w:t>
      </w:r>
      <w:r w:rsidRPr="00AE1B99">
        <w:rPr>
          <w:rFonts w:ascii="Times New Roman" w:hAnsi="Times New Roman" w:cs="Times New Roman"/>
        </w:rPr>
        <w:t xml:space="preserve">: “Interest is one of those words, which not having any superior genus, cannot in the ordinary way be defined” (Bentham, 2000, noot bij p.15). </w:t>
      </w:r>
      <w:r w:rsidRPr="003A5F28">
        <w:rPr>
          <w:rFonts w:ascii="Times New Roman" w:hAnsi="Times New Roman" w:cs="Times New Roman"/>
          <w:lang w:val="nl-NL"/>
        </w:rPr>
        <w:t xml:space="preserve">Dit is niet problematisch op zichzelf, het stelt de realist echter wel voor een keuze. Wat bedoelt hij wanneer hij het begrip eigenbelang gebruikt? Bedoelt hij een belang dat is ingegeven door verlangens of dat na reflectie tot stand is gekomen? Bedoelt hij een objectief of een subjectief belang? Is het individu egoïstisch of egocentrisch? Vragen die niet meteen problematisch hoeven te zijn maar die de realist wel voor keuzes stelt, normatieve keuzes. Het gebruik van eigenbelang als een neutraal theoretisch concept is vrijwel onmogelijk. Toch wordt het veelvuldig zo gepresenteerd. Zoals het verloop van Deel A laat zien is er op veel gebieden weinig meer over van de gecompliceerde wisselwerking tussen verlangens en de ratio die het werk van onder andere Hobbes en Spinoza kenmerkten. </w:t>
      </w:r>
    </w:p>
    <w:p w:rsidR="003A5F28" w:rsidRPr="003A5F28" w:rsidRDefault="003A5F28" w:rsidP="003A5F28">
      <w:pPr>
        <w:autoSpaceDE w:val="0"/>
        <w:autoSpaceDN w:val="0"/>
        <w:adjustRightInd w:val="0"/>
        <w:spacing w:after="0" w:line="360" w:lineRule="auto"/>
        <w:rPr>
          <w:rFonts w:ascii="Times New Roman" w:hAnsi="Times New Roman" w:cs="Times New Roman"/>
          <w:lang w:val="nl-NL"/>
        </w:rPr>
      </w:pP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Men zou kunnen zeggen dat het gebruik van eigenbelang onduidelijk is. Dit is echter niet mijn punt, integendeel zelfs. Een distinctie tussen onduidelijkheid en ambiguïteit is hier op zijn plaats. Mijn claim is niet dat het gebruik van eigenbelang onduidelijk is, mijn claim is dat het gebruik van eigenbelang ambigu is. Eigenbelang kan meerdere betekenissen hebben zoals de voorgaande paragrafen aantonen. Het niet expliciet kiezen van een betekenis of het niet beargumenteren van de gemaakte keuze zorgt voor onduidelijkheid. Het probleem is niet dat een duidelijke definitie ontbreekt of niet voorhanden is (de paragrafen hiervoor bewijzen het tegendeel) maar dat de definitie vaak in het midden wordt gelaten. Eigenbelang is daarmee een containerbegrip dat vaak zonder scherpe afgebakende betekenis wordt gebruikt waardoor het kan betekenen wat de schrijver wil dat het betekent. De ambiguïteit in combinatie met een ontbrekende expliciete keuze zorgt vervolgens voor de onduidelijkheid.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lastRenderedPageBreak/>
        <w:t>Dit wordt duidelijker wanneer we het neorealisme vergelijken met het klassiek realisme. Binnen het klassiek realisme lichten de auteurs hun keuze voor een bepaalde definitie van eigenbelang toe. Zoals we straks zullen zien beschrijven auteurs als Niebuhr en Morgenthau duidelijk hun concepten en nemen ze expliciet een (normatieve) positie in. De neorealisten laten dit duidelijk na, de lezer blijft vertwijfeld achter. Wat bedoelen de neorealisten nu precies wanneer ze het over eigenbelang of het nationaal belang hebben? Het probleem is niet direct dat eigenbelang op zichzelf een onduidelijk begrip is maar dat het verschillende (soms tegenovergestelde) betekenissen kan hebben. De neorealist doet er niets aan om deze ambiguïteit te laten verdwijnen doordat hij geen expliciete keuzes maakt.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De vraag rijst nu of dit niet bewust wordt gedaan. Een verder uitwerking van het begrip eigenbelang verlangt namelijk keuzes, normatieve keuzes. En juist deze normatieve discussie wil de neorealist vermijden. Het kan echter niet zo zijn dat de neorealist eigenbelang als containerbegrip blijft gebruiken. Wat op het eerste oog plausibel lijkt is na een nadere beschouwing inhoudelijk leeg. In het vervolg van mijn betoog zullen we dan ook zien dat de neorealist keuzes zal moeten maken en (wellicht nog belangrijker) deze zal moeten verantwoorden wil zijn theorie niet al zijn verklaringskracht verliezen.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Bij het behandelen van het eigenbelang in het neorealisme (d.w.z. het nationaal belang) zagen we dat dit belang op twee manieren geformuleerd kan worden. Op een reductionistische wijze of op een onafhankelijke manier. De neorealist wil (zoals we in de inleiding zagen) per definitie geen reductionistische methode hanteren. Aanwijzingen voor een verdere invulling van het begrip (eigen)belang moeten we zoeken in een onafhankelijke formulering. In mijn verdere betoog en analyse van eigenbelang in het neorealisme ga ik dit op drie manieren doen.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Allereerst gaan we na of de omgeving waarin het geformuleerde belang tot stand komt van belang is. Sinds de werken van Hobbes is de anarchische omgeving een van de kernconcepten binnen het realistische paradigma. Wellicht kan een schakel met anarchie ons meer inzicht geven in het door neorealisten gebruikte begrip van eigenbelang (zie § 8.1).</w:t>
      </w:r>
      <w:r w:rsidRPr="003A5F28">
        <w:rPr>
          <w:rFonts w:ascii="Times New Roman" w:hAnsi="Times New Roman" w:cs="Times New Roman"/>
          <w:b/>
          <w:lang w:val="nl-NL"/>
        </w:rPr>
        <w:t xml:space="preserve"> </w:t>
      </w:r>
      <w:r w:rsidRPr="003A5F28">
        <w:rPr>
          <w:rFonts w:ascii="Times New Roman" w:hAnsi="Times New Roman" w:cs="Times New Roman"/>
          <w:lang w:val="nl-NL"/>
        </w:rPr>
        <w:t xml:space="preserve"> Ten tweede stellen we ons de vraag of het binnen het neorealisme gaat om een objectief dan wel subjectief belang (zie § 8.2). Hoewel dit inhoudelijk niet direct een duidelijker beeld geeft van de betekenis van het belang voorziet het ons wel in aanwijzingen. Bovendien zullen we straks zien dat beide noties(objectief dan wel subjectief) hun problemen hebben. Ten derde verkennen we het gebruik van rationaliteit ten opzichte van eigenbelang (zie § 8.3). In hoeverre zegt het adjectief ‘’rationeel’’ iets over het concept eigenbelang zoals dat door de neorealisten wordt gebruikt?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Zoals ik heb laten zien dient de ambiguïteit te verdwijnen willen de neorealisten eigenbelang blijven gebruiken als een concept. Dit wordt niet bereikt door de nu gebruikte concepten te verhelderen. De </w:t>
      </w:r>
      <w:r w:rsidRPr="003A5F28">
        <w:rPr>
          <w:rFonts w:ascii="Times New Roman" w:hAnsi="Times New Roman" w:cs="Times New Roman"/>
          <w:lang w:val="nl-NL"/>
        </w:rPr>
        <w:lastRenderedPageBreak/>
        <w:t>concepties van eigenbelang zijn helder. Zaak is dat er een keuze wordt gemaakt, een normatieve keuze. In de paragrafen 8.2 en 8.3 zal ik laten zien dat de elementen die minder ambigu zijn gebleven - het subjectieve en het rationele karakter van eigenbelang - op zichzelf al een bepaalde normatieve keuze zijn. Bovendien is het gebruik van deze begrippen (zoals ik in 8.3 zal laten zien) ook niet probleemloos.</w:t>
      </w:r>
    </w:p>
    <w:p w:rsidR="003A5F28" w:rsidRPr="003A5F28" w:rsidRDefault="003A5F28" w:rsidP="003A5F28">
      <w:pPr>
        <w:autoSpaceDE w:val="0"/>
        <w:autoSpaceDN w:val="0"/>
        <w:adjustRightInd w:val="0"/>
        <w:spacing w:after="0" w:line="240" w:lineRule="auto"/>
        <w:rPr>
          <w:rFonts w:ascii="Times New Roman" w:hAnsi="Times New Roman" w:cs="Times New Roman"/>
          <w:lang w:val="nl-NL"/>
        </w:rPr>
      </w:pP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Deel B Analyse: eigenbelang in het hedendaags realisme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de inleiding zagen we dat de neorealisten vooral met hun voorgangers verschillen wanneer ze het belang van een staat formuleren als een onafhankelijk belang, niet als het collectief van de individuele belangen in die staat. Dit belang is cruciaal voor het neorealistische begrip van de internationale wereld, het vormt de spil in de theorie van o.a. Waltz en Mearsheimer. Mede daarom is de invulling van dit begrip enigszins teleurstellend.</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Zoals ik in deel A heb aangetoond is eigenbelang een enorm complex en veelzijdig begrip. In dit deel zullen we het gebruik van het begrip eigenbelang analyseren in het neorealisme. Mijn kritiek zal zich vooral richten op het zogenaamde neorealisme (waarin het werk van Waltz een belangrijke bron vormt). Voor een compleet overzicht zal ik echter eerst het werk van twee klassieke realisten behandelen. Een analyse van eigenbelang zoals dat voorkomt in het werk van Morgenthau en Niebuhr zorgt niet alleen voor een compleet beeld maar laat ook zien dat het gebruik van het begrip eigenbelang binnen het realisme kan resulteren in duidelijke theoretische verschillen, verschillen die in het werk van neorealisten verdwijnen. Ik zal echter proberen aan te tonen dat ook Waltz en zijn collega’s enkele theoretische keuzes moet maken en dat ook zij (ondanks hun poging dat niet te doen) normatieve keuzes moeten maken. </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7. Eigenbelang in het klassiek realisme: Niebuhr versus Morgenthau</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Voordat ik de rol van eigenbelang in het neorealisme nader bespreek werp ik een korte blik op de voorgangers, de klassiek realisten (zie ook de inleiding). Niet alleen vanwege de volledigheid maar met name doordat mijn kritiek op het neorealisme vooral gericht is op de punten waarop het neorealisme verschilt van het klassiek realisme. In § 5. zagen we al dat de reductionistische invulling van het nationaal belang kenmerkend is voor het klassiek realisme en het grote onderscheid vormt met het neorealisme. Hoewel er binnen het klassiek realisme voldoende verschillen en nuances te vinden zijn</w:t>
      </w:r>
      <w:r w:rsidRPr="00AE1B99">
        <w:rPr>
          <w:rStyle w:val="Voetnootmarkering"/>
          <w:rFonts w:ascii="Times New Roman" w:hAnsi="Times New Roman" w:cs="Times New Roman"/>
        </w:rPr>
        <w:footnoteReference w:id="23"/>
      </w:r>
      <w:r w:rsidRPr="003A5F28">
        <w:rPr>
          <w:rFonts w:ascii="Times New Roman" w:hAnsi="Times New Roman" w:cs="Times New Roman"/>
          <w:lang w:val="nl-NL"/>
        </w:rPr>
        <w:t xml:space="preserve"> zal ik mij op het moment met name richten op de werken van Morgenthau en Niebuhr. Deze twee auteurs bieden een goed beeld van het klassieke realisme en beiden behandelen bovendien uitvoerig hun conceptie van eigenbelang. Ook laten de verschillen in hun begrip van eigenbelang zien hoe verschillende normatieve </w:t>
      </w:r>
      <w:r w:rsidRPr="003A5F28">
        <w:rPr>
          <w:rFonts w:ascii="Times New Roman" w:hAnsi="Times New Roman" w:cs="Times New Roman"/>
          <w:lang w:val="nl-NL"/>
        </w:rPr>
        <w:lastRenderedPageBreak/>
        <w:t xml:space="preserve">keuzes verschillende theoretische perspectieven bieden. Zowel Niebuhr als Morgenthau heeft een holistisch begrip van de politiek: niet de verschillen maar de overeenkomsten tussen de binnenlandse en internationale politiek worden benadrukt. Deze benadering - kenmerkend voor het klassiek realisme en in sterk contrast met de neorealisten zoals ik straks zal laten zien - omvat een prominente rol voor orde, gemeenschap en het streven naar stabiliteit (Ned Lebow, 2010). Bovendien zijn in het werk van beide auteurs de continentale invloeden te herkennen die in het latere neorealisme zullen verdwijnen.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Zover de overeenkomsten; de verschillen tussen de twee auteurs worden duidelijker wanneer we hun concepties van eigenbelang vergelijken. De rol van eigenbelang is bij de twee auteurs verschillend. Waar het handelen naar eigenbelang volgens Morgenthau de essentie van de menselijke aard is, is het volgens Niebuhr juist een corruptie van diezelfde menselijke aard. Volgens Morgenthau staan zelfzuchtigheid en het streven naar macht centraal in het menselijk bestaan. De onverzadigbare menselijke drang naar macht – de zogenaamde </w:t>
      </w:r>
      <w:r w:rsidRPr="003A5F28">
        <w:rPr>
          <w:rFonts w:ascii="Times New Roman" w:hAnsi="Times New Roman" w:cs="Times New Roman"/>
          <w:i/>
          <w:lang w:val="nl-NL"/>
        </w:rPr>
        <w:t xml:space="preserve">animus dominandi </w:t>
      </w:r>
      <w:r w:rsidRPr="003A5F28">
        <w:rPr>
          <w:rFonts w:ascii="Times New Roman" w:hAnsi="Times New Roman" w:cs="Times New Roman"/>
          <w:lang w:val="nl-NL"/>
        </w:rPr>
        <w:t>- is voor hem de belangrijkste oorzaak voor conflict</w:t>
      </w:r>
      <w:r>
        <w:rPr>
          <w:rStyle w:val="Voetnootmarkering"/>
          <w:rFonts w:ascii="Times New Roman" w:hAnsi="Times New Roman" w:cs="Times New Roman"/>
        </w:rPr>
        <w:footnoteReference w:id="24"/>
      </w:r>
      <w:r w:rsidRPr="003A5F28">
        <w:rPr>
          <w:rFonts w:ascii="Times New Roman" w:hAnsi="Times New Roman" w:cs="Times New Roman"/>
          <w:lang w:val="nl-NL"/>
        </w:rPr>
        <w:t xml:space="preserve">. </w:t>
      </w:r>
      <w:r w:rsidRPr="00AE1B99">
        <w:rPr>
          <w:rFonts w:ascii="Times New Roman" w:hAnsi="Times New Roman" w:cs="Times New Roman"/>
        </w:rPr>
        <w:t xml:space="preserve">Of zoals Morgenthau het zelf verwoord: “For man’s vital needs are capable of satisfaction, his lust for power would be satisfied only  if the last man became an object of his domination, there being nobody above him or beside him, that is, if he became like God” (Morgenthau, 1946: p.165). </w:t>
      </w:r>
      <w:r w:rsidRPr="003A5F28">
        <w:rPr>
          <w:rFonts w:ascii="Times New Roman" w:hAnsi="Times New Roman" w:cs="Times New Roman"/>
          <w:lang w:val="nl-NL"/>
        </w:rPr>
        <w:t xml:space="preserve">Dit streven naar macht is in zijn meest essentiële vorm een verlangen, zoals we dat ook gezien hebben in het werk van Hobbes (zie § 3.2). Uitgaande van een anarchische situatie en een structurele positie van zwakte is het voor het individu enkel logisch naar een zo groot mogelijke machtspositie te streven. Dit is immers de enige manier om zichzelf te beschermen tegen diegenen die onverzadigbaar zijn. Door de liefde die het individu voor zichzelf heeft wil het zichzelf op zijn minst behouden. Handelend naar verlangens ontstaat een drang naar overleven. Door de omstandigheden zal het individu vervolgens beredeneren dat het voor zijn eigen overleven essentieel is zijn positie te verbeteren indien dit mogelijk is. Dit is het moment waarop het eigenbelang dat in essentie gedreven wordt door verlangens ook een rationeel karakter krijgt. Door het formuleren van de </w:t>
      </w:r>
      <w:r w:rsidRPr="003A5F28">
        <w:rPr>
          <w:rFonts w:ascii="Times New Roman" w:hAnsi="Times New Roman" w:cs="Times New Roman"/>
          <w:i/>
          <w:lang w:val="nl-NL"/>
        </w:rPr>
        <w:t>animus dominandi</w:t>
      </w:r>
      <w:r w:rsidRPr="003A5F28">
        <w:rPr>
          <w:rFonts w:ascii="Times New Roman" w:hAnsi="Times New Roman" w:cs="Times New Roman"/>
          <w:lang w:val="nl-NL"/>
        </w:rPr>
        <w:t xml:space="preserve"> maakt Morgenthau duidelijk dat in zijn optiek eigenbelang in essentie een verlangen is (in navolging van Hobbes). Het rationele onderdeel dat het eigenbelang constitueert kan alleen bestaan indien het voor het individu evident is dat het zichzelf dient te behouden. Dit is enkel duidelijk als het individu een liefde voor zichzelf heeft. Het rationele en calculerende individu kan in de optiek van Morgenthau niet bestaan zonder verlangens.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In een kort essay uit 1962 gaat Morgenthau nog dieper in op het ontstaan van verlangens en de menselijke natuur. Volgens hem is de mens een uniek wezen doordat deze in staat is zich eenzaam te voelen. Het verlangen naar liefde en het streven naar macht ontstaan door deze eigenschap van het menselijk bestaan </w:t>
      </w:r>
      <w:r w:rsidRPr="003A5F28">
        <w:rPr>
          <w:rFonts w:ascii="Times New Roman" w:hAnsi="Times New Roman" w:cs="Times New Roman"/>
          <w:lang w:val="nl-NL"/>
        </w:rPr>
        <w:lastRenderedPageBreak/>
        <w:t xml:space="preserve">(Morgenthau in Conces, 2009). Doordat macht volgens Morgenthau corrumpeert zijn momenten van handelen uit pure liefde zeldzaam. Bovendien zorgt het verkrijgen van macht er niet voor dat de honger naar macht gestild wordt maar wakkert de verkregen macht enkel het verlangen naar macht aan (zie bovenstaande analogie met Hobbes). Macht wordt binnen de menselijke natuur steeds meer een vervanging van liefde. Deze vicieuze cirkel staat aan de basis van de </w:t>
      </w:r>
      <w:r w:rsidRPr="003A5F28">
        <w:rPr>
          <w:rFonts w:ascii="Times New Roman" w:hAnsi="Times New Roman" w:cs="Times New Roman"/>
          <w:i/>
          <w:lang w:val="nl-NL"/>
        </w:rPr>
        <w:t>animus dominandi</w:t>
      </w:r>
      <w:r w:rsidRPr="003A5F28">
        <w:rPr>
          <w:rFonts w:ascii="Times New Roman" w:hAnsi="Times New Roman" w:cs="Times New Roman"/>
          <w:lang w:val="nl-NL"/>
        </w:rPr>
        <w:t xml:space="preserve"> en het menselijk handelen. Eigenbelang bestaat voor Morgenthau dus uit deze primaire drang om (ontbrekende) liefde met macht te vervangen.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Ook bij Niebuhr heeft de menselijke aard een belangrijke rol. Voor Niebuhr is de liefde dat het individu voor zichzelf heeft, niet de essentie van de menselijke aard. Zelfliefde is voor Niebuhr enkel natuurlijk in de zin dat het universeel aanwezig is (Rice, 2008). De liefde die het individu voor zichzelf heeft is volgens Niebuhr een verlangen dat een corruptie van de menselijke natuur vormt. Het verlangen dat in Hobbes de basis vormt voor het menselijk handelen is voor Niebuhr een verlangen dat ons handelen corrumpeert. De menselijke honger naar macht ziet Niebuhr als de libido dominandi die Augustinus beschreef (zie § 2). Handelen naar eigenbelang is in essentie zondig. Niebuhr neemt daarmee een duidelijk andere positie in dan Morgenthau. Niebuhr zegt echter niet dat de mens altijd op een zondige manier handelt, maar enkel dat de zondige verlangens het voor het individu lastig maken de juiste keuze te maken. Volgens Niebuhr zou Morgenthau de creatieve factor van de menselijke rationaliteit onderschatten en is het niet altijd nodig door middel van macht dat proberen te verkrijgen dat door liefde volgens Morgenthau niet te verkrijgen zou zijn (Rice 2008).  Op een normatief niveau zijn Morgenthau en Niebuhr het dus duidelijk oneens. De verlangens die het eigenbelang zouden vormen volgens Morgenthau zijn volgens Niebuhr schadelijk voor het individueel handelen en vormen een bedreigen voor onze politieke gemeenschap. Voor Morgenthau is de honger naar macht een onderdeel van de menselijke identiteit, voor Niebuhr een corruptie van die identiteit.</w:t>
      </w: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t>8. Eigenbelang in het neorealisme</w:t>
      </w:r>
    </w:p>
    <w:p w:rsid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het vijfde hoofdstuk zagen we dat het nationaal belang op twee manieren geformuleerd kan worden. In het vorige hoofdstuk zagen we dat de klassiek realisten het nationaal belang op reductionistische wijze formuleren en dat ze daarbij een duidelijke conceptie hebben van het begrip eigenbelang dat ze op een normatieve wijze toelichten. De neorealisten formuleren hun nationaal belang onafhankelijk waardoor al eerder duidelijk werd dat dit vragen oproept. Drie elementen binnen de neorealistische conceptie van belang bieden wellicht een verduidelijking. Achtereenvolgend zal ik dan ook de begrippen anarchie, subjectiviteit en rationaliteit en hun verhouding tot eigenbelang binnen het neorealisme bekijken.</w:t>
      </w:r>
    </w:p>
    <w:p w:rsidR="00A13D21" w:rsidRPr="003A5F28" w:rsidRDefault="00A13D21" w:rsidP="003A5F28">
      <w:pPr>
        <w:spacing w:line="360" w:lineRule="auto"/>
        <w:rPr>
          <w:rFonts w:ascii="Times New Roman" w:hAnsi="Times New Roman" w:cs="Times New Roman"/>
          <w:lang w:val="nl-NL"/>
        </w:rPr>
      </w:pP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lastRenderedPageBreak/>
        <w:t>§ 8.1. Eigenbelang en anarchie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Volgens de neorealist leidt het anarchische karakter van het internationale toneel ertoe dat er een systeem ontstaat waarin geen enkele staat op een andere staat kan rekenen, het zogenaamde systeem van zelfhulp (zie ook § 1.1). Dit proces werkt echter alleen wanneer we aannemen dat overleven het minimale doel is van de staat. Een aanname die de neorealist inderdaad doet; veiligheid - meer specifiek - het overleven als staat zou het minimale doel zijn. Hoe evident is echter deze aanname? Hoe evident is het dat zelfbehoud een primair doel is van elke staat? De neorealisten zullen door middel van een theoretische onderbouwing hun aanname moeten verdedigen. Enkel dit overleven verder definiëren voldoet niet. Zo licht Mearsheimer toe dat dit zelfbehoud bestaat uit het behouden van de territoriale integriteit en politieke autonomie. Zonder deze minimale voorwaarden heeft het formuleren van andere doelen geen nut (Mearsheimer, 2003). Deze verdere toelichting geeft echter niet het waarom van zelfbehoud aan, waarom is zelfbehoud belangrijk?</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De crux van het argument is het anarchische karakter van het internationale systeem. </w:t>
      </w:r>
      <w:r w:rsidRPr="003A4B69">
        <w:rPr>
          <w:rFonts w:ascii="Times New Roman" w:hAnsi="Times New Roman" w:cs="Times New Roman"/>
        </w:rPr>
        <w:t>Zoals Mearsheimer stel</w:t>
      </w:r>
      <w:r>
        <w:rPr>
          <w:rFonts w:ascii="Times New Roman" w:hAnsi="Times New Roman" w:cs="Times New Roman"/>
        </w:rPr>
        <w:t>t</w:t>
      </w:r>
      <w:r w:rsidRPr="003A4B69">
        <w:rPr>
          <w:rFonts w:ascii="Times New Roman" w:hAnsi="Times New Roman" w:cs="Times New Roman"/>
        </w:rPr>
        <w:t>: ‘</w:t>
      </w:r>
      <w:r>
        <w:rPr>
          <w:rFonts w:ascii="Times New Roman" w:hAnsi="Times New Roman" w:cs="Times New Roman"/>
        </w:rPr>
        <w:t>a</w:t>
      </w:r>
      <w:r w:rsidRPr="003A4B69">
        <w:rPr>
          <w:rFonts w:ascii="Times New Roman" w:hAnsi="Times New Roman" w:cs="Times New Roman"/>
        </w:rPr>
        <w:t>narchy has two principal consequences. First, there is little room for trust among states because a state may be unable to recover if its trust is betrayed. Second, each state must guarantee its own survival since no other actor will provide its security’’</w:t>
      </w:r>
      <w:r>
        <w:rPr>
          <w:rFonts w:ascii="Times New Roman" w:hAnsi="Times New Roman" w:cs="Times New Roman"/>
        </w:rPr>
        <w:t xml:space="preserve"> (Mearsheimer, 1990: p. 12). </w:t>
      </w:r>
      <w:r w:rsidRPr="003A5F28">
        <w:rPr>
          <w:rFonts w:ascii="Times New Roman" w:hAnsi="Times New Roman" w:cs="Times New Roman"/>
          <w:lang w:val="nl-NL"/>
        </w:rPr>
        <w:t>Hoe werkt echter de precieze koppeling van anarchie en zelfhulp?</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Laten we voor een moment terugkeren naar het werk van Hobbes. In Hobbes’ werk is er immers ook sprake van een anarchiein de zogenaamde natuurstaat. Wellicht vinden we in het werk van Hobbes een hint over de precieze werking van anarchie en zijn relatie tot het systeem van zelfhulp. Het anarchische systeem in het werk van Hobbes wordt verklaard doordat ieder individu minimaal zelfbehoud tracht te verwezenlijken. In hoeverre werkt deze onderbouwing in de internationale wereld van het neorealisme? In het werk van Hobbes komt het eerste natuurrecht – het recht tot zelfbehoud - voort uit een verlangen. Namelijk een liefde die ieder individu voor zichzelf zou hebben. Uit dit verlangen komt het individueel eigenbelang tot stand. Het individu neemt het verlangen tot zelfbehoud als uitgangspunt. Door middel van de ratio beredeneert hij vervolgens welke handelingen in zijn belang zijn. Het lijkt duidelijk dat staten niet op dezelfde wijze hun belang definiëren. Staten, in tegenstelling tot individuen, handelen niet uit een primaire passie. Waltz zou als het ware moeten aantonen waarom zelfbehoud voor de staat waardevol is.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Een manier waarop dit zou kunnen is op de indirecte of reductionistische manier. Binnen het individu is er het basale verlangen tot zelfbehoud, de basis voor het handelen uit eigenbelang. In het werk van Hobbes leidt dit er toe (zie) dat de individuen tot het besluit zullen komen (door middel van hun rationele vermogens) enkele rechten af te staan aan een soeverein. Deze soeverein maakt daarmee een einde aan de </w:t>
      </w:r>
      <w:r w:rsidRPr="003A5F28">
        <w:rPr>
          <w:rFonts w:ascii="Times New Roman" w:hAnsi="Times New Roman" w:cs="Times New Roman"/>
          <w:lang w:val="nl-NL"/>
        </w:rPr>
        <w:lastRenderedPageBreak/>
        <w:t xml:space="preserve">anarchische situatie en creëert orde en stabiliteit. De soeverein of de staat is daarmee een indirecte afgeleide van de liefde die het individu voor zichzelf heeft en zijn verlangen tot zelfbehoud. Nu wordt zelfbehoud voor de staat evident, het behoud van de staat draagt immers indirect bij aan het behoud van de individuen in diezelfde staat. Het belang dat de staat heeft bij het overleven is daarmee een indirecte afgeleide van de primaire passie van het individu. Deze indirecte verantwoording van de waarde van zelfbehoud op internationaal niveau zal echter onverteerbaar zijn voor Waltz. Zijn hele aanpak waarbij het systeem centraal staat is een directe kritiek op de menselijke aard als verklaringsmechanisme en de reductionistische wijze van bewijsvoering. Waltz zal een waarde moeten formuleren, een reden voor de staat om in de meest primaire vorm te handelen naar zelfbehoud. Waltz kan dit echter alleen doen als hij een objectieve waarde formuleert. Het is kiezen voor de menselijke natuur als een indirecte verklaring van verschijnselen in de internationale politiek of voor een normatieve premisse die zijn aanname verdedigt. In beide gevallen blijkt dat het begrip eigenbelang niet gebruikt kan worden zonder dat er een normatieve positie wordt ingenomen. </w:t>
      </w:r>
      <w:r w:rsidRPr="00AE1B99">
        <w:rPr>
          <w:rFonts w:ascii="Times New Roman" w:hAnsi="Times New Roman" w:cs="Times New Roman"/>
        </w:rPr>
        <w:t xml:space="preserve">Hobbes neemt bijvoorbeeld een duidelijke positie in wanneer hij stelt: “(…) so it is necessary for man’s life, to retain some; as right to govern their own bodies; enjoy air, water, motion, ways to go from place to place; and al things else, without which a man cannot live, or not live well” (Hobbes, 1996: p. 102). </w:t>
      </w:r>
      <w:r w:rsidRPr="003A5F28">
        <w:rPr>
          <w:rFonts w:ascii="Times New Roman" w:hAnsi="Times New Roman" w:cs="Times New Roman"/>
          <w:lang w:val="nl-NL"/>
        </w:rPr>
        <w:t xml:space="preserve">Voor Hobbes is dit recht zo belangrijk dat wanneer een individu door de soeverein tot dood veroordeeld is, hij niet alleen het recht heeft maar zelfs verplicht is zich tegen de uitvoering van deze straf te verzetten. Zelfbehoud is voor Hobbes een van de belangrijkste, zo niet het belangrijkste recht.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Zelfbehoud is echter alles behalve een evidente aanname, of het nu over de staat of over het individu gaat. Toegegeven, op individueel niveau lijkt het vreemd dat er individuen zijn die zelfbehoud niet waardevol achten. De meeste mensen zullen het (minimaal) behouden van zichzelf dan ook het predicaat “moreel juist” geven. Uit bepaalde (religieuze) oogpunten is het zelfs fout wanneer we er niet alles aan doen om zelf in stand te blijven. Leven en het leven worden beschouwd als iets waardevols dat in stand moet worden gehouden. Denk aan de argumenten die gebruikt worden in discussies over abortus en euthanasie. Maar ook een tegenovergesteld standpunt is niet per definitie absurd. Binnen bijvoorbeeld het Boeddhisme vertoont onze huidige levensvorm geen specifieke waarde. Onze lichamelijke vorm is eerder een belemmering dan een verrijking. Het behoud van jezelf is dan ook alles behalve het hoogste goed. Mijn doel is niet om aan te tonen dat de ene specifieke overtuiging beter is dan de andere maar simpelweg aan te tonen dat zelfbehoud geen onomstreden aanname kan zijn. Wanneer de neorealist niet op de reductionistische methode wil terugvallen, zal hij dus aan moeten geven waarom zelfbehoud waardevol is.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lastRenderedPageBreak/>
        <w:t xml:space="preserve">Waltz stelt in een reactie op eerdere kritiek dat de neorealistische theorie vaak op de verkeerde wijze wordt bekritiseerd. Op het eerste oog lijkt mijn kritiek (onder andere in de voorgaande alinea) ook op de volgens hem op verkeerde beginselen gestoelde kritiek. Waltz noemt drie punten die voor hem leidend zijn voor het vormen van een theorie (Waltz, 1979: p. 118):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(1) Elke theorie heeft minimaal één theoretische assumptie.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(2) Theorieën dienen geëvalueerd te worden op basis van de claims die gemaakt worden over datgene dat getracht wordt te verklaren.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 (3) Theorieën (als een algemeen verklarend systeem) kunnen niet de bijzonderheden van elk specifiek geval verklaren.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Deze punten gelden voor theorievorming in het algemeen maar gelden ook in het specifieke geval van Waltz. Bij het eerste punt dat Waltz maakt – elke theorie heeft minimaal één theoretische assumptie - is het volgens hem niet de vraag of deze juist is, de vraag is enkel of deze aanname bruikbaar is. Een theorie bekritiseren door te focussen op deze theoretische aanname is volgens hem een foutieve manier van redeneren. Ik lever echter geen kritiek op de inhoud van de aanname. Beargumenteerd zou kunnen worden dat zelfbehoud die ene theoretische aanname is die Waltz nodig heeft. Bruikbaar is deze zeker, zelfbehoud staat zoals gezegd aan de basis van de anarchische structuur die leidend is in de theorie van Waltz. Ik bekritiseer echter niet de juistheid – of wat dat betreft de onjuistheid - van de aanname die Waltz doet. Ik bekritiseer de objectiviteit van die aanname. Wil Waltz de aanname handhaven zonder deze verder theoretisch toe te lichten (zoals op de reductionistische wijze die ik hierboven geschetst heb) zal hij moeten erkennen dat het om een normatieve claim gaat. Deze claim is niet zonder consequenties. Zoals ik betoogd heb staat ze namelijk aan de basis van zijn theorie en is een uitgangspunt van waaruit Waltz in theoretische zin verder bouwt. Zijn gehele theorie zou dan een normatieve zijn.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Ook het derde idee over theorievorming dat Waltz aanvoert levert een interessant gegeven op. Een systeemtheorie zoals die door Waltz geformuleerd is hoeft volgens hem niet elk specifiek geval te kunnen verklaren. Het gaat om de algemene tendens; hoe gedragen staten zich binnen de internationale structuur normaal en hoe verklaren we dat? Waltz laat dus bewust ruimte voor specifieke gevallen en daarmee mogelijke uitzonderingen. Zelfbehoud (en daarmee eigenbelang) is zo alles behalve vanzelfsprekend</w:t>
      </w:r>
      <w:r w:rsidRPr="00AE1B99">
        <w:rPr>
          <w:rStyle w:val="Voetnootmarkering"/>
          <w:rFonts w:ascii="Times New Roman" w:hAnsi="Times New Roman" w:cs="Times New Roman"/>
        </w:rPr>
        <w:footnoteReference w:id="25"/>
      </w:r>
      <w:r w:rsidRPr="003A5F28">
        <w:rPr>
          <w:rFonts w:ascii="Times New Roman" w:hAnsi="Times New Roman" w:cs="Times New Roman"/>
          <w:lang w:val="nl-NL"/>
        </w:rPr>
        <w:t>. Zoals Waltz zelf al aangeeft zullen er mogelijke gevallen zijn die in verschillende mate afwijken van de standaard. De aanname van zelfbehoud is dan ook in empirische zin niet onomstreden.</w:t>
      </w:r>
      <w:r w:rsidRPr="003A5F28">
        <w:rPr>
          <w:rStyle w:val="Voetnootmarkering"/>
          <w:rFonts w:ascii="Times New Roman" w:hAnsi="Times New Roman" w:cs="Times New Roman"/>
          <w:lang w:val="nl-NL"/>
        </w:rPr>
        <w:t xml:space="preserve">·. </w:t>
      </w:r>
      <w:r w:rsidRPr="003A5F28">
        <w:rPr>
          <w:rFonts w:ascii="Times New Roman" w:hAnsi="Times New Roman" w:cs="Times New Roman"/>
          <w:lang w:val="nl-NL"/>
        </w:rPr>
        <w:t xml:space="preserve">Waltz geeft zelf </w:t>
      </w:r>
      <w:r w:rsidRPr="003A5F28">
        <w:rPr>
          <w:rFonts w:ascii="Times New Roman" w:hAnsi="Times New Roman" w:cs="Times New Roman"/>
          <w:lang w:val="nl-NL"/>
        </w:rPr>
        <w:lastRenderedPageBreak/>
        <w:t>ook al aan dat de gemaakte aanname niet feitelijk hoeft te zijn. Als de aanname van zelfbehoud niet theoretisch of feitelijk van aard is moet het haast wel een normatieve claim zijn. Het probleem voor Waltz is echter dat zijn gehele systeem gefundeerd is op deze aanname.</w:t>
      </w:r>
    </w:p>
    <w:p w:rsidR="003A5F28" w:rsidRPr="003A5F28" w:rsidRDefault="003A5F28" w:rsidP="003A5F28">
      <w:pPr>
        <w:rPr>
          <w:rFonts w:ascii="Times New Roman" w:hAnsi="Times New Roman" w:cs="Times New Roman"/>
          <w:b/>
          <w:lang w:val="nl-NL"/>
        </w:rPr>
      </w:pPr>
      <w:r w:rsidRPr="003A5F28">
        <w:rPr>
          <w:rFonts w:ascii="Times New Roman" w:hAnsi="Times New Roman" w:cs="Times New Roman"/>
          <w:b/>
          <w:lang w:val="nl-NL"/>
        </w:rPr>
        <w:t>§ 8.2. Neorealisme als tautologie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In deel A liet ik zien dat er een onderscheid was tussen objectief en subjectief eigenbelang en dat er nogal wat haken en ogen zaten aan het gebruik van (in het bijzonder subjectief) eigenbelang. Neorealisten zoals Waltz laten het in grote mate na om precies aan te geven hoe ze eigenbelang definiëren. Waltz (2011) stelt bijvoorbeeld dat veiligheid, het overleven van de staat het belangrijkste belang is. </w:t>
      </w:r>
      <w:r w:rsidRPr="007516F8">
        <w:rPr>
          <w:rFonts w:ascii="Times New Roman" w:hAnsi="Times New Roman" w:cs="Times New Roman"/>
        </w:rPr>
        <w:t>Mearsheimer doet een vergelijkbare uitspraak:’’ (…) the international political system is anarchic, which means that each state must always be concerned to ensure its own survival. Since a state can have no higher goal than survival, straightforward: the international political system is anarchic, which means that each state must always be concerned to ensure</w:t>
      </w:r>
      <w:r>
        <w:rPr>
          <w:rFonts w:ascii="Times New Roman" w:hAnsi="Times New Roman" w:cs="Times New Roman"/>
        </w:rPr>
        <w:t xml:space="preserve"> its own survival (…)</w:t>
      </w:r>
      <w:r w:rsidRPr="007516F8">
        <w:rPr>
          <w:rFonts w:ascii="Times New Roman" w:hAnsi="Times New Roman" w:cs="Times New Roman"/>
        </w:rPr>
        <w:t xml:space="preserve">’’ </w:t>
      </w:r>
      <w:r w:rsidRPr="003A5F28">
        <w:rPr>
          <w:rFonts w:ascii="Times New Roman" w:hAnsi="Times New Roman" w:cs="Times New Roman"/>
          <w:lang w:val="nl-NL"/>
        </w:rPr>
        <w:t>(1990: p. 44). Het handelen van de staat is gebaseerd op het belang dat de staat eraan hecht om te overleven. Volgens Mearsheimer is dit zelfs het belangrijkste doel. In het voorgaande hoofdstuk zagen we al dat deze aanname problematisch kan zijn. In dit hoofdstuk wil ik me echter niet richten op die aanname, maar op de manier waarop eigenbelang gedefinieerd wordt, los van de gemaakte aannames.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Op het eerste oog lijkt het erop dat Waltz een objectief belang formuleert. Staten handelen namelijk op een manier die hun veiligheid garandeert. Waltz formuleert dit belang echter universeel en niet noodzakelijk objectief. Het zijn namelijk de staten zelf – die door hun positie binnen de structuur - zelf zullen beredeneren dat het in hun belang is te handelen op een manier die hun veiligheid waarborgt. Het woord “hun”, “hun veiligheid” impliceert al een zekere subjectiviteit. Staten handelen niet op een manier die veiligheid garandeert maar op een manier die</w:t>
      </w:r>
      <w:r w:rsidRPr="003A5F28">
        <w:rPr>
          <w:rFonts w:ascii="Times New Roman" w:hAnsi="Times New Roman" w:cs="Times New Roman"/>
          <w:i/>
          <w:lang w:val="nl-NL"/>
        </w:rPr>
        <w:t xml:space="preserve"> hun</w:t>
      </w:r>
      <w:r w:rsidRPr="003A5F28">
        <w:rPr>
          <w:rFonts w:ascii="Times New Roman" w:hAnsi="Times New Roman" w:cs="Times New Roman"/>
          <w:lang w:val="nl-NL"/>
        </w:rPr>
        <w:t xml:space="preserve"> veiligheid garandeert. Hoewel Waltz het niet met zoveel woorden zegt is er dus sprake van een subjectief eigenbelang. Dit brengt echter enkele complicaties met zich mee.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Allereerst kunnen we ons afvragen of zuiver subjectief eigenbelang wel bestaat. Zoals Murray (2003) zich afvraagt: is er niet iets inherent aan een object dat verklaart waarom we het verlangen? Waarom zou ik immers object X begeren als er niets inherent aan X is waardoor ik het zou begeren (Murray, 2003: p.4)? Murray beantwoordt echter zijn eigen vraag door aan te tonen dat leidt tot absurde conclusies. Wanneer namelijk objecten een kwaliteit bezitten waardoor ze begeerd zouden worden, zou eenieder ze moeten begeren. In het individuele geval zou dit betekenen dat ieder individu dezelfde preferenties zou hebben, wat nogal een vreemde claim lijkt. Volgens Murray betekent dit (tenminste op individueel niveau) dat er ten minste in kleine mate sprake moet zijn van subjectiviteit willen we een verklaring geven voor de waar </w:t>
      </w:r>
      <w:r w:rsidRPr="003A5F28">
        <w:rPr>
          <w:rFonts w:ascii="Times New Roman" w:hAnsi="Times New Roman" w:cs="Times New Roman"/>
          <w:lang w:val="nl-NL"/>
        </w:rPr>
        <w:lastRenderedPageBreak/>
        <w:t>te nemen verschillen in preferenties. Voor Waltz kunnen we het echter omdraaien. Hij stelt namelijk wel degelijk dat veiligheid een inherente kwaliteit heeft die staten begeren. Staten die niet handelen naar dit belang worden gezien als irrationeel</w:t>
      </w:r>
      <w:r w:rsidRPr="00AE1B99">
        <w:rPr>
          <w:rStyle w:val="Voetnootmarkering"/>
          <w:rFonts w:ascii="Times New Roman" w:hAnsi="Times New Roman" w:cs="Times New Roman"/>
        </w:rPr>
        <w:footnoteReference w:id="26"/>
      </w:r>
      <w:r w:rsidRPr="003A5F28">
        <w:rPr>
          <w:rFonts w:ascii="Times New Roman" w:hAnsi="Times New Roman" w:cs="Times New Roman"/>
          <w:lang w:val="nl-NL"/>
        </w:rPr>
        <w:t>. Door veiligheid en het overleven een inherente kwaliteit te geven, geeft hij een objectief karakter aan de belangen die hij in eerste instantie subjectief leek te formuleren. Door dat hij het gebruik van eigenbelang niet specifieker duidt moet hij opnieuw een normatief vraagstuk beantwoorden. Als het klopt dat veiligheid een objectieve kwaliteit heeft zal hij dit namelijk moeten beargumenteren.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Als we echter aannemen dat veiligheid geen inherente kwaliteit heeft en het eigenbelang subjectief tot stand komt, zijn de neorealisten ook niet uit de problemen. Dan ontstaat namelijk de cirkelredenering die ik in § 4.2.1 heb besproken. Ze nemen namelijk aan dat een staat handelt naar zijn eigenbelang en definiëren vervolgens dat eigenbelang aan de hand van de handelingen van de staat. Op deze manier is er sprake van een cirkelredenering. Alle handelingen die worden waargenomen zijn ingegeven door eigenbelang. Dat eigenbelang bestaat vervolgens uit datgene wat de staat in zijn belang achtte. Neorealisten stellen daarmee dus eigenlijk dat de staat doet wat hij in zijn belang acht omdat hij het in zijn belang acht. De stelling heeft hiermee alle verklaringskracht verloren, handelen naar eigenbelang wordt simpelweg een natuurlijke eigenschap. Ook hier geldt dus dat objectiviteit (ook al is het in kleine mate) benodigd is om een zinnige uitspraak over het gedrag van staten te kunnen doen.</w:t>
      </w:r>
    </w:p>
    <w:p w:rsidR="003A5F28" w:rsidRPr="003A5F28" w:rsidRDefault="003A5F28" w:rsidP="003A5F28">
      <w:pPr>
        <w:rPr>
          <w:rFonts w:ascii="Times New Roman" w:hAnsi="Times New Roman" w:cs="Times New Roman"/>
          <w:b/>
          <w:lang w:val="nl-NL"/>
        </w:rPr>
      </w:pPr>
      <w:r w:rsidRPr="003A5F28">
        <w:rPr>
          <w:rFonts w:ascii="Times New Roman" w:hAnsi="Times New Roman" w:cs="Times New Roman"/>
          <w:b/>
          <w:lang w:val="nl-NL"/>
        </w:rPr>
        <w:t>§ 8.3. Neorealisme en rationaliteit</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Eerder zagen we dat de neorealistische invulling van eigenbelang meer vragen oproept dan dat deze beantwoordt. Zelfbehoud als drijfveer is niet onomstreden, zoals we zagen in 8.1 en ook een subjectieve invulling van eigenbelang is problematisch (zie voorgaande paragraaf). Het derde element dat mogelijk een aanwijzing geeft voor een verdere invulling van een neorealistisch begrip van eigenbelang is het rationele element. In veel gevallen voegen neorealisten het adjectief “rationeel” toe, wat impliceert dat het belang door middel van rationaliteit wordt geformuleerd. Rationaliteit kunnen we echter alleen toeschrijven aan de individuele eenheden (de staten) binnen het systeem. Volgens de neorealisten is gedrag van staten echter te verklaren door de structuur van het internationale statensysteem. Als de structuur leidend is, in hoeverre is de individuele eigenschap van rationaliteit dan nog relevant? Hoe verhouden deze twee elementen van de neorealistische theorie zich tot elkaar?</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Wanneer we een blik werpen op het werk van bijvoorbeeld Waltz lijkt er een tussenpositie in te worden genomen; het gedrag van staten is het gevolg van de rationele keuze die wordt gemaakt tussen de </w:t>
      </w:r>
      <w:r w:rsidRPr="003A5F28">
        <w:rPr>
          <w:rFonts w:ascii="Times New Roman" w:hAnsi="Times New Roman" w:cs="Times New Roman"/>
          <w:lang w:val="nl-NL"/>
        </w:rPr>
        <w:lastRenderedPageBreak/>
        <w:t>mogelijkheden die het systeem biedt. Door middel van socialisatie en competitie beïnvloedt de structuur het gedrag van staten (Waltz, 2011). Dit lijkt niet te stroken met de zuiver structurele benadering die de neorealisten formuleerden als kritiek op de klassiek realisten. De toevoeging van een rationeel element individualiseert de objecten binnen het internationaal systeem waardoor het voorgestelde verschil met de klassiek realisten (op dit punt) niet zo groot is als de neorealisten ons willen doen geloven. Bovendien zorgt de toevoeging van het rationele element voor een zekere onduidelijkheid. Dit is voor een groot deel te wijten aan het feit dat de ratio in principe een begrip is dat we toekennen aan een individu, niet aan een abstracte entiteit als de staat. Wanneer we individuele rationele kenmerken simpelweg aggregeren naar het internationale systeem doen we precies wat de neorealist te allen tijde wil voorkomen; het nationaal belang op een reductionistische wijze formuleren.</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In Deel A heb ik al laten zien dat ook rationaliteit een breed spectrum aan invullingen kan hebben. Neorealisten lijken (om in de terminologie van Weber te spreken)enkel doelrationeel te denken. Staten maken naar aanleiding van hun perceptie van nationaal belang een kosten-batenanalyse. De kwalificatie “rationeel” beantwoordt daarmee de vraag hoe het belang in de praktijk verwezenlijkt wordt niet en niet zozeer hoe dit belang eruit ziet. Deze enge definitie is in mijn ogen een gemiste kans om het begrip nationaal belang van inhoud te voorzien. Door een minder enge definitie van rationaliteit te gebruiken kunnen handelingen van staten immers ook gezien worden als waarderationeel of – in Weberiaanse zin - traditionele handelingen (zie ook § 3.4). Handelingen die binnen de huidige theorie als irrationeel gezien worden kunnen met een bredere definitie van rationaliteit – niet de enge definitie van </w:t>
      </w:r>
      <w:r w:rsidRPr="003A5F28">
        <w:rPr>
          <w:rFonts w:ascii="Times New Roman" w:hAnsi="Times New Roman" w:cs="Times New Roman"/>
          <w:i/>
          <w:lang w:val="nl-NL"/>
        </w:rPr>
        <w:t>rational choice theory -</w:t>
      </w:r>
      <w:r w:rsidRPr="003A5F28">
        <w:rPr>
          <w:rFonts w:ascii="Times New Roman" w:hAnsi="Times New Roman" w:cs="Times New Roman"/>
          <w:lang w:val="nl-NL"/>
        </w:rPr>
        <w:t xml:space="preserve"> van een verklaring voorzien worden. </w:t>
      </w:r>
    </w:p>
    <w:p w:rsid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Binnen het huidige neorealistische denken wordt gesuggereerd dat alle geobserveerde handelingen rationeel zijn. Lijkt het in de empirie erop dat dit niet het geval is, wordt er gesuggereerd dat de handeling wel degelijk rationeel is maar dat we alleen nog niet weten waarom de handeling rationeel is. Doordat de invulling van een begrip als eigenbelang ambigu is wordt het aantal mogelijke verklaringen zo groot dat de eerdere hypothese  – staten handelen op een rationele wijze - alsnog bevestigd kan worden. Opnieuw werkt het gebruik van eigenbelang als containerbegrip theoretische gemakzucht in de hand. Door het begrip immers ambigu en breed te houden is het onmogelijk bepaalde hypotheses te falsificeren. Door normativiteit uit de theorie te halen dachten de neorealisten ‘’wetenschappelijker” te werk te gaan, het tegendeel lijkt echter bereikt te zijn.</w:t>
      </w:r>
    </w:p>
    <w:p w:rsidR="003B1CA1" w:rsidRDefault="003B1CA1" w:rsidP="003A5F28">
      <w:pPr>
        <w:spacing w:line="360" w:lineRule="auto"/>
        <w:rPr>
          <w:rFonts w:ascii="Times New Roman" w:hAnsi="Times New Roman" w:cs="Times New Roman"/>
          <w:lang w:val="nl-NL"/>
        </w:rPr>
      </w:pPr>
    </w:p>
    <w:p w:rsidR="003B1CA1" w:rsidRPr="003A5F28" w:rsidRDefault="003B1CA1" w:rsidP="003A5F28">
      <w:pPr>
        <w:spacing w:line="360" w:lineRule="auto"/>
        <w:rPr>
          <w:rFonts w:ascii="Times New Roman" w:hAnsi="Times New Roman" w:cs="Times New Roman"/>
          <w:lang w:val="nl-NL"/>
        </w:rPr>
      </w:pPr>
    </w:p>
    <w:p w:rsidR="003A5F28" w:rsidRPr="003A5F28" w:rsidRDefault="003A5F28" w:rsidP="003A5F28">
      <w:pPr>
        <w:spacing w:line="360" w:lineRule="auto"/>
        <w:rPr>
          <w:rFonts w:ascii="Times New Roman" w:hAnsi="Times New Roman" w:cs="Times New Roman"/>
          <w:b/>
          <w:lang w:val="nl-NL"/>
        </w:rPr>
      </w:pPr>
      <w:r w:rsidRPr="003A5F28">
        <w:rPr>
          <w:rFonts w:ascii="Times New Roman" w:hAnsi="Times New Roman" w:cs="Times New Roman"/>
          <w:b/>
          <w:lang w:val="nl-NL"/>
        </w:rPr>
        <w:lastRenderedPageBreak/>
        <w:t>§ 9. Conclusies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In de inleiding stelden we ons de vraag of het concept eigenbelang wel het amorele concept dat het op het eerste oog lijkt te zijn. In het verlengde daarvan vroegen we ons af of de neorealistische theorie - die veelvuldig gebruik maakt van het begrip (eigen)belang - de amorele theorie is die de auteurs claimen dat het is.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Het antwoord op de eerste vraag mag inmiddels duidelijk zijn. In deel A zagen we dat het begrip eigenbelang een lange ontwikkeling heeft doorgemaakt met ontwikkelingen die vaak analoog liepen aan de grote theoretische verschuivingen uit het verleden. Waar het in de ogen van de klassieken als Augustinus een concept was dat tegengesteld was aan de persoonlijke deugd en moraal werd het in latere werken een onderdeel van die zelfde moraal. Na Machiavelli en zijn nadruk op de ware menselijke aard ontstond er een levendig discours. De menselijke aard werd beschreven aan de hand van passies en de ratio en allerlei mogelijke tussenvormen. Hoewel ik de keuze gemaakt heb onder andere Hobbes en Spinoza te behandelen had ik over dit onderwerp honderden auteurs kunnen citeren. Hirschman (1977) trekt terecht de conclusie dat eigenbelang – en het discours rond eigenbelang - gezien kan worden als de centrale bouwsteen van het heersende sociologische en economische paradigma. Vandaar dat het ook niet verassend is dat de concepties van eigenbelang een immense ruimte aan mogelijke definities bestrijken. Zo kan eigenbelang gedreven worden door de passies maar kan het ook datgene zijn wat de passies in toom houdt (zie 3). Het eigenbelang kan instinctief tot stand komen of na rationele overwegingen. Eigenbelang kan objectief van aard zijn of juist subjectief, beiden niet zonder problemen. Kortom, eigenbelang is alles behalve een eenduidig begrip.</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Halverwege konden we dan ook al concluderen dat het gebruik van eigenbelang (vooral binnen het neorealisme) in de meeste gevallen niet zozeer onduidelijk was maar vooral ambigu. Eigenbelang is een zogenaamd containerbegrip dat zonder expliciete duiding van de auteur in feite van alles kan betekenen. De hoeveelheid betekenissen en de huidige ambiguïteit leiden voorlopig al tot een conclusie; de neorealist dient zijn gebruik van het begrip eigenbelang toe te lichten. Wat bedoelt hij wanneer hij het over eigenbelang heeft? De enkele aanwijzingen die onder andere Waltz geeft zijn niet genoeg. Het concept eigenbelang dient expliciet toegelicht te worden om de huidige inhoudelijke leegte te voorkomen. Dat vooronderstelt een keuze tussen een van de vele mogelijke concepties die eigenbelang rijk is, een normatieve keuze. Daarmee is in feite ook onze tweede vraag uit de inleiding beantwoordt. De neorealist kan immers kiezen; of eigenbelang als containerbegrip blijven gebruiken en daarmee aan verklaringskracht inboeten, of erkennen dat het gebruik van eigenbelang een normatief element heeft. In het tweede geval zal de neorealist zijn claim van een moreel neutrale theorie moeten intrekken. De </w:t>
      </w:r>
      <w:r w:rsidRPr="003A5F28">
        <w:rPr>
          <w:rFonts w:ascii="Times New Roman" w:hAnsi="Times New Roman" w:cs="Times New Roman"/>
          <w:lang w:val="nl-NL"/>
        </w:rPr>
        <w:lastRenderedPageBreak/>
        <w:t>klassieke werken van Morgenthau en Niebuhr kunnen als voorbeeld gelden waarin de realistische theoretici niet weg lopen voor normatieve implicaties maar deze omarmen en onderdeel maken van de theorie.</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Ook op andere punten is het gebruik van eigenbelang problematisch voor de neorealist. In § 5 zagen we dat de neorealist het in principe individuele concept van eigenbelang moet vertalen naar de internationale wereld. Dit kan op twee manieren waarbij de realisten de eerste wijze –de reductionistische wijze - uit methodologisch oogpunt afwijzen. Met het onafhankelijk formuleren van het nationaal belang keert de eerder genoemde problematiek echter terug. Opnieuw moet er een keuze gemaakt worden en moet het concept helder geformuleerd worden. De elementen die de neorealisten wel noemen zijn niet toereikend en zorgen eveneens voor problemen.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In § 8.1 zagen we dat de anarchische structuur en zijn relatie tot eigenbelang niet veel verduidelijking bracht. Wanneer de neorealist niet wil terugvallen op reductionistische methodes zal hij moeten aangeven waarom zelfbehoud evident is. Dit is zonder ethische toevoeging echter onmogelijk. Zelfbehoud impliceert immers dat het behouden van de “zelf” waardevol is. Het individueel leven of het voortbestaan van de staat is waardevol. Waarom zou anders het behoud van deze evident zijn? Kortom, opnieuw kan de neorealist niet volhouden dat zijn theorie amoreel is.</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Ook de subjectieve benadering die geïmpliceerd wordt is niet zonder problemen. Sterker nog, de subjectieve benadering brengt grote theoretische problemen met zich mee. Zoals ik in § 8.2 laat zien zorgt het zuiver subjectief formuleren van het nationaal belang dat de gehele theorie een tautologisch karakter krijgt. De staat (of het individu) handelt dan immers uit eigenbelang omdat het uit eigenbelang handelt. Ook hier is een bepaalde objectieve dimensie nodig; wat is waardevol voor het individu of de staat en waarom is dit waardevol? Wil eigenbelang een zinnige rol spelen in de neorealistische theorievorming dan is enkel een subjectieve invulling van het concept niet voldoende. Eigenbelang krijgt pas een bepaalde verklaringskracht indien we dit objectief kunnen toelichten. Wanneer we dan een duidelijk onderscheid maken tussen objectiviteit en universaliteit (zie § 4.1) kunnen opties met objectief karakter wel degelijk in de neorealistische theorie (met zijn nadruk op structuur) worden ingepast. Railtons (1986) alternatief waarbij er sprake is van een contextgevoelig objectief belang biedt daarbij wellicht de beste uitgangspositie. </w:t>
      </w:r>
    </w:p>
    <w:p w:rsidR="003A5F28" w:rsidRPr="003A5F28" w:rsidRDefault="003A5F28" w:rsidP="003A5F28">
      <w:pPr>
        <w:spacing w:line="360" w:lineRule="auto"/>
        <w:rPr>
          <w:rFonts w:ascii="Times New Roman" w:hAnsi="Times New Roman" w:cs="Times New Roman"/>
          <w:lang w:val="nl-NL"/>
        </w:rPr>
      </w:pPr>
      <w:r w:rsidRPr="003A5F28">
        <w:rPr>
          <w:rFonts w:ascii="Times New Roman" w:hAnsi="Times New Roman" w:cs="Times New Roman"/>
          <w:lang w:val="nl-NL"/>
        </w:rPr>
        <w:t xml:space="preserve">Het laatste besproken element - het rationele element - is ook niet zonder problemen. De gebruikte enge definitie van rationaliteit roept in veel gevallen meer vragen op dan dat ze beantwoordt. In § 8.3 heb ik laten zien dat met een ruimere definitie van rationaliteit (zoals die van Weber) discrepanties met de empirie niet op een gekunstelde manier alsnog als rationeel beschreven hoeven worden. Het op deze </w:t>
      </w:r>
      <w:r w:rsidRPr="003A5F28">
        <w:rPr>
          <w:rFonts w:ascii="Times New Roman" w:hAnsi="Times New Roman" w:cs="Times New Roman"/>
          <w:lang w:val="nl-NL"/>
        </w:rPr>
        <w:lastRenderedPageBreak/>
        <w:t xml:space="preserve">manier behandelen van anomalieën kan als weinig kritisch worden geduid. Laat de nadruk op “wetenschappelijkheid” nu net een van de belangrijkste kritiekpunten op het klassiek realisme zijn. </w:t>
      </w:r>
    </w:p>
    <w:p w:rsidR="003A5F28" w:rsidRDefault="003A5F28" w:rsidP="003A5F28">
      <w:pPr>
        <w:spacing w:line="360" w:lineRule="auto"/>
        <w:rPr>
          <w:rFonts w:ascii="Times New Roman" w:hAnsi="Times New Roman" w:cs="Times New Roman"/>
          <w:i/>
        </w:rPr>
      </w:pPr>
      <w:r w:rsidRPr="003A5F28">
        <w:rPr>
          <w:rFonts w:ascii="Times New Roman" w:hAnsi="Times New Roman" w:cs="Times New Roman"/>
          <w:lang w:val="nl-NL"/>
        </w:rPr>
        <w:t xml:space="preserve">We kunnen concluderen dat het neorealisme niet de moreel neutrale theorie kan zijn die het claimt te zijn. Eigenbelang als een van de belangrijkste bouwstenen van de neorealistische theorie moet geduid worden. De huidige ambiguïteit zorgt voor een leeg (container)begrip waarbij eigenbelang kan betekenen wat de schrijver wil dat het betekent. Elke discrepantie tussen theorie en empirie kan geduid worden als in het belang van een bepaalde eenheid simpelweg omdat dit belang niet helder gedefinieerd wordt. De neorealist zal keuzes moeten maken en normatieve elementen moeten toelaten om zijn theorie in stand te houden. De magere invulling die nu gegeven wordt aan eigenbelang (met de elementen van subjectiviteit en rationaliteit) is bovendien ook niet zonder problemen. </w:t>
      </w:r>
      <w:r>
        <w:rPr>
          <w:rFonts w:ascii="Times New Roman" w:hAnsi="Times New Roman" w:cs="Times New Roman"/>
        </w:rPr>
        <w:t>Kortom, de neorealist zal terug moeten naar de tekentafel.</w:t>
      </w:r>
    </w:p>
    <w:p w:rsidR="003A5F28" w:rsidRDefault="003A5F28" w:rsidP="003A5F28">
      <w:pPr>
        <w:spacing w:line="360" w:lineRule="auto"/>
        <w:rPr>
          <w:rFonts w:ascii="Times New Roman" w:hAnsi="Times New Roman" w:cs="Times New Roman"/>
          <w:i/>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A5F28" w:rsidRDefault="003A5F28" w:rsidP="003A5F28">
      <w:pPr>
        <w:spacing w:line="360" w:lineRule="auto"/>
        <w:rPr>
          <w:rFonts w:ascii="Times New Roman" w:hAnsi="Times New Roman" w:cs="Times New Roman"/>
          <w:b/>
        </w:rPr>
      </w:pPr>
    </w:p>
    <w:p w:rsidR="003B1CA1" w:rsidRDefault="003B1CA1" w:rsidP="003A5F28">
      <w:pPr>
        <w:spacing w:line="360" w:lineRule="auto"/>
        <w:rPr>
          <w:rFonts w:ascii="Times New Roman" w:hAnsi="Times New Roman" w:cs="Times New Roman"/>
          <w:b/>
        </w:rPr>
      </w:pPr>
    </w:p>
    <w:p w:rsidR="003B1CA1" w:rsidRDefault="003B1CA1" w:rsidP="003A5F28">
      <w:pPr>
        <w:spacing w:line="360" w:lineRule="auto"/>
        <w:rPr>
          <w:rFonts w:ascii="Times New Roman" w:hAnsi="Times New Roman" w:cs="Times New Roman"/>
          <w:b/>
        </w:rPr>
      </w:pPr>
    </w:p>
    <w:p w:rsidR="003B1CA1" w:rsidRDefault="003B1CA1" w:rsidP="003A5F28">
      <w:pPr>
        <w:spacing w:line="360" w:lineRule="auto"/>
        <w:rPr>
          <w:rFonts w:ascii="Times New Roman" w:hAnsi="Times New Roman" w:cs="Times New Roman"/>
          <w:b/>
        </w:rPr>
      </w:pPr>
    </w:p>
    <w:p w:rsidR="003B1CA1" w:rsidRDefault="003B1CA1" w:rsidP="003A5F28">
      <w:pPr>
        <w:spacing w:line="360" w:lineRule="auto"/>
        <w:rPr>
          <w:rFonts w:ascii="Times New Roman" w:hAnsi="Times New Roman" w:cs="Times New Roman"/>
          <w:b/>
        </w:rPr>
      </w:pPr>
    </w:p>
    <w:p w:rsidR="003A5F28" w:rsidRPr="00AE1B99" w:rsidRDefault="003A5F28" w:rsidP="003A5F28">
      <w:pPr>
        <w:spacing w:line="360" w:lineRule="auto"/>
        <w:rPr>
          <w:rFonts w:ascii="Times New Roman" w:hAnsi="Times New Roman" w:cs="Times New Roman"/>
        </w:rPr>
      </w:pPr>
      <w:r w:rsidRPr="00AE1B99">
        <w:rPr>
          <w:rFonts w:ascii="Times New Roman" w:hAnsi="Times New Roman" w:cs="Times New Roman"/>
          <w:b/>
        </w:rPr>
        <w:lastRenderedPageBreak/>
        <w:t>Literatuur:</w:t>
      </w:r>
    </w:p>
    <w:p w:rsidR="003A5F28" w:rsidRPr="00AE1B99" w:rsidRDefault="003A5F28" w:rsidP="003A5F28">
      <w:pPr>
        <w:spacing w:line="360" w:lineRule="auto"/>
        <w:rPr>
          <w:rFonts w:ascii="Times New Roman" w:hAnsi="Times New Roman" w:cs="Times New Roman"/>
        </w:rPr>
      </w:pPr>
      <w:r w:rsidRPr="00175F5B">
        <w:rPr>
          <w:rFonts w:ascii="Times New Roman" w:hAnsi="Times New Roman" w:cs="Times New Roman"/>
        </w:rPr>
        <w:t xml:space="preserve">Bentham, J. (2000) [1781]. </w:t>
      </w:r>
      <w:r w:rsidRPr="00AE1B99">
        <w:rPr>
          <w:rFonts w:ascii="Times New Roman" w:hAnsi="Times New Roman" w:cs="Times New Roman"/>
          <w:i/>
        </w:rPr>
        <w:t>An Introduction to the Principles of Morals and Legislation</w:t>
      </w:r>
      <w:r w:rsidRPr="00AE1B99">
        <w:rPr>
          <w:rFonts w:ascii="Times New Roman" w:hAnsi="Times New Roman" w:cs="Times New Roman"/>
        </w:rPr>
        <w:t>. Batoche Books.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Bloomfield, P. (2007). </w:t>
      </w:r>
      <w:r w:rsidRPr="00AE1B99">
        <w:rPr>
          <w:rFonts w:ascii="Times New Roman" w:hAnsi="Times New Roman" w:cs="Times New Roman"/>
          <w:i/>
        </w:rPr>
        <w:t>Morality and Self-interest</w:t>
      </w:r>
      <w:r w:rsidRPr="00AE1B99">
        <w:rPr>
          <w:rFonts w:ascii="Times New Roman" w:hAnsi="Times New Roman" w:cs="Times New Roman"/>
        </w:rPr>
        <w:t>. Oxford: Oxford University Press.</w:t>
      </w:r>
    </w:p>
    <w:p w:rsidR="003A5F28" w:rsidRDefault="003A5F28" w:rsidP="003A5F28">
      <w:pPr>
        <w:rPr>
          <w:rFonts w:ascii="Times New Roman" w:hAnsi="Times New Roman" w:cs="Times New Roman"/>
        </w:rPr>
      </w:pPr>
      <w:r w:rsidRPr="00AE1B99">
        <w:rPr>
          <w:rFonts w:ascii="Times New Roman" w:hAnsi="Times New Roman" w:cs="Times New Roman"/>
        </w:rPr>
        <w:t xml:space="preserve">Brink, D. O. (1989). </w:t>
      </w:r>
      <w:r w:rsidRPr="00AE1B99">
        <w:rPr>
          <w:rFonts w:ascii="Times New Roman" w:hAnsi="Times New Roman" w:cs="Times New Roman"/>
          <w:i/>
        </w:rPr>
        <w:t>Moral Realism and the Foundations of  Ethics.</w:t>
      </w:r>
      <w:r w:rsidRPr="00AE1B99">
        <w:rPr>
          <w:rFonts w:ascii="Times New Roman" w:hAnsi="Times New Roman" w:cs="Times New Roman"/>
        </w:rPr>
        <w:t xml:space="preserve"> Cambridge: Cambridge University Press.</w:t>
      </w:r>
    </w:p>
    <w:p w:rsidR="003A5F28" w:rsidRPr="00AE1B99" w:rsidRDefault="003A5F28" w:rsidP="003A5F28">
      <w:pPr>
        <w:rPr>
          <w:rFonts w:ascii="Times New Roman" w:hAnsi="Times New Roman" w:cs="Times New Roman"/>
        </w:rPr>
      </w:pPr>
      <w:r>
        <w:rPr>
          <w:rFonts w:ascii="Times New Roman" w:hAnsi="Times New Roman" w:cs="Times New Roman"/>
        </w:rPr>
        <w:t xml:space="preserve">Caney, S. (2005). </w:t>
      </w:r>
      <w:r w:rsidRPr="005944D7">
        <w:rPr>
          <w:rFonts w:ascii="Times New Roman" w:hAnsi="Times New Roman" w:cs="Times New Roman"/>
          <w:i/>
        </w:rPr>
        <w:t>Justice Beyond Borders: A Global Political Theory</w:t>
      </w:r>
      <w:r>
        <w:rPr>
          <w:rFonts w:ascii="Times New Roman" w:hAnsi="Times New Roman" w:cs="Times New Roman"/>
        </w:rPr>
        <w:t>. New York: Oxford University Press.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Carr, E. H. (2001). </w:t>
      </w:r>
      <w:r w:rsidRPr="00AE1B99">
        <w:rPr>
          <w:rStyle w:val="Nadruk"/>
          <w:rFonts w:ascii="Times New Roman" w:hAnsi="Times New Roman" w:cs="Times New Roman"/>
        </w:rPr>
        <w:t>The Twenty Years' Crisis, 1919–1939: An Introduction to Study International Relations</w:t>
      </w:r>
      <w:r w:rsidRPr="00AE1B99">
        <w:rPr>
          <w:rFonts w:ascii="Times New Roman" w:hAnsi="Times New Roman" w:cs="Times New Roman"/>
        </w:rPr>
        <w:t>, New York: Palgrave.</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Conces, R. (2009). Rethinking Realism (or Whatever) and the War on Terrorism in a Place Like the Balkans. </w:t>
      </w:r>
      <w:r w:rsidRPr="00AE1B99">
        <w:rPr>
          <w:rFonts w:ascii="Times New Roman" w:hAnsi="Times New Roman" w:cs="Times New Roman"/>
          <w:i/>
        </w:rPr>
        <w:t>A Journal of Social and Political Theory</w:t>
      </w:r>
      <w:r w:rsidRPr="00AE1B99">
        <w:rPr>
          <w:rFonts w:ascii="Times New Roman" w:hAnsi="Times New Roman" w:cs="Times New Roman"/>
        </w:rPr>
        <w:t>.</w:t>
      </w:r>
    </w:p>
    <w:p w:rsidR="003A5F28" w:rsidRPr="00AE1B99" w:rsidRDefault="003A5F28" w:rsidP="003A5F28">
      <w:pPr>
        <w:pStyle w:val="Geenafstand"/>
        <w:rPr>
          <w:rFonts w:ascii="Times New Roman" w:hAnsi="Times New Roman" w:cs="Times New Roman"/>
        </w:rPr>
      </w:pPr>
      <w:r w:rsidRPr="00AE1B99">
        <w:rPr>
          <w:rFonts w:ascii="Times New Roman" w:hAnsi="Times New Roman" w:cs="Times New Roman"/>
        </w:rPr>
        <w:t>Den Uyl, D.J. (1987). Passion, State, and Progress: Spinoza and Mandeville on the</w:t>
      </w:r>
    </w:p>
    <w:p w:rsidR="003A5F28" w:rsidRPr="00AE1B99" w:rsidRDefault="003A5F28" w:rsidP="003A5F28">
      <w:pPr>
        <w:pStyle w:val="Geenafstand"/>
        <w:rPr>
          <w:rFonts w:ascii="Times New Roman" w:hAnsi="Times New Roman" w:cs="Times New Roman"/>
        </w:rPr>
      </w:pPr>
      <w:r w:rsidRPr="00AE1B99">
        <w:rPr>
          <w:rFonts w:ascii="Times New Roman" w:hAnsi="Times New Roman" w:cs="Times New Roman"/>
        </w:rPr>
        <w:t xml:space="preserve">Nature of Human Association. </w:t>
      </w:r>
      <w:r w:rsidRPr="00AE1B99">
        <w:rPr>
          <w:rFonts w:ascii="Times New Roman" w:hAnsi="Times New Roman" w:cs="Times New Roman"/>
          <w:i/>
        </w:rPr>
        <w:t>Journal of the History of Philosophy</w:t>
      </w:r>
      <w:r w:rsidRPr="00AE1B99">
        <w:rPr>
          <w:rFonts w:ascii="Times New Roman" w:hAnsi="Times New Roman" w:cs="Times New Roman"/>
        </w:rPr>
        <w:t>, Vol. 25, No. 3, pp. 369-395.</w:t>
      </w:r>
    </w:p>
    <w:p w:rsidR="003A5F28" w:rsidRPr="00AE1B99" w:rsidRDefault="003A5F28" w:rsidP="003A5F28">
      <w:pPr>
        <w:pStyle w:val="Geenafstand"/>
        <w:rPr>
          <w:rFonts w:ascii="Times New Roman" w:hAnsi="Times New Roman" w:cs="Times New Roman"/>
        </w:rPr>
      </w:pPr>
    </w:p>
    <w:p w:rsidR="003A5F28" w:rsidRPr="00AE1B99" w:rsidRDefault="003A5F28" w:rsidP="003A5F28">
      <w:pPr>
        <w:pStyle w:val="Geenafstand"/>
        <w:rPr>
          <w:rFonts w:ascii="Times New Roman" w:hAnsi="Times New Roman" w:cs="Times New Roman"/>
        </w:rPr>
      </w:pPr>
      <w:r w:rsidRPr="00AE1B99">
        <w:rPr>
          <w:rFonts w:ascii="Times New Roman" w:hAnsi="Times New Roman" w:cs="Times New Roman"/>
        </w:rPr>
        <w:t xml:space="preserve">Durkheim, E. (1982) [1895]. </w:t>
      </w:r>
      <w:r w:rsidRPr="00AE1B99">
        <w:rPr>
          <w:rFonts w:ascii="Times New Roman" w:hAnsi="Times New Roman" w:cs="Times New Roman"/>
          <w:i/>
        </w:rPr>
        <w:t>Rules of Sociological Method</w:t>
      </w:r>
      <w:r w:rsidRPr="00AE1B99">
        <w:rPr>
          <w:rFonts w:ascii="Times New Roman" w:hAnsi="Times New Roman" w:cs="Times New Roman"/>
        </w:rPr>
        <w:t>. Free Press</w:t>
      </w:r>
    </w:p>
    <w:p w:rsidR="003A5F28" w:rsidRPr="00AE1B99" w:rsidRDefault="003A5F28" w:rsidP="003A5F28">
      <w:pPr>
        <w:pStyle w:val="Geenafstand"/>
        <w:rPr>
          <w:rFonts w:ascii="Times New Roman" w:hAnsi="Times New Roman" w:cs="Times New Roman"/>
        </w:rPr>
      </w:pPr>
    </w:p>
    <w:p w:rsidR="003A5F28" w:rsidRPr="00AE1B99" w:rsidRDefault="003A5F28" w:rsidP="003A5F28">
      <w:pPr>
        <w:pStyle w:val="Geenafstand"/>
        <w:rPr>
          <w:rFonts w:ascii="Times New Roman" w:hAnsi="Times New Roman" w:cs="Times New Roman"/>
        </w:rPr>
      </w:pPr>
      <w:r w:rsidRPr="00AE1B99">
        <w:rPr>
          <w:rFonts w:ascii="Times New Roman" w:hAnsi="Times New Roman" w:cs="Times New Roman"/>
        </w:rPr>
        <w:t xml:space="preserve">Elster, J. (1989). </w:t>
      </w:r>
      <w:r w:rsidRPr="00AE1B99">
        <w:rPr>
          <w:rFonts w:ascii="Times New Roman" w:hAnsi="Times New Roman" w:cs="Times New Roman"/>
          <w:i/>
        </w:rPr>
        <w:t>Nuts and Bolts for the Social Sciences.</w:t>
      </w:r>
      <w:r w:rsidRPr="00AE1B99">
        <w:rPr>
          <w:rFonts w:ascii="Times New Roman" w:hAnsi="Times New Roman" w:cs="Times New Roman"/>
        </w:rPr>
        <w:t xml:space="preserve"> Cambridge: Cambridge University Press.</w:t>
      </w:r>
    </w:p>
    <w:p w:rsidR="003A5F28" w:rsidRPr="00AE1B99" w:rsidRDefault="003A5F28" w:rsidP="003A5F28">
      <w:pPr>
        <w:pStyle w:val="Geenafstand"/>
        <w:rPr>
          <w:rFonts w:ascii="Times New Roman" w:hAnsi="Times New Roman" w:cs="Times New Roman"/>
          <w:i/>
        </w:rPr>
      </w:pPr>
    </w:p>
    <w:p w:rsidR="003A5F28" w:rsidRPr="00AE1B99" w:rsidRDefault="003A5F28" w:rsidP="003A5F28">
      <w:pPr>
        <w:pStyle w:val="Geenafstand"/>
        <w:rPr>
          <w:rFonts w:ascii="Times New Roman" w:hAnsi="Times New Roman" w:cs="Times New Roman"/>
        </w:rPr>
      </w:pPr>
      <w:r w:rsidRPr="00AE1B99">
        <w:rPr>
          <w:rFonts w:ascii="Times New Roman" w:hAnsi="Times New Roman" w:cs="Times New Roman"/>
        </w:rPr>
        <w:t xml:space="preserve">Hirschman, A. O. (1977). </w:t>
      </w:r>
      <w:r w:rsidRPr="00AE1B99">
        <w:rPr>
          <w:rFonts w:ascii="Times New Roman" w:hAnsi="Times New Roman" w:cs="Times New Roman"/>
          <w:i/>
        </w:rPr>
        <w:t>The Passions and the Interests: Political Arguments for Capitalism before its Triumph.</w:t>
      </w:r>
      <w:r w:rsidRPr="00AE1B99">
        <w:rPr>
          <w:rFonts w:ascii="Times New Roman" w:hAnsi="Times New Roman" w:cs="Times New Roman"/>
        </w:rPr>
        <w:t xml:space="preserve"> Princeton: Princeton University Press.</w:t>
      </w:r>
    </w:p>
    <w:p w:rsidR="003A5F28" w:rsidRPr="00AE1B99" w:rsidRDefault="003A5F28" w:rsidP="003A5F28">
      <w:pPr>
        <w:pStyle w:val="Geenafstand"/>
        <w:rPr>
          <w:rFonts w:ascii="Times New Roman" w:hAnsi="Times New Roman" w:cs="Times New Roman"/>
        </w:rPr>
      </w:pP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Hobbes, T. (1996)[1651]. </w:t>
      </w:r>
      <w:r w:rsidRPr="00AE1B99">
        <w:rPr>
          <w:rFonts w:ascii="Times New Roman" w:hAnsi="Times New Roman" w:cs="Times New Roman"/>
          <w:i/>
        </w:rPr>
        <w:t>Leviathan</w:t>
      </w:r>
      <w:r w:rsidRPr="00AE1B99">
        <w:rPr>
          <w:rFonts w:ascii="Times New Roman" w:hAnsi="Times New Roman" w:cs="Times New Roman"/>
        </w:rPr>
        <w:t>. Ed. J.C.A. Gaskin. Oxford: Oxford University Press.</w:t>
      </w:r>
    </w:p>
    <w:p w:rsidR="003A5F28" w:rsidRPr="003A5F28" w:rsidRDefault="003A5F28" w:rsidP="003A5F28">
      <w:pPr>
        <w:rPr>
          <w:rFonts w:ascii="Times New Roman" w:hAnsi="Times New Roman" w:cs="Times New Roman"/>
          <w:lang w:val="nl-NL"/>
        </w:rPr>
      </w:pPr>
      <w:r w:rsidRPr="003A5F28">
        <w:rPr>
          <w:rFonts w:ascii="Times New Roman" w:hAnsi="Times New Roman" w:cs="Times New Roman"/>
          <w:lang w:val="nl-NL"/>
        </w:rPr>
        <w:t xml:space="preserve">Machiavelli, N. (2009)[1532]. </w:t>
      </w:r>
      <w:r w:rsidRPr="003A5F28">
        <w:rPr>
          <w:rFonts w:ascii="Times New Roman" w:hAnsi="Times New Roman" w:cs="Times New Roman"/>
          <w:i/>
          <w:lang w:val="nl-NL"/>
        </w:rPr>
        <w:t>De Heerser</w:t>
      </w:r>
      <w:r w:rsidRPr="003A5F28">
        <w:rPr>
          <w:rFonts w:ascii="Times New Roman" w:hAnsi="Times New Roman" w:cs="Times New Roman"/>
          <w:lang w:val="nl-NL"/>
        </w:rPr>
        <w:t>. Ed. en vert. F. van Dooren. Amsterdam: Uitgeverij Athenaeum.</w:t>
      </w:r>
    </w:p>
    <w:p w:rsidR="003A5F28" w:rsidRDefault="003A5F28" w:rsidP="003A5F28">
      <w:pPr>
        <w:rPr>
          <w:rFonts w:ascii="Times New Roman" w:hAnsi="Times New Roman" w:cs="Times New Roman"/>
        </w:rPr>
      </w:pPr>
      <w:r w:rsidRPr="00AE1B99">
        <w:rPr>
          <w:rFonts w:ascii="Times New Roman" w:hAnsi="Times New Roman" w:cs="Times New Roman"/>
        </w:rPr>
        <w:t xml:space="preserve">Mansbridge, J.J. (1990). </w:t>
      </w:r>
      <w:r w:rsidRPr="00AE1B99">
        <w:rPr>
          <w:rFonts w:ascii="Times New Roman" w:hAnsi="Times New Roman" w:cs="Times New Roman"/>
          <w:i/>
        </w:rPr>
        <w:t>Beyond Self-Interest</w:t>
      </w:r>
      <w:r w:rsidRPr="00AE1B99">
        <w:rPr>
          <w:rFonts w:ascii="Times New Roman" w:hAnsi="Times New Roman" w:cs="Times New Roman"/>
        </w:rPr>
        <w:t>. Chicago: University of Chicago Press.</w:t>
      </w:r>
    </w:p>
    <w:p w:rsidR="003A5F28" w:rsidRDefault="003A5F28" w:rsidP="003A5F28">
      <w:pPr>
        <w:rPr>
          <w:rFonts w:ascii="Times New Roman" w:hAnsi="Times New Roman" w:cs="Times New Roman"/>
        </w:rPr>
      </w:pPr>
      <w:r>
        <w:rPr>
          <w:rFonts w:ascii="Times New Roman" w:hAnsi="Times New Roman" w:cs="Times New Roman"/>
        </w:rPr>
        <w:t xml:space="preserve">Mearsheimer, J. (1990). Back to the Future: Instability in Europe after the Cold War. </w:t>
      </w:r>
      <w:r>
        <w:rPr>
          <w:rFonts w:ascii="Times New Roman" w:hAnsi="Times New Roman" w:cs="Times New Roman"/>
          <w:i/>
        </w:rPr>
        <w:t xml:space="preserve">International Security. </w:t>
      </w:r>
      <w:r>
        <w:rPr>
          <w:rFonts w:ascii="Times New Roman" w:hAnsi="Times New Roman" w:cs="Times New Roman"/>
        </w:rPr>
        <w:t>Vol. 5, No. 1, pp. 5-56.</w:t>
      </w:r>
    </w:p>
    <w:p w:rsidR="003A5F28" w:rsidRPr="002C67D0" w:rsidRDefault="003A5F28" w:rsidP="003A5F28">
      <w:pPr>
        <w:rPr>
          <w:rFonts w:ascii="Times New Roman" w:hAnsi="Times New Roman" w:cs="Times New Roman"/>
        </w:rPr>
      </w:pPr>
      <w:r>
        <w:rPr>
          <w:rFonts w:ascii="Times New Roman" w:hAnsi="Times New Roman" w:cs="Times New Roman"/>
        </w:rPr>
        <w:t xml:space="preserve">Mearsheimer, J. (2003). </w:t>
      </w:r>
      <w:r w:rsidRPr="002C67D0">
        <w:rPr>
          <w:rFonts w:ascii="Times New Roman" w:hAnsi="Times New Roman" w:cs="Times New Roman"/>
          <w:i/>
        </w:rPr>
        <w:t>The Tragedy of Great Power Politics</w:t>
      </w:r>
      <w:r>
        <w:rPr>
          <w:rFonts w:ascii="Times New Roman" w:hAnsi="Times New Roman" w:cs="Times New Roman"/>
        </w:rPr>
        <w:t>. New York: W. W. Norton &amp; Company.</w:t>
      </w:r>
    </w:p>
    <w:p w:rsidR="003A5F28" w:rsidRDefault="003A5F28" w:rsidP="003A5F28">
      <w:pPr>
        <w:rPr>
          <w:rFonts w:ascii="Times New Roman" w:hAnsi="Times New Roman" w:cs="Times New Roman"/>
        </w:rPr>
      </w:pPr>
      <w:r>
        <w:rPr>
          <w:rFonts w:ascii="Times New Roman" w:hAnsi="Times New Roman" w:cs="Times New Roman"/>
        </w:rPr>
        <w:t>Mears</w:t>
      </w:r>
      <w:r w:rsidRPr="002C2CCC">
        <w:rPr>
          <w:rFonts w:ascii="Times New Roman" w:hAnsi="Times New Roman" w:cs="Times New Roman"/>
        </w:rPr>
        <w:t xml:space="preserve">heimer, J. (2001). </w:t>
      </w:r>
      <w:r>
        <w:rPr>
          <w:rFonts w:ascii="Times New Roman" w:hAnsi="Times New Roman" w:cs="Times New Roman"/>
        </w:rPr>
        <w:t xml:space="preserve">Structural </w:t>
      </w:r>
      <w:r w:rsidRPr="00AE1B99">
        <w:rPr>
          <w:rFonts w:ascii="Times New Roman" w:hAnsi="Times New Roman" w:cs="Times New Roman"/>
        </w:rPr>
        <w:t xml:space="preserve">Realism. In Dunne T., Kurki M. &amp; Smith S. (ed.), </w:t>
      </w:r>
      <w:r w:rsidRPr="00AE1B99">
        <w:rPr>
          <w:rFonts w:ascii="Times New Roman" w:hAnsi="Times New Roman" w:cs="Times New Roman"/>
          <w:i/>
        </w:rPr>
        <w:t>International Relations Theory: Discipline and Diversity</w:t>
      </w:r>
      <w:r w:rsidRPr="00AE1B99">
        <w:rPr>
          <w:rFonts w:ascii="Times New Roman" w:hAnsi="Times New Roman" w:cs="Times New Roman"/>
        </w:rPr>
        <w:t xml:space="preserve"> (pp. 59-76). Oxford: Oxford University Press.</w:t>
      </w:r>
    </w:p>
    <w:p w:rsidR="003A5F28" w:rsidRPr="00D01921" w:rsidRDefault="003A5F28" w:rsidP="003A5F28">
      <w:pPr>
        <w:rPr>
          <w:rFonts w:ascii="Times New Roman" w:hAnsi="Times New Roman" w:cs="Times New Roman"/>
        </w:rPr>
      </w:pPr>
      <w:r w:rsidRPr="00D01921">
        <w:rPr>
          <w:rFonts w:ascii="Times New Roman" w:hAnsi="Times New Roman" w:cs="Times New Roman"/>
        </w:rPr>
        <w:t>Meinecke, F. (1957). Machiavellism: The D</w:t>
      </w:r>
      <w:r>
        <w:rPr>
          <w:rFonts w:ascii="Times New Roman" w:hAnsi="Times New Roman" w:cs="Times New Roman"/>
        </w:rPr>
        <w:t>octrine of Raison D’état and its Place in Modern History. New Haven: Yale University Press.</w:t>
      </w:r>
    </w:p>
    <w:p w:rsidR="003A5F28" w:rsidRPr="00AE1B99" w:rsidRDefault="003A5F28" w:rsidP="003A5F28">
      <w:pPr>
        <w:rPr>
          <w:rFonts w:ascii="Times New Roman" w:hAnsi="Times New Roman" w:cs="Times New Roman"/>
          <w:i/>
        </w:rPr>
      </w:pPr>
      <w:r w:rsidRPr="00C74BB5">
        <w:rPr>
          <w:rFonts w:ascii="Times New Roman" w:hAnsi="Times New Roman" w:cs="Times New Roman"/>
        </w:rPr>
        <w:t xml:space="preserve">Morgenthau, H. J. (1946). </w:t>
      </w:r>
      <w:r w:rsidRPr="00AE1B99">
        <w:rPr>
          <w:rFonts w:ascii="Times New Roman" w:hAnsi="Times New Roman" w:cs="Times New Roman"/>
          <w:i/>
        </w:rPr>
        <w:t>Scientific Man vs. Power Politics</w:t>
      </w:r>
      <w:r w:rsidRPr="00AE1B99">
        <w:rPr>
          <w:rFonts w:ascii="Times New Roman" w:hAnsi="Times New Roman" w:cs="Times New Roman"/>
        </w:rPr>
        <w:t>. Chicago: Chicago University Press.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Morgenthau, H. J. (1954). </w:t>
      </w:r>
      <w:r w:rsidRPr="00AE1B99">
        <w:rPr>
          <w:rStyle w:val="Nadruk"/>
          <w:rFonts w:ascii="Times New Roman" w:hAnsi="Times New Roman" w:cs="Times New Roman"/>
        </w:rPr>
        <w:t>Politics among Nations: The Struggle for Power and Peace</w:t>
      </w:r>
      <w:r w:rsidRPr="00AE1B99">
        <w:rPr>
          <w:rFonts w:ascii="Times New Roman" w:hAnsi="Times New Roman" w:cs="Times New Roman"/>
        </w:rPr>
        <w:t>, 2nd ed., New York: Alfred A. Knopf.</w:t>
      </w:r>
    </w:p>
    <w:p w:rsidR="003A5F28" w:rsidRDefault="003A5F28" w:rsidP="003A5F28">
      <w:pPr>
        <w:autoSpaceDE w:val="0"/>
        <w:autoSpaceDN w:val="0"/>
        <w:adjustRightInd w:val="0"/>
        <w:spacing w:after="0" w:line="240" w:lineRule="auto"/>
        <w:rPr>
          <w:rFonts w:ascii="Times New Roman" w:hAnsi="Times New Roman" w:cs="Times New Roman"/>
        </w:rPr>
      </w:pPr>
    </w:p>
    <w:p w:rsidR="003A5F28" w:rsidRPr="00AE1B99" w:rsidRDefault="003A5F28" w:rsidP="003A5F28">
      <w:pPr>
        <w:autoSpaceDE w:val="0"/>
        <w:autoSpaceDN w:val="0"/>
        <w:adjustRightInd w:val="0"/>
        <w:spacing w:after="0" w:line="240" w:lineRule="auto"/>
        <w:rPr>
          <w:rFonts w:ascii="Times New Roman" w:hAnsi="Times New Roman" w:cs="Times New Roman"/>
        </w:rPr>
      </w:pPr>
      <w:r w:rsidRPr="00AE1B99">
        <w:rPr>
          <w:rFonts w:ascii="Times New Roman" w:hAnsi="Times New Roman" w:cs="Times New Roman"/>
        </w:rPr>
        <w:t>Murray, M. (2003). A Catalogue of Mistaken Interests:</w:t>
      </w:r>
    </w:p>
    <w:p w:rsidR="003A5F28" w:rsidRPr="00AE1B99" w:rsidRDefault="003A5F28" w:rsidP="003A5F28">
      <w:pPr>
        <w:autoSpaceDE w:val="0"/>
        <w:autoSpaceDN w:val="0"/>
        <w:adjustRightInd w:val="0"/>
        <w:spacing w:after="0" w:line="240" w:lineRule="auto"/>
        <w:rPr>
          <w:rFonts w:ascii="Times New Roman" w:hAnsi="Times New Roman" w:cs="Times New Roman"/>
          <w:i/>
        </w:rPr>
      </w:pPr>
      <w:r w:rsidRPr="00AE1B99">
        <w:rPr>
          <w:rFonts w:ascii="Times New Roman" w:hAnsi="Times New Roman" w:cs="Times New Roman"/>
        </w:rPr>
        <w:t xml:space="preserve">Reflections on the Desired and the Desirable. </w:t>
      </w:r>
      <w:r w:rsidRPr="00AE1B99">
        <w:rPr>
          <w:rFonts w:ascii="Times New Roman" w:hAnsi="Times New Roman" w:cs="Times New Roman"/>
          <w:i/>
        </w:rPr>
        <w:t>International Journal of Philosophical</w:t>
      </w:r>
    </w:p>
    <w:p w:rsidR="003A5F28" w:rsidRPr="00AE1B99" w:rsidRDefault="003A5F28" w:rsidP="003A5F28">
      <w:pPr>
        <w:rPr>
          <w:rFonts w:ascii="Times New Roman" w:hAnsi="Times New Roman" w:cs="Times New Roman"/>
        </w:rPr>
      </w:pPr>
      <w:r w:rsidRPr="00AE1B99">
        <w:rPr>
          <w:rFonts w:ascii="Times New Roman" w:hAnsi="Times New Roman" w:cs="Times New Roman"/>
          <w:i/>
        </w:rPr>
        <w:t>Studies</w:t>
      </w:r>
      <w:r w:rsidRPr="00AE1B99">
        <w:rPr>
          <w:rFonts w:ascii="Times New Roman" w:hAnsi="Times New Roman" w:cs="Times New Roman"/>
        </w:rPr>
        <w:t>, Vol. 11, No. 1,pp. 1-23.</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Ned Lebow, R. (2010). Classical Realism. In Dunne T., Kurki M. &amp; Smith S. (ed.), </w:t>
      </w:r>
      <w:r w:rsidRPr="00AE1B99">
        <w:rPr>
          <w:rFonts w:ascii="Times New Roman" w:hAnsi="Times New Roman" w:cs="Times New Roman"/>
          <w:i/>
        </w:rPr>
        <w:t>International Relations Theory: Discipline and Diversity</w:t>
      </w:r>
      <w:r w:rsidRPr="00AE1B99">
        <w:rPr>
          <w:rFonts w:ascii="Times New Roman" w:hAnsi="Times New Roman" w:cs="Times New Roman"/>
        </w:rPr>
        <w:t xml:space="preserve"> (pp. 59-76). Oxford: Oxford University Press.</w:t>
      </w:r>
    </w:p>
    <w:p w:rsidR="003A5F28" w:rsidRDefault="003A5F28" w:rsidP="003A5F28">
      <w:pPr>
        <w:rPr>
          <w:rFonts w:ascii="Times New Roman" w:hAnsi="Times New Roman" w:cs="Times New Roman"/>
        </w:rPr>
      </w:pPr>
      <w:r w:rsidRPr="00AE1B99">
        <w:rPr>
          <w:rFonts w:ascii="Times New Roman" w:hAnsi="Times New Roman" w:cs="Times New Roman"/>
        </w:rPr>
        <w:t xml:space="preserve">Niebuhr, R. (2005) [1932]. </w:t>
      </w:r>
      <w:r w:rsidRPr="00AE1B99">
        <w:rPr>
          <w:rFonts w:ascii="Times New Roman" w:hAnsi="Times New Roman" w:cs="Times New Roman"/>
          <w:i/>
        </w:rPr>
        <w:t>Moral Man and Immoral Society: A study of Ethics and Politics.</w:t>
      </w:r>
      <w:r w:rsidRPr="00AE1B99">
        <w:rPr>
          <w:rFonts w:ascii="Times New Roman" w:hAnsi="Times New Roman" w:cs="Times New Roman"/>
        </w:rPr>
        <w:t xml:space="preserve"> Continuum International Publishing Group.</w:t>
      </w:r>
    </w:p>
    <w:p w:rsidR="003A5F28" w:rsidRPr="00AE1B99" w:rsidRDefault="003A5F28" w:rsidP="003A5F28">
      <w:pPr>
        <w:rPr>
          <w:rFonts w:ascii="Times New Roman" w:hAnsi="Times New Roman" w:cs="Times New Roman"/>
        </w:rPr>
      </w:pPr>
      <w:r>
        <w:rPr>
          <w:rFonts w:ascii="Times New Roman" w:hAnsi="Times New Roman" w:cs="Times New Roman"/>
        </w:rPr>
        <w:t xml:space="preserve">Nincic, M. (1999). National Interest and its Interpretations. </w:t>
      </w:r>
      <w:r>
        <w:rPr>
          <w:rFonts w:ascii="Times New Roman" w:hAnsi="Times New Roman" w:cs="Times New Roman"/>
          <w:i/>
        </w:rPr>
        <w:t xml:space="preserve">The </w:t>
      </w:r>
      <w:r w:rsidRPr="00FF7B36">
        <w:rPr>
          <w:rFonts w:ascii="Times New Roman" w:hAnsi="Times New Roman" w:cs="Times New Roman"/>
          <w:i/>
        </w:rPr>
        <w:t>Review</w:t>
      </w:r>
      <w:r>
        <w:rPr>
          <w:rFonts w:ascii="Times New Roman" w:hAnsi="Times New Roman" w:cs="Times New Roman"/>
          <w:i/>
        </w:rPr>
        <w:t xml:space="preserve"> of Politics</w:t>
      </w:r>
      <w:r>
        <w:rPr>
          <w:rFonts w:ascii="Times New Roman" w:hAnsi="Times New Roman" w:cs="Times New Roman"/>
        </w:rPr>
        <w:t>. Vol. 61, No. 1, pp. 29-55.</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Railton, P. (1986). Moral Realism. </w:t>
      </w:r>
      <w:r w:rsidRPr="00AE1B99">
        <w:rPr>
          <w:rFonts w:ascii="Times New Roman" w:hAnsi="Times New Roman" w:cs="Times New Roman"/>
          <w:i/>
        </w:rPr>
        <w:t>The Philosophical Review</w:t>
      </w:r>
      <w:r w:rsidRPr="00AE1B99">
        <w:rPr>
          <w:rFonts w:ascii="Times New Roman" w:hAnsi="Times New Roman" w:cs="Times New Roman"/>
        </w:rPr>
        <w:t>, XCV, no. 2.</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Rice, D. (2008). Reinhold Niebuhr and Hans Morgenthau: A Friendship with Contrasting Shades of Realism. </w:t>
      </w:r>
      <w:r w:rsidRPr="00AE1B99">
        <w:rPr>
          <w:rFonts w:ascii="Times New Roman" w:hAnsi="Times New Roman" w:cs="Times New Roman"/>
          <w:i/>
        </w:rPr>
        <w:t xml:space="preserve">Journal of American Studies, </w:t>
      </w:r>
      <w:r w:rsidRPr="00AE1B99">
        <w:rPr>
          <w:rFonts w:ascii="Times New Roman" w:hAnsi="Times New Roman" w:cs="Times New Roman"/>
        </w:rPr>
        <w:t>Vol. 42, No. 2, pp. 255-291.</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Rogers, K. (1997). </w:t>
      </w:r>
      <w:r w:rsidRPr="00AE1B99">
        <w:rPr>
          <w:rFonts w:ascii="Times New Roman" w:hAnsi="Times New Roman" w:cs="Times New Roman"/>
          <w:i/>
        </w:rPr>
        <w:t>Self-Interest: An Anthology of Philosophical Perspectives.</w:t>
      </w:r>
      <w:r w:rsidRPr="00AE1B99">
        <w:rPr>
          <w:rFonts w:ascii="Times New Roman" w:hAnsi="Times New Roman" w:cs="Times New Roman"/>
        </w:rPr>
        <w:t xml:space="preserve"> Clarendon Pres.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Rosenberg, N. (1963). Mandeville and Laissez Faire. </w:t>
      </w:r>
      <w:r w:rsidRPr="00AE1B99">
        <w:rPr>
          <w:rFonts w:ascii="Times New Roman" w:hAnsi="Times New Roman" w:cs="Times New Roman"/>
          <w:i/>
        </w:rPr>
        <w:t>Journal of the History of Ideas.</w:t>
      </w:r>
      <w:r w:rsidRPr="00AE1B99">
        <w:rPr>
          <w:rFonts w:ascii="Times New Roman" w:hAnsi="Times New Roman" w:cs="Times New Roman"/>
        </w:rPr>
        <w:t xml:space="preserve"> Vol. 24, No. 2, pp. 183-196.</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Ruggie, J.G. (1983). [Review: Continuity and Transformation in the World Polity: Toward a Neorealist Synthesis Theory of International Politics by Kenneth N. Waltz]. </w:t>
      </w:r>
      <w:r w:rsidRPr="00AE1B99">
        <w:rPr>
          <w:rFonts w:ascii="Times New Roman" w:hAnsi="Times New Roman" w:cs="Times New Roman"/>
          <w:i/>
        </w:rPr>
        <w:t>World Politics</w:t>
      </w:r>
      <w:r w:rsidRPr="00AE1B99">
        <w:rPr>
          <w:rFonts w:ascii="Times New Roman" w:hAnsi="Times New Roman" w:cs="Times New Roman"/>
        </w:rPr>
        <w:t>, Vol. 35, No. 2, pp. 261-285.</w:t>
      </w:r>
    </w:p>
    <w:p w:rsidR="003A5F28" w:rsidRDefault="003A5F28" w:rsidP="003A5F28">
      <w:pPr>
        <w:rPr>
          <w:rFonts w:ascii="Times New Roman" w:hAnsi="Times New Roman" w:cs="Times New Roman"/>
          <w:bCs/>
          <w:color w:val="000000" w:themeColor="text1"/>
          <w:kern w:val="36"/>
        </w:rPr>
      </w:pPr>
      <w:r w:rsidRPr="00AE1B99">
        <w:rPr>
          <w:rFonts w:ascii="Times New Roman" w:hAnsi="Times New Roman" w:cs="Times New Roman"/>
        </w:rPr>
        <w:t xml:space="preserve">Schuett, R. (2007). </w:t>
      </w:r>
      <w:r w:rsidRPr="0048455B">
        <w:rPr>
          <w:rFonts w:ascii="Times New Roman" w:hAnsi="Times New Roman" w:cs="Times New Roman"/>
          <w:bCs/>
          <w:color w:val="000000" w:themeColor="text1"/>
          <w:kern w:val="36"/>
        </w:rPr>
        <w:t xml:space="preserve">Freudian roots of political realism: the importance of Sigmund Freud to Hans J. Morgenthau's theory of international power politics. </w:t>
      </w:r>
      <w:r w:rsidRPr="0048455B">
        <w:rPr>
          <w:rFonts w:ascii="Times New Roman" w:hAnsi="Times New Roman" w:cs="Times New Roman"/>
          <w:bCs/>
          <w:i/>
          <w:color w:val="000000" w:themeColor="text1"/>
          <w:kern w:val="36"/>
        </w:rPr>
        <w:t>History of the Human Sciences.</w:t>
      </w:r>
      <w:r w:rsidRPr="0048455B">
        <w:rPr>
          <w:rFonts w:ascii="Times New Roman" w:hAnsi="Times New Roman" w:cs="Times New Roman"/>
          <w:bCs/>
          <w:color w:val="000000" w:themeColor="text1"/>
          <w:kern w:val="36"/>
        </w:rPr>
        <w:t xml:space="preserve"> Vol. 20, No. 4, pp. 53-78.</w:t>
      </w:r>
    </w:p>
    <w:p w:rsidR="003A5F28" w:rsidRPr="001F2E15" w:rsidRDefault="003A5F28" w:rsidP="003A5F28">
      <w:pPr>
        <w:rPr>
          <w:rFonts w:ascii="Times New Roman" w:hAnsi="Times New Roman" w:cs="Times New Roman"/>
          <w:color w:val="000000" w:themeColor="text1"/>
        </w:rPr>
      </w:pPr>
      <w:r>
        <w:rPr>
          <w:rFonts w:ascii="Times New Roman" w:hAnsi="Times New Roman" w:cs="Times New Roman"/>
          <w:bCs/>
          <w:color w:val="000000" w:themeColor="text1"/>
          <w:kern w:val="36"/>
        </w:rPr>
        <w:t xml:space="preserve">Smith, A. (2002) [1759]. </w:t>
      </w:r>
      <w:r>
        <w:rPr>
          <w:rFonts w:ascii="Times New Roman" w:hAnsi="Times New Roman" w:cs="Times New Roman"/>
          <w:bCs/>
          <w:i/>
          <w:color w:val="000000" w:themeColor="text1"/>
          <w:kern w:val="36"/>
        </w:rPr>
        <w:t xml:space="preserve">The Theory of Moral Sentiments. </w:t>
      </w:r>
      <w:r>
        <w:rPr>
          <w:rFonts w:ascii="Times New Roman" w:hAnsi="Times New Roman" w:cs="Times New Roman"/>
          <w:bCs/>
          <w:color w:val="000000" w:themeColor="text1"/>
          <w:kern w:val="36"/>
        </w:rPr>
        <w:t>Cambridge: Cambridge University Press.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Smith, S. (1986). Theories of Foreign Policy: an Historical Overview. </w:t>
      </w:r>
      <w:r w:rsidRPr="00AE1B99">
        <w:rPr>
          <w:rFonts w:ascii="Times New Roman" w:hAnsi="Times New Roman" w:cs="Times New Roman"/>
          <w:i/>
        </w:rPr>
        <w:t xml:space="preserve">Review of International Studies, </w:t>
      </w:r>
      <w:r w:rsidRPr="00AE1B99">
        <w:rPr>
          <w:rFonts w:ascii="Times New Roman" w:hAnsi="Times New Roman" w:cs="Times New Roman"/>
        </w:rPr>
        <w:t>Vol. 12, No. 1, pp. 13-29.</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Spinoza, B. (2001)[1678]. </w:t>
      </w:r>
      <w:r w:rsidRPr="00AE1B99">
        <w:rPr>
          <w:rFonts w:ascii="Times New Roman" w:hAnsi="Times New Roman" w:cs="Times New Roman"/>
          <w:i/>
        </w:rPr>
        <w:t>Ethics</w:t>
      </w:r>
      <w:r w:rsidRPr="00AE1B99">
        <w:rPr>
          <w:rFonts w:ascii="Times New Roman" w:hAnsi="Times New Roman" w:cs="Times New Roman"/>
        </w:rPr>
        <w:t>. Hertfordshire: Wordsworth Editions Limited.</w:t>
      </w:r>
    </w:p>
    <w:p w:rsidR="003A5F28" w:rsidRDefault="003A5F28" w:rsidP="003A5F28">
      <w:pPr>
        <w:rPr>
          <w:rFonts w:ascii="Times New Roman" w:hAnsi="Times New Roman" w:cs="Times New Roman"/>
        </w:rPr>
      </w:pPr>
      <w:r w:rsidRPr="00AE1B99">
        <w:rPr>
          <w:rFonts w:ascii="Times New Roman" w:hAnsi="Times New Roman" w:cs="Times New Roman"/>
        </w:rPr>
        <w:t xml:space="preserve">Strauss, L. (1963). </w:t>
      </w:r>
      <w:r w:rsidRPr="00AE1B99">
        <w:rPr>
          <w:rFonts w:ascii="Times New Roman" w:hAnsi="Times New Roman" w:cs="Times New Roman"/>
          <w:i/>
        </w:rPr>
        <w:t>ThePolitical Philosophy of Hobbes: Its Basis and Its Genesis</w:t>
      </w:r>
      <w:r w:rsidRPr="00AE1B99">
        <w:rPr>
          <w:rFonts w:ascii="Times New Roman" w:hAnsi="Times New Roman" w:cs="Times New Roman"/>
        </w:rPr>
        <w:t>. University of Chicago Press.</w:t>
      </w:r>
    </w:p>
    <w:p w:rsidR="003A5F28" w:rsidRPr="005065FF" w:rsidRDefault="003A5F28" w:rsidP="003A5F28">
      <w:pPr>
        <w:rPr>
          <w:rFonts w:ascii="Times New Roman" w:hAnsi="Times New Roman" w:cs="Times New Roman"/>
        </w:rPr>
      </w:pPr>
      <w:r>
        <w:rPr>
          <w:rFonts w:ascii="Times New Roman" w:hAnsi="Times New Roman" w:cs="Times New Roman"/>
        </w:rPr>
        <w:t xml:space="preserve">Walt, S. M. (1998). International Relations: One World, Many Theories. </w:t>
      </w:r>
      <w:r>
        <w:rPr>
          <w:rFonts w:ascii="Times New Roman" w:hAnsi="Times New Roman" w:cs="Times New Roman"/>
          <w:i/>
        </w:rPr>
        <w:t>Foreign Policy.</w:t>
      </w:r>
      <w:r>
        <w:rPr>
          <w:rFonts w:ascii="Times New Roman" w:hAnsi="Times New Roman" w:cs="Times New Roman"/>
        </w:rPr>
        <w:t xml:space="preserve"> No. 110 (Special Edition), pp. 29-33+ 34-46.</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Waltz, K. (2001)[1959]. </w:t>
      </w:r>
      <w:r w:rsidRPr="00AE1B99">
        <w:rPr>
          <w:rFonts w:ascii="Times New Roman" w:hAnsi="Times New Roman" w:cs="Times New Roman"/>
          <w:i/>
        </w:rPr>
        <w:t xml:space="preserve">Man, the State and War: a Theoretical Analysis. </w:t>
      </w:r>
      <w:r w:rsidRPr="00AE1B99">
        <w:rPr>
          <w:rFonts w:ascii="Times New Roman" w:hAnsi="Times New Roman" w:cs="Times New Roman"/>
        </w:rPr>
        <w:t>New York: Columbia University Press.</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Waltz, K. (2011)[1979]. </w:t>
      </w:r>
      <w:r w:rsidRPr="00AE1B99">
        <w:rPr>
          <w:rFonts w:ascii="Times New Roman" w:hAnsi="Times New Roman" w:cs="Times New Roman"/>
          <w:i/>
        </w:rPr>
        <w:t>Theory of International Politics</w:t>
      </w:r>
      <w:r w:rsidRPr="00AE1B99">
        <w:rPr>
          <w:rFonts w:ascii="Times New Roman" w:hAnsi="Times New Roman" w:cs="Times New Roman"/>
        </w:rPr>
        <w:t>. New York: Columbia University Press.</w:t>
      </w:r>
    </w:p>
    <w:p w:rsidR="003A5F28" w:rsidRPr="00AE1B99" w:rsidRDefault="003A5F28" w:rsidP="003A5F28">
      <w:pPr>
        <w:rPr>
          <w:rFonts w:ascii="Times New Roman" w:hAnsi="Times New Roman" w:cs="Times New Roman"/>
        </w:rPr>
      </w:pPr>
      <w:r w:rsidRPr="00AE1B99">
        <w:rPr>
          <w:rFonts w:ascii="Times New Roman" w:hAnsi="Times New Roman" w:cs="Times New Roman"/>
        </w:rPr>
        <w:lastRenderedPageBreak/>
        <w:t xml:space="preserve">Weber, M. (2009)[1920]. </w:t>
      </w:r>
      <w:r w:rsidRPr="00AE1B99">
        <w:rPr>
          <w:rFonts w:ascii="Times New Roman" w:hAnsi="Times New Roman" w:cs="Times New Roman"/>
          <w:i/>
        </w:rPr>
        <w:t>The Theory of Social and Economic Action</w:t>
      </w:r>
      <w:r w:rsidRPr="00AE1B99">
        <w:rPr>
          <w:rFonts w:ascii="Times New Roman" w:hAnsi="Times New Roman" w:cs="Times New Roman"/>
        </w:rPr>
        <w:t>. Simon &amp; Schuster.</w:t>
      </w:r>
    </w:p>
    <w:p w:rsidR="003A5F28" w:rsidRPr="00AE1B99" w:rsidRDefault="003A5F28" w:rsidP="003A5F28">
      <w:pPr>
        <w:rPr>
          <w:rFonts w:ascii="Times New Roman" w:hAnsi="Times New Roman" w:cs="Times New Roman"/>
        </w:rPr>
      </w:pPr>
      <w:r w:rsidRPr="00AE1B99">
        <w:rPr>
          <w:rFonts w:ascii="Times New Roman" w:hAnsi="Times New Roman" w:cs="Times New Roman"/>
        </w:rPr>
        <w:t xml:space="preserve">Williams, M. (2005). </w:t>
      </w:r>
      <w:r w:rsidRPr="00AE1B99">
        <w:rPr>
          <w:rStyle w:val="Nadruk"/>
          <w:rFonts w:ascii="Times New Roman" w:hAnsi="Times New Roman" w:cs="Times New Roman"/>
        </w:rPr>
        <w:t>The Realist Tradition and the Limits of International Relations</w:t>
      </w:r>
      <w:r w:rsidRPr="00AE1B99">
        <w:rPr>
          <w:rFonts w:ascii="Times New Roman" w:hAnsi="Times New Roman" w:cs="Times New Roman"/>
        </w:rPr>
        <w:t>. Cambridge: Cambridge University Press.</w:t>
      </w: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spacing w:line="360" w:lineRule="auto"/>
        <w:rPr>
          <w:rFonts w:ascii="Times New Roman" w:hAnsi="Times New Roman" w:cs="Times New Roman"/>
          <w:b/>
        </w:rPr>
      </w:pPr>
    </w:p>
    <w:p w:rsidR="003A5F28" w:rsidRPr="00AE1B99" w:rsidRDefault="003A5F28" w:rsidP="003A5F28">
      <w:pPr>
        <w:spacing w:line="360" w:lineRule="auto"/>
        <w:rPr>
          <w:rFonts w:ascii="Times New Roman" w:hAnsi="Times New Roman" w:cs="Times New Roman"/>
          <w:b/>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AE1B99" w:rsidRDefault="003A5F28" w:rsidP="003A5F28">
      <w:pPr>
        <w:rPr>
          <w:rFonts w:ascii="Times New Roman" w:hAnsi="Times New Roman" w:cs="Times New Roman"/>
        </w:rPr>
      </w:pPr>
    </w:p>
    <w:p w:rsidR="003A5F28" w:rsidRPr="005C2CD8" w:rsidRDefault="003A5F28" w:rsidP="003A5F28">
      <w:pPr>
        <w:pStyle w:val="Geenafstand"/>
        <w:rPr>
          <w:lang w:val="nl-NL"/>
        </w:rPr>
      </w:pPr>
    </w:p>
    <w:sectPr w:rsidR="003A5F28" w:rsidRPr="005C2CD8" w:rsidSect="00E979C2">
      <w:footerReference w:type="default" r:id="rId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7761" w:rsidRDefault="00427761" w:rsidP="003A5F28">
      <w:pPr>
        <w:spacing w:after="0" w:line="240" w:lineRule="auto"/>
      </w:pPr>
      <w:r>
        <w:separator/>
      </w:r>
    </w:p>
  </w:endnote>
  <w:endnote w:type="continuationSeparator" w:id="0">
    <w:p w:rsidR="00427761" w:rsidRDefault="00427761" w:rsidP="003A5F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2253"/>
      <w:docPartObj>
        <w:docPartGallery w:val="Page Numbers (Bottom of Page)"/>
        <w:docPartUnique/>
      </w:docPartObj>
    </w:sdtPr>
    <w:sdtContent>
      <w:p w:rsidR="00A13D21" w:rsidRDefault="00E979C2">
        <w:pPr>
          <w:pStyle w:val="Voettekst"/>
          <w:jc w:val="right"/>
        </w:pPr>
        <w:fldSimple w:instr=" PAGE   \* MERGEFORMAT ">
          <w:r w:rsidR="00B618F8">
            <w:rPr>
              <w:noProof/>
            </w:rPr>
            <w:t>1</w:t>
          </w:r>
        </w:fldSimple>
      </w:p>
    </w:sdtContent>
  </w:sdt>
  <w:p w:rsidR="00A13D21" w:rsidRDefault="00A13D21">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7761" w:rsidRDefault="00427761" w:rsidP="003A5F28">
      <w:pPr>
        <w:spacing w:after="0" w:line="240" w:lineRule="auto"/>
      </w:pPr>
      <w:r>
        <w:separator/>
      </w:r>
    </w:p>
  </w:footnote>
  <w:footnote w:type="continuationSeparator" w:id="0">
    <w:p w:rsidR="00427761" w:rsidRDefault="00427761" w:rsidP="003A5F28">
      <w:pPr>
        <w:spacing w:after="0" w:line="240" w:lineRule="auto"/>
      </w:pPr>
      <w:r>
        <w:continuationSeparator/>
      </w:r>
    </w:p>
  </w:footnote>
  <w:footnote w:id="1">
    <w:p w:rsidR="00A13D21" w:rsidRPr="002C67D0" w:rsidRDefault="00A13D21" w:rsidP="003A5F28">
      <w:pPr>
        <w:pStyle w:val="Voetnoottekst"/>
        <w:rPr>
          <w:rFonts w:ascii="Times New Roman" w:hAnsi="Times New Roman" w:cs="Times New Roman"/>
        </w:rPr>
      </w:pPr>
      <w:r>
        <w:rPr>
          <w:rStyle w:val="Voetnootmarkering"/>
        </w:rPr>
        <w:footnoteRef/>
      </w:r>
      <w:r>
        <w:t xml:space="preserve"> </w:t>
      </w:r>
      <w:r w:rsidRPr="002C67D0">
        <w:rPr>
          <w:rFonts w:ascii="Times New Roman" w:hAnsi="Times New Roman" w:cs="Times New Roman"/>
        </w:rPr>
        <w:t>Waltz en zijn rol in het neorealisme zal ik verder toelichten op pagina 5.</w:t>
      </w:r>
    </w:p>
  </w:footnote>
  <w:footnote w:id="2">
    <w:p w:rsidR="00A13D21" w:rsidRPr="002C67D0" w:rsidRDefault="00A13D21" w:rsidP="003A5F28">
      <w:pPr>
        <w:pStyle w:val="Voetnoottekst"/>
        <w:rPr>
          <w:rFonts w:ascii="Times New Roman" w:hAnsi="Times New Roman" w:cs="Times New Roman"/>
        </w:rPr>
      </w:pPr>
      <w:r>
        <w:rPr>
          <w:rStyle w:val="Voetnootmarkering"/>
        </w:rPr>
        <w:footnoteRef/>
      </w:r>
      <w:r>
        <w:t xml:space="preserve"> </w:t>
      </w:r>
      <w:r w:rsidRPr="002C67D0">
        <w:rPr>
          <w:rFonts w:ascii="Times New Roman" w:hAnsi="Times New Roman" w:cs="Times New Roman"/>
        </w:rPr>
        <w:t>Deze anarchie is een van de leidende concepten in het werk van Thomas Hobbes. In § 3.1. zal ik laten zien hoe deze anarchie en het concept eigenbelang met elkaar verbonden zijn en ga ik dieper in op het werk van Hobbes. In § 8.1. zal ik vervolgens laten zien waarom deze relatie problematisch is in het neorealisme.</w:t>
      </w:r>
    </w:p>
  </w:footnote>
  <w:footnote w:id="3">
    <w:p w:rsidR="00A13D21" w:rsidRPr="002C67D0" w:rsidRDefault="00A13D21" w:rsidP="003A5F28">
      <w:pPr>
        <w:pStyle w:val="Voetnoottekst"/>
        <w:rPr>
          <w:rFonts w:ascii="Times New Roman" w:hAnsi="Times New Roman" w:cs="Times New Roman"/>
        </w:rPr>
      </w:pPr>
      <w:r>
        <w:rPr>
          <w:rStyle w:val="Voetnootmarkering"/>
        </w:rPr>
        <w:footnoteRef/>
      </w:r>
      <w:r>
        <w:t xml:space="preserve"> </w:t>
      </w:r>
      <w:r w:rsidRPr="002C67D0">
        <w:rPr>
          <w:rFonts w:ascii="Times New Roman" w:hAnsi="Times New Roman" w:cs="Times New Roman"/>
        </w:rPr>
        <w:t>In § 7. zal ik uitgebreider ingaan op de rol van normativiteit in het klassiek realisme en meer specifiek op het argument van Morgenthau.</w:t>
      </w:r>
    </w:p>
  </w:footnote>
  <w:footnote w:id="4">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Zo zijn er in het werk van bijvoorbeeld Morgenthau invloeden van o.a. Nietschze en Freud te herkennen. Zie hiervoor Schuett (2007).</w:t>
      </w:r>
    </w:p>
  </w:footnote>
  <w:footnote w:id="5">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Voor een uitgebreide discussie over Morgenthau’s concept van macht zie Williams (2005).</w:t>
      </w:r>
    </w:p>
  </w:footnote>
  <w:footnote w:id="6">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Ik zal in § 5. aantonen dat deze formulering van belangen niet zonder problemen is.</w:t>
      </w:r>
    </w:p>
  </w:footnote>
  <w:footnote w:id="7">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In § 8.3. zullen we zien dat deze aanname niet zonder problemen is.</w:t>
      </w:r>
    </w:p>
  </w:footnote>
  <w:footnote w:id="8">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In § 5. zal ik meer specifiek ingaan op het begrip nationaal belang.</w:t>
      </w:r>
    </w:p>
  </w:footnote>
  <w:footnote w:id="9">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Het idee van een staat die handelt (of dient te handelen) naar zijn eigen beweegredenen volgens zijn eigen motieven herkennen we voor het eerst in  het werk van Machiavelli. Morele en juridische overwegingen waren ondergeschikt aan de zogenaamde </w:t>
      </w:r>
      <w:r w:rsidRPr="002C67D0">
        <w:rPr>
          <w:rFonts w:ascii="Times New Roman" w:hAnsi="Times New Roman" w:cs="Times New Roman"/>
          <w:i/>
        </w:rPr>
        <w:t>raison d’etat</w:t>
      </w:r>
      <w:r w:rsidRPr="002C67D0">
        <w:rPr>
          <w:rFonts w:ascii="Times New Roman" w:hAnsi="Times New Roman" w:cs="Times New Roman"/>
        </w:rPr>
        <w:t>, de onafhankelijke overwegingen van de staat. Zie ook § 5., Machiavelli (2009), Hirschman (1977) en Meinecke (1957) .</w:t>
      </w:r>
    </w:p>
  </w:footnote>
  <w:footnote w:id="10">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Zie voor een uitgebreide analyse van het psychologisme en de daarbij horende fouten: Durkheim, 1982.</w:t>
      </w:r>
    </w:p>
  </w:footnote>
  <w:footnote w:id="11">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De verschillende manieren waarop een nationaal belang geformuleerd kan worden zal ik behandelen in § 5.</w:t>
      </w:r>
    </w:p>
  </w:footnote>
  <w:footnote w:id="12">
    <w:p w:rsidR="00A13D21" w:rsidRPr="003A5F28" w:rsidRDefault="00A13D21" w:rsidP="003A5F28">
      <w:pPr>
        <w:pStyle w:val="Geenafstand"/>
        <w:rPr>
          <w:rFonts w:ascii="Times New Roman" w:hAnsi="Times New Roman" w:cs="Times New Roman"/>
          <w:sz w:val="20"/>
          <w:szCs w:val="20"/>
          <w:lang w:val="nl-NL"/>
        </w:rPr>
      </w:pPr>
      <w:r w:rsidRPr="002C67D0">
        <w:rPr>
          <w:rStyle w:val="Voetnootmarkering"/>
          <w:rFonts w:ascii="Times New Roman" w:hAnsi="Times New Roman" w:cs="Times New Roman"/>
          <w:sz w:val="20"/>
          <w:szCs w:val="20"/>
        </w:rPr>
        <w:footnoteRef/>
      </w:r>
      <w:r w:rsidRPr="003A5F28">
        <w:rPr>
          <w:rFonts w:ascii="Times New Roman" w:hAnsi="Times New Roman" w:cs="Times New Roman"/>
          <w:sz w:val="20"/>
          <w:szCs w:val="20"/>
          <w:lang w:val="nl-NL"/>
        </w:rPr>
        <w:t>In het oude Athene werd door verschillenden (door Plato beschreven als sofisten) beargumenteerd dat individuen bij elkaar kwamen in de polis door middel van eigenbelang. Zo was er sprake van een gezamenlijke verdediging (en daarmee een grotere kans op overleven) en zouden de wetten van de polis enkel het eigenbelang dienen van degene in de polis (Mansbridge, 1990, p. 3).</w:t>
      </w:r>
    </w:p>
  </w:footnote>
  <w:footnote w:id="13">
    <w:p w:rsidR="00A13D21" w:rsidRPr="003A5F28" w:rsidRDefault="00A13D21" w:rsidP="003A5F28">
      <w:pPr>
        <w:pStyle w:val="Geenafstand"/>
        <w:rPr>
          <w:rFonts w:ascii="Times New Roman" w:hAnsi="Times New Roman" w:cs="Times New Roman"/>
          <w:lang w:val="nl-NL"/>
        </w:rPr>
      </w:pPr>
      <w:r w:rsidRPr="002C67D0">
        <w:rPr>
          <w:rStyle w:val="Voetnootmarkering"/>
          <w:rFonts w:ascii="Times New Roman" w:hAnsi="Times New Roman" w:cs="Times New Roman"/>
          <w:sz w:val="20"/>
          <w:szCs w:val="20"/>
        </w:rPr>
        <w:footnoteRef/>
      </w:r>
      <w:r w:rsidRPr="003A5F28">
        <w:rPr>
          <w:rFonts w:ascii="Times New Roman" w:hAnsi="Times New Roman" w:cs="Times New Roman"/>
          <w:sz w:val="20"/>
          <w:szCs w:val="20"/>
          <w:lang w:val="nl-NL"/>
        </w:rPr>
        <w:t xml:space="preserve"> Het is hier waar de eerste contouren ontstaan van de concepten die later door o.a. Mandeville en Smith zouden worden uitgewerkt.</w:t>
      </w:r>
    </w:p>
  </w:footnote>
  <w:footnote w:id="14">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Het individu en de menselijke aard blijven centraal staan binnen het (klassiek) realisme. Het is pas binnen het neorealisme dat de menselijke natuur als uitgangspunt verdwijnt.</w:t>
      </w:r>
    </w:p>
  </w:footnote>
  <w:footnote w:id="15">
    <w:p w:rsidR="00A13D21" w:rsidRPr="002C67D0" w:rsidRDefault="00A13D21" w:rsidP="003A5F28">
      <w:pPr>
        <w:pStyle w:val="Voetnoottekst"/>
        <w:rPr>
          <w:rFonts w:ascii="Times New Roman" w:hAnsi="Times New Roman" w:cs="Times New Roman"/>
        </w:rPr>
      </w:pPr>
      <w:r>
        <w:rPr>
          <w:rStyle w:val="Voetnootmarkering"/>
        </w:rPr>
        <w:footnoteRef/>
      </w:r>
      <w:r>
        <w:t xml:space="preserve"> </w:t>
      </w:r>
      <w:r w:rsidRPr="002C67D0">
        <w:rPr>
          <w:rFonts w:ascii="Times New Roman" w:hAnsi="Times New Roman" w:cs="Times New Roman"/>
        </w:rPr>
        <w:t>Mede doordat Mandeville ervoor koos zijn betoog voor een groot deel als een fabel te verwoorden is er over dit onderdeel van zijn betoog nog steeds een debat over de interpretatie gaande. Door sommigen wordt Mandeville gelezen als een betoog voor een laissez-faire economie. De naar eigenbelang handelde individuen zouden collectief gunstige uitkomsten genereren. Anderen benadrukken echter het onderdeel waarin Mandeville uiteenzet hoe dit proces geleid wordt door de handige en vaardige politicus die het gedrag van individuen gebruikt om tot maatschappelijk gunstige uitkomsten te komen. Daarmee zou Mandeville op zijn wijze pleiten voor overheidsinterventie. Deze denkwijze komt het duidelijkst terug in het werk van Helvetius die stelt dat de motieven van individueel belang voldoende waren voor de formatie van een goede samenleving mits deze beheerst werden door een capabel wetgever. Zie voor een uitgebreide discussie: Rosenberg, 1963.</w:t>
      </w:r>
    </w:p>
  </w:footnote>
  <w:footnote w:id="16">
    <w:p w:rsidR="00A13D21" w:rsidRPr="003A5F28" w:rsidRDefault="00A13D21" w:rsidP="003A5F28">
      <w:pPr>
        <w:spacing w:line="240" w:lineRule="auto"/>
        <w:rPr>
          <w:rFonts w:ascii="Times New Roman" w:hAnsi="Times New Roman" w:cs="Times New Roman"/>
          <w:sz w:val="20"/>
          <w:szCs w:val="20"/>
          <w:lang w:val="nl-NL"/>
        </w:rPr>
      </w:pPr>
      <w:r w:rsidRPr="006A2488">
        <w:rPr>
          <w:rStyle w:val="Voetnootmarkering"/>
          <w:rFonts w:ascii="Times New Roman" w:hAnsi="Times New Roman" w:cs="Times New Roman"/>
          <w:sz w:val="20"/>
          <w:szCs w:val="20"/>
        </w:rPr>
        <w:footnoteRef/>
      </w:r>
      <w:r w:rsidRPr="003A5F28">
        <w:rPr>
          <w:rFonts w:ascii="Times New Roman" w:hAnsi="Times New Roman" w:cs="Times New Roman"/>
          <w:sz w:val="20"/>
          <w:szCs w:val="20"/>
          <w:lang w:val="nl-NL"/>
        </w:rPr>
        <w:t xml:space="preserve"> Dit idee komt veelvuldig terug, ook bij Mandeville is het concept persoonlijke deugd – moraliteit in algemenere zin- een instrument van de elite om hun particuliere belangen te dienen. Ook in het klassiek realistische werk van Carr (1939) vinden we dit idee rechtstreeks terug wanneer deze stelt dat moraliteit niet universeel maar relatief is en dat een ieder die anders beweert dit slechts doet om zijn eigen dominante positie te rechtvaardigen en te behouden (Carr, 1939: 75).</w:t>
      </w:r>
    </w:p>
    <w:p w:rsidR="00A13D21" w:rsidRDefault="00A13D21" w:rsidP="003A5F28">
      <w:pPr>
        <w:pStyle w:val="Voetnoottekst"/>
      </w:pPr>
    </w:p>
  </w:footnote>
  <w:footnote w:id="17">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Merk op dat het hier gaat om ideaaltypes en geen elkaar uitsluitende categorieën. De types komen in verschillende mate voor, een handeling kan gelijktijdig verschillende types rationaliteit bevatten. Ook zijn de ideaaltypes niet allesomvattend. Zelf stelt Weber dat hij geen enkele intentie heeft om op wat voor manier dan ook  een grondige en allesomvattende classificatie van het type handelingen te maken (Weber, 2009: p. 117). Het doel is niet meer dan een conceptualisatie te maken van enkele (in sociologische zin) belangrijke type handelingen (p. 118).</w:t>
      </w:r>
    </w:p>
  </w:footnote>
  <w:footnote w:id="18">
    <w:p w:rsidR="00A13D21" w:rsidRPr="002C67D0" w:rsidRDefault="00A13D21" w:rsidP="003A5F28">
      <w:pPr>
        <w:pStyle w:val="Normaalweb"/>
        <w:spacing w:line="360" w:lineRule="auto"/>
        <w:rPr>
          <w:bCs/>
          <w:sz w:val="20"/>
          <w:szCs w:val="20"/>
        </w:rPr>
      </w:pPr>
      <w:r w:rsidRPr="002C67D0">
        <w:rPr>
          <w:rStyle w:val="Voetnootmarkering"/>
          <w:sz w:val="20"/>
          <w:szCs w:val="20"/>
        </w:rPr>
        <w:footnoteRef/>
      </w:r>
      <w:r w:rsidRPr="002C67D0">
        <w:rPr>
          <w:bCs/>
          <w:sz w:val="20"/>
          <w:szCs w:val="20"/>
        </w:rPr>
        <w:t>Deze definitie van affectief handelen vertoont dan ook grote overeenkomsten met de affecties in het werk van Spinoza waar actieve affecties als onderdeel van de rede passieve affecties bedwingt. Zie ook §3.1.</w:t>
      </w:r>
    </w:p>
    <w:p w:rsidR="00A13D21" w:rsidRDefault="00A13D21" w:rsidP="003A5F28">
      <w:pPr>
        <w:pStyle w:val="Voetnoottekst"/>
      </w:pPr>
    </w:p>
  </w:footnote>
  <w:footnote w:id="19">
    <w:p w:rsidR="00A13D21" w:rsidRPr="002C67D0" w:rsidRDefault="00A13D21" w:rsidP="003A5F28">
      <w:pPr>
        <w:pStyle w:val="Voetnoottekst"/>
        <w:rPr>
          <w:rFonts w:ascii="Times New Roman" w:hAnsi="Times New Roman" w:cs="Times New Roman"/>
        </w:rPr>
      </w:pPr>
      <w:r w:rsidRPr="00B95607">
        <w:rPr>
          <w:rStyle w:val="Voetnootmarkering"/>
          <w:rFonts w:ascii="Times New Roman" w:hAnsi="Times New Roman" w:cs="Times New Roman"/>
        </w:rPr>
        <w:footnoteRef/>
      </w:r>
      <w:r w:rsidRPr="00B95607">
        <w:rPr>
          <w:rFonts w:ascii="Times New Roman" w:hAnsi="Times New Roman" w:cs="Times New Roman"/>
        </w:rPr>
        <w:t xml:space="preserve"> </w:t>
      </w:r>
      <w:r w:rsidRPr="002C67D0">
        <w:rPr>
          <w:rFonts w:ascii="Times New Roman" w:hAnsi="Times New Roman" w:cs="Times New Roman"/>
        </w:rPr>
        <w:t xml:space="preserve">Deze vraag  raakt aan een van de oudste vraagstukken in de ethiek. Aristoteles probeerde al een antwoord te vinden op de vraag waarom bepaalde individuen niet handelen op een manier die voor hen goed mag worden geacht (hier is duidelijk een objectieve notie herkenbaar). Dit fenomeen noemt hij </w:t>
      </w:r>
      <w:r w:rsidRPr="002C67D0">
        <w:rPr>
          <w:rFonts w:ascii="Times New Roman" w:hAnsi="Times New Roman" w:cs="Times New Roman"/>
          <w:i/>
        </w:rPr>
        <w:t xml:space="preserve">akrasia </w:t>
      </w:r>
      <w:r w:rsidRPr="002C67D0">
        <w:rPr>
          <w:rFonts w:ascii="Times New Roman" w:hAnsi="Times New Roman" w:cs="Times New Roman"/>
        </w:rPr>
        <w:t>(vertaald: incontinentie/ een gebrek aan beheersing).</w:t>
      </w:r>
    </w:p>
  </w:footnote>
  <w:footnote w:id="20">
    <w:p w:rsidR="00A13D21" w:rsidRPr="00B95607"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Dit is uiteraard slechts een van de vele mogelijke normatieve interpretaties. Vanuit een hedonistisch oogpunt zouden we het bijvoorbeeld kunnen beargumenteren dat de persoon in kwestie volledig juist is door te kiezen voor het op het moment maximaal te verkrijgen genot. Het genoemde voorbeeld dient slechts ter illustratie van de twee manieren waarop we frictie tussen een objectief belang en de praktijk kunnen waarnemen.</w:t>
      </w:r>
    </w:p>
  </w:footnote>
  <w:footnote w:id="21">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Een andere mogelijke oorzaak van verschillende preferenties is het esthetische principe van verworven smaak of </w:t>
      </w:r>
      <w:r w:rsidRPr="002C67D0">
        <w:rPr>
          <w:rFonts w:ascii="Times New Roman" w:hAnsi="Times New Roman" w:cs="Times New Roman"/>
          <w:i/>
        </w:rPr>
        <w:t xml:space="preserve"> aquired taste</w:t>
      </w:r>
      <w:r>
        <w:rPr>
          <w:rFonts w:ascii="Times New Roman" w:hAnsi="Times New Roman" w:cs="Times New Roman"/>
        </w:rPr>
        <w:t xml:space="preserve">. Dit </w:t>
      </w:r>
      <w:r w:rsidRPr="002C67D0">
        <w:rPr>
          <w:rFonts w:ascii="Times New Roman" w:hAnsi="Times New Roman" w:cs="Times New Roman"/>
        </w:rPr>
        <w:t xml:space="preserve">valt echter buiten het bereik van mijn betoog, zie hiervoor onder andere Murray (2003). </w:t>
      </w:r>
    </w:p>
  </w:footnote>
  <w:footnote w:id="22">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Doordat Machiavelli doorgaans niet met vastomlijnde concepten werkte is de daadwerkelijke uitdrukking </w:t>
      </w:r>
      <w:r w:rsidRPr="002C67D0">
        <w:rPr>
          <w:rFonts w:ascii="Times New Roman" w:hAnsi="Times New Roman" w:cs="Times New Roman"/>
          <w:i/>
        </w:rPr>
        <w:t>raison d’état</w:t>
      </w:r>
      <w:r w:rsidRPr="002C67D0">
        <w:rPr>
          <w:rFonts w:ascii="Times New Roman" w:hAnsi="Times New Roman" w:cs="Times New Roman"/>
        </w:rPr>
        <w:t xml:space="preserve"> of het Italiaanse equivalent </w:t>
      </w:r>
      <w:r w:rsidRPr="002C67D0">
        <w:rPr>
          <w:rFonts w:ascii="Times New Roman" w:hAnsi="Times New Roman" w:cs="Times New Roman"/>
          <w:i/>
        </w:rPr>
        <w:t>ragione di statto</w:t>
      </w:r>
      <w:r w:rsidRPr="002C67D0">
        <w:rPr>
          <w:rFonts w:ascii="Times New Roman" w:hAnsi="Times New Roman" w:cs="Times New Roman"/>
        </w:rPr>
        <w:t xml:space="preserve"> een concept dat later aan Machiavelli is toegeschreven. Desondanks mogen we Machiavelli als de geestesvader van deze doctrine aanwijzen. Voor een uitgebreide behandeling en historische ontwikkeling van dit begrip zie Meinecke (1957).</w:t>
      </w:r>
    </w:p>
  </w:footnote>
  <w:footnote w:id="23">
    <w:p w:rsidR="00A13D21" w:rsidRPr="007F3486" w:rsidRDefault="00A13D21" w:rsidP="003A5F28">
      <w:pPr>
        <w:pStyle w:val="Voetnoottekst"/>
        <w:rPr>
          <w:lang w:val="en-US"/>
        </w:rPr>
      </w:pPr>
      <w:r>
        <w:rPr>
          <w:rStyle w:val="Voetnootmarkering"/>
        </w:rPr>
        <w:footnoteRef/>
      </w:r>
      <w:r w:rsidRPr="007F3486">
        <w:rPr>
          <w:lang w:val="en-US"/>
        </w:rPr>
        <w:t xml:space="preserve"> Zie o.a. Ned Lebow 2010, Waltz 2001.</w:t>
      </w:r>
    </w:p>
  </w:footnote>
  <w:footnote w:id="24">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Ook hier is de continentale invloed duidelijk. In dit geval vormt Nietschzes metafysica en meer specifiek zijn concept van </w:t>
      </w:r>
      <w:r w:rsidRPr="002C67D0">
        <w:rPr>
          <w:rFonts w:ascii="Times New Roman" w:hAnsi="Times New Roman" w:cs="Times New Roman"/>
          <w:i/>
        </w:rPr>
        <w:t xml:space="preserve">Wille zum Macht </w:t>
      </w:r>
      <w:r w:rsidRPr="002C67D0">
        <w:rPr>
          <w:rFonts w:ascii="Times New Roman" w:hAnsi="Times New Roman" w:cs="Times New Roman"/>
        </w:rPr>
        <w:t>de inspiratie voor het mensbeeld dat Morgenthau schetst.</w:t>
      </w:r>
    </w:p>
  </w:footnote>
  <w:footnote w:id="25">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Het meest tot de verbeelding sprekende voorbeeld is wellicht de zogenaamde </w:t>
      </w:r>
      <w:r w:rsidRPr="002C67D0">
        <w:rPr>
          <w:rFonts w:ascii="Times New Roman" w:hAnsi="Times New Roman" w:cs="Times New Roman"/>
          <w:i/>
        </w:rPr>
        <w:t xml:space="preserve">Anschluss </w:t>
      </w:r>
      <w:r w:rsidRPr="002C67D0">
        <w:rPr>
          <w:rFonts w:ascii="Times New Roman" w:hAnsi="Times New Roman" w:cs="Times New Roman"/>
        </w:rPr>
        <w:t>van Oostenrijk bij Nazi-Duitsland waarbij de Oostenrijkse staat zich min of meer vrijwillig voegde in het grotere Duitssprekende rijk.</w:t>
      </w:r>
    </w:p>
  </w:footnote>
  <w:footnote w:id="26">
    <w:p w:rsidR="00A13D21" w:rsidRPr="002C67D0" w:rsidRDefault="00A13D21" w:rsidP="003A5F28">
      <w:pPr>
        <w:pStyle w:val="Voetnoottekst"/>
        <w:rPr>
          <w:rFonts w:ascii="Times New Roman" w:hAnsi="Times New Roman" w:cs="Times New Roman"/>
        </w:rPr>
      </w:pPr>
      <w:r w:rsidRPr="002C67D0">
        <w:rPr>
          <w:rStyle w:val="Voetnootmarkering"/>
          <w:rFonts w:ascii="Times New Roman" w:hAnsi="Times New Roman" w:cs="Times New Roman"/>
        </w:rPr>
        <w:footnoteRef/>
      </w:r>
      <w:r w:rsidRPr="002C67D0">
        <w:rPr>
          <w:rFonts w:ascii="Times New Roman" w:hAnsi="Times New Roman" w:cs="Times New Roman"/>
        </w:rPr>
        <w:t xml:space="preserve"> In het volgende hoofdstuk zal ik aantonen dat ook de conceptie van rationaliteit zoals die gebruikt wordt niet onomstreden is.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23647"/>
    <w:multiLevelType w:val="hybridMultilevel"/>
    <w:tmpl w:val="F66C2D40"/>
    <w:lvl w:ilvl="0" w:tplc="1416E5A8">
      <w:start w:val="4"/>
      <w:numFmt w:val="decimal"/>
      <w:lvlText w:val="%1."/>
      <w:lvlJc w:val="left"/>
      <w:pPr>
        <w:ind w:left="1080" w:hanging="360"/>
      </w:pPr>
      <w:rPr>
        <w:rFonts w:hint="default"/>
      </w:rPr>
    </w:lvl>
    <w:lvl w:ilvl="1" w:tplc="04130019">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
    <w:nsid w:val="0D7B4A8B"/>
    <w:multiLevelType w:val="hybridMultilevel"/>
    <w:tmpl w:val="301AC080"/>
    <w:lvl w:ilvl="0" w:tplc="31F86A86">
      <w:start w:val="5"/>
      <w:numFmt w:val="decimal"/>
      <w:lvlText w:val="%1."/>
      <w:lvlJc w:val="left"/>
      <w:pPr>
        <w:ind w:left="1080" w:hanging="360"/>
      </w:pPr>
      <w:rPr>
        <w:rFonts w:hint="default"/>
      </w:rPr>
    </w:lvl>
    <w:lvl w:ilvl="1" w:tplc="04130019">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
    <w:nsid w:val="1904587E"/>
    <w:multiLevelType w:val="multilevel"/>
    <w:tmpl w:val="E2127A9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
    <w:nsid w:val="2D7F2914"/>
    <w:multiLevelType w:val="multilevel"/>
    <w:tmpl w:val="421A661E"/>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33A91E27"/>
    <w:multiLevelType w:val="hybridMultilevel"/>
    <w:tmpl w:val="7E168320"/>
    <w:lvl w:ilvl="0" w:tplc="866436F4">
      <w:start w:val="7"/>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5">
    <w:nsid w:val="4A1E2287"/>
    <w:multiLevelType w:val="multilevel"/>
    <w:tmpl w:val="8948F7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4F663E20"/>
    <w:multiLevelType w:val="multilevel"/>
    <w:tmpl w:val="7E701F5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nsid w:val="58050F4A"/>
    <w:multiLevelType w:val="multilevel"/>
    <w:tmpl w:val="88DCFF84"/>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8">
    <w:nsid w:val="5A733EE1"/>
    <w:multiLevelType w:val="hybridMultilevel"/>
    <w:tmpl w:val="FA38B874"/>
    <w:lvl w:ilvl="0" w:tplc="FFE21A44">
      <w:start w:val="9"/>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9">
    <w:nsid w:val="5C1015E8"/>
    <w:multiLevelType w:val="hybridMultilevel"/>
    <w:tmpl w:val="FA6216D8"/>
    <w:lvl w:ilvl="0" w:tplc="F4EC8E3C">
      <w:start w:val="7"/>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0">
    <w:nsid w:val="62DC6DBF"/>
    <w:multiLevelType w:val="multilevel"/>
    <w:tmpl w:val="F72AA41A"/>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51A5AFC"/>
    <w:multiLevelType w:val="hybridMultilevel"/>
    <w:tmpl w:val="4F20D0F4"/>
    <w:lvl w:ilvl="0" w:tplc="B36EF31C">
      <w:start w:val="1"/>
      <w:numFmt w:val="decimal"/>
      <w:lvlText w:val="%1."/>
      <w:lvlJc w:val="left"/>
      <w:pPr>
        <w:ind w:left="720" w:hanging="360"/>
      </w:pPr>
      <w:rPr>
        <w:rFonts w:ascii="Times New Roman" w:eastAsiaTheme="minorHAnsi" w:hAnsi="Times New Roman" w:cs="Times New Roman"/>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6925089A"/>
    <w:multiLevelType w:val="hybridMultilevel"/>
    <w:tmpl w:val="C8B2D17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nsid w:val="71B171E0"/>
    <w:multiLevelType w:val="multilevel"/>
    <w:tmpl w:val="C50E6348"/>
    <w:lvl w:ilvl="0">
      <w:start w:val="1"/>
      <w:numFmt w:val="decimal"/>
      <w:lvlText w:val="%1."/>
      <w:lvlJc w:val="left"/>
      <w:pPr>
        <w:ind w:left="372" w:hanging="372"/>
      </w:pPr>
      <w:rPr>
        <w:rFonts w:hint="default"/>
      </w:rPr>
    </w:lvl>
    <w:lvl w:ilvl="1">
      <w:start w:val="1"/>
      <w:numFmt w:val="decimal"/>
      <w:lvlText w:val="%1.%2."/>
      <w:lvlJc w:val="left"/>
      <w:pPr>
        <w:ind w:left="1092" w:hanging="37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74A3635B"/>
    <w:multiLevelType w:val="multilevel"/>
    <w:tmpl w:val="EA1499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7D376A01"/>
    <w:multiLevelType w:val="multilevel"/>
    <w:tmpl w:val="EAC63D8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2"/>
  </w:num>
  <w:num w:numId="2">
    <w:abstractNumId w:val="14"/>
  </w:num>
  <w:num w:numId="3">
    <w:abstractNumId w:val="13"/>
  </w:num>
  <w:num w:numId="4">
    <w:abstractNumId w:val="3"/>
  </w:num>
  <w:num w:numId="5">
    <w:abstractNumId w:val="5"/>
  </w:num>
  <w:num w:numId="6">
    <w:abstractNumId w:val="11"/>
  </w:num>
  <w:num w:numId="7">
    <w:abstractNumId w:val="0"/>
  </w:num>
  <w:num w:numId="8">
    <w:abstractNumId w:val="1"/>
  </w:num>
  <w:num w:numId="9">
    <w:abstractNumId w:val="7"/>
  </w:num>
  <w:num w:numId="10">
    <w:abstractNumId w:val="10"/>
  </w:num>
  <w:num w:numId="11">
    <w:abstractNumId w:val="6"/>
  </w:num>
  <w:num w:numId="12">
    <w:abstractNumId w:val="4"/>
  </w:num>
  <w:num w:numId="13">
    <w:abstractNumId w:val="9"/>
  </w:num>
  <w:num w:numId="14">
    <w:abstractNumId w:val="8"/>
  </w:num>
  <w:num w:numId="15">
    <w:abstractNumId w:val="12"/>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5C2CD8"/>
    <w:rsid w:val="003A5F28"/>
    <w:rsid w:val="003B1CA1"/>
    <w:rsid w:val="00427761"/>
    <w:rsid w:val="005C2CD8"/>
    <w:rsid w:val="00A13D21"/>
    <w:rsid w:val="00B618F8"/>
    <w:rsid w:val="00E261B3"/>
    <w:rsid w:val="00E979C2"/>
    <w:rsid w:val="00FE46D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979C2"/>
  </w:style>
  <w:style w:type="paragraph" w:styleId="Kop1">
    <w:name w:val="heading 1"/>
    <w:basedOn w:val="Standaard"/>
    <w:next w:val="Standaard"/>
    <w:link w:val="Kop1Char"/>
    <w:uiPriority w:val="9"/>
    <w:qFormat/>
    <w:rsid w:val="003A5F28"/>
    <w:pPr>
      <w:keepNext/>
      <w:keepLines/>
      <w:spacing w:before="480" w:after="0"/>
      <w:outlineLvl w:val="0"/>
    </w:pPr>
    <w:rPr>
      <w:rFonts w:asciiTheme="majorHAnsi" w:eastAsiaTheme="majorEastAsia" w:hAnsiTheme="majorHAnsi" w:cstheme="majorBidi"/>
      <w:b/>
      <w:bCs/>
      <w:color w:val="365F91" w:themeColor="accent1" w:themeShade="BF"/>
      <w:sz w:val="28"/>
      <w:szCs w:val="28"/>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A5F28"/>
    <w:rPr>
      <w:rFonts w:asciiTheme="majorHAnsi" w:eastAsiaTheme="majorEastAsia" w:hAnsiTheme="majorHAnsi" w:cstheme="majorBidi"/>
      <w:b/>
      <w:bCs/>
      <w:color w:val="365F91" w:themeColor="accent1" w:themeShade="BF"/>
      <w:sz w:val="28"/>
      <w:szCs w:val="28"/>
      <w:lang w:val="nl-NL"/>
    </w:rPr>
  </w:style>
  <w:style w:type="paragraph" w:styleId="Ballontekst">
    <w:name w:val="Balloon Text"/>
    <w:basedOn w:val="Standaard"/>
    <w:link w:val="BallontekstChar"/>
    <w:uiPriority w:val="99"/>
    <w:semiHidden/>
    <w:unhideWhenUsed/>
    <w:rsid w:val="005C2CD8"/>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C2CD8"/>
    <w:rPr>
      <w:rFonts w:ascii="Tahoma" w:hAnsi="Tahoma" w:cs="Tahoma"/>
      <w:sz w:val="16"/>
      <w:szCs w:val="16"/>
    </w:rPr>
  </w:style>
  <w:style w:type="paragraph" w:styleId="Geenafstand">
    <w:name w:val="No Spacing"/>
    <w:uiPriority w:val="1"/>
    <w:qFormat/>
    <w:rsid w:val="005C2CD8"/>
    <w:pPr>
      <w:spacing w:after="0" w:line="240" w:lineRule="auto"/>
    </w:pPr>
  </w:style>
  <w:style w:type="paragraph" w:styleId="Lijstalinea">
    <w:name w:val="List Paragraph"/>
    <w:basedOn w:val="Standaard"/>
    <w:uiPriority w:val="34"/>
    <w:qFormat/>
    <w:rsid w:val="003A5F28"/>
    <w:pPr>
      <w:ind w:left="720"/>
      <w:contextualSpacing/>
    </w:pPr>
    <w:rPr>
      <w:lang w:val="nl-NL"/>
    </w:rPr>
  </w:style>
  <w:style w:type="paragraph" w:styleId="Voetnoottekst">
    <w:name w:val="footnote text"/>
    <w:basedOn w:val="Standaard"/>
    <w:link w:val="VoetnoottekstChar"/>
    <w:uiPriority w:val="99"/>
    <w:unhideWhenUsed/>
    <w:rsid w:val="003A5F28"/>
    <w:pPr>
      <w:spacing w:after="0" w:line="240" w:lineRule="auto"/>
    </w:pPr>
    <w:rPr>
      <w:sz w:val="20"/>
      <w:szCs w:val="20"/>
      <w:lang w:val="nl-NL"/>
    </w:rPr>
  </w:style>
  <w:style w:type="character" w:customStyle="1" w:styleId="VoetnoottekstChar">
    <w:name w:val="Voetnoottekst Char"/>
    <w:basedOn w:val="Standaardalinea-lettertype"/>
    <w:link w:val="Voetnoottekst"/>
    <w:uiPriority w:val="99"/>
    <w:rsid w:val="003A5F28"/>
    <w:rPr>
      <w:sz w:val="20"/>
      <w:szCs w:val="20"/>
      <w:lang w:val="nl-NL"/>
    </w:rPr>
  </w:style>
  <w:style w:type="character" w:styleId="Voetnootmarkering">
    <w:name w:val="footnote reference"/>
    <w:basedOn w:val="Standaardalinea-lettertype"/>
    <w:uiPriority w:val="99"/>
    <w:semiHidden/>
    <w:unhideWhenUsed/>
    <w:rsid w:val="003A5F28"/>
    <w:rPr>
      <w:vertAlign w:val="superscript"/>
    </w:rPr>
  </w:style>
  <w:style w:type="character" w:styleId="Nadruk">
    <w:name w:val="Emphasis"/>
    <w:basedOn w:val="Standaardalinea-lettertype"/>
    <w:uiPriority w:val="20"/>
    <w:qFormat/>
    <w:rsid w:val="003A5F28"/>
    <w:rPr>
      <w:i/>
      <w:iCs/>
    </w:rPr>
  </w:style>
  <w:style w:type="paragraph" w:styleId="Normaalweb">
    <w:name w:val="Normal (Web)"/>
    <w:basedOn w:val="Standaard"/>
    <w:uiPriority w:val="99"/>
    <w:unhideWhenUsed/>
    <w:rsid w:val="003A5F28"/>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paragraph" w:styleId="Koptekst">
    <w:name w:val="header"/>
    <w:basedOn w:val="Standaard"/>
    <w:link w:val="KoptekstChar"/>
    <w:uiPriority w:val="99"/>
    <w:semiHidden/>
    <w:unhideWhenUsed/>
    <w:rsid w:val="003A5F28"/>
    <w:pPr>
      <w:tabs>
        <w:tab w:val="center" w:pos="4536"/>
        <w:tab w:val="right" w:pos="9072"/>
      </w:tabs>
      <w:spacing w:after="0" w:line="240" w:lineRule="auto"/>
    </w:pPr>
    <w:rPr>
      <w:lang w:val="nl-NL"/>
    </w:rPr>
  </w:style>
  <w:style w:type="character" w:customStyle="1" w:styleId="KoptekstChar">
    <w:name w:val="Koptekst Char"/>
    <w:basedOn w:val="Standaardalinea-lettertype"/>
    <w:link w:val="Koptekst"/>
    <w:uiPriority w:val="99"/>
    <w:semiHidden/>
    <w:rsid w:val="003A5F28"/>
    <w:rPr>
      <w:lang w:val="nl-NL"/>
    </w:rPr>
  </w:style>
  <w:style w:type="paragraph" w:styleId="Voettekst">
    <w:name w:val="footer"/>
    <w:basedOn w:val="Standaard"/>
    <w:link w:val="VoettekstChar"/>
    <w:uiPriority w:val="99"/>
    <w:unhideWhenUsed/>
    <w:rsid w:val="003A5F28"/>
    <w:pPr>
      <w:tabs>
        <w:tab w:val="center" w:pos="4536"/>
        <w:tab w:val="right" w:pos="9072"/>
      </w:tabs>
      <w:spacing w:after="0" w:line="240" w:lineRule="auto"/>
    </w:pPr>
    <w:rPr>
      <w:lang w:val="nl-NL"/>
    </w:rPr>
  </w:style>
  <w:style w:type="character" w:customStyle="1" w:styleId="VoettekstChar">
    <w:name w:val="Voettekst Char"/>
    <w:basedOn w:val="Standaardalinea-lettertype"/>
    <w:link w:val="Voettekst"/>
    <w:uiPriority w:val="99"/>
    <w:rsid w:val="003A5F28"/>
    <w:rPr>
      <w:lang w:val="nl-NL"/>
    </w:rPr>
  </w:style>
  <w:style w:type="character" w:customStyle="1" w:styleId="TekstopmerkingChar">
    <w:name w:val="Tekst opmerking Char"/>
    <w:basedOn w:val="Standaardalinea-lettertype"/>
    <w:link w:val="Tekstopmerking"/>
    <w:uiPriority w:val="99"/>
    <w:semiHidden/>
    <w:rsid w:val="003A5F28"/>
    <w:rPr>
      <w:sz w:val="20"/>
      <w:szCs w:val="20"/>
      <w:lang w:val="nl-NL"/>
    </w:rPr>
  </w:style>
  <w:style w:type="paragraph" w:styleId="Tekstopmerking">
    <w:name w:val="annotation text"/>
    <w:basedOn w:val="Standaard"/>
    <w:link w:val="TekstopmerkingChar"/>
    <w:uiPriority w:val="99"/>
    <w:semiHidden/>
    <w:unhideWhenUsed/>
    <w:rsid w:val="003A5F28"/>
    <w:pPr>
      <w:spacing w:line="240" w:lineRule="auto"/>
    </w:pPr>
    <w:rPr>
      <w:sz w:val="20"/>
      <w:szCs w:val="20"/>
      <w:lang w:val="nl-NL"/>
    </w:rPr>
  </w:style>
  <w:style w:type="paragraph" w:styleId="Kopvaninhoudsopgave">
    <w:name w:val="TOC Heading"/>
    <w:basedOn w:val="Kop1"/>
    <w:next w:val="Standaard"/>
    <w:uiPriority w:val="39"/>
    <w:unhideWhenUsed/>
    <w:qFormat/>
    <w:rsid w:val="003A5F28"/>
    <w:pPr>
      <w:outlineLvl w:val="9"/>
    </w:pPr>
    <w:rPr>
      <w:lang w:val="en-US"/>
    </w:rPr>
  </w:style>
  <w:style w:type="paragraph" w:styleId="Inhopg1">
    <w:name w:val="toc 1"/>
    <w:basedOn w:val="Standaard"/>
    <w:next w:val="Standaard"/>
    <w:autoRedefine/>
    <w:uiPriority w:val="39"/>
    <w:unhideWhenUsed/>
    <w:rsid w:val="003A5F28"/>
    <w:pPr>
      <w:spacing w:after="100"/>
    </w:pPr>
    <w:rPr>
      <w:lang w:val="nl-NL"/>
    </w:rPr>
  </w:style>
  <w:style w:type="character" w:styleId="Hyperlink">
    <w:name w:val="Hyperlink"/>
    <w:basedOn w:val="Standaardalinea-lettertype"/>
    <w:uiPriority w:val="99"/>
    <w:unhideWhenUsed/>
    <w:rsid w:val="003A5F2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92C038-954E-49C1-B9F1-36C1F2B25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18075</Words>
  <Characters>103029</Characters>
  <Application>Microsoft Office Word</Application>
  <DocSecurity>4</DocSecurity>
  <Lines>858</Lines>
  <Paragraphs>241</Paragraphs>
  <ScaleCrop>false</ScaleCrop>
  <HeadingPairs>
    <vt:vector size="2" baseType="variant">
      <vt:variant>
        <vt:lpstr>Title</vt:lpstr>
      </vt:variant>
      <vt:variant>
        <vt:i4>1</vt:i4>
      </vt:variant>
    </vt:vector>
  </HeadingPairs>
  <TitlesOfParts>
    <vt:vector size="1" baseType="lpstr">
      <vt:lpstr/>
    </vt:vector>
  </TitlesOfParts>
  <Company>Radboud Universiteit Nijmegen</Company>
  <LinksUpToDate>false</LinksUpToDate>
  <CharactersWithSpaces>120863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s0703400</dc:creator>
  <cp:keywords/>
  <dc:description/>
  <cp:lastModifiedBy>U965102</cp:lastModifiedBy>
  <cp:revision>2</cp:revision>
  <dcterms:created xsi:type="dcterms:W3CDTF">2014-03-03T09:32:00Z</dcterms:created>
  <dcterms:modified xsi:type="dcterms:W3CDTF">2014-03-03T09:32:00Z</dcterms:modified>
</cp:coreProperties>
</file>