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790510"/>
        <w:docPartObj>
          <w:docPartGallery w:val="Cover Pages"/>
          <w:docPartUnique/>
        </w:docPartObj>
      </w:sdtPr>
      <w:sdtEndPr/>
      <w:sdtContent>
        <w:p w14:paraId="1341BEF4" w14:textId="54438D65" w:rsidR="0036051F" w:rsidRDefault="0036051F">
          <w:r>
            <w:rPr>
              <w:noProof/>
            </w:rPr>
            <mc:AlternateContent>
              <mc:Choice Requires="wpg">
                <w:drawing>
                  <wp:anchor distT="0" distB="0" distL="114300" distR="114300" simplePos="0" relativeHeight="251662336" behindDoc="0" locked="0" layoutInCell="1" allowOverlap="1" wp14:anchorId="5C475DBF" wp14:editId="38E450B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28681B"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BD44DA4" wp14:editId="675D357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C203D" w14:textId="63638140" w:rsidR="0036051F" w:rsidRPr="0036051F" w:rsidRDefault="00354820">
                                <w:pPr>
                                  <w:jc w:val="right"/>
                                  <w:rPr>
                                    <w:color w:val="4472C4" w:themeColor="accent1"/>
                                    <w:sz w:val="64"/>
                                    <w:szCs w:val="64"/>
                                    <w:lang w:val="en-GB"/>
                                  </w:rPr>
                                </w:pPr>
                                <w:sdt>
                                  <w:sdtPr>
                                    <w:rPr>
                                      <w:rFonts w:cstheme="minorHAnsi"/>
                                      <w:color w:val="000000"/>
                                      <w:sz w:val="36"/>
                                      <w:szCs w:val="36"/>
                                      <w:shd w:val="clear" w:color="auto" w:fill="FFFFFF"/>
                                      <w:lang w:val="en-GB"/>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42F93" w:rsidRPr="00142F93">
                                      <w:rPr>
                                        <w:rFonts w:cstheme="minorHAnsi"/>
                                        <w:color w:val="000000"/>
                                        <w:sz w:val="36"/>
                                        <w:szCs w:val="36"/>
                                        <w:shd w:val="clear" w:color="auto" w:fill="FFFFFF"/>
                                        <w:lang w:val="en-GB"/>
                                      </w:rPr>
                                      <w:t>The political representation of Māori people in Aotearoa New Zealand</w:t>
                                    </w:r>
                                  </w:sdtContent>
                                </w:sdt>
                              </w:p>
                              <w:sdt>
                                <w:sdtPr>
                                  <w:rPr>
                                    <w:color w:val="404040" w:themeColor="text1" w:themeTint="BF"/>
                                    <w:sz w:val="32"/>
                                    <w:szCs w:val="32"/>
                                    <w:lang w:val="en-GB"/>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7DD9C93" w14:textId="70080ACA" w:rsidR="0036051F" w:rsidRPr="00107D0D" w:rsidRDefault="00BE18AC">
                                    <w:pPr>
                                      <w:jc w:val="right"/>
                                      <w:rPr>
                                        <w:smallCaps/>
                                        <w:color w:val="404040" w:themeColor="text1" w:themeTint="BF"/>
                                        <w:sz w:val="32"/>
                                        <w:szCs w:val="32"/>
                                        <w:lang w:val="en-GB"/>
                                      </w:rPr>
                                    </w:pPr>
                                    <w:r w:rsidRPr="00107D0D">
                                      <w:rPr>
                                        <w:color w:val="404040" w:themeColor="text1" w:themeTint="BF"/>
                                        <w:sz w:val="32"/>
                                        <w:szCs w:val="32"/>
                                        <w:lang w:val="en-GB"/>
                                      </w:rPr>
                                      <w:t>A claims-making analysis studying the link between descriptive representation and substantive claims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BD44DA4"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14:paraId="502C203D" w14:textId="63638140" w:rsidR="0036051F" w:rsidRPr="0036051F" w:rsidRDefault="00354820">
                          <w:pPr>
                            <w:jc w:val="right"/>
                            <w:rPr>
                              <w:color w:val="4472C4" w:themeColor="accent1"/>
                              <w:sz w:val="64"/>
                              <w:szCs w:val="64"/>
                              <w:lang w:val="en-GB"/>
                            </w:rPr>
                          </w:pPr>
                          <w:sdt>
                            <w:sdtPr>
                              <w:rPr>
                                <w:rFonts w:cstheme="minorHAnsi"/>
                                <w:color w:val="000000"/>
                                <w:sz w:val="36"/>
                                <w:szCs w:val="36"/>
                                <w:shd w:val="clear" w:color="auto" w:fill="FFFFFF"/>
                                <w:lang w:val="en-GB"/>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42F93" w:rsidRPr="00142F93">
                                <w:rPr>
                                  <w:rFonts w:cstheme="minorHAnsi"/>
                                  <w:color w:val="000000"/>
                                  <w:sz w:val="36"/>
                                  <w:szCs w:val="36"/>
                                  <w:shd w:val="clear" w:color="auto" w:fill="FFFFFF"/>
                                  <w:lang w:val="en-GB"/>
                                </w:rPr>
                                <w:t>The political representation of Māori people in Aotearoa New Zealand</w:t>
                              </w:r>
                            </w:sdtContent>
                          </w:sdt>
                        </w:p>
                        <w:sdt>
                          <w:sdtPr>
                            <w:rPr>
                              <w:color w:val="404040" w:themeColor="text1" w:themeTint="BF"/>
                              <w:sz w:val="32"/>
                              <w:szCs w:val="32"/>
                              <w:lang w:val="en-GB"/>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7DD9C93" w14:textId="70080ACA" w:rsidR="0036051F" w:rsidRPr="00107D0D" w:rsidRDefault="00BE18AC">
                              <w:pPr>
                                <w:jc w:val="right"/>
                                <w:rPr>
                                  <w:smallCaps/>
                                  <w:color w:val="404040" w:themeColor="text1" w:themeTint="BF"/>
                                  <w:sz w:val="32"/>
                                  <w:szCs w:val="32"/>
                                  <w:lang w:val="en-GB"/>
                                </w:rPr>
                              </w:pPr>
                              <w:r w:rsidRPr="00107D0D">
                                <w:rPr>
                                  <w:color w:val="404040" w:themeColor="text1" w:themeTint="BF"/>
                                  <w:sz w:val="32"/>
                                  <w:szCs w:val="32"/>
                                  <w:lang w:val="en-GB"/>
                                </w:rPr>
                                <w:t>A claims-making analysis studying the link between descriptive representation and substantive claims</w:t>
                              </w:r>
                            </w:p>
                          </w:sdtContent>
                        </w:sdt>
                      </w:txbxContent>
                    </v:textbox>
                    <w10:wrap type="square" anchorx="page" anchory="page"/>
                  </v:shape>
                </w:pict>
              </mc:Fallback>
            </mc:AlternateContent>
          </w:r>
        </w:p>
        <w:p w14:paraId="193DE3E1" w14:textId="7A9FE907" w:rsidR="0069399F" w:rsidRDefault="00354820" w:rsidP="007A286E"/>
      </w:sdtContent>
    </w:sdt>
    <w:p w14:paraId="7A4C7EED" w14:textId="63BBB497" w:rsidR="0069399F" w:rsidRDefault="00536C43" w:rsidP="00DE6D98">
      <w:r>
        <w:rPr>
          <w:noProof/>
        </w:rPr>
        <mc:AlternateContent>
          <mc:Choice Requires="wps">
            <w:drawing>
              <wp:anchor distT="0" distB="0" distL="114300" distR="114300" simplePos="0" relativeHeight="251660288" behindDoc="0" locked="0" layoutInCell="1" allowOverlap="1" wp14:anchorId="29F843C9" wp14:editId="0EB0A862">
                <wp:simplePos x="0" y="0"/>
                <wp:positionH relativeFrom="page">
                  <wp:posOffset>222250</wp:posOffset>
                </wp:positionH>
                <wp:positionV relativeFrom="page">
                  <wp:posOffset>8059686</wp:posOffset>
                </wp:positionV>
                <wp:extent cx="7302500" cy="1619250"/>
                <wp:effectExtent l="0" t="0" r="0" b="0"/>
                <wp:wrapSquare wrapText="bothSides"/>
                <wp:docPr id="152" name="Tekstvak 152"/>
                <wp:cNvGraphicFramePr/>
                <a:graphic xmlns:a="http://schemas.openxmlformats.org/drawingml/2006/main">
                  <a:graphicData uri="http://schemas.microsoft.com/office/word/2010/wordprocessingShape">
                    <wps:wsp>
                      <wps:cNvSpPr txBox="1"/>
                      <wps:spPr>
                        <a:xfrm>
                          <a:off x="0" y="0"/>
                          <a:ext cx="730250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14BF5EA" w14:textId="0DB9798A" w:rsidR="0036051F" w:rsidRPr="00B24D69" w:rsidRDefault="0036051F">
                                <w:pPr>
                                  <w:pStyle w:val="Geenafstand"/>
                                  <w:jc w:val="right"/>
                                  <w:rPr>
                                    <w:color w:val="595959" w:themeColor="text1" w:themeTint="A6"/>
                                  </w:rPr>
                                </w:pPr>
                                <w:r w:rsidRPr="00B24D69">
                                  <w:rPr>
                                    <w:color w:val="595959" w:themeColor="text1" w:themeTint="A6"/>
                                  </w:rPr>
                                  <w:t>Cato Rademaker</w:t>
                                </w:r>
                              </w:p>
                            </w:sdtContent>
                          </w:sdt>
                          <w:p w14:paraId="6A25E9F9" w14:textId="1FE8A668" w:rsidR="0036051F" w:rsidRPr="00B24D69" w:rsidRDefault="00354820">
                            <w:pPr>
                              <w:pStyle w:val="Geenafstand"/>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EndPr/>
                              <w:sdtContent>
                                <w:r w:rsidR="00BD3D8C" w:rsidRPr="00B24D69">
                                  <w:rPr>
                                    <w:color w:val="595959" w:themeColor="text1" w:themeTint="A6"/>
                                  </w:rPr>
                                  <w:t>S4809955</w:t>
                                </w:r>
                              </w:sdtContent>
                            </w:sdt>
                          </w:p>
                          <w:p w14:paraId="15116A15" w14:textId="2C8F4730" w:rsidR="00590661" w:rsidRPr="00B24D69" w:rsidRDefault="00590661" w:rsidP="00590661">
                            <w:pPr>
                              <w:pStyle w:val="Geenafstand"/>
                              <w:jc w:val="right"/>
                              <w:rPr>
                                <w:color w:val="595959" w:themeColor="text1" w:themeTint="A6"/>
                              </w:rPr>
                            </w:pP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00CD364C">
                              <w:rPr>
                                <w:color w:val="595959" w:themeColor="text1" w:themeTint="A6"/>
                              </w:rPr>
                              <w:t xml:space="preserve">Supervisor: </w:t>
                            </w:r>
                            <w:r w:rsidRPr="00B24D69">
                              <w:rPr>
                                <w:color w:val="595959" w:themeColor="text1" w:themeTint="A6"/>
                              </w:rPr>
                              <w:t>Elena Escalante Block</w:t>
                            </w:r>
                          </w:p>
                          <w:p w14:paraId="5D7C4B48" w14:textId="0B2F732D" w:rsidR="00590661" w:rsidRPr="00B24D69" w:rsidRDefault="00590661" w:rsidP="00590661">
                            <w:pPr>
                              <w:pStyle w:val="Geenafstand"/>
                              <w:jc w:val="right"/>
                              <w:rPr>
                                <w:color w:val="595959" w:themeColor="text1" w:themeTint="A6"/>
                              </w:rPr>
                            </w:pP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00CD364C">
                              <w:rPr>
                                <w:color w:val="595959" w:themeColor="text1" w:themeTint="A6"/>
                              </w:rPr>
                              <w:t>24</w:t>
                            </w:r>
                            <w:r w:rsidRPr="00B24D69">
                              <w:rPr>
                                <w:color w:val="595959" w:themeColor="text1" w:themeTint="A6"/>
                              </w:rPr>
                              <w:t>-06-2021</w:t>
                            </w:r>
                          </w:p>
                          <w:p w14:paraId="7291D5AC" w14:textId="333D940B" w:rsidR="00590661" w:rsidRPr="00B24D69" w:rsidRDefault="00590661" w:rsidP="00590661">
                            <w:pPr>
                              <w:pStyle w:val="Geenafstand"/>
                              <w:jc w:val="right"/>
                              <w:rPr>
                                <w:color w:val="595959" w:themeColor="text1" w:themeTint="A6"/>
                              </w:rPr>
                            </w:pPr>
                            <w:r w:rsidRPr="00B24D69">
                              <w:rPr>
                                <w:color w:val="595959" w:themeColor="text1" w:themeTint="A6"/>
                              </w:rPr>
                              <w:t xml:space="preserve">Radboud University </w:t>
                            </w:r>
                          </w:p>
                          <w:p w14:paraId="65641328" w14:textId="7E650554" w:rsidR="00690A62" w:rsidRDefault="00590661" w:rsidP="00865AD3">
                            <w:pPr>
                              <w:pStyle w:val="Geenafstand"/>
                              <w:jc w:val="right"/>
                              <w:rPr>
                                <w:color w:val="595959" w:themeColor="text1" w:themeTint="A6"/>
                              </w:rPr>
                            </w:pPr>
                            <w:r w:rsidRPr="00B24D69">
                              <w:rPr>
                                <w:color w:val="595959" w:themeColor="text1" w:themeTint="A6"/>
                              </w:rPr>
                              <w:t>Master Comparative Politics</w:t>
                            </w:r>
                          </w:p>
                          <w:p w14:paraId="0504E4E3" w14:textId="440021CA" w:rsidR="00392DE7" w:rsidRPr="00B24D69" w:rsidRDefault="00392DE7" w:rsidP="00590661">
                            <w:pPr>
                              <w:pStyle w:val="Geenafstand"/>
                              <w:jc w:val="right"/>
                              <w:rPr>
                                <w:color w:val="595959" w:themeColor="text1" w:themeTint="A6"/>
                              </w:rPr>
                            </w:pPr>
                            <w:r>
                              <w:rPr>
                                <w:color w:val="595959" w:themeColor="text1" w:themeTint="A6"/>
                              </w:rPr>
                              <w:t>2</w:t>
                            </w:r>
                            <w:r w:rsidR="002D60DA">
                              <w:rPr>
                                <w:color w:val="595959" w:themeColor="text1" w:themeTint="A6"/>
                              </w:rPr>
                              <w:t>4.</w:t>
                            </w:r>
                            <w:r w:rsidR="00635C27">
                              <w:rPr>
                                <w:color w:val="595959" w:themeColor="text1" w:themeTint="A6"/>
                              </w:rPr>
                              <w:t>987</w:t>
                            </w:r>
                            <w:r>
                              <w:rPr>
                                <w:color w:val="595959" w:themeColor="text1" w:themeTint="A6"/>
                              </w:rPr>
                              <w:t xml:space="preserve"> words</w:t>
                            </w:r>
                          </w:p>
                          <w:p w14:paraId="7D446324" w14:textId="77777777" w:rsidR="00590661" w:rsidRDefault="00590661" w:rsidP="00590661">
                            <w:pPr>
                              <w:pStyle w:val="Geenafstand"/>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F843C9" id="Tekstvak 152" o:spid="_x0000_s1027" type="#_x0000_t202" style="position:absolute;margin-left:17.5pt;margin-top:634.6pt;width:575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" filled="f" stroked="f" strokeweight=".5pt">
                <v:textbox inset="126pt,0,54pt,0">
                  <w:txbxContent>
                    <w:sdt>
                      <w:sdtPr>
                        <w:rPr>
                          <w:color w:val="595959" w:themeColor="text1" w:themeTint="A6"/>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14BF5EA" w14:textId="0DB9798A" w:rsidR="0036051F" w:rsidRPr="00B24D69" w:rsidRDefault="0036051F">
                          <w:pPr>
                            <w:pStyle w:val="Geenafstand"/>
                            <w:jc w:val="right"/>
                            <w:rPr>
                              <w:color w:val="595959" w:themeColor="text1" w:themeTint="A6"/>
                            </w:rPr>
                          </w:pPr>
                          <w:r w:rsidRPr="00B24D69">
                            <w:rPr>
                              <w:color w:val="595959" w:themeColor="text1" w:themeTint="A6"/>
                            </w:rPr>
                            <w:t>Cato Rademaker</w:t>
                          </w:r>
                        </w:p>
                      </w:sdtContent>
                    </w:sdt>
                    <w:p w14:paraId="6A25E9F9" w14:textId="1FE8A668" w:rsidR="0036051F" w:rsidRPr="00B24D69" w:rsidRDefault="00354820">
                      <w:pPr>
                        <w:pStyle w:val="Geenafstand"/>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EndPr/>
                        <w:sdtContent>
                          <w:r w:rsidR="00BD3D8C" w:rsidRPr="00B24D69">
                            <w:rPr>
                              <w:color w:val="595959" w:themeColor="text1" w:themeTint="A6"/>
                            </w:rPr>
                            <w:t>S4809955</w:t>
                          </w:r>
                        </w:sdtContent>
                      </w:sdt>
                    </w:p>
                    <w:p w14:paraId="15116A15" w14:textId="2C8F4730" w:rsidR="00590661" w:rsidRPr="00B24D69" w:rsidRDefault="00590661" w:rsidP="00590661">
                      <w:pPr>
                        <w:pStyle w:val="Geenafstand"/>
                        <w:jc w:val="right"/>
                        <w:rPr>
                          <w:color w:val="595959" w:themeColor="text1" w:themeTint="A6"/>
                        </w:rPr>
                      </w:pP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00CD364C">
                        <w:rPr>
                          <w:color w:val="595959" w:themeColor="text1" w:themeTint="A6"/>
                        </w:rPr>
                        <w:t xml:space="preserve">Supervisor: </w:t>
                      </w:r>
                      <w:r w:rsidRPr="00B24D69">
                        <w:rPr>
                          <w:color w:val="595959" w:themeColor="text1" w:themeTint="A6"/>
                        </w:rPr>
                        <w:t>Elena Escalante Block</w:t>
                      </w:r>
                    </w:p>
                    <w:p w14:paraId="5D7C4B48" w14:textId="0B2F732D" w:rsidR="00590661" w:rsidRPr="00B24D69" w:rsidRDefault="00590661" w:rsidP="00590661">
                      <w:pPr>
                        <w:pStyle w:val="Geenafstand"/>
                        <w:jc w:val="right"/>
                        <w:rPr>
                          <w:color w:val="595959" w:themeColor="text1" w:themeTint="A6"/>
                        </w:rPr>
                      </w:pP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Pr="00B24D69">
                        <w:rPr>
                          <w:color w:val="595959" w:themeColor="text1" w:themeTint="A6"/>
                        </w:rPr>
                        <w:tab/>
                      </w:r>
                      <w:r w:rsidR="00CD364C">
                        <w:rPr>
                          <w:color w:val="595959" w:themeColor="text1" w:themeTint="A6"/>
                        </w:rPr>
                        <w:t>24</w:t>
                      </w:r>
                      <w:r w:rsidRPr="00B24D69">
                        <w:rPr>
                          <w:color w:val="595959" w:themeColor="text1" w:themeTint="A6"/>
                        </w:rPr>
                        <w:t>-06-2021</w:t>
                      </w:r>
                    </w:p>
                    <w:p w14:paraId="7291D5AC" w14:textId="333D940B" w:rsidR="00590661" w:rsidRPr="00B24D69" w:rsidRDefault="00590661" w:rsidP="00590661">
                      <w:pPr>
                        <w:pStyle w:val="Geenafstand"/>
                        <w:jc w:val="right"/>
                        <w:rPr>
                          <w:color w:val="595959" w:themeColor="text1" w:themeTint="A6"/>
                        </w:rPr>
                      </w:pPr>
                      <w:r w:rsidRPr="00B24D69">
                        <w:rPr>
                          <w:color w:val="595959" w:themeColor="text1" w:themeTint="A6"/>
                        </w:rPr>
                        <w:t xml:space="preserve">Radboud University </w:t>
                      </w:r>
                    </w:p>
                    <w:p w14:paraId="65641328" w14:textId="7E650554" w:rsidR="00690A62" w:rsidRDefault="00590661" w:rsidP="00865AD3">
                      <w:pPr>
                        <w:pStyle w:val="Geenafstand"/>
                        <w:jc w:val="right"/>
                        <w:rPr>
                          <w:color w:val="595959" w:themeColor="text1" w:themeTint="A6"/>
                        </w:rPr>
                      </w:pPr>
                      <w:r w:rsidRPr="00B24D69">
                        <w:rPr>
                          <w:color w:val="595959" w:themeColor="text1" w:themeTint="A6"/>
                        </w:rPr>
                        <w:t>Master Comparative Politics</w:t>
                      </w:r>
                    </w:p>
                    <w:p w14:paraId="0504E4E3" w14:textId="440021CA" w:rsidR="00392DE7" w:rsidRPr="00B24D69" w:rsidRDefault="00392DE7" w:rsidP="00590661">
                      <w:pPr>
                        <w:pStyle w:val="Geenafstand"/>
                        <w:jc w:val="right"/>
                        <w:rPr>
                          <w:color w:val="595959" w:themeColor="text1" w:themeTint="A6"/>
                        </w:rPr>
                      </w:pPr>
                      <w:r>
                        <w:rPr>
                          <w:color w:val="595959" w:themeColor="text1" w:themeTint="A6"/>
                        </w:rPr>
                        <w:t>2</w:t>
                      </w:r>
                      <w:r w:rsidR="002D60DA">
                        <w:rPr>
                          <w:color w:val="595959" w:themeColor="text1" w:themeTint="A6"/>
                        </w:rPr>
                        <w:t>4.</w:t>
                      </w:r>
                      <w:r w:rsidR="00635C27">
                        <w:rPr>
                          <w:color w:val="595959" w:themeColor="text1" w:themeTint="A6"/>
                        </w:rPr>
                        <w:t>987</w:t>
                      </w:r>
                      <w:r>
                        <w:rPr>
                          <w:color w:val="595959" w:themeColor="text1" w:themeTint="A6"/>
                        </w:rPr>
                        <w:t xml:space="preserve"> words</w:t>
                      </w:r>
                    </w:p>
                    <w:p w14:paraId="7D446324" w14:textId="77777777" w:rsidR="00590661" w:rsidRDefault="00590661" w:rsidP="00590661">
                      <w:pPr>
                        <w:pStyle w:val="Geenafstand"/>
                        <w:jc w:val="center"/>
                        <w:rPr>
                          <w:color w:val="595959" w:themeColor="text1" w:themeTint="A6"/>
                          <w:sz w:val="18"/>
                          <w:szCs w:val="18"/>
                        </w:rPr>
                      </w:pPr>
                    </w:p>
                  </w:txbxContent>
                </v:textbox>
                <w10:wrap type="square" anchorx="page" anchory="page"/>
              </v:shape>
            </w:pict>
          </mc:Fallback>
        </mc:AlternateContent>
      </w:r>
      <w:r w:rsidR="0069399F">
        <w:br w:type="page"/>
      </w:r>
    </w:p>
    <w:sdt>
      <w:sdtPr>
        <w:rPr>
          <w:rFonts w:asciiTheme="minorHAnsi" w:eastAsiaTheme="minorHAnsi" w:hAnsiTheme="minorHAnsi" w:cstheme="minorBidi"/>
          <w:color w:val="auto"/>
          <w:sz w:val="22"/>
          <w:szCs w:val="22"/>
          <w:lang w:val="nl-NL" w:eastAsia="en-US"/>
        </w:rPr>
        <w:id w:val="887694415"/>
        <w:docPartObj>
          <w:docPartGallery w:val="Table of Contents"/>
          <w:docPartUnique/>
        </w:docPartObj>
      </w:sdtPr>
      <w:sdtEndPr>
        <w:rPr>
          <w:b/>
          <w:bCs/>
        </w:rPr>
      </w:sdtEndPr>
      <w:sdtContent>
        <w:p w14:paraId="314F8491" w14:textId="3AC430B2" w:rsidR="00412F50" w:rsidRDefault="00993A41">
          <w:pPr>
            <w:pStyle w:val="Kopvaninhoudsopgave"/>
          </w:pPr>
          <w:r w:rsidRPr="009A406C">
            <w:t>Table</w:t>
          </w:r>
          <w:r>
            <w:rPr>
              <w:lang w:val="nl-NL"/>
            </w:rPr>
            <w:t xml:space="preserve"> of contents </w:t>
          </w:r>
        </w:p>
        <w:p w14:paraId="11865A77" w14:textId="0C750B82" w:rsidR="008E685B" w:rsidRDefault="00412F50">
          <w:pPr>
            <w:pStyle w:val="Inhopg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5384044" w:history="1">
            <w:r w:rsidR="008E685B" w:rsidRPr="00112A25">
              <w:rPr>
                <w:rStyle w:val="Hyperlink"/>
                <w:noProof/>
              </w:rPr>
              <w:t>Abstract</w:t>
            </w:r>
            <w:r w:rsidR="008E685B">
              <w:rPr>
                <w:noProof/>
                <w:webHidden/>
              </w:rPr>
              <w:tab/>
            </w:r>
            <w:r w:rsidR="008E685B">
              <w:rPr>
                <w:noProof/>
                <w:webHidden/>
              </w:rPr>
              <w:fldChar w:fldCharType="begin"/>
            </w:r>
            <w:r w:rsidR="008E685B">
              <w:rPr>
                <w:noProof/>
                <w:webHidden/>
              </w:rPr>
              <w:instrText xml:space="preserve"> PAGEREF _Toc75384044 \h </w:instrText>
            </w:r>
            <w:r w:rsidR="008E685B">
              <w:rPr>
                <w:noProof/>
                <w:webHidden/>
              </w:rPr>
            </w:r>
            <w:r w:rsidR="008E685B">
              <w:rPr>
                <w:noProof/>
                <w:webHidden/>
              </w:rPr>
              <w:fldChar w:fldCharType="separate"/>
            </w:r>
            <w:r w:rsidR="00CD719A">
              <w:rPr>
                <w:noProof/>
                <w:webHidden/>
              </w:rPr>
              <w:t>4</w:t>
            </w:r>
            <w:r w:rsidR="008E685B">
              <w:rPr>
                <w:noProof/>
                <w:webHidden/>
              </w:rPr>
              <w:fldChar w:fldCharType="end"/>
            </w:r>
          </w:hyperlink>
        </w:p>
        <w:p w14:paraId="6A4930D0" w14:textId="2554B40D" w:rsidR="008E685B" w:rsidRDefault="00354820">
          <w:pPr>
            <w:pStyle w:val="Inhopg1"/>
            <w:tabs>
              <w:tab w:val="right" w:leader="dot" w:pos="9062"/>
            </w:tabs>
            <w:rPr>
              <w:rFonts w:asciiTheme="minorHAnsi" w:eastAsiaTheme="minorEastAsia" w:hAnsiTheme="minorHAnsi" w:cstheme="minorBidi"/>
              <w:noProof/>
            </w:rPr>
          </w:pPr>
          <w:hyperlink w:anchor="_Toc75384045" w:history="1">
            <w:r w:rsidR="008E685B" w:rsidRPr="00112A25">
              <w:rPr>
                <w:rStyle w:val="Hyperlink"/>
                <w:noProof/>
              </w:rPr>
              <w:t>Chapter 1: Introduction</w:t>
            </w:r>
            <w:r w:rsidR="008E685B">
              <w:rPr>
                <w:noProof/>
                <w:webHidden/>
              </w:rPr>
              <w:tab/>
            </w:r>
            <w:r w:rsidR="008E685B">
              <w:rPr>
                <w:noProof/>
                <w:webHidden/>
              </w:rPr>
              <w:fldChar w:fldCharType="begin"/>
            </w:r>
            <w:r w:rsidR="008E685B">
              <w:rPr>
                <w:noProof/>
                <w:webHidden/>
              </w:rPr>
              <w:instrText xml:space="preserve"> PAGEREF _Toc75384045 \h </w:instrText>
            </w:r>
            <w:r w:rsidR="008E685B">
              <w:rPr>
                <w:noProof/>
                <w:webHidden/>
              </w:rPr>
            </w:r>
            <w:r w:rsidR="008E685B">
              <w:rPr>
                <w:noProof/>
                <w:webHidden/>
              </w:rPr>
              <w:fldChar w:fldCharType="separate"/>
            </w:r>
            <w:r w:rsidR="00CD719A">
              <w:rPr>
                <w:noProof/>
                <w:webHidden/>
              </w:rPr>
              <w:t>5</w:t>
            </w:r>
            <w:r w:rsidR="008E685B">
              <w:rPr>
                <w:noProof/>
                <w:webHidden/>
              </w:rPr>
              <w:fldChar w:fldCharType="end"/>
            </w:r>
          </w:hyperlink>
        </w:p>
        <w:p w14:paraId="14E29480" w14:textId="41B6090C" w:rsidR="008E685B" w:rsidRDefault="00354820">
          <w:pPr>
            <w:pStyle w:val="Inhopg2"/>
            <w:tabs>
              <w:tab w:val="right" w:leader="dot" w:pos="9062"/>
            </w:tabs>
            <w:rPr>
              <w:rFonts w:asciiTheme="minorHAnsi" w:eastAsiaTheme="minorEastAsia" w:hAnsiTheme="minorHAnsi" w:cstheme="minorBidi"/>
              <w:noProof/>
            </w:rPr>
          </w:pPr>
          <w:hyperlink w:anchor="_Toc75384046" w:history="1">
            <w:r w:rsidR="008E685B" w:rsidRPr="00112A25">
              <w:rPr>
                <w:rStyle w:val="Hyperlink"/>
                <w:noProof/>
              </w:rPr>
              <w:t>1.1 Theory of political representation</w:t>
            </w:r>
            <w:r w:rsidR="008E685B">
              <w:rPr>
                <w:noProof/>
                <w:webHidden/>
              </w:rPr>
              <w:tab/>
            </w:r>
            <w:r w:rsidR="008E685B">
              <w:rPr>
                <w:noProof/>
                <w:webHidden/>
              </w:rPr>
              <w:fldChar w:fldCharType="begin"/>
            </w:r>
            <w:r w:rsidR="008E685B">
              <w:rPr>
                <w:noProof/>
                <w:webHidden/>
              </w:rPr>
              <w:instrText xml:space="preserve"> PAGEREF _Toc75384046 \h </w:instrText>
            </w:r>
            <w:r w:rsidR="008E685B">
              <w:rPr>
                <w:noProof/>
                <w:webHidden/>
              </w:rPr>
            </w:r>
            <w:r w:rsidR="008E685B">
              <w:rPr>
                <w:noProof/>
                <w:webHidden/>
              </w:rPr>
              <w:fldChar w:fldCharType="separate"/>
            </w:r>
            <w:r w:rsidR="00CD719A">
              <w:rPr>
                <w:noProof/>
                <w:webHidden/>
              </w:rPr>
              <w:t>6</w:t>
            </w:r>
            <w:r w:rsidR="008E685B">
              <w:rPr>
                <w:noProof/>
                <w:webHidden/>
              </w:rPr>
              <w:fldChar w:fldCharType="end"/>
            </w:r>
          </w:hyperlink>
        </w:p>
        <w:p w14:paraId="5367AC6B" w14:textId="50D6271A" w:rsidR="008E685B" w:rsidRDefault="00354820">
          <w:pPr>
            <w:pStyle w:val="Inhopg2"/>
            <w:tabs>
              <w:tab w:val="right" w:leader="dot" w:pos="9062"/>
            </w:tabs>
            <w:rPr>
              <w:rFonts w:asciiTheme="minorHAnsi" w:eastAsiaTheme="minorEastAsia" w:hAnsiTheme="minorHAnsi" w:cstheme="minorBidi"/>
              <w:noProof/>
            </w:rPr>
          </w:pPr>
          <w:hyperlink w:anchor="_Toc75384047" w:history="1">
            <w:r w:rsidR="008E685B" w:rsidRPr="00112A25">
              <w:rPr>
                <w:rStyle w:val="Hyperlink"/>
                <w:noProof/>
              </w:rPr>
              <w:t>1.2 Aotearoa New Zealand</w:t>
            </w:r>
            <w:r w:rsidR="008E685B">
              <w:rPr>
                <w:noProof/>
                <w:webHidden/>
              </w:rPr>
              <w:tab/>
            </w:r>
            <w:r w:rsidR="008E685B">
              <w:rPr>
                <w:noProof/>
                <w:webHidden/>
              </w:rPr>
              <w:fldChar w:fldCharType="begin"/>
            </w:r>
            <w:r w:rsidR="008E685B">
              <w:rPr>
                <w:noProof/>
                <w:webHidden/>
              </w:rPr>
              <w:instrText xml:space="preserve"> PAGEREF _Toc75384047 \h </w:instrText>
            </w:r>
            <w:r w:rsidR="008E685B">
              <w:rPr>
                <w:noProof/>
                <w:webHidden/>
              </w:rPr>
            </w:r>
            <w:r w:rsidR="008E685B">
              <w:rPr>
                <w:noProof/>
                <w:webHidden/>
              </w:rPr>
              <w:fldChar w:fldCharType="separate"/>
            </w:r>
            <w:r w:rsidR="00CD719A">
              <w:rPr>
                <w:noProof/>
                <w:webHidden/>
              </w:rPr>
              <w:t>7</w:t>
            </w:r>
            <w:r w:rsidR="008E685B">
              <w:rPr>
                <w:noProof/>
                <w:webHidden/>
              </w:rPr>
              <w:fldChar w:fldCharType="end"/>
            </w:r>
          </w:hyperlink>
        </w:p>
        <w:p w14:paraId="4B4E6E5F" w14:textId="1A14B192" w:rsidR="008E685B" w:rsidRDefault="00354820">
          <w:pPr>
            <w:pStyle w:val="Inhopg2"/>
            <w:tabs>
              <w:tab w:val="right" w:leader="dot" w:pos="9062"/>
            </w:tabs>
            <w:rPr>
              <w:rFonts w:asciiTheme="minorHAnsi" w:eastAsiaTheme="minorEastAsia" w:hAnsiTheme="minorHAnsi" w:cstheme="minorBidi"/>
              <w:noProof/>
            </w:rPr>
          </w:pPr>
          <w:hyperlink w:anchor="_Toc75384048" w:history="1">
            <w:r w:rsidR="008E685B" w:rsidRPr="00112A25">
              <w:rPr>
                <w:rStyle w:val="Hyperlink"/>
                <w:noProof/>
              </w:rPr>
              <w:t>1.3 Methodology</w:t>
            </w:r>
            <w:r w:rsidR="008E685B">
              <w:rPr>
                <w:noProof/>
                <w:webHidden/>
              </w:rPr>
              <w:tab/>
            </w:r>
            <w:r w:rsidR="008E685B">
              <w:rPr>
                <w:noProof/>
                <w:webHidden/>
              </w:rPr>
              <w:fldChar w:fldCharType="begin"/>
            </w:r>
            <w:r w:rsidR="008E685B">
              <w:rPr>
                <w:noProof/>
                <w:webHidden/>
              </w:rPr>
              <w:instrText xml:space="preserve"> PAGEREF _Toc75384048 \h </w:instrText>
            </w:r>
            <w:r w:rsidR="008E685B">
              <w:rPr>
                <w:noProof/>
                <w:webHidden/>
              </w:rPr>
            </w:r>
            <w:r w:rsidR="008E685B">
              <w:rPr>
                <w:noProof/>
                <w:webHidden/>
              </w:rPr>
              <w:fldChar w:fldCharType="separate"/>
            </w:r>
            <w:r w:rsidR="00CD719A">
              <w:rPr>
                <w:noProof/>
                <w:webHidden/>
              </w:rPr>
              <w:t>7</w:t>
            </w:r>
            <w:r w:rsidR="008E685B">
              <w:rPr>
                <w:noProof/>
                <w:webHidden/>
              </w:rPr>
              <w:fldChar w:fldCharType="end"/>
            </w:r>
          </w:hyperlink>
        </w:p>
        <w:p w14:paraId="1AED02C3" w14:textId="6B90F439" w:rsidR="008E685B" w:rsidRDefault="00354820">
          <w:pPr>
            <w:pStyle w:val="Inhopg2"/>
            <w:tabs>
              <w:tab w:val="right" w:leader="dot" w:pos="9062"/>
            </w:tabs>
            <w:rPr>
              <w:rFonts w:asciiTheme="minorHAnsi" w:eastAsiaTheme="minorEastAsia" w:hAnsiTheme="minorHAnsi" w:cstheme="minorBidi"/>
              <w:noProof/>
            </w:rPr>
          </w:pPr>
          <w:hyperlink w:anchor="_Toc75384049" w:history="1">
            <w:r w:rsidR="008E685B" w:rsidRPr="00112A25">
              <w:rPr>
                <w:rStyle w:val="Hyperlink"/>
                <w:noProof/>
                <w:highlight w:val="white"/>
              </w:rPr>
              <w:t>1.4 Scientifical and societal relevance</w:t>
            </w:r>
            <w:r w:rsidR="008E685B">
              <w:rPr>
                <w:noProof/>
                <w:webHidden/>
              </w:rPr>
              <w:tab/>
            </w:r>
            <w:r w:rsidR="008E685B">
              <w:rPr>
                <w:noProof/>
                <w:webHidden/>
              </w:rPr>
              <w:fldChar w:fldCharType="begin"/>
            </w:r>
            <w:r w:rsidR="008E685B">
              <w:rPr>
                <w:noProof/>
                <w:webHidden/>
              </w:rPr>
              <w:instrText xml:space="preserve"> PAGEREF _Toc75384049 \h </w:instrText>
            </w:r>
            <w:r w:rsidR="008E685B">
              <w:rPr>
                <w:noProof/>
                <w:webHidden/>
              </w:rPr>
            </w:r>
            <w:r w:rsidR="008E685B">
              <w:rPr>
                <w:noProof/>
                <w:webHidden/>
              </w:rPr>
              <w:fldChar w:fldCharType="separate"/>
            </w:r>
            <w:r w:rsidR="00CD719A">
              <w:rPr>
                <w:noProof/>
                <w:webHidden/>
              </w:rPr>
              <w:t>8</w:t>
            </w:r>
            <w:r w:rsidR="008E685B">
              <w:rPr>
                <w:noProof/>
                <w:webHidden/>
              </w:rPr>
              <w:fldChar w:fldCharType="end"/>
            </w:r>
          </w:hyperlink>
        </w:p>
        <w:p w14:paraId="118FBAED" w14:textId="26141931" w:rsidR="008E685B" w:rsidRDefault="00354820">
          <w:pPr>
            <w:pStyle w:val="Inhopg2"/>
            <w:tabs>
              <w:tab w:val="right" w:leader="dot" w:pos="9062"/>
            </w:tabs>
            <w:rPr>
              <w:rFonts w:asciiTheme="minorHAnsi" w:eastAsiaTheme="minorEastAsia" w:hAnsiTheme="minorHAnsi" w:cstheme="minorBidi"/>
              <w:noProof/>
            </w:rPr>
          </w:pPr>
          <w:hyperlink w:anchor="_Toc75384050" w:history="1">
            <w:r w:rsidR="008E685B" w:rsidRPr="00112A25">
              <w:rPr>
                <w:rStyle w:val="Hyperlink"/>
                <w:noProof/>
              </w:rPr>
              <w:t>1.5 Thesis outline and conclusion</w:t>
            </w:r>
            <w:r w:rsidR="008E685B">
              <w:rPr>
                <w:noProof/>
                <w:webHidden/>
              </w:rPr>
              <w:tab/>
            </w:r>
            <w:r w:rsidR="008E685B">
              <w:rPr>
                <w:noProof/>
                <w:webHidden/>
              </w:rPr>
              <w:fldChar w:fldCharType="begin"/>
            </w:r>
            <w:r w:rsidR="008E685B">
              <w:rPr>
                <w:noProof/>
                <w:webHidden/>
              </w:rPr>
              <w:instrText xml:space="preserve"> PAGEREF _Toc75384050 \h </w:instrText>
            </w:r>
            <w:r w:rsidR="008E685B">
              <w:rPr>
                <w:noProof/>
                <w:webHidden/>
              </w:rPr>
            </w:r>
            <w:r w:rsidR="008E685B">
              <w:rPr>
                <w:noProof/>
                <w:webHidden/>
              </w:rPr>
              <w:fldChar w:fldCharType="separate"/>
            </w:r>
            <w:r w:rsidR="00CD719A">
              <w:rPr>
                <w:noProof/>
                <w:webHidden/>
              </w:rPr>
              <w:t>9</w:t>
            </w:r>
            <w:r w:rsidR="008E685B">
              <w:rPr>
                <w:noProof/>
                <w:webHidden/>
              </w:rPr>
              <w:fldChar w:fldCharType="end"/>
            </w:r>
          </w:hyperlink>
        </w:p>
        <w:p w14:paraId="5202BF88" w14:textId="50859B36" w:rsidR="008E685B" w:rsidRDefault="00354820">
          <w:pPr>
            <w:pStyle w:val="Inhopg1"/>
            <w:tabs>
              <w:tab w:val="right" w:leader="dot" w:pos="9062"/>
            </w:tabs>
            <w:rPr>
              <w:rFonts w:asciiTheme="minorHAnsi" w:eastAsiaTheme="minorEastAsia" w:hAnsiTheme="minorHAnsi" w:cstheme="minorBidi"/>
              <w:noProof/>
            </w:rPr>
          </w:pPr>
          <w:hyperlink w:anchor="_Toc75384051" w:history="1">
            <w:r w:rsidR="008E685B" w:rsidRPr="00112A25">
              <w:rPr>
                <w:rStyle w:val="Hyperlink"/>
                <w:noProof/>
              </w:rPr>
              <w:t>Chapter 2: Theoretical Framework</w:t>
            </w:r>
            <w:r w:rsidR="008E685B">
              <w:rPr>
                <w:noProof/>
                <w:webHidden/>
              </w:rPr>
              <w:tab/>
            </w:r>
            <w:r w:rsidR="008E685B">
              <w:rPr>
                <w:noProof/>
                <w:webHidden/>
              </w:rPr>
              <w:fldChar w:fldCharType="begin"/>
            </w:r>
            <w:r w:rsidR="008E685B">
              <w:rPr>
                <w:noProof/>
                <w:webHidden/>
              </w:rPr>
              <w:instrText xml:space="preserve"> PAGEREF _Toc75384051 \h </w:instrText>
            </w:r>
            <w:r w:rsidR="008E685B">
              <w:rPr>
                <w:noProof/>
                <w:webHidden/>
              </w:rPr>
            </w:r>
            <w:r w:rsidR="008E685B">
              <w:rPr>
                <w:noProof/>
                <w:webHidden/>
              </w:rPr>
              <w:fldChar w:fldCharType="separate"/>
            </w:r>
            <w:r w:rsidR="00CD719A">
              <w:rPr>
                <w:noProof/>
                <w:webHidden/>
              </w:rPr>
              <w:t>10</w:t>
            </w:r>
            <w:r w:rsidR="008E685B">
              <w:rPr>
                <w:noProof/>
                <w:webHidden/>
              </w:rPr>
              <w:fldChar w:fldCharType="end"/>
            </w:r>
          </w:hyperlink>
        </w:p>
        <w:p w14:paraId="4E7AAF67" w14:textId="0FE3CE06" w:rsidR="008E685B" w:rsidRDefault="00354820">
          <w:pPr>
            <w:pStyle w:val="Inhopg2"/>
            <w:tabs>
              <w:tab w:val="right" w:leader="dot" w:pos="9062"/>
            </w:tabs>
            <w:rPr>
              <w:rFonts w:asciiTheme="minorHAnsi" w:eastAsiaTheme="minorEastAsia" w:hAnsiTheme="minorHAnsi" w:cstheme="minorBidi"/>
              <w:noProof/>
            </w:rPr>
          </w:pPr>
          <w:hyperlink w:anchor="_Toc75384052" w:history="1">
            <w:r w:rsidR="008E685B" w:rsidRPr="00112A25">
              <w:rPr>
                <w:rStyle w:val="Hyperlink"/>
                <w:noProof/>
              </w:rPr>
              <w:t>2.1 Political representation</w:t>
            </w:r>
            <w:r w:rsidR="008E685B">
              <w:rPr>
                <w:noProof/>
                <w:webHidden/>
              </w:rPr>
              <w:tab/>
            </w:r>
            <w:r w:rsidR="008E685B">
              <w:rPr>
                <w:noProof/>
                <w:webHidden/>
              </w:rPr>
              <w:fldChar w:fldCharType="begin"/>
            </w:r>
            <w:r w:rsidR="008E685B">
              <w:rPr>
                <w:noProof/>
                <w:webHidden/>
              </w:rPr>
              <w:instrText xml:space="preserve"> PAGEREF _Toc75384052 \h </w:instrText>
            </w:r>
            <w:r w:rsidR="008E685B">
              <w:rPr>
                <w:noProof/>
                <w:webHidden/>
              </w:rPr>
            </w:r>
            <w:r w:rsidR="008E685B">
              <w:rPr>
                <w:noProof/>
                <w:webHidden/>
              </w:rPr>
              <w:fldChar w:fldCharType="separate"/>
            </w:r>
            <w:r w:rsidR="00CD719A">
              <w:rPr>
                <w:noProof/>
                <w:webHidden/>
              </w:rPr>
              <w:t>10</w:t>
            </w:r>
            <w:r w:rsidR="008E685B">
              <w:rPr>
                <w:noProof/>
                <w:webHidden/>
              </w:rPr>
              <w:fldChar w:fldCharType="end"/>
            </w:r>
          </w:hyperlink>
        </w:p>
        <w:p w14:paraId="53A7EAF1" w14:textId="4E1E58F2" w:rsidR="008E685B" w:rsidRDefault="00354820">
          <w:pPr>
            <w:pStyle w:val="Inhopg2"/>
            <w:tabs>
              <w:tab w:val="right" w:leader="dot" w:pos="9062"/>
            </w:tabs>
            <w:rPr>
              <w:rFonts w:asciiTheme="minorHAnsi" w:eastAsiaTheme="minorEastAsia" w:hAnsiTheme="minorHAnsi" w:cstheme="minorBidi"/>
              <w:noProof/>
            </w:rPr>
          </w:pPr>
          <w:hyperlink w:anchor="_Toc75384053" w:history="1">
            <w:r w:rsidR="008E685B" w:rsidRPr="00112A25">
              <w:rPr>
                <w:rStyle w:val="Hyperlink"/>
                <w:noProof/>
              </w:rPr>
              <w:t>2.2 Descriptive representation</w:t>
            </w:r>
            <w:r w:rsidR="008E685B">
              <w:rPr>
                <w:noProof/>
                <w:webHidden/>
              </w:rPr>
              <w:tab/>
            </w:r>
            <w:r w:rsidR="008E685B">
              <w:rPr>
                <w:noProof/>
                <w:webHidden/>
              </w:rPr>
              <w:fldChar w:fldCharType="begin"/>
            </w:r>
            <w:r w:rsidR="008E685B">
              <w:rPr>
                <w:noProof/>
                <w:webHidden/>
              </w:rPr>
              <w:instrText xml:space="preserve"> PAGEREF _Toc75384053 \h </w:instrText>
            </w:r>
            <w:r w:rsidR="008E685B">
              <w:rPr>
                <w:noProof/>
                <w:webHidden/>
              </w:rPr>
            </w:r>
            <w:r w:rsidR="008E685B">
              <w:rPr>
                <w:noProof/>
                <w:webHidden/>
              </w:rPr>
              <w:fldChar w:fldCharType="separate"/>
            </w:r>
            <w:r w:rsidR="00CD719A">
              <w:rPr>
                <w:noProof/>
                <w:webHidden/>
              </w:rPr>
              <w:t>11</w:t>
            </w:r>
            <w:r w:rsidR="008E685B">
              <w:rPr>
                <w:noProof/>
                <w:webHidden/>
              </w:rPr>
              <w:fldChar w:fldCharType="end"/>
            </w:r>
          </w:hyperlink>
        </w:p>
        <w:p w14:paraId="6BED084C" w14:textId="2B201E87" w:rsidR="008E685B" w:rsidRDefault="00354820">
          <w:pPr>
            <w:pStyle w:val="Inhopg2"/>
            <w:tabs>
              <w:tab w:val="right" w:leader="dot" w:pos="9062"/>
            </w:tabs>
            <w:rPr>
              <w:rFonts w:asciiTheme="minorHAnsi" w:eastAsiaTheme="minorEastAsia" w:hAnsiTheme="minorHAnsi" w:cstheme="minorBidi"/>
              <w:noProof/>
            </w:rPr>
          </w:pPr>
          <w:hyperlink w:anchor="_Toc75384054" w:history="1">
            <w:r w:rsidR="008E685B" w:rsidRPr="00112A25">
              <w:rPr>
                <w:rStyle w:val="Hyperlink"/>
                <w:noProof/>
              </w:rPr>
              <w:t>2.3 Substantive representation</w:t>
            </w:r>
            <w:r w:rsidR="008E685B">
              <w:rPr>
                <w:noProof/>
                <w:webHidden/>
              </w:rPr>
              <w:tab/>
            </w:r>
            <w:r w:rsidR="008E685B">
              <w:rPr>
                <w:noProof/>
                <w:webHidden/>
              </w:rPr>
              <w:fldChar w:fldCharType="begin"/>
            </w:r>
            <w:r w:rsidR="008E685B">
              <w:rPr>
                <w:noProof/>
                <w:webHidden/>
              </w:rPr>
              <w:instrText xml:space="preserve"> PAGEREF _Toc75384054 \h </w:instrText>
            </w:r>
            <w:r w:rsidR="008E685B">
              <w:rPr>
                <w:noProof/>
                <w:webHidden/>
              </w:rPr>
            </w:r>
            <w:r w:rsidR="008E685B">
              <w:rPr>
                <w:noProof/>
                <w:webHidden/>
              </w:rPr>
              <w:fldChar w:fldCharType="separate"/>
            </w:r>
            <w:r w:rsidR="00CD719A">
              <w:rPr>
                <w:noProof/>
                <w:webHidden/>
              </w:rPr>
              <w:t>13</w:t>
            </w:r>
            <w:r w:rsidR="008E685B">
              <w:rPr>
                <w:noProof/>
                <w:webHidden/>
              </w:rPr>
              <w:fldChar w:fldCharType="end"/>
            </w:r>
          </w:hyperlink>
        </w:p>
        <w:p w14:paraId="7F644943" w14:textId="523B10C6" w:rsidR="008E685B" w:rsidRDefault="00354820">
          <w:pPr>
            <w:pStyle w:val="Inhopg2"/>
            <w:tabs>
              <w:tab w:val="right" w:leader="dot" w:pos="9062"/>
            </w:tabs>
            <w:rPr>
              <w:rFonts w:asciiTheme="minorHAnsi" w:eastAsiaTheme="minorEastAsia" w:hAnsiTheme="minorHAnsi" w:cstheme="minorBidi"/>
              <w:noProof/>
            </w:rPr>
          </w:pPr>
          <w:hyperlink w:anchor="_Toc75384055" w:history="1">
            <w:r w:rsidR="008E685B" w:rsidRPr="00112A25">
              <w:rPr>
                <w:rStyle w:val="Hyperlink"/>
                <w:noProof/>
              </w:rPr>
              <w:t>2.4 Symbolic representation</w:t>
            </w:r>
            <w:r w:rsidR="008E685B">
              <w:rPr>
                <w:noProof/>
                <w:webHidden/>
              </w:rPr>
              <w:tab/>
            </w:r>
            <w:r w:rsidR="008E685B">
              <w:rPr>
                <w:noProof/>
                <w:webHidden/>
              </w:rPr>
              <w:fldChar w:fldCharType="begin"/>
            </w:r>
            <w:r w:rsidR="008E685B">
              <w:rPr>
                <w:noProof/>
                <w:webHidden/>
              </w:rPr>
              <w:instrText xml:space="preserve"> PAGEREF _Toc75384055 \h </w:instrText>
            </w:r>
            <w:r w:rsidR="008E685B">
              <w:rPr>
                <w:noProof/>
                <w:webHidden/>
              </w:rPr>
            </w:r>
            <w:r w:rsidR="008E685B">
              <w:rPr>
                <w:noProof/>
                <w:webHidden/>
              </w:rPr>
              <w:fldChar w:fldCharType="separate"/>
            </w:r>
            <w:r w:rsidR="00CD719A">
              <w:rPr>
                <w:noProof/>
                <w:webHidden/>
              </w:rPr>
              <w:t>13</w:t>
            </w:r>
            <w:r w:rsidR="008E685B">
              <w:rPr>
                <w:noProof/>
                <w:webHidden/>
              </w:rPr>
              <w:fldChar w:fldCharType="end"/>
            </w:r>
          </w:hyperlink>
        </w:p>
        <w:p w14:paraId="455B80B5" w14:textId="671F5A7E" w:rsidR="008E685B" w:rsidRDefault="00354820">
          <w:pPr>
            <w:pStyle w:val="Inhopg2"/>
            <w:tabs>
              <w:tab w:val="right" w:leader="dot" w:pos="9062"/>
            </w:tabs>
            <w:rPr>
              <w:rFonts w:asciiTheme="minorHAnsi" w:eastAsiaTheme="minorEastAsia" w:hAnsiTheme="minorHAnsi" w:cstheme="minorBidi"/>
              <w:noProof/>
            </w:rPr>
          </w:pPr>
          <w:hyperlink w:anchor="_Toc75384056" w:history="1">
            <w:r w:rsidR="008E685B" w:rsidRPr="00112A25">
              <w:rPr>
                <w:rStyle w:val="Hyperlink"/>
                <w:noProof/>
              </w:rPr>
              <w:t>2.5 Bringing the two together</w:t>
            </w:r>
            <w:r w:rsidR="008E685B">
              <w:rPr>
                <w:noProof/>
                <w:webHidden/>
              </w:rPr>
              <w:tab/>
            </w:r>
            <w:r w:rsidR="008E685B">
              <w:rPr>
                <w:noProof/>
                <w:webHidden/>
              </w:rPr>
              <w:fldChar w:fldCharType="begin"/>
            </w:r>
            <w:r w:rsidR="008E685B">
              <w:rPr>
                <w:noProof/>
                <w:webHidden/>
              </w:rPr>
              <w:instrText xml:space="preserve"> PAGEREF _Toc75384056 \h </w:instrText>
            </w:r>
            <w:r w:rsidR="008E685B">
              <w:rPr>
                <w:noProof/>
                <w:webHidden/>
              </w:rPr>
            </w:r>
            <w:r w:rsidR="008E685B">
              <w:rPr>
                <w:noProof/>
                <w:webHidden/>
              </w:rPr>
              <w:fldChar w:fldCharType="separate"/>
            </w:r>
            <w:r w:rsidR="00CD719A">
              <w:rPr>
                <w:noProof/>
                <w:webHidden/>
              </w:rPr>
              <w:t>15</w:t>
            </w:r>
            <w:r w:rsidR="008E685B">
              <w:rPr>
                <w:noProof/>
                <w:webHidden/>
              </w:rPr>
              <w:fldChar w:fldCharType="end"/>
            </w:r>
          </w:hyperlink>
        </w:p>
        <w:p w14:paraId="626572D9" w14:textId="701ADF15" w:rsidR="008E685B" w:rsidRDefault="00354820">
          <w:pPr>
            <w:pStyle w:val="Inhopg2"/>
            <w:tabs>
              <w:tab w:val="right" w:leader="dot" w:pos="9062"/>
            </w:tabs>
            <w:rPr>
              <w:rFonts w:asciiTheme="minorHAnsi" w:eastAsiaTheme="minorEastAsia" w:hAnsiTheme="minorHAnsi" w:cstheme="minorBidi"/>
              <w:noProof/>
            </w:rPr>
          </w:pPr>
          <w:hyperlink w:anchor="_Toc75384057" w:history="1">
            <w:r w:rsidR="008E685B" w:rsidRPr="00112A25">
              <w:rPr>
                <w:rStyle w:val="Hyperlink"/>
                <w:noProof/>
              </w:rPr>
              <w:t>2.6 Essentialism</w:t>
            </w:r>
            <w:r w:rsidR="008E685B">
              <w:rPr>
                <w:noProof/>
                <w:webHidden/>
              </w:rPr>
              <w:tab/>
            </w:r>
            <w:r w:rsidR="008E685B">
              <w:rPr>
                <w:noProof/>
                <w:webHidden/>
              </w:rPr>
              <w:fldChar w:fldCharType="begin"/>
            </w:r>
            <w:r w:rsidR="008E685B">
              <w:rPr>
                <w:noProof/>
                <w:webHidden/>
              </w:rPr>
              <w:instrText xml:space="preserve"> PAGEREF _Toc75384057 \h </w:instrText>
            </w:r>
            <w:r w:rsidR="008E685B">
              <w:rPr>
                <w:noProof/>
                <w:webHidden/>
              </w:rPr>
            </w:r>
            <w:r w:rsidR="008E685B">
              <w:rPr>
                <w:noProof/>
                <w:webHidden/>
              </w:rPr>
              <w:fldChar w:fldCharType="separate"/>
            </w:r>
            <w:r w:rsidR="00CD719A">
              <w:rPr>
                <w:noProof/>
                <w:webHidden/>
              </w:rPr>
              <w:t>16</w:t>
            </w:r>
            <w:r w:rsidR="008E685B">
              <w:rPr>
                <w:noProof/>
                <w:webHidden/>
              </w:rPr>
              <w:fldChar w:fldCharType="end"/>
            </w:r>
          </w:hyperlink>
        </w:p>
        <w:p w14:paraId="68F3D987" w14:textId="0F8124F1" w:rsidR="008E685B" w:rsidRDefault="00354820">
          <w:pPr>
            <w:pStyle w:val="Inhopg2"/>
            <w:tabs>
              <w:tab w:val="right" w:leader="dot" w:pos="9062"/>
            </w:tabs>
            <w:rPr>
              <w:rFonts w:asciiTheme="minorHAnsi" w:eastAsiaTheme="minorEastAsia" w:hAnsiTheme="minorHAnsi" w:cstheme="minorBidi"/>
              <w:noProof/>
            </w:rPr>
          </w:pPr>
          <w:hyperlink w:anchor="_Toc75384058" w:history="1">
            <w:r w:rsidR="008E685B" w:rsidRPr="00112A25">
              <w:rPr>
                <w:rStyle w:val="Hyperlink"/>
                <w:noProof/>
              </w:rPr>
              <w:t>2.7 Aotearoa New Zealand</w:t>
            </w:r>
            <w:r w:rsidR="008E685B">
              <w:rPr>
                <w:noProof/>
                <w:webHidden/>
              </w:rPr>
              <w:tab/>
            </w:r>
            <w:r w:rsidR="008E685B">
              <w:rPr>
                <w:noProof/>
                <w:webHidden/>
              </w:rPr>
              <w:fldChar w:fldCharType="begin"/>
            </w:r>
            <w:r w:rsidR="008E685B">
              <w:rPr>
                <w:noProof/>
                <w:webHidden/>
              </w:rPr>
              <w:instrText xml:space="preserve"> PAGEREF _Toc75384058 \h </w:instrText>
            </w:r>
            <w:r w:rsidR="008E685B">
              <w:rPr>
                <w:noProof/>
                <w:webHidden/>
              </w:rPr>
            </w:r>
            <w:r w:rsidR="008E685B">
              <w:rPr>
                <w:noProof/>
                <w:webHidden/>
              </w:rPr>
              <w:fldChar w:fldCharType="separate"/>
            </w:r>
            <w:r w:rsidR="00CD719A">
              <w:rPr>
                <w:noProof/>
                <w:webHidden/>
              </w:rPr>
              <w:t>17</w:t>
            </w:r>
            <w:r w:rsidR="008E685B">
              <w:rPr>
                <w:noProof/>
                <w:webHidden/>
              </w:rPr>
              <w:fldChar w:fldCharType="end"/>
            </w:r>
          </w:hyperlink>
        </w:p>
        <w:p w14:paraId="6DED030E" w14:textId="1E35C7C6" w:rsidR="008E685B" w:rsidRDefault="00354820">
          <w:pPr>
            <w:pStyle w:val="Inhopg1"/>
            <w:tabs>
              <w:tab w:val="right" w:leader="dot" w:pos="9062"/>
            </w:tabs>
            <w:rPr>
              <w:rFonts w:asciiTheme="minorHAnsi" w:eastAsiaTheme="minorEastAsia" w:hAnsiTheme="minorHAnsi" w:cstheme="minorBidi"/>
              <w:noProof/>
            </w:rPr>
          </w:pPr>
          <w:hyperlink w:anchor="_Toc75384059" w:history="1">
            <w:r w:rsidR="008E685B" w:rsidRPr="00112A25">
              <w:rPr>
                <w:rStyle w:val="Hyperlink"/>
                <w:noProof/>
              </w:rPr>
              <w:t>Chapter 3: Methodology and Methods</w:t>
            </w:r>
            <w:r w:rsidR="008E685B">
              <w:rPr>
                <w:noProof/>
                <w:webHidden/>
              </w:rPr>
              <w:tab/>
            </w:r>
            <w:r w:rsidR="008E685B">
              <w:rPr>
                <w:noProof/>
                <w:webHidden/>
              </w:rPr>
              <w:fldChar w:fldCharType="begin"/>
            </w:r>
            <w:r w:rsidR="008E685B">
              <w:rPr>
                <w:noProof/>
                <w:webHidden/>
              </w:rPr>
              <w:instrText xml:space="preserve"> PAGEREF _Toc75384059 \h </w:instrText>
            </w:r>
            <w:r w:rsidR="008E685B">
              <w:rPr>
                <w:noProof/>
                <w:webHidden/>
              </w:rPr>
            </w:r>
            <w:r w:rsidR="008E685B">
              <w:rPr>
                <w:noProof/>
                <w:webHidden/>
              </w:rPr>
              <w:fldChar w:fldCharType="separate"/>
            </w:r>
            <w:r w:rsidR="00CD719A">
              <w:rPr>
                <w:noProof/>
                <w:webHidden/>
              </w:rPr>
              <w:t>22</w:t>
            </w:r>
            <w:r w:rsidR="008E685B">
              <w:rPr>
                <w:noProof/>
                <w:webHidden/>
              </w:rPr>
              <w:fldChar w:fldCharType="end"/>
            </w:r>
          </w:hyperlink>
        </w:p>
        <w:p w14:paraId="389B2952" w14:textId="2A09BA95" w:rsidR="008E685B" w:rsidRDefault="00354820">
          <w:pPr>
            <w:pStyle w:val="Inhopg2"/>
            <w:tabs>
              <w:tab w:val="right" w:leader="dot" w:pos="9062"/>
            </w:tabs>
            <w:rPr>
              <w:rFonts w:asciiTheme="minorHAnsi" w:eastAsiaTheme="minorEastAsia" w:hAnsiTheme="minorHAnsi" w:cstheme="minorBidi"/>
              <w:noProof/>
            </w:rPr>
          </w:pPr>
          <w:hyperlink w:anchor="_Toc75384060" w:history="1">
            <w:r w:rsidR="008E685B" w:rsidRPr="00112A25">
              <w:rPr>
                <w:rStyle w:val="Hyperlink"/>
                <w:noProof/>
              </w:rPr>
              <w:t>3.1 Method</w:t>
            </w:r>
            <w:r w:rsidR="008E685B">
              <w:rPr>
                <w:noProof/>
                <w:webHidden/>
              </w:rPr>
              <w:tab/>
            </w:r>
            <w:r w:rsidR="008E685B">
              <w:rPr>
                <w:noProof/>
                <w:webHidden/>
              </w:rPr>
              <w:fldChar w:fldCharType="begin"/>
            </w:r>
            <w:r w:rsidR="008E685B">
              <w:rPr>
                <w:noProof/>
                <w:webHidden/>
              </w:rPr>
              <w:instrText xml:space="preserve"> PAGEREF _Toc75384060 \h </w:instrText>
            </w:r>
            <w:r w:rsidR="008E685B">
              <w:rPr>
                <w:noProof/>
                <w:webHidden/>
              </w:rPr>
            </w:r>
            <w:r w:rsidR="008E685B">
              <w:rPr>
                <w:noProof/>
                <w:webHidden/>
              </w:rPr>
              <w:fldChar w:fldCharType="separate"/>
            </w:r>
            <w:r w:rsidR="00CD719A">
              <w:rPr>
                <w:noProof/>
                <w:webHidden/>
              </w:rPr>
              <w:t>22</w:t>
            </w:r>
            <w:r w:rsidR="008E685B">
              <w:rPr>
                <w:noProof/>
                <w:webHidden/>
              </w:rPr>
              <w:fldChar w:fldCharType="end"/>
            </w:r>
          </w:hyperlink>
        </w:p>
        <w:p w14:paraId="338D04BC" w14:textId="2382D6F4" w:rsidR="008E685B" w:rsidRDefault="00354820">
          <w:pPr>
            <w:pStyle w:val="Inhopg3"/>
            <w:rPr>
              <w:rFonts w:asciiTheme="minorHAnsi" w:eastAsiaTheme="minorEastAsia" w:hAnsiTheme="minorHAnsi" w:cstheme="minorBidi"/>
            </w:rPr>
          </w:pPr>
          <w:hyperlink w:anchor="_Toc75384061" w:history="1">
            <w:r w:rsidR="008E685B" w:rsidRPr="00112A25">
              <w:rPr>
                <w:rStyle w:val="Hyperlink"/>
              </w:rPr>
              <w:t>3.1.1 Mixed-method design</w:t>
            </w:r>
            <w:r w:rsidR="008E685B">
              <w:rPr>
                <w:webHidden/>
              </w:rPr>
              <w:tab/>
            </w:r>
            <w:r w:rsidR="008E685B">
              <w:rPr>
                <w:webHidden/>
              </w:rPr>
              <w:fldChar w:fldCharType="begin"/>
            </w:r>
            <w:r w:rsidR="008E685B">
              <w:rPr>
                <w:webHidden/>
              </w:rPr>
              <w:instrText xml:space="preserve"> PAGEREF _Toc75384061 \h </w:instrText>
            </w:r>
            <w:r w:rsidR="008E685B">
              <w:rPr>
                <w:webHidden/>
              </w:rPr>
            </w:r>
            <w:r w:rsidR="008E685B">
              <w:rPr>
                <w:webHidden/>
              </w:rPr>
              <w:fldChar w:fldCharType="separate"/>
            </w:r>
            <w:r w:rsidR="00CD719A">
              <w:rPr>
                <w:webHidden/>
              </w:rPr>
              <w:t>22</w:t>
            </w:r>
            <w:r w:rsidR="008E685B">
              <w:rPr>
                <w:webHidden/>
              </w:rPr>
              <w:fldChar w:fldCharType="end"/>
            </w:r>
          </w:hyperlink>
        </w:p>
        <w:p w14:paraId="43FB60E3" w14:textId="70372586" w:rsidR="008E685B" w:rsidRDefault="00354820">
          <w:pPr>
            <w:pStyle w:val="Inhopg3"/>
            <w:rPr>
              <w:rFonts w:asciiTheme="minorHAnsi" w:eastAsiaTheme="minorEastAsia" w:hAnsiTheme="minorHAnsi" w:cstheme="minorBidi"/>
            </w:rPr>
          </w:pPr>
          <w:hyperlink w:anchor="_Toc75384062" w:history="1">
            <w:r w:rsidR="008E685B" w:rsidRPr="00112A25">
              <w:rPr>
                <w:rStyle w:val="Hyperlink"/>
              </w:rPr>
              <w:t>3.1.2 Choosing Aotearoa New Zealand as a case study</w:t>
            </w:r>
            <w:r w:rsidR="008E685B">
              <w:rPr>
                <w:webHidden/>
              </w:rPr>
              <w:tab/>
            </w:r>
            <w:r w:rsidR="008E685B">
              <w:rPr>
                <w:webHidden/>
              </w:rPr>
              <w:fldChar w:fldCharType="begin"/>
            </w:r>
            <w:r w:rsidR="008E685B">
              <w:rPr>
                <w:webHidden/>
              </w:rPr>
              <w:instrText xml:space="preserve"> PAGEREF _Toc75384062 \h </w:instrText>
            </w:r>
            <w:r w:rsidR="008E685B">
              <w:rPr>
                <w:webHidden/>
              </w:rPr>
            </w:r>
            <w:r w:rsidR="008E685B">
              <w:rPr>
                <w:webHidden/>
              </w:rPr>
              <w:fldChar w:fldCharType="separate"/>
            </w:r>
            <w:r w:rsidR="00CD719A">
              <w:rPr>
                <w:webHidden/>
              </w:rPr>
              <w:t>23</w:t>
            </w:r>
            <w:r w:rsidR="008E685B">
              <w:rPr>
                <w:webHidden/>
              </w:rPr>
              <w:fldChar w:fldCharType="end"/>
            </w:r>
          </w:hyperlink>
        </w:p>
        <w:p w14:paraId="1DC0ADF9" w14:textId="4AA2CE0A" w:rsidR="008E685B" w:rsidRDefault="00354820">
          <w:pPr>
            <w:pStyle w:val="Inhopg2"/>
            <w:tabs>
              <w:tab w:val="right" w:leader="dot" w:pos="9062"/>
            </w:tabs>
            <w:rPr>
              <w:rFonts w:asciiTheme="minorHAnsi" w:eastAsiaTheme="minorEastAsia" w:hAnsiTheme="minorHAnsi" w:cstheme="minorBidi"/>
              <w:noProof/>
            </w:rPr>
          </w:pPr>
          <w:hyperlink w:anchor="_Toc75384063" w:history="1">
            <w:r w:rsidR="008E685B" w:rsidRPr="00112A25">
              <w:rPr>
                <w:rStyle w:val="Hyperlink"/>
                <w:noProof/>
              </w:rPr>
              <w:t>3.2 Data gathering</w:t>
            </w:r>
            <w:r w:rsidR="008E685B">
              <w:rPr>
                <w:noProof/>
                <w:webHidden/>
              </w:rPr>
              <w:tab/>
            </w:r>
            <w:r w:rsidR="008E685B">
              <w:rPr>
                <w:noProof/>
                <w:webHidden/>
              </w:rPr>
              <w:fldChar w:fldCharType="begin"/>
            </w:r>
            <w:r w:rsidR="008E685B">
              <w:rPr>
                <w:noProof/>
                <w:webHidden/>
              </w:rPr>
              <w:instrText xml:space="preserve"> PAGEREF _Toc75384063 \h </w:instrText>
            </w:r>
            <w:r w:rsidR="008E685B">
              <w:rPr>
                <w:noProof/>
                <w:webHidden/>
              </w:rPr>
            </w:r>
            <w:r w:rsidR="008E685B">
              <w:rPr>
                <w:noProof/>
                <w:webHidden/>
              </w:rPr>
              <w:fldChar w:fldCharType="separate"/>
            </w:r>
            <w:r w:rsidR="00CD719A">
              <w:rPr>
                <w:noProof/>
                <w:webHidden/>
              </w:rPr>
              <w:t>25</w:t>
            </w:r>
            <w:r w:rsidR="008E685B">
              <w:rPr>
                <w:noProof/>
                <w:webHidden/>
              </w:rPr>
              <w:fldChar w:fldCharType="end"/>
            </w:r>
          </w:hyperlink>
        </w:p>
        <w:p w14:paraId="03DEE434" w14:textId="0F2FDE3A" w:rsidR="008E685B" w:rsidRDefault="00354820">
          <w:pPr>
            <w:pStyle w:val="Inhopg3"/>
            <w:rPr>
              <w:rFonts w:asciiTheme="minorHAnsi" w:eastAsiaTheme="minorEastAsia" w:hAnsiTheme="minorHAnsi" w:cstheme="minorBidi"/>
            </w:rPr>
          </w:pPr>
          <w:hyperlink w:anchor="_Toc75384064" w:history="1">
            <w:r w:rsidR="008E685B" w:rsidRPr="00112A25">
              <w:rPr>
                <w:rStyle w:val="Hyperlink"/>
              </w:rPr>
              <w:t>3.2.1 Sources and time frame</w:t>
            </w:r>
            <w:r w:rsidR="008E685B">
              <w:rPr>
                <w:webHidden/>
              </w:rPr>
              <w:tab/>
            </w:r>
            <w:r w:rsidR="008E685B">
              <w:rPr>
                <w:webHidden/>
              </w:rPr>
              <w:fldChar w:fldCharType="begin"/>
            </w:r>
            <w:r w:rsidR="008E685B">
              <w:rPr>
                <w:webHidden/>
              </w:rPr>
              <w:instrText xml:space="preserve"> PAGEREF _Toc75384064 \h </w:instrText>
            </w:r>
            <w:r w:rsidR="008E685B">
              <w:rPr>
                <w:webHidden/>
              </w:rPr>
            </w:r>
            <w:r w:rsidR="008E685B">
              <w:rPr>
                <w:webHidden/>
              </w:rPr>
              <w:fldChar w:fldCharType="separate"/>
            </w:r>
            <w:r w:rsidR="00CD719A">
              <w:rPr>
                <w:webHidden/>
              </w:rPr>
              <w:t>25</w:t>
            </w:r>
            <w:r w:rsidR="008E685B">
              <w:rPr>
                <w:webHidden/>
              </w:rPr>
              <w:fldChar w:fldCharType="end"/>
            </w:r>
          </w:hyperlink>
        </w:p>
        <w:p w14:paraId="18E561F4" w14:textId="04430E26" w:rsidR="008E685B" w:rsidRDefault="00354820">
          <w:pPr>
            <w:pStyle w:val="Inhopg2"/>
            <w:tabs>
              <w:tab w:val="right" w:leader="dot" w:pos="9062"/>
            </w:tabs>
            <w:rPr>
              <w:rFonts w:asciiTheme="minorHAnsi" w:eastAsiaTheme="minorEastAsia" w:hAnsiTheme="minorHAnsi" w:cstheme="minorBidi"/>
              <w:noProof/>
            </w:rPr>
          </w:pPr>
          <w:hyperlink w:anchor="_Toc75384065" w:history="1">
            <w:r w:rsidR="008E685B" w:rsidRPr="00112A25">
              <w:rPr>
                <w:rStyle w:val="Hyperlink"/>
                <w:noProof/>
              </w:rPr>
              <w:t>3.3 Operationalization and claims-making in practice</w:t>
            </w:r>
            <w:r w:rsidR="008E685B">
              <w:rPr>
                <w:noProof/>
                <w:webHidden/>
              </w:rPr>
              <w:tab/>
            </w:r>
            <w:r w:rsidR="008E685B">
              <w:rPr>
                <w:noProof/>
                <w:webHidden/>
              </w:rPr>
              <w:fldChar w:fldCharType="begin"/>
            </w:r>
            <w:r w:rsidR="008E685B">
              <w:rPr>
                <w:noProof/>
                <w:webHidden/>
              </w:rPr>
              <w:instrText xml:space="preserve"> PAGEREF _Toc75384065 \h </w:instrText>
            </w:r>
            <w:r w:rsidR="008E685B">
              <w:rPr>
                <w:noProof/>
                <w:webHidden/>
              </w:rPr>
            </w:r>
            <w:r w:rsidR="008E685B">
              <w:rPr>
                <w:noProof/>
                <w:webHidden/>
              </w:rPr>
              <w:fldChar w:fldCharType="separate"/>
            </w:r>
            <w:r w:rsidR="00CD719A">
              <w:rPr>
                <w:noProof/>
                <w:webHidden/>
              </w:rPr>
              <w:t>26</w:t>
            </w:r>
            <w:r w:rsidR="008E685B">
              <w:rPr>
                <w:noProof/>
                <w:webHidden/>
              </w:rPr>
              <w:fldChar w:fldCharType="end"/>
            </w:r>
          </w:hyperlink>
        </w:p>
        <w:p w14:paraId="32EB96EC" w14:textId="75D4C0F1" w:rsidR="008E685B" w:rsidRDefault="00354820">
          <w:pPr>
            <w:pStyle w:val="Inhopg3"/>
            <w:rPr>
              <w:rFonts w:asciiTheme="minorHAnsi" w:eastAsiaTheme="minorEastAsia" w:hAnsiTheme="minorHAnsi" w:cstheme="minorBidi"/>
            </w:rPr>
          </w:pPr>
          <w:hyperlink w:anchor="_Toc75384066" w:history="1">
            <w:r w:rsidR="008E685B" w:rsidRPr="00112A25">
              <w:rPr>
                <w:rStyle w:val="Hyperlink"/>
              </w:rPr>
              <w:t>3.3.1 Claims-making</w:t>
            </w:r>
            <w:r w:rsidR="008E685B">
              <w:rPr>
                <w:webHidden/>
              </w:rPr>
              <w:tab/>
            </w:r>
            <w:r w:rsidR="008E685B">
              <w:rPr>
                <w:webHidden/>
              </w:rPr>
              <w:fldChar w:fldCharType="begin"/>
            </w:r>
            <w:r w:rsidR="008E685B">
              <w:rPr>
                <w:webHidden/>
              </w:rPr>
              <w:instrText xml:space="preserve"> PAGEREF _Toc75384066 \h </w:instrText>
            </w:r>
            <w:r w:rsidR="008E685B">
              <w:rPr>
                <w:webHidden/>
              </w:rPr>
            </w:r>
            <w:r w:rsidR="008E685B">
              <w:rPr>
                <w:webHidden/>
              </w:rPr>
              <w:fldChar w:fldCharType="separate"/>
            </w:r>
            <w:r w:rsidR="00CD719A">
              <w:rPr>
                <w:webHidden/>
              </w:rPr>
              <w:t>27</w:t>
            </w:r>
            <w:r w:rsidR="008E685B">
              <w:rPr>
                <w:webHidden/>
              </w:rPr>
              <w:fldChar w:fldCharType="end"/>
            </w:r>
          </w:hyperlink>
        </w:p>
        <w:p w14:paraId="1309A7F1" w14:textId="1868517C" w:rsidR="008E685B" w:rsidRDefault="00354820">
          <w:pPr>
            <w:pStyle w:val="Inhopg3"/>
            <w:rPr>
              <w:rFonts w:asciiTheme="minorHAnsi" w:eastAsiaTheme="minorEastAsia" w:hAnsiTheme="minorHAnsi" w:cstheme="minorBidi"/>
            </w:rPr>
          </w:pPr>
          <w:hyperlink w:anchor="_Toc75384067" w:history="1">
            <w:r w:rsidR="008E685B" w:rsidRPr="00112A25">
              <w:rPr>
                <w:rStyle w:val="Hyperlink"/>
              </w:rPr>
              <w:t>3.3.1 Operationalization indigenous peoples</w:t>
            </w:r>
            <w:r w:rsidR="008E685B">
              <w:rPr>
                <w:webHidden/>
              </w:rPr>
              <w:tab/>
            </w:r>
            <w:r w:rsidR="008E685B">
              <w:rPr>
                <w:webHidden/>
              </w:rPr>
              <w:fldChar w:fldCharType="begin"/>
            </w:r>
            <w:r w:rsidR="008E685B">
              <w:rPr>
                <w:webHidden/>
              </w:rPr>
              <w:instrText xml:space="preserve"> PAGEREF _Toc75384067 \h </w:instrText>
            </w:r>
            <w:r w:rsidR="008E685B">
              <w:rPr>
                <w:webHidden/>
              </w:rPr>
            </w:r>
            <w:r w:rsidR="008E685B">
              <w:rPr>
                <w:webHidden/>
              </w:rPr>
              <w:fldChar w:fldCharType="separate"/>
            </w:r>
            <w:r w:rsidR="00CD719A">
              <w:rPr>
                <w:webHidden/>
              </w:rPr>
              <w:t>27</w:t>
            </w:r>
            <w:r w:rsidR="008E685B">
              <w:rPr>
                <w:webHidden/>
              </w:rPr>
              <w:fldChar w:fldCharType="end"/>
            </w:r>
          </w:hyperlink>
        </w:p>
        <w:p w14:paraId="747C719C" w14:textId="3AE1F950" w:rsidR="008E685B" w:rsidRDefault="00354820">
          <w:pPr>
            <w:pStyle w:val="Inhopg3"/>
            <w:rPr>
              <w:rFonts w:asciiTheme="minorHAnsi" w:eastAsiaTheme="minorEastAsia" w:hAnsiTheme="minorHAnsi" w:cstheme="minorBidi"/>
            </w:rPr>
          </w:pPr>
          <w:hyperlink w:anchor="_Toc75384068" w:history="1">
            <w:r w:rsidR="008E685B" w:rsidRPr="00112A25">
              <w:rPr>
                <w:rStyle w:val="Hyperlink"/>
              </w:rPr>
              <w:t>3.3.2 Operationalization claim</w:t>
            </w:r>
            <w:r w:rsidR="008E685B">
              <w:rPr>
                <w:webHidden/>
              </w:rPr>
              <w:tab/>
            </w:r>
            <w:r w:rsidR="008E685B">
              <w:rPr>
                <w:webHidden/>
              </w:rPr>
              <w:fldChar w:fldCharType="begin"/>
            </w:r>
            <w:r w:rsidR="008E685B">
              <w:rPr>
                <w:webHidden/>
              </w:rPr>
              <w:instrText xml:space="preserve"> PAGEREF _Toc75384068 \h </w:instrText>
            </w:r>
            <w:r w:rsidR="008E685B">
              <w:rPr>
                <w:webHidden/>
              </w:rPr>
            </w:r>
            <w:r w:rsidR="008E685B">
              <w:rPr>
                <w:webHidden/>
              </w:rPr>
              <w:fldChar w:fldCharType="separate"/>
            </w:r>
            <w:r w:rsidR="00CD719A">
              <w:rPr>
                <w:webHidden/>
              </w:rPr>
              <w:t>28</w:t>
            </w:r>
            <w:r w:rsidR="008E685B">
              <w:rPr>
                <w:webHidden/>
              </w:rPr>
              <w:fldChar w:fldCharType="end"/>
            </w:r>
          </w:hyperlink>
        </w:p>
        <w:p w14:paraId="651F5C30" w14:textId="78CABF24" w:rsidR="008E685B" w:rsidRDefault="00354820">
          <w:pPr>
            <w:pStyle w:val="Inhopg2"/>
            <w:tabs>
              <w:tab w:val="right" w:leader="dot" w:pos="9062"/>
            </w:tabs>
            <w:rPr>
              <w:rFonts w:asciiTheme="minorHAnsi" w:eastAsiaTheme="minorEastAsia" w:hAnsiTheme="minorHAnsi" w:cstheme="minorBidi"/>
              <w:noProof/>
            </w:rPr>
          </w:pPr>
          <w:hyperlink w:anchor="_Toc75384069" w:history="1">
            <w:r w:rsidR="008E685B" w:rsidRPr="00112A25">
              <w:rPr>
                <w:rStyle w:val="Hyperlink"/>
                <w:noProof/>
              </w:rPr>
              <w:t>3.4 Examples of Claims</w:t>
            </w:r>
            <w:r w:rsidR="008E685B">
              <w:rPr>
                <w:noProof/>
                <w:webHidden/>
              </w:rPr>
              <w:tab/>
            </w:r>
            <w:r w:rsidR="008E685B">
              <w:rPr>
                <w:noProof/>
                <w:webHidden/>
              </w:rPr>
              <w:fldChar w:fldCharType="begin"/>
            </w:r>
            <w:r w:rsidR="008E685B">
              <w:rPr>
                <w:noProof/>
                <w:webHidden/>
              </w:rPr>
              <w:instrText xml:space="preserve"> PAGEREF _Toc75384069 \h </w:instrText>
            </w:r>
            <w:r w:rsidR="008E685B">
              <w:rPr>
                <w:noProof/>
                <w:webHidden/>
              </w:rPr>
            </w:r>
            <w:r w:rsidR="008E685B">
              <w:rPr>
                <w:noProof/>
                <w:webHidden/>
              </w:rPr>
              <w:fldChar w:fldCharType="separate"/>
            </w:r>
            <w:r w:rsidR="00CD719A">
              <w:rPr>
                <w:noProof/>
                <w:webHidden/>
              </w:rPr>
              <w:t>32</w:t>
            </w:r>
            <w:r w:rsidR="008E685B">
              <w:rPr>
                <w:noProof/>
                <w:webHidden/>
              </w:rPr>
              <w:fldChar w:fldCharType="end"/>
            </w:r>
          </w:hyperlink>
        </w:p>
        <w:p w14:paraId="20D9736D" w14:textId="3176153C" w:rsidR="008E685B" w:rsidRDefault="00354820">
          <w:pPr>
            <w:pStyle w:val="Inhopg2"/>
            <w:tabs>
              <w:tab w:val="right" w:leader="dot" w:pos="9062"/>
            </w:tabs>
            <w:rPr>
              <w:rFonts w:asciiTheme="minorHAnsi" w:eastAsiaTheme="minorEastAsia" w:hAnsiTheme="minorHAnsi" w:cstheme="minorBidi"/>
              <w:noProof/>
            </w:rPr>
          </w:pPr>
          <w:hyperlink w:anchor="_Toc75384071" w:history="1">
            <w:r w:rsidR="008E685B" w:rsidRPr="00112A25">
              <w:rPr>
                <w:rStyle w:val="Hyperlink"/>
                <w:noProof/>
              </w:rPr>
              <w:t>3.5 Conclusion</w:t>
            </w:r>
            <w:r w:rsidR="008E685B">
              <w:rPr>
                <w:noProof/>
                <w:webHidden/>
              </w:rPr>
              <w:tab/>
            </w:r>
            <w:r w:rsidR="008E685B">
              <w:rPr>
                <w:noProof/>
                <w:webHidden/>
              </w:rPr>
              <w:fldChar w:fldCharType="begin"/>
            </w:r>
            <w:r w:rsidR="008E685B">
              <w:rPr>
                <w:noProof/>
                <w:webHidden/>
              </w:rPr>
              <w:instrText xml:space="preserve"> PAGEREF _Toc75384071 \h </w:instrText>
            </w:r>
            <w:r w:rsidR="008E685B">
              <w:rPr>
                <w:noProof/>
                <w:webHidden/>
              </w:rPr>
            </w:r>
            <w:r w:rsidR="008E685B">
              <w:rPr>
                <w:noProof/>
                <w:webHidden/>
              </w:rPr>
              <w:fldChar w:fldCharType="separate"/>
            </w:r>
            <w:r w:rsidR="00CD719A">
              <w:rPr>
                <w:noProof/>
                <w:webHidden/>
              </w:rPr>
              <w:t>33</w:t>
            </w:r>
            <w:r w:rsidR="008E685B">
              <w:rPr>
                <w:noProof/>
                <w:webHidden/>
              </w:rPr>
              <w:fldChar w:fldCharType="end"/>
            </w:r>
          </w:hyperlink>
        </w:p>
        <w:p w14:paraId="512DDB29" w14:textId="5BB4D3BA" w:rsidR="008E685B" w:rsidRDefault="00354820">
          <w:pPr>
            <w:pStyle w:val="Inhopg1"/>
            <w:tabs>
              <w:tab w:val="right" w:leader="dot" w:pos="9062"/>
            </w:tabs>
            <w:rPr>
              <w:rFonts w:asciiTheme="minorHAnsi" w:eastAsiaTheme="minorEastAsia" w:hAnsiTheme="minorHAnsi" w:cstheme="minorBidi"/>
              <w:noProof/>
            </w:rPr>
          </w:pPr>
          <w:hyperlink w:anchor="_Toc75384072" w:history="1">
            <w:r w:rsidR="008E685B" w:rsidRPr="00112A25">
              <w:rPr>
                <w:rStyle w:val="Hyperlink"/>
                <w:noProof/>
              </w:rPr>
              <w:t>Chapter 4: Analysis</w:t>
            </w:r>
            <w:r w:rsidR="008E685B">
              <w:rPr>
                <w:noProof/>
                <w:webHidden/>
              </w:rPr>
              <w:tab/>
            </w:r>
            <w:r w:rsidR="008E685B">
              <w:rPr>
                <w:noProof/>
                <w:webHidden/>
              </w:rPr>
              <w:fldChar w:fldCharType="begin"/>
            </w:r>
            <w:r w:rsidR="008E685B">
              <w:rPr>
                <w:noProof/>
                <w:webHidden/>
              </w:rPr>
              <w:instrText xml:space="preserve"> PAGEREF _Toc75384072 \h </w:instrText>
            </w:r>
            <w:r w:rsidR="008E685B">
              <w:rPr>
                <w:noProof/>
                <w:webHidden/>
              </w:rPr>
            </w:r>
            <w:r w:rsidR="008E685B">
              <w:rPr>
                <w:noProof/>
                <w:webHidden/>
              </w:rPr>
              <w:fldChar w:fldCharType="separate"/>
            </w:r>
            <w:r w:rsidR="00CD719A">
              <w:rPr>
                <w:noProof/>
                <w:webHidden/>
              </w:rPr>
              <w:t>34</w:t>
            </w:r>
            <w:r w:rsidR="008E685B">
              <w:rPr>
                <w:noProof/>
                <w:webHidden/>
              </w:rPr>
              <w:fldChar w:fldCharType="end"/>
            </w:r>
          </w:hyperlink>
        </w:p>
        <w:p w14:paraId="673DA76F" w14:textId="71CB1190" w:rsidR="008E685B" w:rsidRDefault="00354820">
          <w:pPr>
            <w:pStyle w:val="Inhopg2"/>
            <w:tabs>
              <w:tab w:val="right" w:leader="dot" w:pos="9062"/>
            </w:tabs>
            <w:rPr>
              <w:rFonts w:asciiTheme="minorHAnsi" w:eastAsiaTheme="minorEastAsia" w:hAnsiTheme="minorHAnsi" w:cstheme="minorBidi"/>
              <w:noProof/>
            </w:rPr>
          </w:pPr>
          <w:hyperlink w:anchor="_Toc75384073" w:history="1">
            <w:r w:rsidR="008E685B" w:rsidRPr="00112A25">
              <w:rPr>
                <w:rStyle w:val="Hyperlink"/>
                <w:noProof/>
              </w:rPr>
              <w:t>4.1 The relationship between Māori and the state</w:t>
            </w:r>
            <w:r w:rsidR="008E685B">
              <w:rPr>
                <w:noProof/>
                <w:webHidden/>
              </w:rPr>
              <w:tab/>
            </w:r>
            <w:r w:rsidR="008E685B">
              <w:rPr>
                <w:noProof/>
                <w:webHidden/>
              </w:rPr>
              <w:fldChar w:fldCharType="begin"/>
            </w:r>
            <w:r w:rsidR="008E685B">
              <w:rPr>
                <w:noProof/>
                <w:webHidden/>
              </w:rPr>
              <w:instrText xml:space="preserve"> PAGEREF _Toc75384073 \h </w:instrText>
            </w:r>
            <w:r w:rsidR="008E685B">
              <w:rPr>
                <w:noProof/>
                <w:webHidden/>
              </w:rPr>
            </w:r>
            <w:r w:rsidR="008E685B">
              <w:rPr>
                <w:noProof/>
                <w:webHidden/>
              </w:rPr>
              <w:fldChar w:fldCharType="separate"/>
            </w:r>
            <w:r w:rsidR="00CD719A">
              <w:rPr>
                <w:noProof/>
                <w:webHidden/>
              </w:rPr>
              <w:t>34</w:t>
            </w:r>
            <w:r w:rsidR="008E685B">
              <w:rPr>
                <w:noProof/>
                <w:webHidden/>
              </w:rPr>
              <w:fldChar w:fldCharType="end"/>
            </w:r>
          </w:hyperlink>
        </w:p>
        <w:p w14:paraId="026881FC" w14:textId="0C3E0FC6" w:rsidR="008E685B" w:rsidRDefault="00354820">
          <w:pPr>
            <w:pStyle w:val="Inhopg3"/>
            <w:rPr>
              <w:rFonts w:asciiTheme="minorHAnsi" w:eastAsiaTheme="minorEastAsia" w:hAnsiTheme="minorHAnsi" w:cstheme="minorBidi"/>
            </w:rPr>
          </w:pPr>
          <w:hyperlink w:anchor="_Toc75384075" w:history="1">
            <w:r w:rsidR="008E685B" w:rsidRPr="00112A25">
              <w:rPr>
                <w:rStyle w:val="Hyperlink"/>
              </w:rPr>
              <w:t>4.1.1 Treaty of Waitangi</w:t>
            </w:r>
            <w:r w:rsidR="008E685B">
              <w:rPr>
                <w:webHidden/>
              </w:rPr>
              <w:tab/>
            </w:r>
            <w:r w:rsidR="008E685B">
              <w:rPr>
                <w:webHidden/>
              </w:rPr>
              <w:fldChar w:fldCharType="begin"/>
            </w:r>
            <w:r w:rsidR="008E685B">
              <w:rPr>
                <w:webHidden/>
              </w:rPr>
              <w:instrText xml:space="preserve"> PAGEREF _Toc75384075 \h </w:instrText>
            </w:r>
            <w:r w:rsidR="008E685B">
              <w:rPr>
                <w:webHidden/>
              </w:rPr>
            </w:r>
            <w:r w:rsidR="008E685B">
              <w:rPr>
                <w:webHidden/>
              </w:rPr>
              <w:fldChar w:fldCharType="separate"/>
            </w:r>
            <w:r w:rsidR="00CD719A">
              <w:rPr>
                <w:webHidden/>
              </w:rPr>
              <w:t>35</w:t>
            </w:r>
            <w:r w:rsidR="008E685B">
              <w:rPr>
                <w:webHidden/>
              </w:rPr>
              <w:fldChar w:fldCharType="end"/>
            </w:r>
          </w:hyperlink>
        </w:p>
        <w:p w14:paraId="7E4F55D1" w14:textId="6419BDEC" w:rsidR="008E685B" w:rsidRDefault="00354820">
          <w:pPr>
            <w:pStyle w:val="Inhopg3"/>
            <w:rPr>
              <w:rFonts w:asciiTheme="minorHAnsi" w:eastAsiaTheme="minorEastAsia" w:hAnsiTheme="minorHAnsi" w:cstheme="minorBidi"/>
            </w:rPr>
          </w:pPr>
          <w:hyperlink w:anchor="_Toc75384076" w:history="1">
            <w:r w:rsidR="008E685B" w:rsidRPr="00112A25">
              <w:rPr>
                <w:rStyle w:val="Hyperlink"/>
              </w:rPr>
              <w:t>4.1.2 Māori seats</w:t>
            </w:r>
            <w:r w:rsidR="008E685B">
              <w:rPr>
                <w:webHidden/>
              </w:rPr>
              <w:tab/>
            </w:r>
            <w:r w:rsidR="008E685B">
              <w:rPr>
                <w:webHidden/>
              </w:rPr>
              <w:fldChar w:fldCharType="begin"/>
            </w:r>
            <w:r w:rsidR="008E685B">
              <w:rPr>
                <w:webHidden/>
              </w:rPr>
              <w:instrText xml:space="preserve"> PAGEREF _Toc75384076 \h </w:instrText>
            </w:r>
            <w:r w:rsidR="008E685B">
              <w:rPr>
                <w:webHidden/>
              </w:rPr>
            </w:r>
            <w:r w:rsidR="008E685B">
              <w:rPr>
                <w:webHidden/>
              </w:rPr>
              <w:fldChar w:fldCharType="separate"/>
            </w:r>
            <w:r w:rsidR="00CD719A">
              <w:rPr>
                <w:webHidden/>
              </w:rPr>
              <w:t>37</w:t>
            </w:r>
            <w:r w:rsidR="008E685B">
              <w:rPr>
                <w:webHidden/>
              </w:rPr>
              <w:fldChar w:fldCharType="end"/>
            </w:r>
          </w:hyperlink>
        </w:p>
        <w:p w14:paraId="3839F80A" w14:textId="43F8E640" w:rsidR="008E685B" w:rsidRDefault="00354820">
          <w:pPr>
            <w:pStyle w:val="Inhopg3"/>
            <w:rPr>
              <w:rFonts w:asciiTheme="minorHAnsi" w:eastAsiaTheme="minorEastAsia" w:hAnsiTheme="minorHAnsi" w:cstheme="minorBidi"/>
            </w:rPr>
          </w:pPr>
          <w:hyperlink w:anchor="_Toc75384078" w:history="1">
            <w:r w:rsidR="008E685B" w:rsidRPr="00112A25">
              <w:rPr>
                <w:rStyle w:val="Hyperlink"/>
                <w:highlight w:val="white"/>
              </w:rPr>
              <w:t xml:space="preserve">4.1.3 Current representation </w:t>
            </w:r>
            <w:r w:rsidR="008E685B" w:rsidRPr="00112A25">
              <w:rPr>
                <w:rStyle w:val="Hyperlink"/>
              </w:rPr>
              <w:t>of Māori people</w:t>
            </w:r>
            <w:r w:rsidR="008E685B">
              <w:rPr>
                <w:webHidden/>
              </w:rPr>
              <w:tab/>
            </w:r>
            <w:r w:rsidR="008E685B">
              <w:rPr>
                <w:webHidden/>
              </w:rPr>
              <w:fldChar w:fldCharType="begin"/>
            </w:r>
            <w:r w:rsidR="008E685B">
              <w:rPr>
                <w:webHidden/>
              </w:rPr>
              <w:instrText xml:space="preserve"> PAGEREF _Toc75384078 \h </w:instrText>
            </w:r>
            <w:r w:rsidR="008E685B">
              <w:rPr>
                <w:webHidden/>
              </w:rPr>
            </w:r>
            <w:r w:rsidR="008E685B">
              <w:rPr>
                <w:webHidden/>
              </w:rPr>
              <w:fldChar w:fldCharType="separate"/>
            </w:r>
            <w:r w:rsidR="00CD719A">
              <w:rPr>
                <w:webHidden/>
              </w:rPr>
              <w:t>38</w:t>
            </w:r>
            <w:r w:rsidR="008E685B">
              <w:rPr>
                <w:webHidden/>
              </w:rPr>
              <w:fldChar w:fldCharType="end"/>
            </w:r>
          </w:hyperlink>
        </w:p>
        <w:p w14:paraId="0971E8C8" w14:textId="7FE79628" w:rsidR="008E685B" w:rsidRDefault="00354820">
          <w:pPr>
            <w:pStyle w:val="Inhopg2"/>
            <w:tabs>
              <w:tab w:val="right" w:leader="dot" w:pos="9062"/>
            </w:tabs>
            <w:rPr>
              <w:rFonts w:asciiTheme="minorHAnsi" w:eastAsiaTheme="minorEastAsia" w:hAnsiTheme="minorHAnsi" w:cstheme="minorBidi"/>
              <w:noProof/>
            </w:rPr>
          </w:pPr>
          <w:hyperlink w:anchor="_Toc75384080" w:history="1">
            <w:r w:rsidR="008E685B" w:rsidRPr="00112A25">
              <w:rPr>
                <w:rStyle w:val="Hyperlink"/>
                <w:noProof/>
              </w:rPr>
              <w:t>4.2 Claims-making analysis</w:t>
            </w:r>
            <w:r w:rsidR="008E685B">
              <w:rPr>
                <w:noProof/>
                <w:webHidden/>
              </w:rPr>
              <w:tab/>
            </w:r>
            <w:r w:rsidR="008E685B">
              <w:rPr>
                <w:noProof/>
                <w:webHidden/>
              </w:rPr>
              <w:fldChar w:fldCharType="begin"/>
            </w:r>
            <w:r w:rsidR="008E685B">
              <w:rPr>
                <w:noProof/>
                <w:webHidden/>
              </w:rPr>
              <w:instrText xml:space="preserve"> PAGEREF _Toc75384080 \h </w:instrText>
            </w:r>
            <w:r w:rsidR="008E685B">
              <w:rPr>
                <w:noProof/>
                <w:webHidden/>
              </w:rPr>
            </w:r>
            <w:r w:rsidR="008E685B">
              <w:rPr>
                <w:noProof/>
                <w:webHidden/>
              </w:rPr>
              <w:fldChar w:fldCharType="separate"/>
            </w:r>
            <w:r w:rsidR="00CD719A">
              <w:rPr>
                <w:noProof/>
                <w:webHidden/>
              </w:rPr>
              <w:t>41</w:t>
            </w:r>
            <w:r w:rsidR="008E685B">
              <w:rPr>
                <w:noProof/>
                <w:webHidden/>
              </w:rPr>
              <w:fldChar w:fldCharType="end"/>
            </w:r>
          </w:hyperlink>
        </w:p>
        <w:p w14:paraId="71FBEAC3" w14:textId="10C98754" w:rsidR="008E685B" w:rsidRDefault="00354820">
          <w:pPr>
            <w:pStyle w:val="Inhopg3"/>
            <w:rPr>
              <w:rFonts w:asciiTheme="minorHAnsi" w:eastAsiaTheme="minorEastAsia" w:hAnsiTheme="minorHAnsi" w:cstheme="minorBidi"/>
            </w:rPr>
          </w:pPr>
          <w:hyperlink w:anchor="_Toc75384081" w:history="1">
            <w:r w:rsidR="008E685B" w:rsidRPr="00112A25">
              <w:rPr>
                <w:rStyle w:val="Hyperlink"/>
              </w:rPr>
              <w:t>4.2.1 Answering the research question</w:t>
            </w:r>
            <w:r w:rsidR="008E685B">
              <w:rPr>
                <w:webHidden/>
              </w:rPr>
              <w:tab/>
            </w:r>
            <w:r w:rsidR="008E685B">
              <w:rPr>
                <w:webHidden/>
              </w:rPr>
              <w:fldChar w:fldCharType="begin"/>
            </w:r>
            <w:r w:rsidR="008E685B">
              <w:rPr>
                <w:webHidden/>
              </w:rPr>
              <w:instrText xml:space="preserve"> PAGEREF _Toc75384081 \h </w:instrText>
            </w:r>
            <w:r w:rsidR="008E685B">
              <w:rPr>
                <w:webHidden/>
              </w:rPr>
            </w:r>
            <w:r w:rsidR="008E685B">
              <w:rPr>
                <w:webHidden/>
              </w:rPr>
              <w:fldChar w:fldCharType="separate"/>
            </w:r>
            <w:r w:rsidR="00CD719A">
              <w:rPr>
                <w:webHidden/>
              </w:rPr>
              <w:t>41</w:t>
            </w:r>
            <w:r w:rsidR="008E685B">
              <w:rPr>
                <w:webHidden/>
              </w:rPr>
              <w:fldChar w:fldCharType="end"/>
            </w:r>
          </w:hyperlink>
        </w:p>
        <w:p w14:paraId="053D8D3A" w14:textId="66464D1D" w:rsidR="008E685B" w:rsidRDefault="00354820">
          <w:pPr>
            <w:pStyle w:val="Inhopg3"/>
            <w:rPr>
              <w:rFonts w:asciiTheme="minorHAnsi" w:eastAsiaTheme="minorEastAsia" w:hAnsiTheme="minorHAnsi" w:cstheme="minorBidi"/>
            </w:rPr>
          </w:pPr>
          <w:hyperlink w:anchor="_Toc75384085" w:history="1">
            <w:r w:rsidR="008E685B" w:rsidRPr="00112A25">
              <w:rPr>
                <w:rStyle w:val="Hyperlink"/>
              </w:rPr>
              <w:t>4.2.2 Time-periods</w:t>
            </w:r>
            <w:r w:rsidR="008E685B">
              <w:rPr>
                <w:webHidden/>
              </w:rPr>
              <w:tab/>
            </w:r>
            <w:r w:rsidR="008E685B">
              <w:rPr>
                <w:webHidden/>
              </w:rPr>
              <w:fldChar w:fldCharType="begin"/>
            </w:r>
            <w:r w:rsidR="008E685B">
              <w:rPr>
                <w:webHidden/>
              </w:rPr>
              <w:instrText xml:space="preserve"> PAGEREF _Toc75384085 \h </w:instrText>
            </w:r>
            <w:r w:rsidR="008E685B">
              <w:rPr>
                <w:webHidden/>
              </w:rPr>
            </w:r>
            <w:r w:rsidR="008E685B">
              <w:rPr>
                <w:webHidden/>
              </w:rPr>
              <w:fldChar w:fldCharType="separate"/>
            </w:r>
            <w:r w:rsidR="00CD719A">
              <w:rPr>
                <w:webHidden/>
              </w:rPr>
              <w:t>42</w:t>
            </w:r>
            <w:r w:rsidR="008E685B">
              <w:rPr>
                <w:webHidden/>
              </w:rPr>
              <w:fldChar w:fldCharType="end"/>
            </w:r>
          </w:hyperlink>
        </w:p>
        <w:p w14:paraId="28B9AD46" w14:textId="26E87B7E" w:rsidR="008E685B" w:rsidRDefault="00354820" w:rsidP="00E16CA9">
          <w:pPr>
            <w:pStyle w:val="Inhopg3"/>
            <w:rPr>
              <w:rFonts w:asciiTheme="minorHAnsi" w:eastAsiaTheme="minorEastAsia" w:hAnsiTheme="minorHAnsi" w:cstheme="minorBidi"/>
            </w:rPr>
          </w:pPr>
          <w:hyperlink w:anchor="_Toc75384087" w:history="1">
            <w:r w:rsidR="008E685B" w:rsidRPr="00112A25">
              <w:rPr>
                <w:rStyle w:val="Hyperlink"/>
              </w:rPr>
              <w:t>4.2.3 Analysing the claimant</w:t>
            </w:r>
            <w:r w:rsidR="008E685B">
              <w:rPr>
                <w:webHidden/>
              </w:rPr>
              <w:tab/>
            </w:r>
            <w:r w:rsidR="008E685B">
              <w:rPr>
                <w:webHidden/>
              </w:rPr>
              <w:fldChar w:fldCharType="begin"/>
            </w:r>
            <w:r w:rsidR="008E685B">
              <w:rPr>
                <w:webHidden/>
              </w:rPr>
              <w:instrText xml:space="preserve"> PAGEREF _Toc75384087 \h </w:instrText>
            </w:r>
            <w:r w:rsidR="008E685B">
              <w:rPr>
                <w:webHidden/>
              </w:rPr>
            </w:r>
            <w:r w:rsidR="008E685B">
              <w:rPr>
                <w:webHidden/>
              </w:rPr>
              <w:fldChar w:fldCharType="separate"/>
            </w:r>
            <w:r w:rsidR="00CD719A">
              <w:rPr>
                <w:webHidden/>
              </w:rPr>
              <w:t>43</w:t>
            </w:r>
            <w:r w:rsidR="008E685B">
              <w:rPr>
                <w:webHidden/>
              </w:rPr>
              <w:fldChar w:fldCharType="end"/>
            </w:r>
          </w:hyperlink>
        </w:p>
        <w:p w14:paraId="76392181" w14:textId="1FD05A31" w:rsidR="008E685B" w:rsidRDefault="00354820">
          <w:pPr>
            <w:pStyle w:val="Inhopg3"/>
            <w:rPr>
              <w:rFonts w:asciiTheme="minorHAnsi" w:eastAsiaTheme="minorEastAsia" w:hAnsiTheme="minorHAnsi" w:cstheme="minorBidi"/>
            </w:rPr>
          </w:pPr>
          <w:hyperlink w:anchor="_Toc75384094" w:history="1">
            <w:r w:rsidR="008E685B" w:rsidRPr="00112A25">
              <w:rPr>
                <w:rStyle w:val="Hyperlink"/>
              </w:rPr>
              <w:t>4.2.4 Analysing issues</w:t>
            </w:r>
            <w:r w:rsidR="008E685B">
              <w:rPr>
                <w:webHidden/>
              </w:rPr>
              <w:tab/>
            </w:r>
            <w:r w:rsidR="008E685B">
              <w:rPr>
                <w:webHidden/>
              </w:rPr>
              <w:fldChar w:fldCharType="begin"/>
            </w:r>
            <w:r w:rsidR="008E685B">
              <w:rPr>
                <w:webHidden/>
              </w:rPr>
              <w:instrText xml:space="preserve"> PAGEREF _Toc75384094 \h </w:instrText>
            </w:r>
            <w:r w:rsidR="008E685B">
              <w:rPr>
                <w:webHidden/>
              </w:rPr>
            </w:r>
            <w:r w:rsidR="008E685B">
              <w:rPr>
                <w:webHidden/>
              </w:rPr>
              <w:fldChar w:fldCharType="separate"/>
            </w:r>
            <w:r w:rsidR="00CD719A">
              <w:rPr>
                <w:webHidden/>
              </w:rPr>
              <w:t>47</w:t>
            </w:r>
            <w:r w:rsidR="008E685B">
              <w:rPr>
                <w:webHidden/>
              </w:rPr>
              <w:fldChar w:fldCharType="end"/>
            </w:r>
          </w:hyperlink>
        </w:p>
        <w:p w14:paraId="675421AB" w14:textId="6140397A" w:rsidR="008E685B" w:rsidRDefault="00354820">
          <w:pPr>
            <w:pStyle w:val="Inhopg3"/>
            <w:rPr>
              <w:rFonts w:asciiTheme="minorHAnsi" w:eastAsiaTheme="minorEastAsia" w:hAnsiTheme="minorHAnsi" w:cstheme="minorBidi"/>
            </w:rPr>
          </w:pPr>
          <w:hyperlink w:anchor="_Toc75384102" w:history="1">
            <w:r w:rsidR="008E685B" w:rsidRPr="00112A25">
              <w:rPr>
                <w:rStyle w:val="Hyperlink"/>
              </w:rPr>
              <w:t>4.2.5 Analysing the object</w:t>
            </w:r>
            <w:r w:rsidR="008E685B">
              <w:rPr>
                <w:webHidden/>
              </w:rPr>
              <w:tab/>
            </w:r>
            <w:r w:rsidR="008E685B">
              <w:rPr>
                <w:webHidden/>
              </w:rPr>
              <w:fldChar w:fldCharType="begin"/>
            </w:r>
            <w:r w:rsidR="008E685B">
              <w:rPr>
                <w:webHidden/>
              </w:rPr>
              <w:instrText xml:space="preserve"> PAGEREF _Toc75384102 \h </w:instrText>
            </w:r>
            <w:r w:rsidR="008E685B">
              <w:rPr>
                <w:webHidden/>
              </w:rPr>
            </w:r>
            <w:r w:rsidR="008E685B">
              <w:rPr>
                <w:webHidden/>
              </w:rPr>
              <w:fldChar w:fldCharType="separate"/>
            </w:r>
            <w:r w:rsidR="00CD719A">
              <w:rPr>
                <w:webHidden/>
              </w:rPr>
              <w:t>50</w:t>
            </w:r>
            <w:r w:rsidR="008E685B">
              <w:rPr>
                <w:webHidden/>
              </w:rPr>
              <w:fldChar w:fldCharType="end"/>
            </w:r>
          </w:hyperlink>
        </w:p>
        <w:p w14:paraId="10074DEE" w14:textId="6276FFFA" w:rsidR="008E685B" w:rsidRDefault="00354820">
          <w:pPr>
            <w:pStyle w:val="Inhopg3"/>
            <w:rPr>
              <w:rFonts w:asciiTheme="minorHAnsi" w:eastAsiaTheme="minorEastAsia" w:hAnsiTheme="minorHAnsi" w:cstheme="minorBidi"/>
            </w:rPr>
          </w:pPr>
          <w:hyperlink w:anchor="_Toc75384104" w:history="1">
            <w:r w:rsidR="008E685B" w:rsidRPr="00112A25">
              <w:rPr>
                <w:rStyle w:val="Hyperlink"/>
              </w:rPr>
              <w:t>4.2.6 Analysing the addressee and presence of the unification</w:t>
            </w:r>
            <w:r w:rsidR="008E685B">
              <w:rPr>
                <w:webHidden/>
              </w:rPr>
              <w:tab/>
            </w:r>
            <w:r w:rsidR="008E685B">
              <w:rPr>
                <w:webHidden/>
              </w:rPr>
              <w:fldChar w:fldCharType="begin"/>
            </w:r>
            <w:r w:rsidR="008E685B">
              <w:rPr>
                <w:webHidden/>
              </w:rPr>
              <w:instrText xml:space="preserve"> PAGEREF _Toc75384104 \h </w:instrText>
            </w:r>
            <w:r w:rsidR="008E685B">
              <w:rPr>
                <w:webHidden/>
              </w:rPr>
            </w:r>
            <w:r w:rsidR="008E685B">
              <w:rPr>
                <w:webHidden/>
              </w:rPr>
              <w:fldChar w:fldCharType="separate"/>
            </w:r>
            <w:r w:rsidR="00CD719A">
              <w:rPr>
                <w:webHidden/>
              </w:rPr>
              <w:t>50</w:t>
            </w:r>
            <w:r w:rsidR="008E685B">
              <w:rPr>
                <w:webHidden/>
              </w:rPr>
              <w:fldChar w:fldCharType="end"/>
            </w:r>
          </w:hyperlink>
        </w:p>
        <w:p w14:paraId="20F160BA" w14:textId="6131D2B8" w:rsidR="008E685B" w:rsidRDefault="00354820">
          <w:pPr>
            <w:pStyle w:val="Inhopg3"/>
            <w:rPr>
              <w:rFonts w:asciiTheme="minorHAnsi" w:eastAsiaTheme="minorEastAsia" w:hAnsiTheme="minorHAnsi" w:cstheme="minorBidi"/>
            </w:rPr>
          </w:pPr>
          <w:hyperlink w:anchor="_Toc75384111" w:history="1">
            <w:r w:rsidR="008E685B" w:rsidRPr="00112A25">
              <w:rPr>
                <w:rStyle w:val="Hyperlink"/>
              </w:rPr>
              <w:t>4.2.7 Analysing the justifications</w:t>
            </w:r>
            <w:r w:rsidR="008E685B">
              <w:rPr>
                <w:webHidden/>
              </w:rPr>
              <w:tab/>
            </w:r>
            <w:r w:rsidR="008E685B">
              <w:rPr>
                <w:webHidden/>
              </w:rPr>
              <w:fldChar w:fldCharType="begin"/>
            </w:r>
            <w:r w:rsidR="008E685B">
              <w:rPr>
                <w:webHidden/>
              </w:rPr>
              <w:instrText xml:space="preserve"> PAGEREF _Toc75384111 \h </w:instrText>
            </w:r>
            <w:r w:rsidR="008E685B">
              <w:rPr>
                <w:webHidden/>
              </w:rPr>
            </w:r>
            <w:r w:rsidR="008E685B">
              <w:rPr>
                <w:webHidden/>
              </w:rPr>
              <w:fldChar w:fldCharType="separate"/>
            </w:r>
            <w:r w:rsidR="00CD719A">
              <w:rPr>
                <w:webHidden/>
              </w:rPr>
              <w:t>53</w:t>
            </w:r>
            <w:r w:rsidR="008E685B">
              <w:rPr>
                <w:webHidden/>
              </w:rPr>
              <w:fldChar w:fldCharType="end"/>
            </w:r>
          </w:hyperlink>
        </w:p>
        <w:p w14:paraId="45CB65FB" w14:textId="3EA46DA5" w:rsidR="008E685B" w:rsidRDefault="00354820">
          <w:pPr>
            <w:pStyle w:val="Inhopg2"/>
            <w:tabs>
              <w:tab w:val="right" w:leader="dot" w:pos="9062"/>
            </w:tabs>
            <w:rPr>
              <w:rFonts w:asciiTheme="minorHAnsi" w:eastAsiaTheme="minorEastAsia" w:hAnsiTheme="minorHAnsi" w:cstheme="minorBidi"/>
              <w:noProof/>
            </w:rPr>
          </w:pPr>
          <w:hyperlink w:anchor="_Toc75384116" w:history="1">
            <w:r w:rsidR="008E685B" w:rsidRPr="00112A25">
              <w:rPr>
                <w:rStyle w:val="Hyperlink"/>
                <w:noProof/>
              </w:rPr>
              <w:t>4.3 Conclusion</w:t>
            </w:r>
            <w:r w:rsidR="008E685B">
              <w:rPr>
                <w:noProof/>
                <w:webHidden/>
              </w:rPr>
              <w:tab/>
            </w:r>
            <w:r w:rsidR="008E685B">
              <w:rPr>
                <w:noProof/>
                <w:webHidden/>
              </w:rPr>
              <w:fldChar w:fldCharType="begin"/>
            </w:r>
            <w:r w:rsidR="008E685B">
              <w:rPr>
                <w:noProof/>
                <w:webHidden/>
              </w:rPr>
              <w:instrText xml:space="preserve"> PAGEREF _Toc75384116 \h </w:instrText>
            </w:r>
            <w:r w:rsidR="008E685B">
              <w:rPr>
                <w:noProof/>
                <w:webHidden/>
              </w:rPr>
            </w:r>
            <w:r w:rsidR="008E685B">
              <w:rPr>
                <w:noProof/>
                <w:webHidden/>
              </w:rPr>
              <w:fldChar w:fldCharType="separate"/>
            </w:r>
            <w:r w:rsidR="00CD719A">
              <w:rPr>
                <w:noProof/>
                <w:webHidden/>
              </w:rPr>
              <w:t>56</w:t>
            </w:r>
            <w:r w:rsidR="008E685B">
              <w:rPr>
                <w:noProof/>
                <w:webHidden/>
              </w:rPr>
              <w:fldChar w:fldCharType="end"/>
            </w:r>
          </w:hyperlink>
        </w:p>
        <w:p w14:paraId="27141D9C" w14:textId="7024DE1F" w:rsidR="008E685B" w:rsidRDefault="00354820">
          <w:pPr>
            <w:pStyle w:val="Inhopg1"/>
            <w:tabs>
              <w:tab w:val="right" w:leader="dot" w:pos="9062"/>
            </w:tabs>
            <w:rPr>
              <w:rFonts w:asciiTheme="minorHAnsi" w:eastAsiaTheme="minorEastAsia" w:hAnsiTheme="minorHAnsi" w:cstheme="minorBidi"/>
              <w:noProof/>
            </w:rPr>
          </w:pPr>
          <w:hyperlink w:anchor="_Toc75384117" w:history="1">
            <w:r w:rsidR="008E685B" w:rsidRPr="00112A25">
              <w:rPr>
                <w:rStyle w:val="Hyperlink"/>
                <w:noProof/>
              </w:rPr>
              <w:t>Chapter 5: Discussion and Conclusion</w:t>
            </w:r>
            <w:r w:rsidR="008E685B">
              <w:rPr>
                <w:noProof/>
                <w:webHidden/>
              </w:rPr>
              <w:tab/>
            </w:r>
            <w:r w:rsidR="008E685B">
              <w:rPr>
                <w:noProof/>
                <w:webHidden/>
              </w:rPr>
              <w:fldChar w:fldCharType="begin"/>
            </w:r>
            <w:r w:rsidR="008E685B">
              <w:rPr>
                <w:noProof/>
                <w:webHidden/>
              </w:rPr>
              <w:instrText xml:space="preserve"> PAGEREF _Toc75384117 \h </w:instrText>
            </w:r>
            <w:r w:rsidR="008E685B">
              <w:rPr>
                <w:noProof/>
                <w:webHidden/>
              </w:rPr>
            </w:r>
            <w:r w:rsidR="008E685B">
              <w:rPr>
                <w:noProof/>
                <w:webHidden/>
              </w:rPr>
              <w:fldChar w:fldCharType="separate"/>
            </w:r>
            <w:r w:rsidR="00CD719A">
              <w:rPr>
                <w:noProof/>
                <w:webHidden/>
              </w:rPr>
              <w:t>58</w:t>
            </w:r>
            <w:r w:rsidR="008E685B">
              <w:rPr>
                <w:noProof/>
                <w:webHidden/>
              </w:rPr>
              <w:fldChar w:fldCharType="end"/>
            </w:r>
          </w:hyperlink>
        </w:p>
        <w:p w14:paraId="49C0B1D4" w14:textId="7473B645" w:rsidR="008E685B" w:rsidRDefault="00354820">
          <w:pPr>
            <w:pStyle w:val="Inhopg2"/>
            <w:tabs>
              <w:tab w:val="right" w:leader="dot" w:pos="9062"/>
            </w:tabs>
            <w:rPr>
              <w:rFonts w:asciiTheme="minorHAnsi" w:eastAsiaTheme="minorEastAsia" w:hAnsiTheme="minorHAnsi" w:cstheme="minorBidi"/>
              <w:noProof/>
            </w:rPr>
          </w:pPr>
          <w:hyperlink w:anchor="_Toc75384118" w:history="1">
            <w:r w:rsidR="008E685B" w:rsidRPr="00112A25">
              <w:rPr>
                <w:rStyle w:val="Hyperlink"/>
                <w:noProof/>
              </w:rPr>
              <w:t>5.1 Discussion of the results in relation to the literature</w:t>
            </w:r>
            <w:r w:rsidR="008E685B">
              <w:rPr>
                <w:noProof/>
                <w:webHidden/>
              </w:rPr>
              <w:tab/>
            </w:r>
            <w:r w:rsidR="008E685B">
              <w:rPr>
                <w:noProof/>
                <w:webHidden/>
              </w:rPr>
              <w:fldChar w:fldCharType="begin"/>
            </w:r>
            <w:r w:rsidR="008E685B">
              <w:rPr>
                <w:noProof/>
                <w:webHidden/>
              </w:rPr>
              <w:instrText xml:space="preserve"> PAGEREF _Toc75384118 \h </w:instrText>
            </w:r>
            <w:r w:rsidR="008E685B">
              <w:rPr>
                <w:noProof/>
                <w:webHidden/>
              </w:rPr>
            </w:r>
            <w:r w:rsidR="008E685B">
              <w:rPr>
                <w:noProof/>
                <w:webHidden/>
              </w:rPr>
              <w:fldChar w:fldCharType="separate"/>
            </w:r>
            <w:r w:rsidR="00CD719A">
              <w:rPr>
                <w:noProof/>
                <w:webHidden/>
              </w:rPr>
              <w:t>58</w:t>
            </w:r>
            <w:r w:rsidR="008E685B">
              <w:rPr>
                <w:noProof/>
                <w:webHidden/>
              </w:rPr>
              <w:fldChar w:fldCharType="end"/>
            </w:r>
          </w:hyperlink>
        </w:p>
        <w:p w14:paraId="0072E8C9" w14:textId="0E019D45" w:rsidR="008E685B" w:rsidRDefault="00354820">
          <w:pPr>
            <w:pStyle w:val="Inhopg2"/>
            <w:tabs>
              <w:tab w:val="right" w:leader="dot" w:pos="9062"/>
            </w:tabs>
            <w:rPr>
              <w:rFonts w:asciiTheme="minorHAnsi" w:eastAsiaTheme="minorEastAsia" w:hAnsiTheme="minorHAnsi" w:cstheme="minorBidi"/>
              <w:noProof/>
            </w:rPr>
          </w:pPr>
          <w:hyperlink w:anchor="_Toc75384119" w:history="1">
            <w:r w:rsidR="008E685B" w:rsidRPr="00112A25">
              <w:rPr>
                <w:rStyle w:val="Hyperlink"/>
                <w:noProof/>
              </w:rPr>
              <w:t>5.2 Contributions of this thesis</w:t>
            </w:r>
            <w:r w:rsidR="008E685B">
              <w:rPr>
                <w:noProof/>
                <w:webHidden/>
              </w:rPr>
              <w:tab/>
            </w:r>
            <w:r w:rsidR="008E685B">
              <w:rPr>
                <w:noProof/>
                <w:webHidden/>
              </w:rPr>
              <w:fldChar w:fldCharType="begin"/>
            </w:r>
            <w:r w:rsidR="008E685B">
              <w:rPr>
                <w:noProof/>
                <w:webHidden/>
              </w:rPr>
              <w:instrText xml:space="preserve"> PAGEREF _Toc75384119 \h </w:instrText>
            </w:r>
            <w:r w:rsidR="008E685B">
              <w:rPr>
                <w:noProof/>
                <w:webHidden/>
              </w:rPr>
            </w:r>
            <w:r w:rsidR="008E685B">
              <w:rPr>
                <w:noProof/>
                <w:webHidden/>
              </w:rPr>
              <w:fldChar w:fldCharType="separate"/>
            </w:r>
            <w:r w:rsidR="00CD719A">
              <w:rPr>
                <w:noProof/>
                <w:webHidden/>
              </w:rPr>
              <w:t>60</w:t>
            </w:r>
            <w:r w:rsidR="008E685B">
              <w:rPr>
                <w:noProof/>
                <w:webHidden/>
              </w:rPr>
              <w:fldChar w:fldCharType="end"/>
            </w:r>
          </w:hyperlink>
        </w:p>
        <w:p w14:paraId="53592788" w14:textId="325D1F55" w:rsidR="008E685B" w:rsidRDefault="00354820">
          <w:pPr>
            <w:pStyle w:val="Inhopg2"/>
            <w:tabs>
              <w:tab w:val="right" w:leader="dot" w:pos="9062"/>
            </w:tabs>
            <w:rPr>
              <w:rFonts w:asciiTheme="minorHAnsi" w:eastAsiaTheme="minorEastAsia" w:hAnsiTheme="minorHAnsi" w:cstheme="minorBidi"/>
              <w:noProof/>
            </w:rPr>
          </w:pPr>
          <w:hyperlink w:anchor="_Toc75384120" w:history="1">
            <w:r w:rsidR="008E685B" w:rsidRPr="00112A25">
              <w:rPr>
                <w:rStyle w:val="Hyperlink"/>
                <w:noProof/>
              </w:rPr>
              <w:t>5.3 Generalizability of the results</w:t>
            </w:r>
            <w:r w:rsidR="008E685B">
              <w:rPr>
                <w:noProof/>
                <w:webHidden/>
              </w:rPr>
              <w:tab/>
            </w:r>
            <w:r w:rsidR="008E685B">
              <w:rPr>
                <w:noProof/>
                <w:webHidden/>
              </w:rPr>
              <w:fldChar w:fldCharType="begin"/>
            </w:r>
            <w:r w:rsidR="008E685B">
              <w:rPr>
                <w:noProof/>
                <w:webHidden/>
              </w:rPr>
              <w:instrText xml:space="preserve"> PAGEREF _Toc75384120 \h </w:instrText>
            </w:r>
            <w:r w:rsidR="008E685B">
              <w:rPr>
                <w:noProof/>
                <w:webHidden/>
              </w:rPr>
            </w:r>
            <w:r w:rsidR="008E685B">
              <w:rPr>
                <w:noProof/>
                <w:webHidden/>
              </w:rPr>
              <w:fldChar w:fldCharType="separate"/>
            </w:r>
            <w:r w:rsidR="00CD719A">
              <w:rPr>
                <w:noProof/>
                <w:webHidden/>
              </w:rPr>
              <w:t>61</w:t>
            </w:r>
            <w:r w:rsidR="008E685B">
              <w:rPr>
                <w:noProof/>
                <w:webHidden/>
              </w:rPr>
              <w:fldChar w:fldCharType="end"/>
            </w:r>
          </w:hyperlink>
        </w:p>
        <w:p w14:paraId="1E4E754F" w14:textId="28D29AE2" w:rsidR="008E685B" w:rsidRDefault="00354820">
          <w:pPr>
            <w:pStyle w:val="Inhopg2"/>
            <w:tabs>
              <w:tab w:val="right" w:leader="dot" w:pos="9062"/>
            </w:tabs>
            <w:rPr>
              <w:rFonts w:asciiTheme="minorHAnsi" w:eastAsiaTheme="minorEastAsia" w:hAnsiTheme="minorHAnsi" w:cstheme="minorBidi"/>
              <w:noProof/>
            </w:rPr>
          </w:pPr>
          <w:hyperlink w:anchor="_Toc75384121" w:history="1">
            <w:r w:rsidR="008E685B" w:rsidRPr="00112A25">
              <w:rPr>
                <w:rStyle w:val="Hyperlink"/>
                <w:noProof/>
              </w:rPr>
              <w:t>5.4 Limitations of this thesis</w:t>
            </w:r>
            <w:r w:rsidR="008E685B">
              <w:rPr>
                <w:noProof/>
                <w:webHidden/>
              </w:rPr>
              <w:tab/>
            </w:r>
            <w:r w:rsidR="008E685B">
              <w:rPr>
                <w:noProof/>
                <w:webHidden/>
              </w:rPr>
              <w:fldChar w:fldCharType="begin"/>
            </w:r>
            <w:r w:rsidR="008E685B">
              <w:rPr>
                <w:noProof/>
                <w:webHidden/>
              </w:rPr>
              <w:instrText xml:space="preserve"> PAGEREF _Toc75384121 \h </w:instrText>
            </w:r>
            <w:r w:rsidR="008E685B">
              <w:rPr>
                <w:noProof/>
                <w:webHidden/>
              </w:rPr>
            </w:r>
            <w:r w:rsidR="008E685B">
              <w:rPr>
                <w:noProof/>
                <w:webHidden/>
              </w:rPr>
              <w:fldChar w:fldCharType="separate"/>
            </w:r>
            <w:r w:rsidR="00CD719A">
              <w:rPr>
                <w:noProof/>
                <w:webHidden/>
              </w:rPr>
              <w:t>62</w:t>
            </w:r>
            <w:r w:rsidR="008E685B">
              <w:rPr>
                <w:noProof/>
                <w:webHidden/>
              </w:rPr>
              <w:fldChar w:fldCharType="end"/>
            </w:r>
          </w:hyperlink>
        </w:p>
        <w:p w14:paraId="42F72207" w14:textId="57AB67E1" w:rsidR="008E685B" w:rsidRDefault="00354820">
          <w:pPr>
            <w:pStyle w:val="Inhopg2"/>
            <w:tabs>
              <w:tab w:val="right" w:leader="dot" w:pos="9062"/>
            </w:tabs>
            <w:rPr>
              <w:rFonts w:asciiTheme="minorHAnsi" w:eastAsiaTheme="minorEastAsia" w:hAnsiTheme="minorHAnsi" w:cstheme="minorBidi"/>
              <w:noProof/>
            </w:rPr>
          </w:pPr>
          <w:hyperlink w:anchor="_Toc75384122" w:history="1">
            <w:r w:rsidR="008E685B" w:rsidRPr="00112A25">
              <w:rPr>
                <w:rStyle w:val="Hyperlink"/>
                <w:noProof/>
              </w:rPr>
              <w:t>5.5 Conclusion</w:t>
            </w:r>
            <w:r w:rsidR="008E685B">
              <w:rPr>
                <w:noProof/>
                <w:webHidden/>
              </w:rPr>
              <w:tab/>
            </w:r>
            <w:r w:rsidR="008E685B">
              <w:rPr>
                <w:noProof/>
                <w:webHidden/>
              </w:rPr>
              <w:fldChar w:fldCharType="begin"/>
            </w:r>
            <w:r w:rsidR="008E685B">
              <w:rPr>
                <w:noProof/>
                <w:webHidden/>
              </w:rPr>
              <w:instrText xml:space="preserve"> PAGEREF _Toc75384122 \h </w:instrText>
            </w:r>
            <w:r w:rsidR="008E685B">
              <w:rPr>
                <w:noProof/>
                <w:webHidden/>
              </w:rPr>
            </w:r>
            <w:r w:rsidR="008E685B">
              <w:rPr>
                <w:noProof/>
                <w:webHidden/>
              </w:rPr>
              <w:fldChar w:fldCharType="separate"/>
            </w:r>
            <w:r w:rsidR="00CD719A">
              <w:rPr>
                <w:noProof/>
                <w:webHidden/>
              </w:rPr>
              <w:t>64</w:t>
            </w:r>
            <w:r w:rsidR="008E685B">
              <w:rPr>
                <w:noProof/>
                <w:webHidden/>
              </w:rPr>
              <w:fldChar w:fldCharType="end"/>
            </w:r>
          </w:hyperlink>
        </w:p>
        <w:p w14:paraId="1DE14794" w14:textId="2004367D" w:rsidR="008E685B" w:rsidRDefault="00354820">
          <w:pPr>
            <w:pStyle w:val="Inhopg1"/>
            <w:tabs>
              <w:tab w:val="right" w:leader="dot" w:pos="9062"/>
            </w:tabs>
            <w:rPr>
              <w:rFonts w:asciiTheme="minorHAnsi" w:eastAsiaTheme="minorEastAsia" w:hAnsiTheme="minorHAnsi" w:cstheme="minorBidi"/>
              <w:noProof/>
            </w:rPr>
          </w:pPr>
          <w:hyperlink w:anchor="_Toc75384123" w:history="1">
            <w:r w:rsidR="008E685B" w:rsidRPr="00112A25">
              <w:rPr>
                <w:rStyle w:val="Hyperlink"/>
                <w:noProof/>
              </w:rPr>
              <w:t>References</w:t>
            </w:r>
            <w:r w:rsidR="008E685B">
              <w:rPr>
                <w:noProof/>
                <w:webHidden/>
              </w:rPr>
              <w:tab/>
            </w:r>
            <w:r w:rsidR="008E685B">
              <w:rPr>
                <w:noProof/>
                <w:webHidden/>
              </w:rPr>
              <w:fldChar w:fldCharType="begin"/>
            </w:r>
            <w:r w:rsidR="008E685B">
              <w:rPr>
                <w:noProof/>
                <w:webHidden/>
              </w:rPr>
              <w:instrText xml:space="preserve"> PAGEREF _Toc75384123 \h </w:instrText>
            </w:r>
            <w:r w:rsidR="008E685B">
              <w:rPr>
                <w:noProof/>
                <w:webHidden/>
              </w:rPr>
            </w:r>
            <w:r w:rsidR="008E685B">
              <w:rPr>
                <w:noProof/>
                <w:webHidden/>
              </w:rPr>
              <w:fldChar w:fldCharType="separate"/>
            </w:r>
            <w:r w:rsidR="00CD719A">
              <w:rPr>
                <w:noProof/>
                <w:webHidden/>
              </w:rPr>
              <w:t>66</w:t>
            </w:r>
            <w:r w:rsidR="008E685B">
              <w:rPr>
                <w:noProof/>
                <w:webHidden/>
              </w:rPr>
              <w:fldChar w:fldCharType="end"/>
            </w:r>
          </w:hyperlink>
        </w:p>
        <w:p w14:paraId="6683B4DB" w14:textId="2C788B57" w:rsidR="008E685B" w:rsidRDefault="00354820">
          <w:pPr>
            <w:pStyle w:val="Inhopg1"/>
            <w:tabs>
              <w:tab w:val="right" w:leader="dot" w:pos="9062"/>
            </w:tabs>
            <w:rPr>
              <w:rFonts w:asciiTheme="minorHAnsi" w:eastAsiaTheme="minorEastAsia" w:hAnsiTheme="minorHAnsi" w:cstheme="minorBidi"/>
              <w:noProof/>
            </w:rPr>
          </w:pPr>
          <w:hyperlink w:anchor="_Toc75384124" w:history="1">
            <w:r w:rsidR="008E685B" w:rsidRPr="00112A25">
              <w:rPr>
                <w:rStyle w:val="Hyperlink"/>
                <w:noProof/>
              </w:rPr>
              <w:t>Appendix A Codebook</w:t>
            </w:r>
            <w:r w:rsidR="008E685B">
              <w:rPr>
                <w:noProof/>
                <w:webHidden/>
              </w:rPr>
              <w:tab/>
            </w:r>
            <w:r w:rsidR="008E685B">
              <w:rPr>
                <w:noProof/>
                <w:webHidden/>
              </w:rPr>
              <w:fldChar w:fldCharType="begin"/>
            </w:r>
            <w:r w:rsidR="008E685B">
              <w:rPr>
                <w:noProof/>
                <w:webHidden/>
              </w:rPr>
              <w:instrText xml:space="preserve"> PAGEREF _Toc75384124 \h </w:instrText>
            </w:r>
            <w:r w:rsidR="008E685B">
              <w:rPr>
                <w:noProof/>
                <w:webHidden/>
              </w:rPr>
            </w:r>
            <w:r w:rsidR="008E685B">
              <w:rPr>
                <w:noProof/>
                <w:webHidden/>
              </w:rPr>
              <w:fldChar w:fldCharType="separate"/>
            </w:r>
            <w:r w:rsidR="00CD719A">
              <w:rPr>
                <w:noProof/>
                <w:webHidden/>
              </w:rPr>
              <w:t>72</w:t>
            </w:r>
            <w:r w:rsidR="008E685B">
              <w:rPr>
                <w:noProof/>
                <w:webHidden/>
              </w:rPr>
              <w:fldChar w:fldCharType="end"/>
            </w:r>
          </w:hyperlink>
        </w:p>
        <w:p w14:paraId="65BE2952" w14:textId="681CD0DD" w:rsidR="008E685B" w:rsidRDefault="00354820">
          <w:pPr>
            <w:pStyle w:val="Inhopg2"/>
            <w:tabs>
              <w:tab w:val="right" w:leader="dot" w:pos="9062"/>
            </w:tabs>
            <w:rPr>
              <w:rFonts w:asciiTheme="minorHAnsi" w:eastAsiaTheme="minorEastAsia" w:hAnsiTheme="minorHAnsi" w:cstheme="minorBidi"/>
              <w:noProof/>
            </w:rPr>
          </w:pPr>
          <w:hyperlink w:anchor="_Toc75384125" w:history="1">
            <w:r w:rsidR="008E685B" w:rsidRPr="00112A25">
              <w:rPr>
                <w:rStyle w:val="Hyperlink"/>
                <w:noProof/>
              </w:rPr>
              <w:t>Introduction</w:t>
            </w:r>
            <w:r w:rsidR="008E685B">
              <w:rPr>
                <w:noProof/>
                <w:webHidden/>
              </w:rPr>
              <w:tab/>
            </w:r>
            <w:r w:rsidR="008E685B">
              <w:rPr>
                <w:noProof/>
                <w:webHidden/>
              </w:rPr>
              <w:fldChar w:fldCharType="begin"/>
            </w:r>
            <w:r w:rsidR="008E685B">
              <w:rPr>
                <w:noProof/>
                <w:webHidden/>
              </w:rPr>
              <w:instrText xml:space="preserve"> PAGEREF _Toc75384125 \h </w:instrText>
            </w:r>
            <w:r w:rsidR="008E685B">
              <w:rPr>
                <w:noProof/>
                <w:webHidden/>
              </w:rPr>
            </w:r>
            <w:r w:rsidR="008E685B">
              <w:rPr>
                <w:noProof/>
                <w:webHidden/>
              </w:rPr>
              <w:fldChar w:fldCharType="separate"/>
            </w:r>
            <w:r w:rsidR="00CD719A">
              <w:rPr>
                <w:noProof/>
                <w:webHidden/>
              </w:rPr>
              <w:t>72</w:t>
            </w:r>
            <w:r w:rsidR="008E685B">
              <w:rPr>
                <w:noProof/>
                <w:webHidden/>
              </w:rPr>
              <w:fldChar w:fldCharType="end"/>
            </w:r>
          </w:hyperlink>
        </w:p>
        <w:p w14:paraId="4B4420FB" w14:textId="024DFF18" w:rsidR="008E685B" w:rsidRDefault="00354820">
          <w:pPr>
            <w:pStyle w:val="Inhopg3"/>
            <w:rPr>
              <w:rFonts w:asciiTheme="minorHAnsi" w:eastAsiaTheme="minorEastAsia" w:hAnsiTheme="minorHAnsi" w:cstheme="minorBidi"/>
            </w:rPr>
          </w:pPr>
          <w:hyperlink w:anchor="_Toc75384126" w:history="1">
            <w:r w:rsidR="008E685B" w:rsidRPr="00112A25">
              <w:rPr>
                <w:rStyle w:val="Hyperlink"/>
              </w:rPr>
              <w:t>Case and data gathering</w:t>
            </w:r>
            <w:r w:rsidR="008E685B">
              <w:rPr>
                <w:webHidden/>
              </w:rPr>
              <w:tab/>
            </w:r>
            <w:r w:rsidR="008E685B">
              <w:rPr>
                <w:webHidden/>
              </w:rPr>
              <w:fldChar w:fldCharType="begin"/>
            </w:r>
            <w:r w:rsidR="008E685B">
              <w:rPr>
                <w:webHidden/>
              </w:rPr>
              <w:instrText xml:space="preserve"> PAGEREF _Toc75384126 \h </w:instrText>
            </w:r>
            <w:r w:rsidR="008E685B">
              <w:rPr>
                <w:webHidden/>
              </w:rPr>
            </w:r>
            <w:r w:rsidR="008E685B">
              <w:rPr>
                <w:webHidden/>
              </w:rPr>
              <w:fldChar w:fldCharType="separate"/>
            </w:r>
            <w:r w:rsidR="00CD719A">
              <w:rPr>
                <w:webHidden/>
              </w:rPr>
              <w:t>72</w:t>
            </w:r>
            <w:r w:rsidR="008E685B">
              <w:rPr>
                <w:webHidden/>
              </w:rPr>
              <w:fldChar w:fldCharType="end"/>
            </w:r>
          </w:hyperlink>
        </w:p>
        <w:p w14:paraId="0FB21022" w14:textId="7FD0EDF5" w:rsidR="008E685B" w:rsidRDefault="00354820">
          <w:pPr>
            <w:pStyle w:val="Inhopg3"/>
            <w:rPr>
              <w:rFonts w:asciiTheme="minorHAnsi" w:eastAsiaTheme="minorEastAsia" w:hAnsiTheme="minorHAnsi" w:cstheme="minorBidi"/>
            </w:rPr>
          </w:pPr>
          <w:hyperlink w:anchor="_Toc75384127" w:history="1">
            <w:r w:rsidR="008E685B" w:rsidRPr="00112A25">
              <w:rPr>
                <w:rStyle w:val="Hyperlink"/>
              </w:rPr>
              <w:t>Coding of a representative claim</w:t>
            </w:r>
            <w:r w:rsidR="008E685B">
              <w:rPr>
                <w:webHidden/>
              </w:rPr>
              <w:tab/>
            </w:r>
            <w:r w:rsidR="008E685B">
              <w:rPr>
                <w:webHidden/>
              </w:rPr>
              <w:fldChar w:fldCharType="begin"/>
            </w:r>
            <w:r w:rsidR="008E685B">
              <w:rPr>
                <w:webHidden/>
              </w:rPr>
              <w:instrText xml:space="preserve"> PAGEREF _Toc75384127 \h </w:instrText>
            </w:r>
            <w:r w:rsidR="008E685B">
              <w:rPr>
                <w:webHidden/>
              </w:rPr>
            </w:r>
            <w:r w:rsidR="008E685B">
              <w:rPr>
                <w:webHidden/>
              </w:rPr>
              <w:fldChar w:fldCharType="separate"/>
            </w:r>
            <w:r w:rsidR="00CD719A">
              <w:rPr>
                <w:webHidden/>
              </w:rPr>
              <w:t>73</w:t>
            </w:r>
            <w:r w:rsidR="008E685B">
              <w:rPr>
                <w:webHidden/>
              </w:rPr>
              <w:fldChar w:fldCharType="end"/>
            </w:r>
          </w:hyperlink>
        </w:p>
        <w:p w14:paraId="29EF1EA6" w14:textId="49512293" w:rsidR="008E685B" w:rsidRDefault="00354820">
          <w:pPr>
            <w:pStyle w:val="Inhopg1"/>
            <w:tabs>
              <w:tab w:val="right" w:leader="dot" w:pos="9062"/>
            </w:tabs>
            <w:rPr>
              <w:rFonts w:asciiTheme="minorHAnsi" w:eastAsiaTheme="minorEastAsia" w:hAnsiTheme="minorHAnsi" w:cstheme="minorBidi"/>
              <w:noProof/>
            </w:rPr>
          </w:pPr>
          <w:hyperlink w:anchor="_Toc75384131" w:history="1">
            <w:r w:rsidR="008E685B" w:rsidRPr="00112A25">
              <w:rPr>
                <w:rStyle w:val="Hyperlink"/>
                <w:noProof/>
              </w:rPr>
              <w:t>Appendix B</w:t>
            </w:r>
            <w:r w:rsidR="008E685B">
              <w:rPr>
                <w:noProof/>
                <w:webHidden/>
              </w:rPr>
              <w:tab/>
            </w:r>
            <w:r w:rsidR="008E685B">
              <w:rPr>
                <w:noProof/>
                <w:webHidden/>
              </w:rPr>
              <w:fldChar w:fldCharType="begin"/>
            </w:r>
            <w:r w:rsidR="008E685B">
              <w:rPr>
                <w:noProof/>
                <w:webHidden/>
              </w:rPr>
              <w:instrText xml:space="preserve"> PAGEREF _Toc75384131 \h </w:instrText>
            </w:r>
            <w:r w:rsidR="008E685B">
              <w:rPr>
                <w:noProof/>
                <w:webHidden/>
              </w:rPr>
            </w:r>
            <w:r w:rsidR="008E685B">
              <w:rPr>
                <w:noProof/>
                <w:webHidden/>
              </w:rPr>
              <w:fldChar w:fldCharType="separate"/>
            </w:r>
            <w:r w:rsidR="00CD719A">
              <w:rPr>
                <w:noProof/>
                <w:webHidden/>
              </w:rPr>
              <w:t>85</w:t>
            </w:r>
            <w:r w:rsidR="008E685B">
              <w:rPr>
                <w:noProof/>
                <w:webHidden/>
              </w:rPr>
              <w:fldChar w:fldCharType="end"/>
            </w:r>
          </w:hyperlink>
        </w:p>
        <w:p w14:paraId="37A571BC" w14:textId="7823B4A2" w:rsidR="008E685B" w:rsidRDefault="00354820">
          <w:pPr>
            <w:pStyle w:val="Inhopg1"/>
            <w:tabs>
              <w:tab w:val="right" w:leader="dot" w:pos="9062"/>
            </w:tabs>
            <w:rPr>
              <w:rFonts w:asciiTheme="minorHAnsi" w:eastAsiaTheme="minorEastAsia" w:hAnsiTheme="minorHAnsi" w:cstheme="minorBidi"/>
              <w:noProof/>
            </w:rPr>
          </w:pPr>
          <w:hyperlink w:anchor="_Toc75384137" w:history="1">
            <w:r w:rsidR="008E685B" w:rsidRPr="00112A25">
              <w:rPr>
                <w:rStyle w:val="Hyperlink"/>
                <w:noProof/>
              </w:rPr>
              <w:t>Appendix C</w:t>
            </w:r>
            <w:r w:rsidR="008E685B">
              <w:rPr>
                <w:noProof/>
                <w:webHidden/>
              </w:rPr>
              <w:tab/>
            </w:r>
            <w:r w:rsidR="008E685B">
              <w:rPr>
                <w:noProof/>
                <w:webHidden/>
              </w:rPr>
              <w:fldChar w:fldCharType="begin"/>
            </w:r>
            <w:r w:rsidR="008E685B">
              <w:rPr>
                <w:noProof/>
                <w:webHidden/>
              </w:rPr>
              <w:instrText xml:space="preserve"> PAGEREF _Toc75384137 \h </w:instrText>
            </w:r>
            <w:r w:rsidR="008E685B">
              <w:rPr>
                <w:noProof/>
                <w:webHidden/>
              </w:rPr>
            </w:r>
            <w:r w:rsidR="008E685B">
              <w:rPr>
                <w:noProof/>
                <w:webHidden/>
              </w:rPr>
              <w:fldChar w:fldCharType="separate"/>
            </w:r>
            <w:r w:rsidR="00CD719A">
              <w:rPr>
                <w:noProof/>
                <w:webHidden/>
              </w:rPr>
              <w:t>90</w:t>
            </w:r>
            <w:r w:rsidR="008E685B">
              <w:rPr>
                <w:noProof/>
                <w:webHidden/>
              </w:rPr>
              <w:fldChar w:fldCharType="end"/>
            </w:r>
          </w:hyperlink>
        </w:p>
        <w:p w14:paraId="529D80F2" w14:textId="194FEC13" w:rsidR="00412F50" w:rsidRDefault="00412F50">
          <w:r>
            <w:rPr>
              <w:b/>
              <w:bCs/>
            </w:rPr>
            <w:fldChar w:fldCharType="end"/>
          </w:r>
        </w:p>
      </w:sdtContent>
    </w:sdt>
    <w:p w14:paraId="4719EB96" w14:textId="3FDE1074" w:rsidR="00272497" w:rsidRPr="00B56346" w:rsidRDefault="002A741B" w:rsidP="002A741B">
      <w:pPr>
        <w:pStyle w:val="Kop1"/>
        <w:rPr>
          <w:lang w:val="en-GB"/>
        </w:rPr>
      </w:pPr>
      <w:r w:rsidRPr="00B56346">
        <w:rPr>
          <w:lang w:val="en-GB"/>
        </w:rPr>
        <w:t>List of figures</w:t>
      </w:r>
    </w:p>
    <w:p w14:paraId="593E4402" w14:textId="6CD3E8A7" w:rsidR="00E16CA9" w:rsidRPr="00E16CA9" w:rsidRDefault="00E16CA9" w:rsidP="00E16CA9">
      <w:pPr>
        <w:pStyle w:val="Inhopg3"/>
        <w:ind w:left="0"/>
        <w:rPr>
          <w:rFonts w:asciiTheme="minorHAnsi" w:eastAsiaTheme="minorEastAsia" w:hAnsiTheme="minorHAnsi" w:cstheme="minorBidi"/>
        </w:rPr>
      </w:pPr>
      <w:hyperlink w:anchor="_Toc75384074" w:history="1">
        <w:r w:rsidRPr="00E16CA9">
          <w:rPr>
            <w:rStyle w:val="Hyperlink"/>
            <w:color w:val="auto"/>
            <w:u w:val="none"/>
          </w:rPr>
          <w:t>Figure 4.1 Māori and European population number, 1838-1901.</w:t>
        </w:r>
        <w:r w:rsidRPr="00E16CA9">
          <w:rPr>
            <w:webHidden/>
          </w:rPr>
          <w:tab/>
        </w:r>
        <w:r w:rsidR="005A4605">
          <w:rPr>
            <w:webHidden/>
          </w:rPr>
          <w:t>35</w:t>
        </w:r>
      </w:hyperlink>
    </w:p>
    <w:p w14:paraId="2CA4104F" w14:textId="1971B400" w:rsidR="00E16CA9" w:rsidRPr="00E16CA9" w:rsidRDefault="00E16CA9" w:rsidP="00E16CA9">
      <w:pPr>
        <w:pStyle w:val="Inhopg3"/>
        <w:ind w:left="0"/>
        <w:rPr>
          <w:rFonts w:asciiTheme="minorHAnsi" w:eastAsiaTheme="minorEastAsia" w:hAnsiTheme="minorHAnsi" w:cstheme="minorBidi"/>
        </w:rPr>
      </w:pPr>
      <w:hyperlink w:anchor="_Toc75384077" w:history="1">
        <w:r w:rsidRPr="00E16CA9">
          <w:rPr>
            <w:rStyle w:val="Hyperlink"/>
            <w:color w:val="auto"/>
            <w:u w:val="none"/>
          </w:rPr>
          <w:t>Figure 4.2. Percentage of MPs identifying as Māori. Source: NZ Parliamentary Library, 2017.</w:t>
        </w:r>
        <w:r w:rsidRPr="00E16CA9">
          <w:rPr>
            <w:webHidden/>
          </w:rPr>
          <w:tab/>
        </w:r>
        <w:r w:rsidRPr="00E16CA9">
          <w:rPr>
            <w:webHidden/>
          </w:rPr>
          <w:fldChar w:fldCharType="begin"/>
        </w:r>
        <w:r w:rsidRPr="00E16CA9">
          <w:rPr>
            <w:webHidden/>
          </w:rPr>
          <w:instrText xml:space="preserve"> PAGEREF _Toc75384077 \h </w:instrText>
        </w:r>
        <w:r w:rsidRPr="00E16CA9">
          <w:rPr>
            <w:webHidden/>
          </w:rPr>
        </w:r>
        <w:r w:rsidRPr="00E16CA9">
          <w:rPr>
            <w:webHidden/>
          </w:rPr>
          <w:fldChar w:fldCharType="separate"/>
        </w:r>
        <w:r w:rsidRPr="00E16CA9">
          <w:rPr>
            <w:webHidden/>
          </w:rPr>
          <w:t>3</w:t>
        </w:r>
        <w:r w:rsidRPr="00E16CA9">
          <w:rPr>
            <w:webHidden/>
          </w:rPr>
          <w:fldChar w:fldCharType="end"/>
        </w:r>
      </w:hyperlink>
      <w:r w:rsidR="005A4605">
        <w:t>8</w:t>
      </w:r>
    </w:p>
    <w:p w14:paraId="3864509E" w14:textId="240279D8" w:rsidR="00E16CA9" w:rsidRPr="00E16CA9" w:rsidRDefault="00E16CA9" w:rsidP="00E16CA9">
      <w:pPr>
        <w:pStyle w:val="Inhopg3"/>
        <w:ind w:left="0"/>
        <w:rPr>
          <w:rFonts w:asciiTheme="minorHAnsi" w:eastAsiaTheme="minorEastAsia" w:hAnsiTheme="minorHAnsi" w:cstheme="minorBidi"/>
        </w:rPr>
      </w:pPr>
      <w:hyperlink w:anchor="_Toc75384079" w:history="1">
        <w:r w:rsidRPr="00E16CA9">
          <w:rPr>
            <w:rStyle w:val="Hyperlink"/>
            <w:color w:val="auto"/>
            <w:u w:val="none"/>
          </w:rPr>
          <w:t>Figure 4.3. Seat distribution in Parliament.</w:t>
        </w:r>
        <w:r w:rsidRPr="00E16CA9">
          <w:rPr>
            <w:webHidden/>
          </w:rPr>
          <w:tab/>
        </w:r>
      </w:hyperlink>
      <w:r w:rsidR="005A4605">
        <w:t>39</w:t>
      </w:r>
    </w:p>
    <w:p w14:paraId="2F15B812" w14:textId="0D05B073" w:rsidR="00E16CA9" w:rsidRPr="00E16CA9" w:rsidRDefault="00E16CA9" w:rsidP="00E16CA9">
      <w:pPr>
        <w:pStyle w:val="Inhopg3"/>
        <w:ind w:left="0"/>
        <w:rPr>
          <w:rFonts w:asciiTheme="minorHAnsi" w:eastAsiaTheme="minorEastAsia" w:hAnsiTheme="minorHAnsi" w:cstheme="minorBidi"/>
        </w:rPr>
      </w:pPr>
      <w:hyperlink w:anchor="_Toc75384086" w:history="1">
        <w:r w:rsidRPr="00E16CA9">
          <w:rPr>
            <w:rStyle w:val="Hyperlink"/>
            <w:color w:val="auto"/>
            <w:u w:val="none"/>
          </w:rPr>
          <w:t>Figure 4.4. Number of claims over time.</w:t>
        </w:r>
        <w:r w:rsidRPr="00E16CA9">
          <w:rPr>
            <w:webHidden/>
          </w:rPr>
          <w:tab/>
        </w:r>
        <w:r w:rsidRPr="00E16CA9">
          <w:rPr>
            <w:webHidden/>
          </w:rPr>
          <w:fldChar w:fldCharType="begin"/>
        </w:r>
        <w:r w:rsidRPr="00E16CA9">
          <w:rPr>
            <w:webHidden/>
          </w:rPr>
          <w:instrText xml:space="preserve"> PAGEREF _Toc75384086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3</w:t>
      </w:r>
    </w:p>
    <w:p w14:paraId="57F52F06" w14:textId="235BCC57" w:rsidR="00E16CA9" w:rsidRPr="00E16CA9" w:rsidRDefault="00E16CA9" w:rsidP="00E16CA9">
      <w:pPr>
        <w:pStyle w:val="Inhopg3"/>
        <w:ind w:left="0"/>
        <w:rPr>
          <w:rFonts w:asciiTheme="minorHAnsi" w:eastAsiaTheme="minorEastAsia" w:hAnsiTheme="minorHAnsi" w:cstheme="minorBidi"/>
        </w:rPr>
      </w:pPr>
      <w:hyperlink w:anchor="_Toc75384088" w:history="1">
        <w:r w:rsidRPr="00E16CA9">
          <w:rPr>
            <w:rStyle w:val="Hyperlink"/>
            <w:color w:val="auto"/>
            <w:u w:val="none"/>
          </w:rPr>
          <w:t>Figure 4.5. Claims made per party in the 52</w:t>
        </w:r>
        <w:r w:rsidRPr="00E16CA9">
          <w:rPr>
            <w:rStyle w:val="Hyperlink"/>
            <w:color w:val="auto"/>
            <w:u w:val="none"/>
            <w:vertAlign w:val="superscript"/>
          </w:rPr>
          <w:t>nd</w:t>
        </w:r>
        <w:r w:rsidRPr="00E16CA9">
          <w:rPr>
            <w:rStyle w:val="Hyperlink"/>
            <w:color w:val="auto"/>
            <w:u w:val="none"/>
          </w:rPr>
          <w:t xml:space="preserve"> government period.</w:t>
        </w:r>
        <w:r w:rsidRPr="00E16CA9">
          <w:rPr>
            <w:webHidden/>
          </w:rPr>
          <w:tab/>
        </w:r>
        <w:r w:rsidRPr="00E16CA9">
          <w:rPr>
            <w:webHidden/>
          </w:rPr>
          <w:fldChar w:fldCharType="begin"/>
        </w:r>
        <w:r w:rsidRPr="00E16CA9">
          <w:rPr>
            <w:webHidden/>
          </w:rPr>
          <w:instrText xml:space="preserve"> PAGEREF _Toc75384088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4</w:t>
      </w:r>
    </w:p>
    <w:p w14:paraId="1862B297" w14:textId="026BC933" w:rsidR="00E16CA9" w:rsidRPr="00E16CA9" w:rsidRDefault="00E16CA9" w:rsidP="00E16CA9">
      <w:pPr>
        <w:pStyle w:val="Inhopg3"/>
        <w:ind w:left="0"/>
        <w:rPr>
          <w:rFonts w:asciiTheme="minorHAnsi" w:eastAsiaTheme="minorEastAsia" w:hAnsiTheme="minorHAnsi" w:cstheme="minorBidi"/>
        </w:rPr>
      </w:pPr>
      <w:hyperlink w:anchor="_Toc75384089" w:history="1">
        <w:r w:rsidRPr="00E16CA9">
          <w:rPr>
            <w:rStyle w:val="Hyperlink"/>
            <w:color w:val="auto"/>
            <w:u w:val="none"/>
          </w:rPr>
          <w:t>Figure 4.6. Claims made per party in the 53</w:t>
        </w:r>
        <w:r w:rsidRPr="00E16CA9">
          <w:rPr>
            <w:rStyle w:val="Hyperlink"/>
            <w:color w:val="auto"/>
            <w:u w:val="none"/>
            <w:vertAlign w:val="superscript"/>
          </w:rPr>
          <w:t>rd</w:t>
        </w:r>
        <w:r w:rsidRPr="00E16CA9">
          <w:rPr>
            <w:rStyle w:val="Hyperlink"/>
            <w:color w:val="auto"/>
            <w:u w:val="none"/>
          </w:rPr>
          <w:t xml:space="preserve"> government period.</w:t>
        </w:r>
        <w:r w:rsidRPr="00E16CA9">
          <w:rPr>
            <w:webHidden/>
          </w:rPr>
          <w:tab/>
        </w:r>
        <w:r w:rsidRPr="00E16CA9">
          <w:rPr>
            <w:webHidden/>
          </w:rPr>
          <w:fldChar w:fldCharType="begin"/>
        </w:r>
        <w:r w:rsidRPr="00E16CA9">
          <w:rPr>
            <w:webHidden/>
          </w:rPr>
          <w:instrText xml:space="preserve"> PAGEREF _Toc75384089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5</w:t>
      </w:r>
    </w:p>
    <w:p w14:paraId="1D69FD0F" w14:textId="69E265E0" w:rsidR="00E16CA9" w:rsidRPr="00E16CA9" w:rsidRDefault="00E16CA9" w:rsidP="00E16CA9">
      <w:pPr>
        <w:pStyle w:val="Inhopg3"/>
        <w:ind w:left="0"/>
        <w:rPr>
          <w:rFonts w:asciiTheme="minorHAnsi" w:eastAsiaTheme="minorEastAsia" w:hAnsiTheme="minorHAnsi" w:cstheme="minorBidi"/>
        </w:rPr>
      </w:pPr>
      <w:hyperlink w:anchor="_Toc75384092" w:history="1">
        <w:r w:rsidRPr="00E16CA9">
          <w:rPr>
            <w:rStyle w:val="Hyperlink"/>
            <w:color w:val="auto"/>
            <w:u w:val="none"/>
          </w:rPr>
          <w:t>Figure 4.7. Gender of claimants in the 52</w:t>
        </w:r>
        <w:r w:rsidRPr="00E16CA9">
          <w:rPr>
            <w:rStyle w:val="Hyperlink"/>
            <w:color w:val="auto"/>
            <w:u w:val="none"/>
            <w:vertAlign w:val="superscript"/>
          </w:rPr>
          <w:t>nd</w:t>
        </w:r>
        <w:r w:rsidRPr="00E16CA9">
          <w:rPr>
            <w:rStyle w:val="Hyperlink"/>
            <w:color w:val="auto"/>
            <w:u w:val="none"/>
          </w:rPr>
          <w:t xml:space="preserve"> government period</w:t>
        </w:r>
        <w:r w:rsidRPr="00E16CA9">
          <w:rPr>
            <w:webHidden/>
          </w:rPr>
          <w:tab/>
        </w:r>
        <w:r w:rsidRPr="00E16CA9">
          <w:rPr>
            <w:webHidden/>
          </w:rPr>
          <w:fldChar w:fldCharType="begin"/>
        </w:r>
        <w:r w:rsidRPr="00E16CA9">
          <w:rPr>
            <w:webHidden/>
          </w:rPr>
          <w:instrText xml:space="preserve"> PAGEREF _Toc75384092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6</w:t>
      </w:r>
    </w:p>
    <w:p w14:paraId="5C0FFC9D" w14:textId="0713F75F" w:rsidR="00022DDC" w:rsidRPr="00E16CA9" w:rsidRDefault="00022DDC" w:rsidP="00022DDC">
      <w:pPr>
        <w:pStyle w:val="Inhopg3"/>
        <w:ind w:left="0"/>
        <w:rPr>
          <w:rFonts w:asciiTheme="minorHAnsi" w:eastAsiaTheme="minorEastAsia" w:hAnsiTheme="minorHAnsi" w:cstheme="minorBidi"/>
        </w:rPr>
      </w:pPr>
      <w:hyperlink w:anchor="_Toc75384092" w:history="1">
        <w:r w:rsidRPr="00E16CA9">
          <w:rPr>
            <w:rStyle w:val="Hyperlink"/>
            <w:color w:val="auto"/>
            <w:u w:val="none"/>
          </w:rPr>
          <w:t>Figure 4.</w:t>
        </w:r>
        <w:r>
          <w:rPr>
            <w:rStyle w:val="Hyperlink"/>
            <w:color w:val="auto"/>
            <w:u w:val="none"/>
          </w:rPr>
          <w:t>8</w:t>
        </w:r>
        <w:r w:rsidRPr="00E16CA9">
          <w:rPr>
            <w:rStyle w:val="Hyperlink"/>
            <w:color w:val="auto"/>
            <w:u w:val="none"/>
          </w:rPr>
          <w:t>. Gender of claimants in the 5</w:t>
        </w:r>
        <w:r>
          <w:rPr>
            <w:rStyle w:val="Hyperlink"/>
            <w:color w:val="auto"/>
            <w:u w:val="none"/>
          </w:rPr>
          <w:t>3</w:t>
        </w:r>
        <w:r>
          <w:rPr>
            <w:rStyle w:val="Hyperlink"/>
            <w:color w:val="auto"/>
            <w:u w:val="none"/>
            <w:vertAlign w:val="superscript"/>
          </w:rPr>
          <w:t>3</w:t>
        </w:r>
        <w:r w:rsidRPr="00E16CA9">
          <w:rPr>
            <w:rStyle w:val="Hyperlink"/>
            <w:color w:val="auto"/>
            <w:u w:val="none"/>
            <w:vertAlign w:val="superscript"/>
          </w:rPr>
          <w:t>d</w:t>
        </w:r>
        <w:r w:rsidRPr="00E16CA9">
          <w:rPr>
            <w:rStyle w:val="Hyperlink"/>
            <w:color w:val="auto"/>
            <w:u w:val="none"/>
          </w:rPr>
          <w:t xml:space="preserve"> government period</w:t>
        </w:r>
        <w:r w:rsidRPr="00E16CA9">
          <w:rPr>
            <w:webHidden/>
          </w:rPr>
          <w:tab/>
        </w:r>
        <w:r w:rsidRPr="00E16CA9">
          <w:rPr>
            <w:webHidden/>
          </w:rPr>
          <w:fldChar w:fldCharType="begin"/>
        </w:r>
        <w:r w:rsidRPr="00E16CA9">
          <w:rPr>
            <w:webHidden/>
          </w:rPr>
          <w:instrText xml:space="preserve"> PAGEREF _Toc75384092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6</w:t>
      </w:r>
    </w:p>
    <w:p w14:paraId="334F1C91" w14:textId="433CAB6E" w:rsidR="000B27C3" w:rsidRPr="009B73A4" w:rsidRDefault="000B27C3" w:rsidP="000B27C3">
      <w:pPr>
        <w:pStyle w:val="Inhopg3"/>
        <w:ind w:left="0"/>
        <w:rPr>
          <w:rFonts w:asciiTheme="minorHAnsi" w:eastAsiaTheme="minorEastAsia" w:hAnsiTheme="minorHAnsi" w:cstheme="minorBidi"/>
        </w:rPr>
      </w:pPr>
      <w:hyperlink w:anchor="_Toc75384112" w:history="1">
        <w:r w:rsidRPr="009B73A4">
          <w:rPr>
            <w:rStyle w:val="Hyperlink"/>
            <w:color w:val="auto"/>
            <w:u w:val="none"/>
          </w:rPr>
          <w:t>Figure 4.</w:t>
        </w:r>
        <w:r>
          <w:rPr>
            <w:rStyle w:val="Hyperlink"/>
            <w:color w:val="auto"/>
            <w:u w:val="none"/>
          </w:rPr>
          <w:t>9</w:t>
        </w:r>
        <w:r w:rsidRPr="009B73A4">
          <w:rPr>
            <w:rStyle w:val="Hyperlink"/>
            <w:color w:val="auto"/>
            <w:u w:val="none"/>
          </w:rPr>
          <w:t xml:space="preserve">. </w:t>
        </w:r>
        <w:r>
          <w:rPr>
            <w:rStyle w:val="Hyperlink"/>
            <w:color w:val="auto"/>
            <w:u w:val="none"/>
          </w:rPr>
          <w:t xml:space="preserve">Issues mentioned by MPs </w:t>
        </w:r>
        <w:r w:rsidRPr="009B73A4">
          <w:rPr>
            <w:rStyle w:val="Hyperlink"/>
            <w:color w:val="auto"/>
            <w:u w:val="none"/>
          </w:rPr>
          <w:t>in both government periods.</w:t>
        </w:r>
        <w:r w:rsidRPr="009B73A4">
          <w:rPr>
            <w:webHidden/>
          </w:rPr>
          <w:tab/>
        </w:r>
      </w:hyperlink>
      <w:r w:rsidR="005A4605">
        <w:t>48</w:t>
      </w:r>
      <w:hyperlink w:anchor="_Toc75384113" w:history="1"/>
    </w:p>
    <w:p w14:paraId="1DAC7D9F" w14:textId="7994CB2B" w:rsidR="00566103" w:rsidRPr="009B73A4" w:rsidRDefault="00566103" w:rsidP="00E16CA9">
      <w:pPr>
        <w:rPr>
          <w:lang w:val="en-GB"/>
        </w:rPr>
      </w:pPr>
      <w:hyperlink w:anchor="_Toc75384101" w:history="1">
        <w:r w:rsidRPr="009B73A4">
          <w:rPr>
            <w:rStyle w:val="Hyperlink"/>
            <w:color w:val="auto"/>
            <w:u w:val="none"/>
            <w:lang w:val="en-GB"/>
          </w:rPr>
          <w:t>Figure 4.10. Issues mentioned by (non-)Māori MPs in both government periods</w:t>
        </w:r>
        <w:r w:rsidR="009B73A4">
          <w:rPr>
            <w:rStyle w:val="Hyperlink"/>
            <w:color w:val="auto"/>
            <w:u w:val="none"/>
            <w:lang w:val="en-GB"/>
          </w:rPr>
          <w:t>……………………………..</w:t>
        </w:r>
        <w:r w:rsidRPr="009B73A4">
          <w:rPr>
            <w:webHidden/>
          </w:rPr>
          <w:fldChar w:fldCharType="begin"/>
        </w:r>
        <w:r w:rsidRPr="009B73A4">
          <w:rPr>
            <w:webHidden/>
            <w:lang w:val="en-GB"/>
          </w:rPr>
          <w:instrText xml:space="preserve"> PAGEREF _Toc75384101 \h </w:instrText>
        </w:r>
        <w:r w:rsidRPr="009B73A4">
          <w:rPr>
            <w:webHidden/>
          </w:rPr>
        </w:r>
        <w:r w:rsidRPr="009B73A4">
          <w:rPr>
            <w:webHidden/>
          </w:rPr>
          <w:fldChar w:fldCharType="separate"/>
        </w:r>
        <w:r w:rsidRPr="009B73A4">
          <w:rPr>
            <w:webHidden/>
            <w:lang w:val="en-GB"/>
          </w:rPr>
          <w:t>5</w:t>
        </w:r>
        <w:r w:rsidRPr="009B73A4">
          <w:rPr>
            <w:webHidden/>
          </w:rPr>
          <w:fldChar w:fldCharType="end"/>
        </w:r>
      </w:hyperlink>
      <w:r w:rsidR="005A4605">
        <w:t>0</w:t>
      </w:r>
    </w:p>
    <w:p w14:paraId="205B8004" w14:textId="15EEE045" w:rsidR="00E71D79" w:rsidRPr="009B73A4" w:rsidRDefault="00E71D79" w:rsidP="00E71D79">
      <w:pPr>
        <w:pStyle w:val="Inhopg3"/>
        <w:ind w:left="0"/>
        <w:rPr>
          <w:rFonts w:asciiTheme="minorHAnsi" w:eastAsiaTheme="minorEastAsia" w:hAnsiTheme="minorHAnsi" w:cstheme="minorBidi"/>
        </w:rPr>
      </w:pPr>
      <w:hyperlink w:anchor="_Toc75384114" w:history="1">
        <w:r w:rsidRPr="009B73A4">
          <w:rPr>
            <w:rStyle w:val="Hyperlink"/>
            <w:color w:val="auto"/>
            <w:u w:val="none"/>
          </w:rPr>
          <w:t>Figure 4.1</w:t>
        </w:r>
        <w:r>
          <w:rPr>
            <w:rStyle w:val="Hyperlink"/>
            <w:color w:val="auto"/>
            <w:u w:val="none"/>
          </w:rPr>
          <w:t>2</w:t>
        </w:r>
        <w:r w:rsidRPr="009B73A4">
          <w:rPr>
            <w:rStyle w:val="Hyperlink"/>
            <w:color w:val="auto"/>
            <w:u w:val="none"/>
          </w:rPr>
          <w:t>. Justification</w:t>
        </w:r>
        <w:r>
          <w:rPr>
            <w:rStyle w:val="Hyperlink"/>
            <w:color w:val="auto"/>
            <w:u w:val="none"/>
          </w:rPr>
          <w:t>s used</w:t>
        </w:r>
        <w:r w:rsidRPr="009B73A4">
          <w:rPr>
            <w:rStyle w:val="Hyperlink"/>
            <w:color w:val="auto"/>
            <w:u w:val="none"/>
          </w:rPr>
          <w:t xml:space="preserve"> both government periods.</w:t>
        </w:r>
        <w:r w:rsidRPr="009B73A4">
          <w:rPr>
            <w:webHidden/>
          </w:rPr>
          <w:tab/>
        </w:r>
        <w:r w:rsidRPr="009B73A4">
          <w:rPr>
            <w:webHidden/>
          </w:rPr>
          <w:fldChar w:fldCharType="begin"/>
        </w:r>
        <w:r w:rsidRPr="009B73A4">
          <w:rPr>
            <w:webHidden/>
          </w:rPr>
          <w:instrText xml:space="preserve"> PAGEREF _Toc75384114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4</w:t>
      </w:r>
    </w:p>
    <w:p w14:paraId="7A1C3A14" w14:textId="14E9A5A4" w:rsidR="009B73A4" w:rsidRPr="009B73A4" w:rsidRDefault="009B73A4" w:rsidP="009B73A4">
      <w:pPr>
        <w:pStyle w:val="Inhopg3"/>
        <w:ind w:left="0"/>
        <w:rPr>
          <w:rFonts w:asciiTheme="minorHAnsi" w:eastAsiaTheme="minorEastAsia" w:hAnsiTheme="minorHAnsi" w:cstheme="minorBidi"/>
        </w:rPr>
      </w:pPr>
      <w:hyperlink w:anchor="_Toc75384114" w:history="1">
        <w:r w:rsidRPr="009B73A4">
          <w:rPr>
            <w:rStyle w:val="Hyperlink"/>
            <w:color w:val="auto"/>
            <w:u w:val="none"/>
          </w:rPr>
          <w:t>Figure 4.1</w:t>
        </w:r>
        <w:r w:rsidR="000B27C3">
          <w:rPr>
            <w:rStyle w:val="Hyperlink"/>
            <w:color w:val="auto"/>
            <w:u w:val="none"/>
          </w:rPr>
          <w:t>2</w:t>
        </w:r>
        <w:r w:rsidRPr="009B73A4">
          <w:rPr>
            <w:rStyle w:val="Hyperlink"/>
            <w:color w:val="auto"/>
            <w:u w:val="none"/>
          </w:rPr>
          <w:t>. Justification per issue of both government periods.</w:t>
        </w:r>
        <w:r w:rsidRPr="009B73A4">
          <w:rPr>
            <w:webHidden/>
          </w:rPr>
          <w:tab/>
        </w:r>
        <w:r w:rsidRPr="009B73A4">
          <w:rPr>
            <w:webHidden/>
          </w:rPr>
          <w:fldChar w:fldCharType="begin"/>
        </w:r>
        <w:r w:rsidRPr="009B73A4">
          <w:rPr>
            <w:webHidden/>
          </w:rPr>
          <w:instrText xml:space="preserve"> PAGEREF _Toc75384114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5</w:t>
      </w:r>
    </w:p>
    <w:p w14:paraId="65FF8B8F" w14:textId="77777777" w:rsidR="009B73A4" w:rsidRPr="00E16CA9" w:rsidRDefault="009B73A4" w:rsidP="00E16CA9">
      <w:pPr>
        <w:rPr>
          <w:lang w:val="en-GB"/>
        </w:rPr>
      </w:pPr>
    </w:p>
    <w:p w14:paraId="6E8701A5" w14:textId="17427F67" w:rsidR="002A741B" w:rsidRPr="00B56346" w:rsidRDefault="002A741B" w:rsidP="002A741B">
      <w:pPr>
        <w:pStyle w:val="Kop1"/>
        <w:rPr>
          <w:lang w:val="en-GB"/>
        </w:rPr>
      </w:pPr>
      <w:r w:rsidRPr="00B56346">
        <w:rPr>
          <w:lang w:val="en-GB"/>
        </w:rPr>
        <w:lastRenderedPageBreak/>
        <w:t>List of tables</w:t>
      </w:r>
    </w:p>
    <w:p w14:paraId="7B2B1E87" w14:textId="072A8E75" w:rsidR="00E16CA9" w:rsidRPr="00E16CA9" w:rsidRDefault="00E16CA9" w:rsidP="00E16CA9">
      <w:pPr>
        <w:pStyle w:val="Inhopg3"/>
        <w:ind w:left="0"/>
        <w:rPr>
          <w:rFonts w:asciiTheme="minorHAnsi" w:eastAsiaTheme="minorEastAsia" w:hAnsiTheme="minorHAnsi" w:cstheme="minorBidi"/>
        </w:rPr>
      </w:pPr>
      <w:hyperlink w:anchor="_Toc75384070" w:history="1">
        <w:r w:rsidRPr="00E16CA9">
          <w:rPr>
            <w:rStyle w:val="Hyperlink"/>
            <w:color w:val="auto"/>
            <w:u w:val="none"/>
          </w:rPr>
          <w:t>Table 3.1 Examples of claims</w:t>
        </w:r>
        <w:r w:rsidRPr="00E16CA9">
          <w:rPr>
            <w:webHidden/>
          </w:rPr>
          <w:tab/>
        </w:r>
        <w:r w:rsidRPr="00E16CA9">
          <w:rPr>
            <w:webHidden/>
          </w:rPr>
          <w:fldChar w:fldCharType="begin"/>
        </w:r>
        <w:r w:rsidRPr="00E16CA9">
          <w:rPr>
            <w:webHidden/>
          </w:rPr>
          <w:instrText xml:space="preserve"> PAGEREF _Toc75384070 \h </w:instrText>
        </w:r>
        <w:r w:rsidRPr="00E16CA9">
          <w:rPr>
            <w:webHidden/>
          </w:rPr>
        </w:r>
        <w:r w:rsidRPr="00E16CA9">
          <w:rPr>
            <w:webHidden/>
          </w:rPr>
          <w:fldChar w:fldCharType="separate"/>
        </w:r>
        <w:r w:rsidRPr="00E16CA9">
          <w:rPr>
            <w:webHidden/>
          </w:rPr>
          <w:t>3</w:t>
        </w:r>
        <w:r w:rsidRPr="00E16CA9">
          <w:rPr>
            <w:webHidden/>
          </w:rPr>
          <w:fldChar w:fldCharType="end"/>
        </w:r>
      </w:hyperlink>
      <w:r w:rsidR="005A4605">
        <w:t>3</w:t>
      </w:r>
    </w:p>
    <w:p w14:paraId="51C612AA" w14:textId="6FE473B5" w:rsidR="00E16CA9" w:rsidRPr="00E16CA9" w:rsidRDefault="00E16CA9" w:rsidP="00E16CA9">
      <w:pPr>
        <w:pStyle w:val="Inhopg3"/>
        <w:ind w:left="0"/>
        <w:rPr>
          <w:rFonts w:asciiTheme="minorHAnsi" w:eastAsiaTheme="minorEastAsia" w:hAnsiTheme="minorHAnsi" w:cstheme="minorBidi"/>
        </w:rPr>
      </w:pPr>
      <w:hyperlink w:anchor="_Toc75384082" w:history="1">
        <w:r w:rsidRPr="00E16CA9">
          <w:rPr>
            <w:rStyle w:val="Hyperlink"/>
            <w:color w:val="auto"/>
            <w:u w:val="none"/>
          </w:rPr>
          <w:t>Table 4.1. Number of claims made by (non-)Māori MPs.</w:t>
        </w:r>
        <w:r w:rsidRPr="00E16CA9">
          <w:rPr>
            <w:webHidden/>
          </w:rPr>
          <w:tab/>
        </w:r>
        <w:r w:rsidRPr="00E16CA9">
          <w:rPr>
            <w:webHidden/>
          </w:rPr>
          <w:fldChar w:fldCharType="begin"/>
        </w:r>
        <w:r w:rsidRPr="00E16CA9">
          <w:rPr>
            <w:webHidden/>
          </w:rPr>
          <w:instrText xml:space="preserve"> PAGEREF _Toc75384082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1</w:t>
      </w:r>
    </w:p>
    <w:p w14:paraId="36C6F56D" w14:textId="39292A47" w:rsidR="00E16CA9" w:rsidRPr="00E16CA9" w:rsidRDefault="00E16CA9" w:rsidP="00E16CA9">
      <w:pPr>
        <w:pStyle w:val="Inhopg3"/>
        <w:ind w:left="0"/>
        <w:rPr>
          <w:rFonts w:asciiTheme="minorHAnsi" w:eastAsiaTheme="minorEastAsia" w:hAnsiTheme="minorHAnsi" w:cstheme="minorBidi"/>
        </w:rPr>
      </w:pPr>
      <w:hyperlink w:anchor="_Toc75384083" w:history="1">
        <w:r w:rsidRPr="00E16CA9">
          <w:rPr>
            <w:rStyle w:val="Hyperlink"/>
            <w:color w:val="auto"/>
            <w:u w:val="none"/>
          </w:rPr>
          <w:t>Table 4.2. Number of (non-)Māori MPs.</w:t>
        </w:r>
        <w:r w:rsidRPr="00E16CA9">
          <w:rPr>
            <w:webHidden/>
          </w:rPr>
          <w:tab/>
        </w:r>
        <w:r w:rsidRPr="00E16CA9">
          <w:rPr>
            <w:webHidden/>
          </w:rPr>
          <w:fldChar w:fldCharType="begin"/>
        </w:r>
        <w:r w:rsidRPr="00E16CA9">
          <w:rPr>
            <w:webHidden/>
          </w:rPr>
          <w:instrText xml:space="preserve"> PAGEREF _Toc75384083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1</w:t>
      </w:r>
    </w:p>
    <w:p w14:paraId="09C21F22" w14:textId="09B2257C" w:rsidR="00E16CA9" w:rsidRPr="00E16CA9" w:rsidRDefault="00E16CA9" w:rsidP="00E16CA9">
      <w:pPr>
        <w:pStyle w:val="Inhopg3"/>
        <w:ind w:left="0"/>
        <w:rPr>
          <w:rFonts w:asciiTheme="minorHAnsi" w:eastAsiaTheme="minorEastAsia" w:hAnsiTheme="minorHAnsi" w:cstheme="minorBidi"/>
        </w:rPr>
      </w:pPr>
      <w:hyperlink w:anchor="_Toc75384084" w:history="1">
        <w:r w:rsidRPr="00E16CA9">
          <w:rPr>
            <w:rStyle w:val="Hyperlink"/>
            <w:color w:val="auto"/>
            <w:u w:val="none"/>
          </w:rPr>
          <w:t>Table 4.3. Chi-Square tests (non-)Māori MPs.</w:t>
        </w:r>
        <w:r w:rsidRPr="00E16CA9">
          <w:rPr>
            <w:webHidden/>
          </w:rPr>
          <w:tab/>
        </w:r>
        <w:r w:rsidRPr="00E16CA9">
          <w:rPr>
            <w:webHidden/>
          </w:rPr>
          <w:fldChar w:fldCharType="begin"/>
        </w:r>
        <w:r w:rsidRPr="00E16CA9">
          <w:rPr>
            <w:webHidden/>
          </w:rPr>
          <w:instrText xml:space="preserve"> PAGEREF _Toc75384084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2</w:t>
      </w:r>
    </w:p>
    <w:p w14:paraId="4493C9B0" w14:textId="58DF4A05" w:rsidR="00E16CA9" w:rsidRPr="00E16CA9" w:rsidRDefault="00E16CA9" w:rsidP="00E16CA9">
      <w:pPr>
        <w:pStyle w:val="Inhopg3"/>
        <w:ind w:left="0"/>
        <w:rPr>
          <w:rFonts w:asciiTheme="minorHAnsi" w:eastAsiaTheme="minorEastAsia" w:hAnsiTheme="minorHAnsi" w:cstheme="minorBidi"/>
        </w:rPr>
      </w:pPr>
      <w:hyperlink w:anchor="_Toc75384090" w:history="1">
        <w:r w:rsidRPr="00E16CA9">
          <w:rPr>
            <w:rStyle w:val="Hyperlink"/>
            <w:color w:val="auto"/>
            <w:u w:val="none"/>
          </w:rPr>
          <w:t>Table 4.4. Average number of claims made in the 53</w:t>
        </w:r>
        <w:r w:rsidRPr="00E16CA9">
          <w:rPr>
            <w:rStyle w:val="Hyperlink"/>
            <w:color w:val="auto"/>
            <w:u w:val="none"/>
            <w:vertAlign w:val="superscript"/>
          </w:rPr>
          <w:t>rd</w:t>
        </w:r>
        <w:r w:rsidRPr="00E16CA9">
          <w:rPr>
            <w:rStyle w:val="Hyperlink"/>
            <w:color w:val="auto"/>
            <w:u w:val="none"/>
          </w:rPr>
          <w:t xml:space="preserve"> government period.</w:t>
        </w:r>
        <w:r w:rsidRPr="00E16CA9">
          <w:rPr>
            <w:webHidden/>
          </w:rPr>
          <w:tab/>
        </w:r>
        <w:r w:rsidRPr="00E16CA9">
          <w:rPr>
            <w:webHidden/>
          </w:rPr>
          <w:fldChar w:fldCharType="begin"/>
        </w:r>
        <w:r w:rsidRPr="00E16CA9">
          <w:rPr>
            <w:webHidden/>
          </w:rPr>
          <w:instrText xml:space="preserve"> PAGEREF _Toc75384090 \h </w:instrText>
        </w:r>
        <w:r w:rsidRPr="00E16CA9">
          <w:rPr>
            <w:webHidden/>
          </w:rPr>
        </w:r>
        <w:r w:rsidRPr="00E16CA9">
          <w:rPr>
            <w:webHidden/>
          </w:rPr>
          <w:fldChar w:fldCharType="separate"/>
        </w:r>
        <w:r w:rsidRPr="00E16CA9">
          <w:rPr>
            <w:webHidden/>
          </w:rPr>
          <w:t>4</w:t>
        </w:r>
        <w:r w:rsidRPr="00E16CA9">
          <w:rPr>
            <w:webHidden/>
          </w:rPr>
          <w:fldChar w:fldCharType="end"/>
        </w:r>
      </w:hyperlink>
      <w:r w:rsidR="005A4605">
        <w:t>5</w:t>
      </w:r>
    </w:p>
    <w:p w14:paraId="4641DC6D" w14:textId="4E298663" w:rsidR="00125A26" w:rsidRPr="00566103" w:rsidRDefault="00125A26" w:rsidP="00125A26">
      <w:pPr>
        <w:pStyle w:val="Inhopg3"/>
        <w:ind w:left="0"/>
        <w:rPr>
          <w:rFonts w:asciiTheme="minorHAnsi" w:eastAsiaTheme="minorEastAsia" w:hAnsiTheme="minorHAnsi" w:cstheme="minorBidi"/>
        </w:rPr>
      </w:pPr>
      <w:hyperlink w:anchor="_Toc75384095" w:history="1">
        <w:r w:rsidRPr="00566103">
          <w:rPr>
            <w:rStyle w:val="Hyperlink"/>
            <w:color w:val="auto"/>
            <w:u w:val="none"/>
          </w:rPr>
          <w:t>Table 4.</w:t>
        </w:r>
        <w:r>
          <w:rPr>
            <w:rStyle w:val="Hyperlink"/>
            <w:color w:val="auto"/>
            <w:u w:val="none"/>
          </w:rPr>
          <w:t>5</w:t>
        </w:r>
        <w:r w:rsidRPr="00566103">
          <w:rPr>
            <w:rStyle w:val="Hyperlink"/>
            <w:color w:val="auto"/>
            <w:u w:val="none"/>
          </w:rPr>
          <w:t xml:space="preserve">. </w:t>
        </w:r>
        <w:r>
          <w:rPr>
            <w:rStyle w:val="Hyperlink"/>
            <w:color w:val="auto"/>
            <w:u w:val="none"/>
          </w:rPr>
          <w:t>Chi-square test claimants</w:t>
        </w:r>
        <w:r w:rsidRPr="00566103">
          <w:rPr>
            <w:rStyle w:val="Hyperlink"/>
            <w:color w:val="auto"/>
            <w:u w:val="none"/>
          </w:rPr>
          <w:t>.</w:t>
        </w:r>
        <w:r w:rsidRPr="00566103">
          <w:rPr>
            <w:webHidden/>
          </w:rPr>
          <w:tab/>
        </w:r>
        <w:r w:rsidRPr="00566103">
          <w:rPr>
            <w:webHidden/>
          </w:rPr>
          <w:fldChar w:fldCharType="begin"/>
        </w:r>
        <w:r w:rsidRPr="00566103">
          <w:rPr>
            <w:webHidden/>
          </w:rPr>
          <w:instrText xml:space="preserve"> PAGEREF _Toc75384095 \h </w:instrText>
        </w:r>
        <w:r w:rsidRPr="00566103">
          <w:rPr>
            <w:webHidden/>
          </w:rPr>
        </w:r>
        <w:r w:rsidRPr="00566103">
          <w:rPr>
            <w:webHidden/>
          </w:rPr>
          <w:fldChar w:fldCharType="separate"/>
        </w:r>
        <w:r w:rsidRPr="00566103">
          <w:rPr>
            <w:webHidden/>
          </w:rPr>
          <w:t>4</w:t>
        </w:r>
        <w:r w:rsidRPr="00566103">
          <w:rPr>
            <w:webHidden/>
          </w:rPr>
          <w:fldChar w:fldCharType="end"/>
        </w:r>
      </w:hyperlink>
      <w:r w:rsidR="005A4605">
        <w:t>6</w:t>
      </w:r>
    </w:p>
    <w:p w14:paraId="17347343" w14:textId="12A52387" w:rsidR="00566103" w:rsidRPr="00566103" w:rsidRDefault="00566103" w:rsidP="00566103">
      <w:pPr>
        <w:pStyle w:val="Inhopg3"/>
        <w:ind w:left="0"/>
        <w:rPr>
          <w:rFonts w:asciiTheme="minorHAnsi" w:eastAsiaTheme="minorEastAsia" w:hAnsiTheme="minorHAnsi" w:cstheme="minorBidi"/>
        </w:rPr>
      </w:pPr>
      <w:hyperlink w:anchor="_Toc75384095" w:history="1">
        <w:r w:rsidRPr="00566103">
          <w:rPr>
            <w:rStyle w:val="Hyperlink"/>
            <w:color w:val="auto"/>
            <w:u w:val="none"/>
          </w:rPr>
          <w:t>Table 4.6. Issue-categories.</w:t>
        </w:r>
        <w:r w:rsidRPr="00566103">
          <w:rPr>
            <w:webHidden/>
          </w:rPr>
          <w:tab/>
        </w:r>
        <w:r w:rsidRPr="00566103">
          <w:rPr>
            <w:webHidden/>
          </w:rPr>
          <w:fldChar w:fldCharType="begin"/>
        </w:r>
        <w:r w:rsidRPr="00566103">
          <w:rPr>
            <w:webHidden/>
          </w:rPr>
          <w:instrText xml:space="preserve"> PAGEREF _Toc75384095 \h </w:instrText>
        </w:r>
        <w:r w:rsidRPr="00566103">
          <w:rPr>
            <w:webHidden/>
          </w:rPr>
        </w:r>
        <w:r w:rsidRPr="00566103">
          <w:rPr>
            <w:webHidden/>
          </w:rPr>
          <w:fldChar w:fldCharType="separate"/>
        </w:r>
        <w:r w:rsidRPr="00566103">
          <w:rPr>
            <w:webHidden/>
          </w:rPr>
          <w:t>4</w:t>
        </w:r>
        <w:r w:rsidRPr="00566103">
          <w:rPr>
            <w:webHidden/>
          </w:rPr>
          <w:fldChar w:fldCharType="end"/>
        </w:r>
      </w:hyperlink>
      <w:r w:rsidR="005A4605">
        <w:t>7</w:t>
      </w:r>
    </w:p>
    <w:p w14:paraId="52368663" w14:textId="03584319" w:rsidR="00566103" w:rsidRPr="00566103" w:rsidRDefault="00566103" w:rsidP="00566103">
      <w:pPr>
        <w:pStyle w:val="Inhopg3"/>
        <w:ind w:left="0"/>
        <w:rPr>
          <w:rFonts w:asciiTheme="minorHAnsi" w:eastAsiaTheme="minorEastAsia" w:hAnsiTheme="minorHAnsi" w:cstheme="minorBidi"/>
        </w:rPr>
      </w:pPr>
      <w:hyperlink w:anchor="_Toc75384096" w:history="1">
        <w:r w:rsidRPr="00566103">
          <w:rPr>
            <w:rStyle w:val="Hyperlink"/>
            <w:color w:val="auto"/>
            <w:u w:val="none"/>
          </w:rPr>
          <w:t>Table 4.7. Indigenous-specific/universal issues addressed by MPs during both government periods.</w:t>
        </w:r>
        <w:r w:rsidRPr="00566103">
          <w:rPr>
            <w:webHidden/>
          </w:rPr>
          <w:tab/>
        </w:r>
        <w:r w:rsidRPr="00566103">
          <w:rPr>
            <w:webHidden/>
          </w:rPr>
          <w:fldChar w:fldCharType="begin"/>
        </w:r>
        <w:r w:rsidRPr="00566103">
          <w:rPr>
            <w:webHidden/>
          </w:rPr>
          <w:instrText xml:space="preserve"> PAGEREF _Toc75384096 \h </w:instrText>
        </w:r>
        <w:r w:rsidRPr="00566103">
          <w:rPr>
            <w:webHidden/>
          </w:rPr>
        </w:r>
        <w:r w:rsidRPr="00566103">
          <w:rPr>
            <w:webHidden/>
          </w:rPr>
          <w:fldChar w:fldCharType="separate"/>
        </w:r>
        <w:r w:rsidRPr="00566103">
          <w:rPr>
            <w:webHidden/>
          </w:rPr>
          <w:t>4</w:t>
        </w:r>
        <w:r w:rsidRPr="00566103">
          <w:rPr>
            <w:webHidden/>
          </w:rPr>
          <w:fldChar w:fldCharType="end"/>
        </w:r>
      </w:hyperlink>
      <w:r w:rsidR="005A4605">
        <w:t>7</w:t>
      </w:r>
    </w:p>
    <w:p w14:paraId="10CE74E3" w14:textId="27F382D0" w:rsidR="00566103" w:rsidRPr="00566103" w:rsidRDefault="00566103" w:rsidP="00566103">
      <w:pPr>
        <w:pStyle w:val="Inhopg3"/>
        <w:ind w:left="0"/>
        <w:rPr>
          <w:rFonts w:asciiTheme="minorHAnsi" w:eastAsiaTheme="minorEastAsia" w:hAnsiTheme="minorHAnsi" w:cstheme="minorBidi"/>
        </w:rPr>
      </w:pPr>
      <w:hyperlink w:anchor="_Toc75384097" w:history="1">
        <w:r w:rsidRPr="00566103">
          <w:rPr>
            <w:rStyle w:val="Hyperlink"/>
            <w:color w:val="auto"/>
            <w:u w:val="none"/>
          </w:rPr>
          <w:t>Table 4.8 Cramer’s V: MPs and issues.</w:t>
        </w:r>
        <w:r w:rsidRPr="00566103">
          <w:rPr>
            <w:webHidden/>
          </w:rPr>
          <w:tab/>
        </w:r>
        <w:r w:rsidRPr="00566103">
          <w:rPr>
            <w:webHidden/>
          </w:rPr>
          <w:fldChar w:fldCharType="begin"/>
        </w:r>
        <w:r w:rsidRPr="00566103">
          <w:rPr>
            <w:webHidden/>
          </w:rPr>
          <w:instrText xml:space="preserve"> PAGEREF _Toc75384097 \h </w:instrText>
        </w:r>
        <w:r w:rsidRPr="00566103">
          <w:rPr>
            <w:webHidden/>
          </w:rPr>
        </w:r>
        <w:r w:rsidRPr="00566103">
          <w:rPr>
            <w:webHidden/>
          </w:rPr>
          <w:fldChar w:fldCharType="separate"/>
        </w:r>
        <w:r w:rsidRPr="00566103">
          <w:rPr>
            <w:webHidden/>
          </w:rPr>
          <w:t>4</w:t>
        </w:r>
        <w:r w:rsidRPr="00566103">
          <w:rPr>
            <w:webHidden/>
          </w:rPr>
          <w:fldChar w:fldCharType="end"/>
        </w:r>
      </w:hyperlink>
      <w:r w:rsidR="005A4605">
        <w:t>7</w:t>
      </w:r>
    </w:p>
    <w:p w14:paraId="1286AFF2" w14:textId="28EF2C9D" w:rsidR="00566103" w:rsidRPr="00566103" w:rsidRDefault="00566103" w:rsidP="00566103">
      <w:pPr>
        <w:pStyle w:val="Inhopg3"/>
        <w:ind w:left="0"/>
        <w:rPr>
          <w:rFonts w:asciiTheme="minorHAnsi" w:eastAsiaTheme="minorEastAsia" w:hAnsiTheme="minorHAnsi" w:cstheme="minorBidi"/>
        </w:rPr>
      </w:pPr>
      <w:hyperlink w:anchor="_Toc75384099" w:history="1">
        <w:r w:rsidRPr="00566103">
          <w:rPr>
            <w:rStyle w:val="Hyperlink"/>
            <w:color w:val="auto"/>
            <w:u w:val="none"/>
          </w:rPr>
          <w:t>Table 4.9. Issues mentioned by MPs.</w:t>
        </w:r>
        <w:r w:rsidRPr="00566103">
          <w:rPr>
            <w:webHidden/>
          </w:rPr>
          <w:tab/>
        </w:r>
      </w:hyperlink>
      <w:r w:rsidR="005A4605">
        <w:t>49</w:t>
      </w:r>
    </w:p>
    <w:p w14:paraId="54187F13" w14:textId="4D094C22" w:rsidR="00566103" w:rsidRPr="00566103" w:rsidRDefault="00566103" w:rsidP="00566103">
      <w:pPr>
        <w:pStyle w:val="Inhopg3"/>
        <w:ind w:left="0"/>
        <w:rPr>
          <w:rFonts w:asciiTheme="minorHAnsi" w:eastAsiaTheme="minorEastAsia" w:hAnsiTheme="minorHAnsi" w:cstheme="minorBidi"/>
        </w:rPr>
      </w:pPr>
      <w:hyperlink w:anchor="_Toc75384100" w:history="1">
        <w:r w:rsidRPr="00566103">
          <w:rPr>
            <w:rStyle w:val="Hyperlink"/>
            <w:color w:val="auto"/>
            <w:u w:val="none"/>
          </w:rPr>
          <w:t>Table 4.10. Chi-square tests issues.</w:t>
        </w:r>
        <w:r w:rsidRPr="00566103">
          <w:rPr>
            <w:webHidden/>
          </w:rPr>
          <w:tab/>
        </w:r>
      </w:hyperlink>
      <w:r w:rsidR="005A4605">
        <w:t>49</w:t>
      </w:r>
    </w:p>
    <w:p w14:paraId="6D91BCD9" w14:textId="2AA8400C" w:rsidR="009B73A4" w:rsidRPr="009B73A4" w:rsidRDefault="009B73A4" w:rsidP="009B73A4">
      <w:pPr>
        <w:pStyle w:val="Inhopg3"/>
        <w:ind w:left="0"/>
        <w:rPr>
          <w:rFonts w:asciiTheme="minorHAnsi" w:eastAsiaTheme="minorEastAsia" w:hAnsiTheme="minorHAnsi" w:cstheme="minorBidi"/>
        </w:rPr>
      </w:pPr>
      <w:hyperlink w:anchor="_Toc75384103" w:history="1">
        <w:r w:rsidRPr="009B73A4">
          <w:rPr>
            <w:rStyle w:val="Hyperlink"/>
            <w:color w:val="auto"/>
            <w:u w:val="none"/>
          </w:rPr>
          <w:t>Table 4.11. Object of the claims.</w:t>
        </w:r>
        <w:r w:rsidRPr="009B73A4">
          <w:rPr>
            <w:webHidden/>
          </w:rPr>
          <w:tab/>
        </w:r>
        <w:r w:rsidRPr="009B73A4">
          <w:rPr>
            <w:webHidden/>
          </w:rPr>
          <w:fldChar w:fldCharType="begin"/>
        </w:r>
        <w:r w:rsidRPr="009B73A4">
          <w:rPr>
            <w:webHidden/>
          </w:rPr>
          <w:instrText xml:space="preserve"> PAGEREF _Toc75384103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0</w:t>
      </w:r>
    </w:p>
    <w:p w14:paraId="2508DA67" w14:textId="10BE4BB4" w:rsidR="009B73A4" w:rsidRPr="009B73A4" w:rsidRDefault="009B73A4" w:rsidP="009B73A4">
      <w:pPr>
        <w:pStyle w:val="Inhopg3"/>
        <w:ind w:left="0"/>
        <w:rPr>
          <w:rFonts w:asciiTheme="minorHAnsi" w:eastAsiaTheme="minorEastAsia" w:hAnsiTheme="minorHAnsi" w:cstheme="minorBidi"/>
        </w:rPr>
      </w:pPr>
      <w:hyperlink w:anchor="_Toc75384105" w:history="1">
        <w:r w:rsidRPr="009B73A4">
          <w:rPr>
            <w:rStyle w:val="Hyperlink"/>
            <w:color w:val="auto"/>
            <w:u w:val="none"/>
          </w:rPr>
          <w:t>Table 4.12 Symbolic and substantive claims made by (non-)Māori MPs.</w:t>
        </w:r>
        <w:r w:rsidRPr="009B73A4">
          <w:rPr>
            <w:webHidden/>
          </w:rPr>
          <w:tab/>
        </w:r>
        <w:r w:rsidRPr="009B73A4">
          <w:rPr>
            <w:webHidden/>
          </w:rPr>
          <w:fldChar w:fldCharType="begin"/>
        </w:r>
        <w:r w:rsidRPr="009B73A4">
          <w:rPr>
            <w:webHidden/>
          </w:rPr>
          <w:instrText xml:space="preserve"> PAGEREF _Toc75384105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1</w:t>
      </w:r>
    </w:p>
    <w:p w14:paraId="5FAF6B85" w14:textId="752966D5" w:rsidR="009B73A4" w:rsidRPr="009B73A4" w:rsidRDefault="009B73A4" w:rsidP="009B73A4">
      <w:pPr>
        <w:pStyle w:val="Inhopg3"/>
        <w:ind w:left="0"/>
        <w:rPr>
          <w:rFonts w:asciiTheme="minorHAnsi" w:eastAsiaTheme="minorEastAsia" w:hAnsiTheme="minorHAnsi" w:cstheme="minorBidi"/>
        </w:rPr>
      </w:pPr>
      <w:hyperlink w:anchor="_Toc75384106" w:history="1">
        <w:r w:rsidRPr="009B73A4">
          <w:rPr>
            <w:rStyle w:val="Hyperlink"/>
            <w:color w:val="auto"/>
            <w:u w:val="none"/>
          </w:rPr>
          <w:t>Table 4.13. Addressee of the claims.</w:t>
        </w:r>
        <w:r w:rsidRPr="009B73A4">
          <w:rPr>
            <w:webHidden/>
          </w:rPr>
          <w:tab/>
        </w:r>
        <w:r w:rsidRPr="009B73A4">
          <w:rPr>
            <w:webHidden/>
          </w:rPr>
          <w:fldChar w:fldCharType="begin"/>
        </w:r>
        <w:r w:rsidRPr="009B73A4">
          <w:rPr>
            <w:webHidden/>
          </w:rPr>
          <w:instrText xml:space="preserve"> PAGEREF _Toc75384106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2</w:t>
      </w:r>
    </w:p>
    <w:p w14:paraId="67BCBFCE" w14:textId="4CEC1D76" w:rsidR="009B73A4" w:rsidRPr="009B73A4" w:rsidRDefault="009B73A4" w:rsidP="009B73A4">
      <w:pPr>
        <w:pStyle w:val="Inhopg3"/>
        <w:ind w:left="0"/>
        <w:rPr>
          <w:rFonts w:asciiTheme="minorHAnsi" w:eastAsiaTheme="minorEastAsia" w:hAnsiTheme="minorHAnsi" w:cstheme="minorBidi"/>
        </w:rPr>
      </w:pPr>
      <w:hyperlink w:anchor="_Toc75384107" w:history="1">
        <w:r w:rsidRPr="009B73A4">
          <w:rPr>
            <w:rStyle w:val="Hyperlink"/>
            <w:color w:val="auto"/>
            <w:u w:val="none"/>
          </w:rPr>
          <w:t>Table 4.14. Unification of the claims.</w:t>
        </w:r>
        <w:r w:rsidRPr="009B73A4">
          <w:rPr>
            <w:webHidden/>
          </w:rPr>
          <w:tab/>
        </w:r>
        <w:r w:rsidRPr="009B73A4">
          <w:rPr>
            <w:webHidden/>
          </w:rPr>
          <w:fldChar w:fldCharType="begin"/>
        </w:r>
        <w:r w:rsidRPr="009B73A4">
          <w:rPr>
            <w:webHidden/>
          </w:rPr>
          <w:instrText xml:space="preserve"> PAGEREF _Toc75384107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2</w:t>
      </w:r>
    </w:p>
    <w:p w14:paraId="4F1730A7" w14:textId="590FA958" w:rsidR="009B73A4" w:rsidRPr="009B73A4" w:rsidRDefault="009B73A4" w:rsidP="009B73A4">
      <w:pPr>
        <w:pStyle w:val="Inhopg3"/>
        <w:ind w:left="0"/>
        <w:rPr>
          <w:rFonts w:asciiTheme="minorHAnsi" w:eastAsiaTheme="minorEastAsia" w:hAnsiTheme="minorHAnsi" w:cstheme="minorBidi"/>
        </w:rPr>
      </w:pPr>
      <w:hyperlink w:anchor="_Toc75384108" w:history="1">
        <w:r w:rsidRPr="009B73A4">
          <w:rPr>
            <w:rStyle w:val="Hyperlink"/>
            <w:color w:val="auto"/>
            <w:u w:val="none"/>
          </w:rPr>
          <w:t>Table 4.15. Unification of substantive claims.</w:t>
        </w:r>
        <w:r w:rsidRPr="009B73A4">
          <w:rPr>
            <w:webHidden/>
          </w:rPr>
          <w:tab/>
        </w:r>
        <w:r w:rsidRPr="009B73A4">
          <w:rPr>
            <w:webHidden/>
          </w:rPr>
          <w:fldChar w:fldCharType="begin"/>
        </w:r>
        <w:r w:rsidRPr="009B73A4">
          <w:rPr>
            <w:webHidden/>
          </w:rPr>
          <w:instrText xml:space="preserve"> PAGEREF _Toc75384108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3</w:t>
      </w:r>
    </w:p>
    <w:p w14:paraId="47B2694F" w14:textId="67C80D2F" w:rsidR="009B73A4" w:rsidRPr="009B73A4" w:rsidRDefault="009B73A4" w:rsidP="009B73A4">
      <w:pPr>
        <w:pStyle w:val="Inhopg3"/>
        <w:ind w:left="0"/>
        <w:rPr>
          <w:rFonts w:asciiTheme="minorHAnsi" w:eastAsiaTheme="minorEastAsia" w:hAnsiTheme="minorHAnsi" w:cstheme="minorBidi"/>
        </w:rPr>
      </w:pPr>
      <w:hyperlink w:anchor="_Toc75384109" w:history="1">
        <w:r w:rsidRPr="009B73A4">
          <w:rPr>
            <w:rStyle w:val="Hyperlink"/>
            <w:color w:val="auto"/>
            <w:u w:val="none"/>
          </w:rPr>
          <w:t>Table 4.16. Evaluation of the addressee.</w:t>
        </w:r>
        <w:r w:rsidRPr="009B73A4">
          <w:rPr>
            <w:webHidden/>
          </w:rPr>
          <w:tab/>
        </w:r>
        <w:r w:rsidRPr="009B73A4">
          <w:rPr>
            <w:webHidden/>
          </w:rPr>
          <w:fldChar w:fldCharType="begin"/>
        </w:r>
        <w:r w:rsidRPr="009B73A4">
          <w:rPr>
            <w:webHidden/>
          </w:rPr>
          <w:instrText xml:space="preserve"> PAGEREF _Toc75384109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3</w:t>
      </w:r>
    </w:p>
    <w:p w14:paraId="227ED218" w14:textId="49C6DF52" w:rsidR="009B73A4" w:rsidRPr="009B73A4" w:rsidRDefault="009B73A4" w:rsidP="009B73A4">
      <w:pPr>
        <w:pStyle w:val="Inhopg3"/>
        <w:ind w:left="0"/>
        <w:rPr>
          <w:rFonts w:asciiTheme="minorHAnsi" w:eastAsiaTheme="minorEastAsia" w:hAnsiTheme="minorHAnsi" w:cstheme="minorBidi"/>
        </w:rPr>
      </w:pPr>
      <w:hyperlink w:anchor="_Toc75384110" w:history="1">
        <w:r w:rsidRPr="009B73A4">
          <w:rPr>
            <w:rStyle w:val="Hyperlink"/>
            <w:color w:val="auto"/>
            <w:u w:val="none"/>
          </w:rPr>
          <w:t>Table 4.17. Evaluations of the addressees by (non-)Māori MPs.</w:t>
        </w:r>
        <w:r w:rsidRPr="009B73A4">
          <w:rPr>
            <w:webHidden/>
          </w:rPr>
          <w:tab/>
        </w:r>
        <w:r w:rsidRPr="009B73A4">
          <w:rPr>
            <w:webHidden/>
          </w:rPr>
          <w:fldChar w:fldCharType="begin"/>
        </w:r>
        <w:r w:rsidRPr="009B73A4">
          <w:rPr>
            <w:webHidden/>
          </w:rPr>
          <w:instrText xml:space="preserve"> PAGEREF _Toc75384110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3</w:t>
      </w:r>
    </w:p>
    <w:p w14:paraId="4ACFE387" w14:textId="5012A22F" w:rsidR="00566103" w:rsidRDefault="009B73A4" w:rsidP="00566103">
      <w:pPr>
        <w:pStyle w:val="Inhopg3"/>
        <w:ind w:left="0"/>
        <w:rPr>
          <w:rFonts w:asciiTheme="minorHAnsi" w:eastAsiaTheme="minorEastAsia" w:hAnsiTheme="minorHAnsi" w:cstheme="minorBidi"/>
        </w:rPr>
      </w:pPr>
      <w:r w:rsidRPr="009B73A4">
        <w:rPr>
          <w:rFonts w:asciiTheme="minorHAnsi" w:eastAsiaTheme="minorEastAsia" w:hAnsiTheme="minorHAnsi" w:cstheme="minorBidi"/>
        </w:rPr>
        <w:t>Table 4.18. Justifications of claims.</w:t>
      </w:r>
      <w:r w:rsidRPr="009B73A4">
        <w:rPr>
          <w:rFonts w:asciiTheme="minorHAnsi" w:eastAsiaTheme="minorEastAsia" w:hAnsiTheme="minorHAnsi" w:cstheme="minorBidi"/>
          <w:webHidden/>
        </w:rPr>
        <w:tab/>
      </w:r>
      <w:r w:rsidRPr="009B73A4">
        <w:rPr>
          <w:rFonts w:asciiTheme="minorHAnsi" w:eastAsiaTheme="minorEastAsia" w:hAnsiTheme="minorHAnsi" w:cstheme="minorBidi"/>
          <w:webHidden/>
        </w:rPr>
        <w:fldChar w:fldCharType="begin"/>
      </w:r>
      <w:r w:rsidRPr="009B73A4">
        <w:rPr>
          <w:rFonts w:asciiTheme="minorHAnsi" w:eastAsiaTheme="minorEastAsia" w:hAnsiTheme="minorHAnsi" w:cstheme="minorBidi"/>
          <w:webHidden/>
        </w:rPr>
        <w:instrText xml:space="preserve"> PAGEREF _Toc75384113 \h </w:instrText>
      </w:r>
      <w:r w:rsidRPr="009B73A4">
        <w:rPr>
          <w:rFonts w:asciiTheme="minorHAnsi" w:eastAsiaTheme="minorEastAsia" w:hAnsiTheme="minorHAnsi" w:cstheme="minorBidi"/>
          <w:webHidden/>
        </w:rPr>
      </w:r>
      <w:r w:rsidRPr="009B73A4">
        <w:rPr>
          <w:rFonts w:asciiTheme="minorHAnsi" w:eastAsiaTheme="minorEastAsia" w:hAnsiTheme="minorHAnsi" w:cstheme="minorBidi"/>
          <w:webHidden/>
        </w:rPr>
        <w:fldChar w:fldCharType="separate"/>
      </w:r>
      <w:r w:rsidRPr="009B73A4">
        <w:rPr>
          <w:rFonts w:asciiTheme="minorHAnsi" w:eastAsiaTheme="minorEastAsia" w:hAnsiTheme="minorHAnsi" w:cstheme="minorBidi"/>
          <w:webHidden/>
        </w:rPr>
        <w:t>5</w:t>
      </w:r>
      <w:r w:rsidRPr="009B73A4">
        <w:rPr>
          <w:rFonts w:asciiTheme="minorHAnsi" w:eastAsiaTheme="minorEastAsia" w:hAnsiTheme="minorHAnsi" w:cstheme="minorBidi"/>
          <w:webHidden/>
        </w:rPr>
        <w:fldChar w:fldCharType="end"/>
      </w:r>
      <w:r w:rsidR="005A4605">
        <w:rPr>
          <w:rFonts w:asciiTheme="minorHAnsi" w:eastAsiaTheme="minorEastAsia" w:hAnsiTheme="minorHAnsi" w:cstheme="minorBidi"/>
          <w:webHidden/>
        </w:rPr>
        <w:t>5</w:t>
      </w:r>
    </w:p>
    <w:p w14:paraId="3E760086" w14:textId="6320ECD1" w:rsidR="009B73A4" w:rsidRPr="009B73A4" w:rsidRDefault="009B73A4" w:rsidP="009B73A4">
      <w:pPr>
        <w:pStyle w:val="Inhopg3"/>
        <w:ind w:left="0"/>
        <w:rPr>
          <w:rFonts w:asciiTheme="minorHAnsi" w:eastAsiaTheme="minorEastAsia" w:hAnsiTheme="minorHAnsi" w:cstheme="minorBidi"/>
        </w:rPr>
      </w:pPr>
      <w:hyperlink w:anchor="_Toc75384115" w:history="1">
        <w:r w:rsidRPr="009B73A4">
          <w:rPr>
            <w:rStyle w:val="Hyperlink"/>
            <w:color w:val="auto"/>
            <w:u w:val="none"/>
          </w:rPr>
          <w:t>Table 4.19. Cramer’s V: issue and justification.</w:t>
        </w:r>
        <w:r w:rsidRPr="009B73A4">
          <w:rPr>
            <w:webHidden/>
          </w:rPr>
          <w:tab/>
        </w:r>
        <w:r w:rsidRPr="009B73A4">
          <w:rPr>
            <w:webHidden/>
          </w:rPr>
          <w:fldChar w:fldCharType="begin"/>
        </w:r>
        <w:r w:rsidRPr="009B73A4">
          <w:rPr>
            <w:webHidden/>
          </w:rPr>
          <w:instrText xml:space="preserve"> PAGEREF _Toc75384115 \h </w:instrText>
        </w:r>
        <w:r w:rsidRPr="009B73A4">
          <w:rPr>
            <w:webHidden/>
          </w:rPr>
        </w:r>
        <w:r w:rsidRPr="009B73A4">
          <w:rPr>
            <w:webHidden/>
          </w:rPr>
          <w:fldChar w:fldCharType="separate"/>
        </w:r>
        <w:r w:rsidRPr="009B73A4">
          <w:rPr>
            <w:webHidden/>
          </w:rPr>
          <w:t>5</w:t>
        </w:r>
        <w:r w:rsidRPr="009B73A4">
          <w:rPr>
            <w:webHidden/>
          </w:rPr>
          <w:fldChar w:fldCharType="end"/>
        </w:r>
      </w:hyperlink>
      <w:r w:rsidR="005A4605">
        <w:t>6</w:t>
      </w:r>
    </w:p>
    <w:p w14:paraId="15978D8B" w14:textId="42257F6C" w:rsidR="009839FC" w:rsidRPr="009839FC" w:rsidRDefault="009839FC" w:rsidP="009839FC">
      <w:pPr>
        <w:pStyle w:val="Inhopg3"/>
        <w:ind w:left="0"/>
        <w:rPr>
          <w:rFonts w:asciiTheme="minorHAnsi" w:eastAsiaTheme="minorEastAsia" w:hAnsiTheme="minorHAnsi" w:cstheme="minorBidi"/>
        </w:rPr>
      </w:pPr>
      <w:hyperlink w:anchor="_Toc75384128" w:history="1">
        <w:r w:rsidRPr="009839FC">
          <w:rPr>
            <w:rStyle w:val="Hyperlink"/>
            <w:color w:val="auto"/>
            <w:u w:val="none"/>
          </w:rPr>
          <w:t>Table A.1. Aspect of a claim.</w:t>
        </w:r>
        <w:r w:rsidRPr="009839FC">
          <w:rPr>
            <w:webHidden/>
          </w:rPr>
          <w:tab/>
        </w:r>
        <w:r w:rsidRPr="009839FC">
          <w:rPr>
            <w:webHidden/>
          </w:rPr>
          <w:fldChar w:fldCharType="begin"/>
        </w:r>
        <w:r w:rsidRPr="009839FC">
          <w:rPr>
            <w:webHidden/>
          </w:rPr>
          <w:instrText xml:space="preserve"> PAGEREF _Toc75384128 \h </w:instrText>
        </w:r>
        <w:r w:rsidRPr="009839FC">
          <w:rPr>
            <w:webHidden/>
          </w:rPr>
        </w:r>
        <w:r w:rsidRPr="009839FC">
          <w:rPr>
            <w:webHidden/>
          </w:rPr>
          <w:fldChar w:fldCharType="separate"/>
        </w:r>
        <w:r w:rsidRPr="009839FC">
          <w:rPr>
            <w:webHidden/>
          </w:rPr>
          <w:t>7</w:t>
        </w:r>
        <w:r w:rsidRPr="009839FC">
          <w:rPr>
            <w:webHidden/>
          </w:rPr>
          <w:fldChar w:fldCharType="end"/>
        </w:r>
      </w:hyperlink>
      <w:r w:rsidR="005A4605">
        <w:t>3</w:t>
      </w:r>
    </w:p>
    <w:p w14:paraId="721DCE3B" w14:textId="5E3B431B" w:rsidR="009839FC" w:rsidRPr="009839FC" w:rsidRDefault="009839FC" w:rsidP="009839FC">
      <w:pPr>
        <w:pStyle w:val="Inhopg3"/>
        <w:ind w:left="0"/>
        <w:rPr>
          <w:rFonts w:asciiTheme="minorHAnsi" w:eastAsiaTheme="minorEastAsia" w:hAnsiTheme="minorHAnsi" w:cstheme="minorBidi"/>
        </w:rPr>
      </w:pPr>
      <w:hyperlink w:anchor="_Toc75384129" w:history="1">
        <w:r w:rsidRPr="009839FC">
          <w:rPr>
            <w:rStyle w:val="Hyperlink"/>
            <w:color w:val="auto"/>
            <w:u w:val="none"/>
          </w:rPr>
          <w:t>Table A.2. Māori identification Members of Parliament (53</w:t>
        </w:r>
        <w:r w:rsidRPr="009839FC">
          <w:rPr>
            <w:rStyle w:val="Hyperlink"/>
            <w:color w:val="auto"/>
            <w:u w:val="none"/>
            <w:vertAlign w:val="superscript"/>
          </w:rPr>
          <w:t>rd</w:t>
        </w:r>
        <w:r w:rsidRPr="009839FC">
          <w:rPr>
            <w:rStyle w:val="Hyperlink"/>
            <w:color w:val="auto"/>
            <w:u w:val="none"/>
          </w:rPr>
          <w:t xml:space="preserve"> government).</w:t>
        </w:r>
        <w:r w:rsidRPr="009839FC">
          <w:rPr>
            <w:webHidden/>
          </w:rPr>
          <w:tab/>
        </w:r>
        <w:r w:rsidR="005A4605">
          <w:rPr>
            <w:webHidden/>
          </w:rPr>
          <w:t>79</w:t>
        </w:r>
      </w:hyperlink>
    </w:p>
    <w:p w14:paraId="7C7DAB3C" w14:textId="2C7EFB64" w:rsidR="009839FC" w:rsidRPr="009839FC" w:rsidRDefault="009839FC" w:rsidP="009839FC">
      <w:pPr>
        <w:pStyle w:val="Inhopg3"/>
        <w:ind w:left="0"/>
        <w:rPr>
          <w:rFonts w:asciiTheme="minorHAnsi" w:eastAsiaTheme="minorEastAsia" w:hAnsiTheme="minorHAnsi" w:cstheme="minorBidi"/>
        </w:rPr>
      </w:pPr>
      <w:hyperlink w:anchor="_Toc75384130" w:history="1">
        <w:r w:rsidRPr="009839FC">
          <w:rPr>
            <w:rStyle w:val="Hyperlink"/>
            <w:color w:val="auto"/>
            <w:u w:val="none"/>
          </w:rPr>
          <w:t>Table A.3. Māori identification Members of Parliament (52</w:t>
        </w:r>
        <w:r w:rsidRPr="009839FC">
          <w:rPr>
            <w:rStyle w:val="Hyperlink"/>
            <w:color w:val="auto"/>
            <w:u w:val="none"/>
            <w:vertAlign w:val="superscript"/>
          </w:rPr>
          <w:t>nd</w:t>
        </w:r>
        <w:r w:rsidRPr="009839FC">
          <w:rPr>
            <w:rStyle w:val="Hyperlink"/>
            <w:color w:val="auto"/>
            <w:u w:val="none"/>
          </w:rPr>
          <w:t xml:space="preserve"> government).</w:t>
        </w:r>
        <w:r w:rsidRPr="009839FC">
          <w:rPr>
            <w:webHidden/>
          </w:rPr>
          <w:tab/>
        </w:r>
        <w:r w:rsidRPr="009839FC">
          <w:rPr>
            <w:webHidden/>
          </w:rPr>
          <w:fldChar w:fldCharType="begin"/>
        </w:r>
        <w:r w:rsidRPr="009839FC">
          <w:rPr>
            <w:webHidden/>
          </w:rPr>
          <w:instrText xml:space="preserve"> PAGEREF _Toc75384130 \h </w:instrText>
        </w:r>
        <w:r w:rsidRPr="009839FC">
          <w:rPr>
            <w:webHidden/>
          </w:rPr>
        </w:r>
        <w:r w:rsidRPr="009839FC">
          <w:rPr>
            <w:webHidden/>
          </w:rPr>
          <w:fldChar w:fldCharType="separate"/>
        </w:r>
        <w:r w:rsidRPr="009839FC">
          <w:rPr>
            <w:webHidden/>
          </w:rPr>
          <w:t>8</w:t>
        </w:r>
        <w:r w:rsidRPr="009839FC">
          <w:rPr>
            <w:webHidden/>
          </w:rPr>
          <w:fldChar w:fldCharType="end"/>
        </w:r>
      </w:hyperlink>
      <w:r w:rsidR="005A4605">
        <w:t>2</w:t>
      </w:r>
    </w:p>
    <w:p w14:paraId="7A97D2B2" w14:textId="090A5EE7" w:rsidR="009839FC" w:rsidRPr="009839FC" w:rsidRDefault="009839FC" w:rsidP="009839FC">
      <w:pPr>
        <w:pStyle w:val="Inhopg3"/>
        <w:ind w:left="0"/>
        <w:rPr>
          <w:rFonts w:asciiTheme="minorHAnsi" w:eastAsiaTheme="minorEastAsia" w:hAnsiTheme="minorHAnsi" w:cstheme="minorBidi"/>
        </w:rPr>
      </w:pPr>
      <w:hyperlink w:anchor="_Toc75384132" w:history="1">
        <w:r w:rsidRPr="009839FC">
          <w:rPr>
            <w:rStyle w:val="Hyperlink"/>
            <w:color w:val="auto"/>
            <w:u w:val="none"/>
          </w:rPr>
          <w:t>Table B.1 Pre-coded speech 1.</w:t>
        </w:r>
        <w:r w:rsidRPr="009839FC">
          <w:rPr>
            <w:webHidden/>
          </w:rPr>
          <w:tab/>
        </w:r>
        <w:r w:rsidRPr="009839FC">
          <w:rPr>
            <w:webHidden/>
          </w:rPr>
          <w:fldChar w:fldCharType="begin"/>
        </w:r>
        <w:r w:rsidRPr="009839FC">
          <w:rPr>
            <w:webHidden/>
          </w:rPr>
          <w:instrText xml:space="preserve"> PAGEREF _Toc75384132 \h </w:instrText>
        </w:r>
        <w:r w:rsidRPr="009839FC">
          <w:rPr>
            <w:webHidden/>
          </w:rPr>
        </w:r>
        <w:r w:rsidRPr="009839FC">
          <w:rPr>
            <w:webHidden/>
          </w:rPr>
          <w:fldChar w:fldCharType="separate"/>
        </w:r>
        <w:r w:rsidRPr="009839FC">
          <w:rPr>
            <w:webHidden/>
          </w:rPr>
          <w:t>8</w:t>
        </w:r>
        <w:r w:rsidRPr="009839FC">
          <w:rPr>
            <w:webHidden/>
          </w:rPr>
          <w:fldChar w:fldCharType="end"/>
        </w:r>
      </w:hyperlink>
      <w:r w:rsidR="005A4605">
        <w:t>5</w:t>
      </w:r>
    </w:p>
    <w:p w14:paraId="2D7AF5AB" w14:textId="62B13CD0" w:rsidR="009839FC" w:rsidRPr="009839FC" w:rsidRDefault="009839FC" w:rsidP="009839FC">
      <w:pPr>
        <w:pStyle w:val="Inhopg3"/>
        <w:ind w:left="0"/>
        <w:rPr>
          <w:rFonts w:asciiTheme="minorHAnsi" w:eastAsiaTheme="minorEastAsia" w:hAnsiTheme="minorHAnsi" w:cstheme="minorBidi"/>
        </w:rPr>
      </w:pPr>
      <w:hyperlink w:anchor="_Toc75384133" w:history="1">
        <w:r w:rsidRPr="009839FC">
          <w:rPr>
            <w:rStyle w:val="Hyperlink"/>
            <w:color w:val="auto"/>
            <w:u w:val="none"/>
          </w:rPr>
          <w:t>Table B.2. Pre-coded speech 2.</w:t>
        </w:r>
        <w:r w:rsidRPr="009839FC">
          <w:rPr>
            <w:webHidden/>
          </w:rPr>
          <w:tab/>
        </w:r>
        <w:r w:rsidRPr="009839FC">
          <w:rPr>
            <w:webHidden/>
          </w:rPr>
          <w:fldChar w:fldCharType="begin"/>
        </w:r>
        <w:r w:rsidRPr="009839FC">
          <w:rPr>
            <w:webHidden/>
          </w:rPr>
          <w:instrText xml:space="preserve"> PAGEREF _Toc75384133 \h </w:instrText>
        </w:r>
        <w:r w:rsidRPr="009839FC">
          <w:rPr>
            <w:webHidden/>
          </w:rPr>
        </w:r>
        <w:r w:rsidRPr="009839FC">
          <w:rPr>
            <w:webHidden/>
          </w:rPr>
          <w:fldChar w:fldCharType="separate"/>
        </w:r>
        <w:r w:rsidRPr="009839FC">
          <w:rPr>
            <w:webHidden/>
          </w:rPr>
          <w:t>8</w:t>
        </w:r>
        <w:r w:rsidRPr="009839FC">
          <w:rPr>
            <w:webHidden/>
          </w:rPr>
          <w:fldChar w:fldCharType="end"/>
        </w:r>
      </w:hyperlink>
      <w:r w:rsidR="005A4605">
        <w:t>6</w:t>
      </w:r>
    </w:p>
    <w:p w14:paraId="612F7676" w14:textId="1E3DA33B" w:rsidR="009839FC" w:rsidRPr="009839FC" w:rsidRDefault="009839FC" w:rsidP="009839FC">
      <w:pPr>
        <w:pStyle w:val="Inhopg3"/>
        <w:ind w:left="0"/>
        <w:rPr>
          <w:rFonts w:asciiTheme="minorHAnsi" w:eastAsiaTheme="minorEastAsia" w:hAnsiTheme="minorHAnsi" w:cstheme="minorBidi"/>
        </w:rPr>
      </w:pPr>
      <w:hyperlink w:anchor="_Toc75384134" w:history="1">
        <w:r w:rsidRPr="009839FC">
          <w:rPr>
            <w:rStyle w:val="Hyperlink"/>
            <w:color w:val="auto"/>
            <w:u w:val="none"/>
          </w:rPr>
          <w:t>Table B.3. Pre-coded speech 3.</w:t>
        </w:r>
        <w:r w:rsidRPr="009839FC">
          <w:rPr>
            <w:webHidden/>
          </w:rPr>
          <w:tab/>
        </w:r>
        <w:r w:rsidRPr="009839FC">
          <w:rPr>
            <w:webHidden/>
          </w:rPr>
          <w:fldChar w:fldCharType="begin"/>
        </w:r>
        <w:r w:rsidRPr="009839FC">
          <w:rPr>
            <w:webHidden/>
          </w:rPr>
          <w:instrText xml:space="preserve"> PAGEREF _Toc75384134 \h </w:instrText>
        </w:r>
        <w:r w:rsidRPr="009839FC">
          <w:rPr>
            <w:webHidden/>
          </w:rPr>
        </w:r>
        <w:r w:rsidRPr="009839FC">
          <w:rPr>
            <w:webHidden/>
          </w:rPr>
          <w:fldChar w:fldCharType="separate"/>
        </w:r>
        <w:r w:rsidRPr="009839FC">
          <w:rPr>
            <w:webHidden/>
          </w:rPr>
          <w:t>8</w:t>
        </w:r>
        <w:r w:rsidRPr="009839FC">
          <w:rPr>
            <w:webHidden/>
          </w:rPr>
          <w:fldChar w:fldCharType="end"/>
        </w:r>
      </w:hyperlink>
      <w:r w:rsidR="005A4605">
        <w:t>7</w:t>
      </w:r>
    </w:p>
    <w:p w14:paraId="74E088CC" w14:textId="01071BA6" w:rsidR="009839FC" w:rsidRPr="009839FC" w:rsidRDefault="009839FC" w:rsidP="009839FC">
      <w:pPr>
        <w:pStyle w:val="Inhopg3"/>
        <w:ind w:left="0"/>
        <w:rPr>
          <w:rFonts w:asciiTheme="minorHAnsi" w:eastAsiaTheme="minorEastAsia" w:hAnsiTheme="minorHAnsi" w:cstheme="minorBidi"/>
        </w:rPr>
      </w:pPr>
      <w:hyperlink w:anchor="_Toc75384135" w:history="1">
        <w:r w:rsidRPr="009839FC">
          <w:rPr>
            <w:rStyle w:val="Hyperlink"/>
            <w:color w:val="auto"/>
            <w:u w:val="none"/>
          </w:rPr>
          <w:t>Table B.4 Pre-coded speech 4.</w:t>
        </w:r>
        <w:r w:rsidRPr="009839FC">
          <w:rPr>
            <w:webHidden/>
          </w:rPr>
          <w:tab/>
        </w:r>
        <w:r w:rsidRPr="009839FC">
          <w:rPr>
            <w:webHidden/>
          </w:rPr>
          <w:fldChar w:fldCharType="begin"/>
        </w:r>
        <w:r w:rsidRPr="009839FC">
          <w:rPr>
            <w:webHidden/>
          </w:rPr>
          <w:instrText xml:space="preserve"> PAGEREF _Toc75384135 \h </w:instrText>
        </w:r>
        <w:r w:rsidRPr="009839FC">
          <w:rPr>
            <w:webHidden/>
          </w:rPr>
        </w:r>
        <w:r w:rsidRPr="009839FC">
          <w:rPr>
            <w:webHidden/>
          </w:rPr>
          <w:fldChar w:fldCharType="separate"/>
        </w:r>
        <w:r w:rsidRPr="009839FC">
          <w:rPr>
            <w:webHidden/>
          </w:rPr>
          <w:t>8</w:t>
        </w:r>
        <w:r w:rsidRPr="009839FC">
          <w:rPr>
            <w:webHidden/>
          </w:rPr>
          <w:fldChar w:fldCharType="end"/>
        </w:r>
      </w:hyperlink>
      <w:r w:rsidR="005A4605">
        <w:t>8</w:t>
      </w:r>
    </w:p>
    <w:p w14:paraId="64ECE495" w14:textId="26E343C8" w:rsidR="009839FC" w:rsidRPr="009839FC" w:rsidRDefault="009839FC" w:rsidP="009839FC">
      <w:pPr>
        <w:pStyle w:val="Inhopg3"/>
        <w:ind w:left="0"/>
        <w:rPr>
          <w:rFonts w:asciiTheme="minorHAnsi" w:eastAsiaTheme="minorEastAsia" w:hAnsiTheme="minorHAnsi" w:cstheme="minorBidi"/>
        </w:rPr>
      </w:pPr>
      <w:hyperlink w:anchor="_Toc75384136" w:history="1">
        <w:r w:rsidRPr="009839FC">
          <w:rPr>
            <w:rStyle w:val="Hyperlink"/>
            <w:color w:val="auto"/>
            <w:u w:val="none"/>
          </w:rPr>
          <w:t>Table B.5 Pre-coded speech 5.</w:t>
        </w:r>
        <w:r w:rsidRPr="009839FC">
          <w:rPr>
            <w:webHidden/>
          </w:rPr>
          <w:tab/>
        </w:r>
        <w:r w:rsidR="005A4605">
          <w:rPr>
            <w:webHidden/>
          </w:rPr>
          <w:t>89</w:t>
        </w:r>
      </w:hyperlink>
    </w:p>
    <w:p w14:paraId="34202E41" w14:textId="1512C476" w:rsidR="009839FC" w:rsidRPr="009839FC" w:rsidRDefault="009839FC" w:rsidP="009839FC">
      <w:pPr>
        <w:pStyle w:val="Inhopg3"/>
        <w:ind w:left="0"/>
        <w:rPr>
          <w:rFonts w:asciiTheme="minorHAnsi" w:eastAsiaTheme="minorEastAsia" w:hAnsiTheme="minorHAnsi" w:cstheme="minorBidi"/>
        </w:rPr>
      </w:pPr>
      <w:hyperlink w:anchor="_Toc75384138" w:history="1">
        <w:r w:rsidRPr="009839FC">
          <w:rPr>
            <w:rStyle w:val="Hyperlink"/>
            <w:color w:val="auto"/>
            <w:u w:val="none"/>
          </w:rPr>
          <w:t>Table C.4.20. Crosstab: MP x issue. 52</w:t>
        </w:r>
        <w:r w:rsidRPr="009839FC">
          <w:rPr>
            <w:rStyle w:val="Hyperlink"/>
            <w:color w:val="auto"/>
            <w:u w:val="none"/>
            <w:vertAlign w:val="superscript"/>
          </w:rPr>
          <w:t>nd</w:t>
        </w:r>
        <w:r w:rsidRPr="009839FC">
          <w:rPr>
            <w:rStyle w:val="Hyperlink"/>
            <w:color w:val="auto"/>
            <w:u w:val="none"/>
          </w:rPr>
          <w:t xml:space="preserve"> and 53</w:t>
        </w:r>
        <w:r w:rsidRPr="009839FC">
          <w:rPr>
            <w:rStyle w:val="Hyperlink"/>
            <w:color w:val="auto"/>
            <w:u w:val="none"/>
            <w:vertAlign w:val="superscript"/>
          </w:rPr>
          <w:t>rd</w:t>
        </w:r>
        <w:r w:rsidRPr="009839FC">
          <w:rPr>
            <w:rStyle w:val="Hyperlink"/>
            <w:color w:val="auto"/>
            <w:u w:val="none"/>
          </w:rPr>
          <w:t xml:space="preserve"> government.</w:t>
        </w:r>
        <w:r w:rsidRPr="009839FC">
          <w:rPr>
            <w:webHidden/>
          </w:rPr>
          <w:tab/>
        </w:r>
        <w:r w:rsidRPr="009839FC">
          <w:rPr>
            <w:webHidden/>
          </w:rPr>
          <w:fldChar w:fldCharType="begin"/>
        </w:r>
        <w:r w:rsidRPr="009839FC">
          <w:rPr>
            <w:webHidden/>
          </w:rPr>
          <w:instrText xml:space="preserve"> PAGEREF _Toc75384138 \h </w:instrText>
        </w:r>
        <w:r w:rsidRPr="009839FC">
          <w:rPr>
            <w:webHidden/>
          </w:rPr>
        </w:r>
        <w:r w:rsidRPr="009839FC">
          <w:rPr>
            <w:webHidden/>
          </w:rPr>
          <w:fldChar w:fldCharType="separate"/>
        </w:r>
        <w:r w:rsidRPr="009839FC">
          <w:rPr>
            <w:webHidden/>
          </w:rPr>
          <w:t>9</w:t>
        </w:r>
        <w:r w:rsidRPr="009839FC">
          <w:rPr>
            <w:webHidden/>
          </w:rPr>
          <w:fldChar w:fldCharType="end"/>
        </w:r>
      </w:hyperlink>
      <w:r w:rsidR="005A4605">
        <w:t>0</w:t>
      </w:r>
    </w:p>
    <w:p w14:paraId="519B3147" w14:textId="1BDD0B99" w:rsidR="009839FC" w:rsidRPr="009839FC" w:rsidRDefault="009839FC" w:rsidP="009839FC">
      <w:pPr>
        <w:pStyle w:val="Inhopg3"/>
        <w:ind w:left="0"/>
        <w:rPr>
          <w:rFonts w:asciiTheme="minorHAnsi" w:eastAsiaTheme="minorEastAsia" w:hAnsiTheme="minorHAnsi" w:cstheme="minorBidi"/>
        </w:rPr>
      </w:pPr>
      <w:hyperlink w:anchor="_Toc75384139" w:history="1">
        <w:r w:rsidRPr="009839FC">
          <w:rPr>
            <w:rStyle w:val="Hyperlink"/>
            <w:color w:val="auto"/>
            <w:u w:val="none"/>
          </w:rPr>
          <w:t>Table C.4.21. Crosstab: justification x issue. 52</w:t>
        </w:r>
        <w:r w:rsidRPr="009839FC">
          <w:rPr>
            <w:rStyle w:val="Hyperlink"/>
            <w:color w:val="auto"/>
            <w:u w:val="none"/>
            <w:vertAlign w:val="superscript"/>
          </w:rPr>
          <w:t>nd</w:t>
        </w:r>
        <w:r w:rsidRPr="009839FC">
          <w:rPr>
            <w:rStyle w:val="Hyperlink"/>
            <w:color w:val="auto"/>
            <w:u w:val="none"/>
          </w:rPr>
          <w:t xml:space="preserve"> and 53</w:t>
        </w:r>
        <w:r w:rsidRPr="009839FC">
          <w:rPr>
            <w:rStyle w:val="Hyperlink"/>
            <w:color w:val="auto"/>
            <w:u w:val="none"/>
            <w:vertAlign w:val="superscript"/>
          </w:rPr>
          <w:t>rd</w:t>
        </w:r>
        <w:r w:rsidRPr="009839FC">
          <w:rPr>
            <w:rStyle w:val="Hyperlink"/>
            <w:color w:val="auto"/>
            <w:u w:val="none"/>
          </w:rPr>
          <w:t xml:space="preserve"> government.</w:t>
        </w:r>
        <w:r w:rsidRPr="009839FC">
          <w:rPr>
            <w:webHidden/>
          </w:rPr>
          <w:tab/>
        </w:r>
        <w:r w:rsidRPr="009839FC">
          <w:rPr>
            <w:webHidden/>
          </w:rPr>
          <w:fldChar w:fldCharType="begin"/>
        </w:r>
        <w:r w:rsidRPr="009839FC">
          <w:rPr>
            <w:webHidden/>
          </w:rPr>
          <w:instrText xml:space="preserve"> PAGEREF _Toc75384139 \h </w:instrText>
        </w:r>
        <w:r w:rsidRPr="009839FC">
          <w:rPr>
            <w:webHidden/>
          </w:rPr>
        </w:r>
        <w:r w:rsidRPr="009839FC">
          <w:rPr>
            <w:webHidden/>
          </w:rPr>
          <w:fldChar w:fldCharType="separate"/>
        </w:r>
        <w:r w:rsidRPr="009839FC">
          <w:rPr>
            <w:webHidden/>
          </w:rPr>
          <w:t>9</w:t>
        </w:r>
        <w:r w:rsidRPr="009839FC">
          <w:rPr>
            <w:webHidden/>
          </w:rPr>
          <w:fldChar w:fldCharType="end"/>
        </w:r>
      </w:hyperlink>
      <w:r w:rsidR="005A4605">
        <w:t>1</w:t>
      </w:r>
    </w:p>
    <w:p w14:paraId="44B228A7" w14:textId="77777777" w:rsidR="00412DE4" w:rsidRPr="009839FC" w:rsidRDefault="00412DE4">
      <w:pPr>
        <w:rPr>
          <w:rFonts w:asciiTheme="majorHAnsi" w:eastAsiaTheme="majorEastAsia" w:hAnsiTheme="majorHAnsi" w:cstheme="majorBidi"/>
          <w:sz w:val="32"/>
          <w:szCs w:val="32"/>
          <w:lang w:val="en-GB"/>
        </w:rPr>
      </w:pPr>
      <w:r w:rsidRPr="009839FC">
        <w:rPr>
          <w:lang w:val="en-GB"/>
        </w:rPr>
        <w:br w:type="page"/>
      </w:r>
    </w:p>
    <w:p w14:paraId="2E8B1F50" w14:textId="7D190A6E" w:rsidR="00CC399B" w:rsidRDefault="00DE6D98" w:rsidP="00DE6D98">
      <w:pPr>
        <w:pStyle w:val="Kop1"/>
        <w:rPr>
          <w:lang w:val="en-GB"/>
        </w:rPr>
      </w:pPr>
      <w:bookmarkStart w:id="0" w:name="_Toc74583774"/>
      <w:bookmarkStart w:id="1" w:name="_Toc75384044"/>
      <w:r>
        <w:rPr>
          <w:lang w:val="en-GB"/>
        </w:rPr>
        <w:lastRenderedPageBreak/>
        <w:t>Abstract</w:t>
      </w:r>
      <w:bookmarkEnd w:id="0"/>
      <w:bookmarkEnd w:id="1"/>
    </w:p>
    <w:p w14:paraId="2ABC3E7A" w14:textId="5EE0A5AA" w:rsidR="001875CC" w:rsidRPr="002A2F6E" w:rsidRDefault="00EB27FA" w:rsidP="00CC399B">
      <w:pPr>
        <w:spacing w:line="360" w:lineRule="auto"/>
        <w:jc w:val="both"/>
        <w:rPr>
          <w:rFonts w:cstheme="minorHAnsi"/>
          <w:color w:val="000000"/>
          <w:shd w:val="clear" w:color="auto" w:fill="FFFFFF"/>
          <w:lang w:val="en-GB"/>
        </w:rPr>
      </w:pPr>
      <w:r w:rsidRPr="00240DF8">
        <w:rPr>
          <w:lang w:val="en-GB"/>
        </w:rPr>
        <w:tab/>
      </w:r>
      <w:r w:rsidR="00723B23">
        <w:rPr>
          <w:lang w:val="en-GB"/>
        </w:rPr>
        <w:t xml:space="preserve">Indigenous peoples are often </w:t>
      </w:r>
      <w:r w:rsidR="00554C08">
        <w:rPr>
          <w:lang w:val="en-GB"/>
        </w:rPr>
        <w:t>under</w:t>
      </w:r>
      <w:r w:rsidR="00723B23">
        <w:rPr>
          <w:lang w:val="en-GB"/>
        </w:rPr>
        <w:t>represented in the politics of liberal democracies.</w:t>
      </w:r>
      <w:r w:rsidR="007F128E">
        <w:rPr>
          <w:lang w:val="en-GB"/>
        </w:rPr>
        <w:t xml:space="preserve"> </w:t>
      </w:r>
      <w:r w:rsidR="008F782D">
        <w:rPr>
          <w:lang w:val="en-GB"/>
        </w:rPr>
        <w:t>Therefore, i</w:t>
      </w:r>
      <w:r w:rsidR="00857AE7">
        <w:rPr>
          <w:lang w:val="en-GB"/>
        </w:rPr>
        <w:t xml:space="preserve">t is crucial to understand </w:t>
      </w:r>
      <w:r w:rsidR="007F128E">
        <w:rPr>
          <w:lang w:val="en-GB"/>
        </w:rPr>
        <w:t>whether the presence of indigenous peoples</w:t>
      </w:r>
      <w:r w:rsidR="00857AE7">
        <w:rPr>
          <w:lang w:val="en-GB"/>
        </w:rPr>
        <w:t xml:space="preserve"> themselves</w:t>
      </w:r>
      <w:r w:rsidR="007F128E">
        <w:rPr>
          <w:lang w:val="en-GB"/>
        </w:rPr>
        <w:t xml:space="preserve"> enhance </w:t>
      </w:r>
      <w:r w:rsidR="003073A3">
        <w:rPr>
          <w:lang w:val="en-GB"/>
        </w:rPr>
        <w:t>their representation</w:t>
      </w:r>
      <w:r w:rsidR="005E10E6">
        <w:rPr>
          <w:lang w:val="en-GB"/>
        </w:rPr>
        <w:t xml:space="preserve"> substantively</w:t>
      </w:r>
      <w:r w:rsidR="0050542D">
        <w:rPr>
          <w:lang w:val="en-GB"/>
        </w:rPr>
        <w:t>.</w:t>
      </w:r>
      <w:r w:rsidR="0023014B">
        <w:rPr>
          <w:lang w:val="en-GB"/>
        </w:rPr>
        <w:t xml:space="preserve"> </w:t>
      </w:r>
      <w:r w:rsidR="0082412A">
        <w:rPr>
          <w:lang w:val="en-GB"/>
        </w:rPr>
        <w:t>Th</w:t>
      </w:r>
      <w:r w:rsidR="00AB3BC2">
        <w:rPr>
          <w:lang w:val="en-GB"/>
        </w:rPr>
        <w:t>is</w:t>
      </w:r>
      <w:r w:rsidR="0082412A">
        <w:rPr>
          <w:lang w:val="en-GB"/>
        </w:rPr>
        <w:t xml:space="preserve"> possible link between descriptive and substantive representation is widely discussed</w:t>
      </w:r>
      <w:r w:rsidR="00893C71">
        <w:rPr>
          <w:lang w:val="en-GB"/>
        </w:rPr>
        <w:t xml:space="preserve"> in the literature (</w:t>
      </w:r>
      <w:r w:rsidR="00E84765">
        <w:rPr>
          <w:lang w:val="en-GB"/>
        </w:rPr>
        <w:t xml:space="preserve">Phillips, 2019; </w:t>
      </w:r>
      <w:r w:rsidR="006D12A8">
        <w:rPr>
          <w:lang w:val="en-GB"/>
        </w:rPr>
        <w:t>White, 2017; Summersby, 2009</w:t>
      </w:r>
      <w:r w:rsidR="00C349E6">
        <w:rPr>
          <w:lang w:val="en-GB"/>
        </w:rPr>
        <w:t xml:space="preserve">; </w:t>
      </w:r>
      <w:r w:rsidR="00C6711F">
        <w:rPr>
          <w:lang w:val="en-GB"/>
        </w:rPr>
        <w:t>W</w:t>
      </w:r>
      <w:r w:rsidR="00C349E6">
        <w:rPr>
          <w:lang w:val="en-GB"/>
        </w:rPr>
        <w:t>ä</w:t>
      </w:r>
      <w:r w:rsidR="00C6711F">
        <w:rPr>
          <w:lang w:val="en-GB"/>
        </w:rPr>
        <w:t>ngnerud, 2009</w:t>
      </w:r>
      <w:r w:rsidR="00B12850">
        <w:rPr>
          <w:lang w:val="en-GB"/>
        </w:rPr>
        <w:t>;</w:t>
      </w:r>
      <w:r w:rsidR="00B12850" w:rsidRPr="00B12850">
        <w:rPr>
          <w:lang w:val="en-GB"/>
        </w:rPr>
        <w:t xml:space="preserve"> </w:t>
      </w:r>
      <w:r w:rsidR="00F306A1">
        <w:rPr>
          <w:lang w:val="en-GB"/>
        </w:rPr>
        <w:t xml:space="preserve">Ruedin, 2020; Curtin, 2008; </w:t>
      </w:r>
      <w:r w:rsidR="00B12850" w:rsidRPr="00E56DC8">
        <w:rPr>
          <w:lang w:val="en-GB"/>
        </w:rPr>
        <w:t>Sawer, Tremblay and Trimble, 2006; Schwindt-Bayer and Mishler</w:t>
      </w:r>
      <w:r w:rsidR="00F8609F">
        <w:rPr>
          <w:lang w:val="en-GB"/>
        </w:rPr>
        <w:t>)</w:t>
      </w:r>
      <w:r w:rsidR="0082412A">
        <w:rPr>
          <w:lang w:val="en-GB"/>
        </w:rPr>
        <w:t>.  However, t</w:t>
      </w:r>
      <w:r w:rsidR="004D5725">
        <w:rPr>
          <w:lang w:val="en-GB"/>
        </w:rPr>
        <w:t>he evidence</w:t>
      </w:r>
      <w:r w:rsidR="006E1D39">
        <w:rPr>
          <w:lang w:val="en-GB"/>
        </w:rPr>
        <w:t xml:space="preserve"> revealing such a link</w:t>
      </w:r>
      <w:r w:rsidR="004D5725">
        <w:rPr>
          <w:lang w:val="en-GB"/>
        </w:rPr>
        <w:t xml:space="preserve"> remains inconclusive. </w:t>
      </w:r>
      <w:r w:rsidR="00D90FEE">
        <w:rPr>
          <w:lang w:val="en-GB"/>
        </w:rPr>
        <w:t xml:space="preserve">On the one hand, </w:t>
      </w:r>
      <w:r w:rsidR="00D46A79">
        <w:rPr>
          <w:lang w:val="en-GB"/>
        </w:rPr>
        <w:t>Pitkin (1967) argues that the different forms of representation must be s</w:t>
      </w:r>
      <w:r w:rsidR="00D90FEE">
        <w:rPr>
          <w:lang w:val="en-GB"/>
        </w:rPr>
        <w:t xml:space="preserve">tudied </w:t>
      </w:r>
      <w:r w:rsidR="00D46A79">
        <w:rPr>
          <w:lang w:val="en-GB"/>
        </w:rPr>
        <w:t xml:space="preserve">separately, while </w:t>
      </w:r>
      <w:r w:rsidR="0076443F">
        <w:rPr>
          <w:lang w:val="en-GB"/>
        </w:rPr>
        <w:t>Phillips (2019) and Mansbridge</w:t>
      </w:r>
      <w:r w:rsidR="0076443F" w:rsidRPr="0069399F">
        <w:rPr>
          <w:lang w:val="en-GB"/>
        </w:rPr>
        <w:t xml:space="preserve"> </w:t>
      </w:r>
      <w:r w:rsidR="0076443F">
        <w:rPr>
          <w:lang w:val="en-GB"/>
        </w:rPr>
        <w:t>(1999) argue that</w:t>
      </w:r>
      <w:r w:rsidR="0076443F" w:rsidRPr="0069399F">
        <w:rPr>
          <w:lang w:val="en-GB"/>
        </w:rPr>
        <w:t xml:space="preserve"> descriptive</w:t>
      </w:r>
      <w:r w:rsidR="00D46A79">
        <w:rPr>
          <w:lang w:val="en-GB"/>
        </w:rPr>
        <w:t xml:space="preserve"> representation</w:t>
      </w:r>
      <w:r w:rsidR="0076443F" w:rsidRPr="0069399F">
        <w:rPr>
          <w:lang w:val="en-GB"/>
        </w:rPr>
        <w:t xml:space="preserve"> leads to substantial changes</w:t>
      </w:r>
      <w:r w:rsidR="00D46A79">
        <w:rPr>
          <w:lang w:val="en-GB"/>
        </w:rPr>
        <w:t xml:space="preserve">. </w:t>
      </w:r>
      <w:r w:rsidR="001A118C">
        <w:rPr>
          <w:lang w:val="en-GB"/>
        </w:rPr>
        <w:t>Empirical</w:t>
      </w:r>
      <w:r w:rsidR="00D90FEE">
        <w:rPr>
          <w:lang w:val="en-GB"/>
        </w:rPr>
        <w:t xml:space="preserve"> </w:t>
      </w:r>
      <w:r w:rsidR="00751783">
        <w:rPr>
          <w:lang w:val="en-GB"/>
        </w:rPr>
        <w:t>research</w:t>
      </w:r>
      <w:r w:rsidR="001A118C">
        <w:rPr>
          <w:lang w:val="en-GB"/>
        </w:rPr>
        <w:t xml:space="preserve"> is mostly</w:t>
      </w:r>
      <w:r w:rsidR="00751783">
        <w:rPr>
          <w:lang w:val="en-GB"/>
        </w:rPr>
        <w:t xml:space="preserve"> done </w:t>
      </w:r>
      <w:r w:rsidR="001B04D4">
        <w:rPr>
          <w:lang w:val="en-GB"/>
        </w:rPr>
        <w:t>in the field of</w:t>
      </w:r>
      <w:r w:rsidR="00751783">
        <w:rPr>
          <w:lang w:val="en-GB"/>
        </w:rPr>
        <w:t xml:space="preserve"> gende</w:t>
      </w:r>
      <w:r w:rsidR="00395851">
        <w:rPr>
          <w:lang w:val="en-GB"/>
        </w:rPr>
        <w:t>r</w:t>
      </w:r>
      <w:r w:rsidR="00C52072">
        <w:rPr>
          <w:lang w:val="en-GB"/>
        </w:rPr>
        <w:t xml:space="preserve"> and representation</w:t>
      </w:r>
      <w:r w:rsidR="00395851">
        <w:rPr>
          <w:lang w:val="en-GB"/>
        </w:rPr>
        <w:t xml:space="preserve"> </w:t>
      </w:r>
      <w:r w:rsidR="00395851" w:rsidRPr="00831D0A">
        <w:rPr>
          <w:lang w:val="en-GB"/>
        </w:rPr>
        <w:t>(Wängnerud, 2009; Ruedin, 2020; Sawer, Tremblay and Trimble, 2006; Schwindt-Bayer and Mishler, 2005; Curtin, 2008</w:t>
      </w:r>
      <w:r w:rsidR="00395851">
        <w:rPr>
          <w:lang w:val="en-GB"/>
        </w:rPr>
        <w:t xml:space="preserve"> and Mansbridge, 2005</w:t>
      </w:r>
      <w:r w:rsidR="00395851" w:rsidRPr="00831D0A">
        <w:rPr>
          <w:lang w:val="en-GB"/>
        </w:rPr>
        <w:t>)</w:t>
      </w:r>
      <w:r w:rsidR="00751783">
        <w:rPr>
          <w:lang w:val="en-GB"/>
        </w:rPr>
        <w:t xml:space="preserve">. </w:t>
      </w:r>
      <w:r w:rsidR="00D83E36">
        <w:rPr>
          <w:lang w:val="en-GB"/>
        </w:rPr>
        <w:t>These studies</w:t>
      </w:r>
      <w:r w:rsidR="0076443F" w:rsidRPr="0069399F">
        <w:rPr>
          <w:lang w:val="en-GB"/>
        </w:rPr>
        <w:t xml:space="preserve"> </w:t>
      </w:r>
      <w:r w:rsidR="006B11FA">
        <w:rPr>
          <w:lang w:val="en-GB"/>
        </w:rPr>
        <w:t>confirm</w:t>
      </w:r>
      <w:r w:rsidR="0076443F" w:rsidRPr="0069399F">
        <w:rPr>
          <w:lang w:val="en-GB"/>
        </w:rPr>
        <w:t xml:space="preserve"> at least a weak link between descriptive and substantive representation</w:t>
      </w:r>
      <w:r w:rsidR="00395851">
        <w:rPr>
          <w:lang w:val="en-GB"/>
        </w:rPr>
        <w:t>.</w:t>
      </w:r>
      <w:r w:rsidR="003F2D2B">
        <w:rPr>
          <w:lang w:val="en-GB"/>
        </w:rPr>
        <w:t xml:space="preserve"> </w:t>
      </w:r>
      <w:r w:rsidR="00D90FEE">
        <w:rPr>
          <w:lang w:val="en-GB"/>
        </w:rPr>
        <w:t>Meanwhile,</w:t>
      </w:r>
      <w:r w:rsidR="001875CC" w:rsidRPr="0069399F">
        <w:rPr>
          <w:lang w:val="en-GB"/>
        </w:rPr>
        <w:t xml:space="preserve"> </w:t>
      </w:r>
      <w:r w:rsidR="004C13F0">
        <w:rPr>
          <w:lang w:val="en-GB"/>
        </w:rPr>
        <w:t>empirical studies</w:t>
      </w:r>
      <w:r w:rsidR="001875CC" w:rsidRPr="0069399F">
        <w:rPr>
          <w:lang w:val="en-GB"/>
        </w:rPr>
        <w:t xml:space="preserve"> regarding indigenous peoples </w:t>
      </w:r>
      <w:r w:rsidR="004C13F0">
        <w:rPr>
          <w:lang w:val="en-GB"/>
        </w:rPr>
        <w:t>are</w:t>
      </w:r>
      <w:r w:rsidR="001875CC" w:rsidRPr="0069399F">
        <w:rPr>
          <w:lang w:val="en-GB"/>
        </w:rPr>
        <w:t xml:space="preserve"> less unequivocal</w:t>
      </w:r>
      <w:r w:rsidR="00F67FCD">
        <w:rPr>
          <w:lang w:val="en-GB"/>
        </w:rPr>
        <w:t xml:space="preserve"> </w:t>
      </w:r>
      <w:r w:rsidR="00F67FCD" w:rsidRPr="0069399F">
        <w:rPr>
          <w:lang w:val="en-GB"/>
        </w:rPr>
        <w:t>(Maddison, 2010; Morris, 2014; Lloyd, 2009; Summersby, 2009; Snagovsky et al, 2020; White, 2017)</w:t>
      </w:r>
      <w:r w:rsidR="001875CC">
        <w:rPr>
          <w:lang w:val="en-GB"/>
        </w:rPr>
        <w:t xml:space="preserve">. </w:t>
      </w:r>
      <w:r w:rsidR="00D90FEE">
        <w:rPr>
          <w:lang w:val="en-GB"/>
        </w:rPr>
        <w:t>Thus, t</w:t>
      </w:r>
      <w:r w:rsidR="007B37D0">
        <w:rPr>
          <w:lang w:val="en-GB"/>
        </w:rPr>
        <w:t>his thesis use</w:t>
      </w:r>
      <w:r w:rsidR="00474054">
        <w:rPr>
          <w:lang w:val="en-GB"/>
        </w:rPr>
        <w:t xml:space="preserve">s </w:t>
      </w:r>
      <w:r w:rsidR="007B37D0">
        <w:rPr>
          <w:lang w:val="en-GB"/>
        </w:rPr>
        <w:t xml:space="preserve">a </w:t>
      </w:r>
      <w:r w:rsidR="0067205E">
        <w:rPr>
          <w:lang w:val="en-GB"/>
        </w:rPr>
        <w:t xml:space="preserve">claims-making analysis to study the link between the descriptive representation of </w:t>
      </w:r>
      <w:r w:rsidR="0067205E" w:rsidRPr="0060596E">
        <w:rPr>
          <w:rFonts w:cstheme="minorHAnsi"/>
          <w:color w:val="000000"/>
          <w:shd w:val="clear" w:color="auto" w:fill="FFFFFF"/>
          <w:lang w:val="en-GB"/>
        </w:rPr>
        <w:t>Mā</w:t>
      </w:r>
      <w:r w:rsidR="0067205E">
        <w:rPr>
          <w:rFonts w:cstheme="minorHAnsi"/>
          <w:color w:val="000000"/>
          <w:shd w:val="clear" w:color="auto" w:fill="FFFFFF"/>
          <w:lang w:val="en-GB"/>
        </w:rPr>
        <w:t xml:space="preserve">ori people and the substantive claims made on their behalf. </w:t>
      </w:r>
      <w:r w:rsidR="00E95361">
        <w:rPr>
          <w:rFonts w:cstheme="minorHAnsi"/>
          <w:color w:val="000000"/>
          <w:shd w:val="clear" w:color="auto" w:fill="FFFFFF"/>
          <w:lang w:val="en-GB"/>
        </w:rPr>
        <w:t xml:space="preserve">Using </w:t>
      </w:r>
      <w:r w:rsidR="0057470F">
        <w:rPr>
          <w:rFonts w:cstheme="minorHAnsi"/>
          <w:color w:val="000000"/>
          <w:shd w:val="clear" w:color="auto" w:fill="FFFFFF"/>
          <w:lang w:val="en-GB"/>
        </w:rPr>
        <w:t>Aotearoa New Zealand</w:t>
      </w:r>
      <w:r w:rsidR="0055073E">
        <w:rPr>
          <w:rFonts w:cstheme="minorHAnsi"/>
          <w:color w:val="000000"/>
          <w:shd w:val="clear" w:color="auto" w:fill="FFFFFF"/>
          <w:lang w:val="en-GB"/>
        </w:rPr>
        <w:t xml:space="preserve"> as a single case study</w:t>
      </w:r>
      <w:r w:rsidR="00E95361">
        <w:rPr>
          <w:rFonts w:cstheme="minorHAnsi"/>
          <w:color w:val="000000"/>
          <w:shd w:val="clear" w:color="auto" w:fill="FFFFFF"/>
          <w:lang w:val="en-GB"/>
        </w:rPr>
        <w:t xml:space="preserve">, the results confirm the expectation that the presence of </w:t>
      </w:r>
      <w:r w:rsidR="009D0755" w:rsidRPr="0060596E">
        <w:rPr>
          <w:rFonts w:cstheme="minorHAnsi"/>
          <w:color w:val="000000"/>
          <w:shd w:val="clear" w:color="auto" w:fill="FFFFFF"/>
          <w:lang w:val="en-GB"/>
        </w:rPr>
        <w:t>Māori</w:t>
      </w:r>
      <w:r w:rsidR="009D0755">
        <w:rPr>
          <w:rFonts w:cstheme="minorHAnsi"/>
          <w:color w:val="000000"/>
          <w:shd w:val="clear" w:color="auto" w:fill="FFFFFF"/>
          <w:lang w:val="en-GB"/>
        </w:rPr>
        <w:t xml:space="preserve"> </w:t>
      </w:r>
      <w:r w:rsidR="00E95361">
        <w:rPr>
          <w:rFonts w:cstheme="minorHAnsi"/>
          <w:color w:val="000000"/>
          <w:shd w:val="clear" w:color="auto" w:fill="FFFFFF"/>
          <w:lang w:val="en-GB"/>
        </w:rPr>
        <w:t xml:space="preserve">people </w:t>
      </w:r>
      <w:r w:rsidR="00A836F9">
        <w:rPr>
          <w:rFonts w:cstheme="minorHAnsi"/>
          <w:color w:val="000000"/>
          <w:shd w:val="clear" w:color="auto" w:fill="FFFFFF"/>
          <w:lang w:val="en-GB"/>
        </w:rPr>
        <w:t>in the national Parliament of Aotear</w:t>
      </w:r>
      <w:r w:rsidR="00273641">
        <w:rPr>
          <w:rFonts w:cstheme="minorHAnsi"/>
          <w:color w:val="000000"/>
          <w:shd w:val="clear" w:color="auto" w:fill="FFFFFF"/>
          <w:lang w:val="en-GB"/>
        </w:rPr>
        <w:t>o</w:t>
      </w:r>
      <w:r w:rsidR="00A836F9">
        <w:rPr>
          <w:rFonts w:cstheme="minorHAnsi"/>
          <w:color w:val="000000"/>
          <w:shd w:val="clear" w:color="auto" w:fill="FFFFFF"/>
          <w:lang w:val="en-GB"/>
        </w:rPr>
        <w:t>a New Ze</w:t>
      </w:r>
      <w:r w:rsidR="00DC2970">
        <w:rPr>
          <w:rFonts w:cstheme="minorHAnsi"/>
          <w:color w:val="000000"/>
          <w:shd w:val="clear" w:color="auto" w:fill="FFFFFF"/>
          <w:lang w:val="en-GB"/>
        </w:rPr>
        <w:t xml:space="preserve">aland </w:t>
      </w:r>
      <w:r w:rsidR="00E95361">
        <w:rPr>
          <w:rFonts w:cstheme="minorHAnsi"/>
          <w:color w:val="000000"/>
          <w:shd w:val="clear" w:color="auto" w:fill="FFFFFF"/>
          <w:lang w:val="en-GB"/>
        </w:rPr>
        <w:t xml:space="preserve">enhance substantive claims made on their behalf. </w:t>
      </w:r>
    </w:p>
    <w:p w14:paraId="2C22C10B" w14:textId="77777777" w:rsidR="00C235A4" w:rsidRDefault="00C235A4" w:rsidP="00CC399B">
      <w:pPr>
        <w:spacing w:line="360" w:lineRule="auto"/>
        <w:jc w:val="both"/>
        <w:rPr>
          <w:lang w:val="en-GB"/>
        </w:rPr>
      </w:pPr>
    </w:p>
    <w:p w14:paraId="1CFB443A" w14:textId="4D0E9465" w:rsidR="00474054" w:rsidRPr="00474054" w:rsidRDefault="00474054" w:rsidP="00CC399B">
      <w:pPr>
        <w:spacing w:line="360" w:lineRule="auto"/>
        <w:jc w:val="both"/>
        <w:rPr>
          <w:lang w:val="en-GB"/>
        </w:rPr>
      </w:pPr>
      <w:r w:rsidRPr="00474054">
        <w:rPr>
          <w:sz w:val="26"/>
          <w:szCs w:val="26"/>
          <w:lang w:val="en-GB"/>
        </w:rPr>
        <w:t>Keywords</w:t>
      </w:r>
      <w:r>
        <w:rPr>
          <w:sz w:val="26"/>
          <w:szCs w:val="26"/>
          <w:lang w:val="en-GB"/>
        </w:rPr>
        <w:t xml:space="preserve">: </w:t>
      </w:r>
      <w:r w:rsidR="009D0755" w:rsidRPr="0060596E">
        <w:rPr>
          <w:rFonts w:cstheme="minorHAnsi"/>
          <w:color w:val="000000"/>
          <w:shd w:val="clear" w:color="auto" w:fill="FFFFFF"/>
          <w:lang w:val="en-GB"/>
        </w:rPr>
        <w:t>Māori</w:t>
      </w:r>
      <w:r w:rsidR="00577403" w:rsidRPr="00577403">
        <w:rPr>
          <w:lang w:val="en-GB"/>
        </w:rPr>
        <w:t>,</w:t>
      </w:r>
      <w:r w:rsidR="00577403">
        <w:rPr>
          <w:sz w:val="26"/>
          <w:szCs w:val="26"/>
          <w:lang w:val="en-GB"/>
        </w:rPr>
        <w:t xml:space="preserve"> </w:t>
      </w:r>
      <w:r>
        <w:rPr>
          <w:lang w:val="en-GB"/>
        </w:rPr>
        <w:t>descriptive representation, substantive representation, substantive claims, symbolic representation,</w:t>
      </w:r>
      <w:r w:rsidR="007D3DC6">
        <w:rPr>
          <w:lang w:val="en-GB"/>
        </w:rPr>
        <w:t xml:space="preserve"> Aotearoa New Zealand</w:t>
      </w:r>
    </w:p>
    <w:p w14:paraId="72F3A1EA" w14:textId="07977D0E" w:rsidR="0076443F" w:rsidRPr="0076443F" w:rsidRDefault="004A4A68">
      <w:pPr>
        <w:rPr>
          <w:lang w:val="en-GB"/>
        </w:rPr>
      </w:pPr>
      <w:r>
        <w:rPr>
          <w:lang w:val="en-GB"/>
        </w:rPr>
        <w:br w:type="page"/>
      </w:r>
    </w:p>
    <w:p w14:paraId="7B5116EB" w14:textId="37129F9B" w:rsidR="0069399F" w:rsidRPr="00412F50" w:rsidRDefault="0069399F" w:rsidP="008158E1">
      <w:pPr>
        <w:pStyle w:val="Kop1"/>
        <w:rPr>
          <w:lang w:val="en-GB"/>
        </w:rPr>
      </w:pPr>
      <w:bookmarkStart w:id="2" w:name="_Toc74583775"/>
      <w:bookmarkStart w:id="3" w:name="_Toc75384045"/>
      <w:r w:rsidRPr="00412F50">
        <w:rPr>
          <w:lang w:val="en-GB"/>
        </w:rPr>
        <w:lastRenderedPageBreak/>
        <w:t>Chapter 1: Introduction</w:t>
      </w:r>
      <w:bookmarkEnd w:id="2"/>
      <w:bookmarkEnd w:id="3"/>
    </w:p>
    <w:p w14:paraId="6081CAA2" w14:textId="77777777" w:rsidR="00ED3303" w:rsidRPr="00ED3303" w:rsidRDefault="00ED3303" w:rsidP="008158E1">
      <w:pPr>
        <w:pStyle w:val="Geenafstand"/>
        <w:spacing w:line="360" w:lineRule="auto"/>
        <w:jc w:val="both"/>
      </w:pPr>
    </w:p>
    <w:p w14:paraId="70E9283C" w14:textId="435FB25E" w:rsidR="0069399F" w:rsidRDefault="0069399F" w:rsidP="008158E1">
      <w:pPr>
        <w:pStyle w:val="Geenafstand"/>
        <w:spacing w:line="360" w:lineRule="auto"/>
        <w:jc w:val="center"/>
        <w:rPr>
          <w:rFonts w:cstheme="minorHAnsi"/>
          <w:color w:val="121212"/>
          <w:shd w:val="clear" w:color="auto" w:fill="FFFFFF"/>
        </w:rPr>
      </w:pPr>
      <w:r>
        <w:rPr>
          <w:rFonts w:cstheme="minorHAnsi"/>
          <w:color w:val="121212"/>
          <w:shd w:val="clear" w:color="auto" w:fill="FFFFFF"/>
        </w:rPr>
        <w:t>“</w:t>
      </w:r>
      <w:r w:rsidRPr="00542308">
        <w:rPr>
          <w:rFonts w:cs="Open Sans"/>
          <w:color w:val="000000"/>
          <w:shd w:val="clear" w:color="auto" w:fill="FFFFFF"/>
        </w:rPr>
        <w:t>When it comes to views of indigenous rights and indigenous peoples, those views must be from those indigenous peoples for the indigenous rights of our people</w:t>
      </w:r>
      <w:r>
        <w:rPr>
          <w:rFonts w:cstheme="minorHAnsi"/>
          <w:color w:val="121212"/>
          <w:shd w:val="clear" w:color="auto" w:fill="FFFFFF"/>
        </w:rPr>
        <w:t>.</w:t>
      </w:r>
      <w:r w:rsidRPr="0007728E">
        <w:rPr>
          <w:rFonts w:cstheme="minorHAnsi"/>
          <w:color w:val="121212"/>
          <w:shd w:val="clear" w:color="auto" w:fill="FFFFFF"/>
        </w:rPr>
        <w:t>”</w:t>
      </w:r>
      <w:r w:rsidR="007353D5">
        <w:rPr>
          <w:rFonts w:cstheme="minorHAnsi"/>
          <w:color w:val="121212"/>
          <w:shd w:val="clear" w:color="auto" w:fill="FFFFFF"/>
        </w:rPr>
        <w:t xml:space="preserve"> </w:t>
      </w:r>
      <w:r>
        <w:rPr>
          <w:rFonts w:cstheme="minorHAnsi"/>
          <w:color w:val="121212"/>
          <w:shd w:val="clear" w:color="auto" w:fill="FFFFFF"/>
        </w:rPr>
        <w:t>(Waititi, 2021)</w:t>
      </w:r>
    </w:p>
    <w:p w14:paraId="3BB9712B" w14:textId="77777777" w:rsidR="0069399F" w:rsidRPr="0007728E" w:rsidRDefault="0069399F" w:rsidP="008158E1">
      <w:pPr>
        <w:pStyle w:val="Geenafstand"/>
        <w:spacing w:line="360" w:lineRule="auto"/>
        <w:jc w:val="both"/>
        <w:rPr>
          <w:rFonts w:cstheme="minorHAnsi"/>
          <w:color w:val="121212"/>
          <w:shd w:val="clear" w:color="auto" w:fill="FFFFFF"/>
        </w:rPr>
      </w:pPr>
    </w:p>
    <w:p w14:paraId="6BD50EF5" w14:textId="3B4EFF8E" w:rsidR="002B2650" w:rsidRDefault="0069399F" w:rsidP="008158E1">
      <w:pPr>
        <w:pStyle w:val="Geenafstand"/>
        <w:spacing w:line="360" w:lineRule="auto"/>
        <w:ind w:firstLine="708"/>
        <w:jc w:val="both"/>
        <w:rPr>
          <w:rFonts w:cstheme="minorHAnsi"/>
          <w:color w:val="000000"/>
          <w:shd w:val="clear" w:color="auto" w:fill="FFFFFF"/>
        </w:rPr>
      </w:pPr>
      <w:r>
        <w:rPr>
          <w:rFonts w:cstheme="minorHAnsi"/>
          <w:color w:val="000000"/>
          <w:shd w:val="clear" w:color="auto" w:fill="FFFFFF"/>
        </w:rPr>
        <w:t xml:space="preserve">The quotation above by </w:t>
      </w:r>
      <w:r>
        <w:t xml:space="preserve">Rawiri Waititi, the leader of the </w:t>
      </w:r>
      <w:r w:rsidRPr="0060596E">
        <w:rPr>
          <w:rFonts w:cstheme="minorHAnsi"/>
          <w:color w:val="000000"/>
          <w:shd w:val="clear" w:color="auto" w:fill="FFFFFF"/>
        </w:rPr>
        <w:t>Māori</w:t>
      </w:r>
      <w:r>
        <w:rPr>
          <w:rFonts w:cstheme="minorHAnsi"/>
          <w:color w:val="000000"/>
          <w:shd w:val="clear" w:color="auto" w:fill="FFFFFF"/>
        </w:rPr>
        <w:t xml:space="preserve"> Party, emphasized the importance of the political representation of </w:t>
      </w:r>
      <w:r w:rsidRPr="0060596E">
        <w:rPr>
          <w:rFonts w:cstheme="minorHAnsi"/>
          <w:color w:val="000000"/>
          <w:shd w:val="clear" w:color="auto" w:fill="FFFFFF"/>
        </w:rPr>
        <w:t>Māori</w:t>
      </w:r>
      <w:r>
        <w:rPr>
          <w:rFonts w:cstheme="minorHAnsi"/>
          <w:color w:val="000000"/>
          <w:shd w:val="clear" w:color="auto" w:fill="FFFFFF"/>
        </w:rPr>
        <w:t xml:space="preserve"> people</w:t>
      </w:r>
      <w:r>
        <w:rPr>
          <w:rStyle w:val="Voetnootmarkering"/>
          <w:rFonts w:cstheme="minorHAnsi"/>
          <w:color w:val="000000"/>
          <w:shd w:val="clear" w:color="auto" w:fill="FFFFFF"/>
        </w:rPr>
        <w:footnoteReference w:id="1"/>
      </w:r>
      <w:r>
        <w:rPr>
          <w:rFonts w:cstheme="minorHAnsi"/>
          <w:color w:val="000000"/>
          <w:shd w:val="clear" w:color="auto" w:fill="FFFFFF"/>
        </w:rPr>
        <w:t xml:space="preserve"> during a parliamentary speech.  According to Rawiri Waititi (2021), the House is in disrepute, because </w:t>
      </w:r>
      <w:r w:rsidR="009D0755" w:rsidRPr="0060596E">
        <w:rPr>
          <w:rFonts w:cstheme="minorHAnsi"/>
          <w:color w:val="000000"/>
          <w:shd w:val="clear" w:color="auto" w:fill="FFFFFF"/>
        </w:rPr>
        <w:t>Māori</w:t>
      </w:r>
      <w:r w:rsidR="009D0755">
        <w:rPr>
          <w:rFonts w:cstheme="minorHAnsi"/>
          <w:color w:val="000000"/>
          <w:shd w:val="clear" w:color="auto" w:fill="FFFFFF"/>
        </w:rPr>
        <w:t xml:space="preserve"> </w:t>
      </w:r>
      <w:r>
        <w:rPr>
          <w:rFonts w:cstheme="minorHAnsi"/>
          <w:color w:val="000000"/>
          <w:shd w:val="clear" w:color="auto" w:fill="FFFFFF"/>
        </w:rPr>
        <w:t xml:space="preserve">people are constantly insulted. Therefore, for representatives like Rawiri Waititi, the only way to obtain full indigenous representation is by having indigenous politicians in parliament. </w:t>
      </w:r>
      <w:r>
        <w:t>Many scholars argue the same; representatives who are descriptively similar enhance the substantive representation of their constituents</w:t>
      </w:r>
      <w:r w:rsidR="008F3A1C">
        <w:t xml:space="preserve"> </w:t>
      </w:r>
      <w:r w:rsidR="008F3A1C">
        <w:t>(Phillips, 2019; Young, 2002; Williams, 1998; White, 2017;</w:t>
      </w:r>
      <w:r w:rsidR="008F3A1C" w:rsidRPr="001A4DA7">
        <w:t xml:space="preserve"> Morris, 2014; Lloyd, 2009</w:t>
      </w:r>
      <w:r w:rsidR="008F3A1C">
        <w:t xml:space="preserve"> and </w:t>
      </w:r>
      <w:r w:rsidR="008F3A1C" w:rsidRPr="001A4DA7">
        <w:t>Summersby, 2009</w:t>
      </w:r>
      <w:r w:rsidR="008F3A1C">
        <w:t>)</w:t>
      </w:r>
      <w:r>
        <w:t xml:space="preserve">. </w:t>
      </w:r>
      <w:r>
        <w:rPr>
          <w:rFonts w:cstheme="minorHAnsi"/>
          <w:color w:val="000000"/>
          <w:shd w:val="clear" w:color="auto" w:fill="FFFFFF"/>
        </w:rPr>
        <w:t>This is precisely what this thesis seeks to uncover. This thesis explores whether indigenous peoples are indeed best represented by their own indigenous tribe as Rawiri Waititi proposes. To study this, literature from the field of political representation is used</w:t>
      </w:r>
      <w:r w:rsidR="000479E4">
        <w:rPr>
          <w:rFonts w:cstheme="minorHAnsi"/>
          <w:color w:val="000000"/>
          <w:shd w:val="clear" w:color="auto" w:fill="FFFFFF"/>
        </w:rPr>
        <w:t xml:space="preserve"> (Pitkin, 1965; Phillips, 2019; Mansbridge, 1999; Williams, 2018</w:t>
      </w:r>
      <w:r w:rsidR="00584273">
        <w:rPr>
          <w:rFonts w:cstheme="minorHAnsi"/>
          <w:color w:val="000000"/>
          <w:shd w:val="clear" w:color="auto" w:fill="FFFFFF"/>
        </w:rPr>
        <w:t>; W</w:t>
      </w:r>
      <w:r w:rsidR="0066474E">
        <w:rPr>
          <w:rFonts w:cstheme="minorHAnsi"/>
          <w:color w:val="000000"/>
          <w:shd w:val="clear" w:color="auto" w:fill="FFFFFF"/>
        </w:rPr>
        <w:t>ä</w:t>
      </w:r>
      <w:r w:rsidR="00584273">
        <w:rPr>
          <w:rFonts w:cstheme="minorHAnsi"/>
          <w:color w:val="000000"/>
          <w:shd w:val="clear" w:color="auto" w:fill="FFFFFF"/>
        </w:rPr>
        <w:t>ngnerud, 2009).</w:t>
      </w:r>
    </w:p>
    <w:p w14:paraId="543763B3" w14:textId="0DEE011E" w:rsidR="0069399F" w:rsidRPr="006608F4" w:rsidRDefault="0069399F" w:rsidP="008158E1">
      <w:pPr>
        <w:pStyle w:val="Geenafstand"/>
        <w:spacing w:line="360" w:lineRule="auto"/>
        <w:ind w:firstLine="708"/>
        <w:jc w:val="both"/>
        <w:rPr>
          <w:rFonts w:cstheme="minorHAnsi"/>
          <w:color w:val="000000"/>
          <w:shd w:val="clear" w:color="auto" w:fill="FFFFFF"/>
        </w:rPr>
      </w:pPr>
      <w:r>
        <w:rPr>
          <w:rFonts w:cstheme="minorHAnsi"/>
          <w:color w:val="000000"/>
          <w:shd w:val="clear" w:color="auto" w:fill="FFFFFF"/>
        </w:rPr>
        <w:t xml:space="preserve">Pitkin (1967), one of the most influential scholars in this field, divides political representation roughly up into two parts: ‘standing for’ and ‘acting for’. ‘Standing for’ is mostly referred to as descriptive representation. This means that citizens are represented by someone who is descriptively similar and/or shares the same experiences (Mansbridge, 1999). In the case of </w:t>
      </w:r>
      <w:r w:rsidRPr="007749CD">
        <w:rPr>
          <w:rFonts w:cstheme="minorHAnsi"/>
          <w:color w:val="000000"/>
          <w:shd w:val="clear" w:color="auto" w:fill="FFFFFF"/>
        </w:rPr>
        <w:t xml:space="preserve">Māori </w:t>
      </w:r>
      <w:r>
        <w:rPr>
          <w:rFonts w:cstheme="minorHAnsi"/>
          <w:color w:val="000000"/>
          <w:shd w:val="clear" w:color="auto" w:fill="FFFFFF"/>
        </w:rPr>
        <w:t xml:space="preserve">people this would mean that they are best represented by someone of </w:t>
      </w:r>
      <w:r w:rsidRPr="007749CD">
        <w:rPr>
          <w:rFonts w:cstheme="minorHAnsi"/>
          <w:color w:val="000000"/>
          <w:shd w:val="clear" w:color="auto" w:fill="FFFFFF"/>
        </w:rPr>
        <w:t xml:space="preserve">Māori </w:t>
      </w:r>
      <w:r>
        <w:rPr>
          <w:rFonts w:cstheme="minorHAnsi"/>
          <w:color w:val="000000"/>
          <w:shd w:val="clear" w:color="auto" w:fill="FFFFFF"/>
        </w:rPr>
        <w:t>descent. Pitkin (1967)</w:t>
      </w:r>
      <w:r w:rsidR="00E0290F">
        <w:rPr>
          <w:rFonts w:cstheme="minorHAnsi"/>
          <w:color w:val="000000"/>
          <w:shd w:val="clear" w:color="auto" w:fill="FFFFFF"/>
        </w:rPr>
        <w:t xml:space="preserve"> sets out</w:t>
      </w:r>
      <w:r>
        <w:rPr>
          <w:rFonts w:cstheme="minorHAnsi"/>
          <w:color w:val="000000"/>
          <w:shd w:val="clear" w:color="auto" w:fill="FFFFFF"/>
        </w:rPr>
        <w:t xml:space="preserve"> ‘standing for’</w:t>
      </w:r>
      <w:r w:rsidR="00E0290F">
        <w:rPr>
          <w:rFonts w:cstheme="minorHAnsi"/>
          <w:color w:val="000000"/>
          <w:shd w:val="clear" w:color="auto" w:fill="FFFFFF"/>
        </w:rPr>
        <w:t xml:space="preserve"> as opposite to</w:t>
      </w:r>
      <w:r>
        <w:rPr>
          <w:rFonts w:cstheme="minorHAnsi"/>
          <w:color w:val="000000"/>
          <w:shd w:val="clear" w:color="auto" w:fill="FFFFFF"/>
        </w:rPr>
        <w:t xml:space="preserve"> ‘acting for’, also named substantive representation. </w:t>
      </w:r>
      <w:r w:rsidR="00E0290F">
        <w:t>Substantive representation is</w:t>
      </w:r>
      <w:r w:rsidRPr="0069700E">
        <w:t xml:space="preserve"> about the</w:t>
      </w:r>
      <w:r>
        <w:t xml:space="preserve"> action representatives undertake for their constituents. It consists of the </w:t>
      </w:r>
      <w:r w:rsidRPr="0069700E">
        <w:t>execution of representation for others (Pitkin, 1967).</w:t>
      </w:r>
      <w:r>
        <w:t xml:space="preserve"> For </w:t>
      </w:r>
      <w:r w:rsidRPr="007749CD">
        <w:rPr>
          <w:rFonts w:cstheme="minorHAnsi"/>
          <w:color w:val="000000"/>
          <w:shd w:val="clear" w:color="auto" w:fill="FFFFFF"/>
        </w:rPr>
        <w:t>Māori</w:t>
      </w:r>
      <w:r>
        <w:rPr>
          <w:rFonts w:cstheme="minorHAnsi"/>
          <w:color w:val="000000"/>
          <w:shd w:val="clear" w:color="auto" w:fill="FFFFFF"/>
        </w:rPr>
        <w:t xml:space="preserve"> people</w:t>
      </w:r>
      <w:r w:rsidR="002B2650">
        <w:rPr>
          <w:rFonts w:cstheme="minorHAnsi"/>
          <w:color w:val="000000"/>
          <w:shd w:val="clear" w:color="auto" w:fill="FFFFFF"/>
        </w:rPr>
        <w:t>,</w:t>
      </w:r>
      <w:r>
        <w:rPr>
          <w:rFonts w:cstheme="minorHAnsi"/>
          <w:color w:val="000000"/>
          <w:shd w:val="clear" w:color="auto" w:fill="FFFFFF"/>
        </w:rPr>
        <w:t xml:space="preserve"> this would mean that it does not matter what descriptive characteristics the representatives </w:t>
      </w:r>
      <w:r w:rsidR="00492ED7">
        <w:rPr>
          <w:rFonts w:cstheme="minorHAnsi"/>
          <w:color w:val="000000"/>
          <w:shd w:val="clear" w:color="auto" w:fill="FFFFFF"/>
        </w:rPr>
        <w:t>have</w:t>
      </w:r>
      <w:r>
        <w:rPr>
          <w:rFonts w:cstheme="minorHAnsi"/>
          <w:color w:val="000000"/>
          <w:shd w:val="clear" w:color="auto" w:fill="FFFFFF"/>
        </w:rPr>
        <w:t xml:space="preserve">, as long as </w:t>
      </w:r>
      <w:r w:rsidR="005033DA">
        <w:rPr>
          <w:rFonts w:cstheme="minorHAnsi"/>
          <w:color w:val="000000"/>
          <w:shd w:val="clear" w:color="auto" w:fill="FFFFFF"/>
        </w:rPr>
        <w:t>they</w:t>
      </w:r>
      <w:r w:rsidR="00B20212">
        <w:rPr>
          <w:rFonts w:cstheme="minorHAnsi"/>
          <w:color w:val="000000"/>
          <w:shd w:val="clear" w:color="auto" w:fill="FFFFFF"/>
        </w:rPr>
        <w:t xml:space="preserve"> act</w:t>
      </w:r>
      <w:r>
        <w:rPr>
          <w:rFonts w:cstheme="minorHAnsi"/>
          <w:color w:val="000000"/>
          <w:shd w:val="clear" w:color="auto" w:fill="FFFFFF"/>
        </w:rPr>
        <w:t xml:space="preserve"> in the interests of </w:t>
      </w:r>
      <w:r w:rsidRPr="007749CD">
        <w:rPr>
          <w:rFonts w:cstheme="minorHAnsi"/>
          <w:color w:val="000000"/>
          <w:shd w:val="clear" w:color="auto" w:fill="FFFFFF"/>
        </w:rPr>
        <w:t>Māori</w:t>
      </w:r>
      <w:r>
        <w:rPr>
          <w:rFonts w:cstheme="minorHAnsi"/>
          <w:color w:val="000000"/>
          <w:shd w:val="clear" w:color="auto" w:fill="FFFFFF"/>
        </w:rPr>
        <w:t xml:space="preserve"> people. </w:t>
      </w:r>
      <w:r>
        <w:t>This leads to the following</w:t>
      </w:r>
      <w:r w:rsidR="00AA1D8F">
        <w:t xml:space="preserve"> main</w:t>
      </w:r>
      <w:r>
        <w:t xml:space="preserve"> research question: </w:t>
      </w:r>
      <w:r w:rsidRPr="0008508D">
        <w:rPr>
          <w:i/>
        </w:rPr>
        <w:t xml:space="preserve">Does descriptive representation lead to substantive </w:t>
      </w:r>
      <w:r>
        <w:rPr>
          <w:i/>
        </w:rPr>
        <w:t>representative claims</w:t>
      </w:r>
      <w:r w:rsidRPr="0008508D">
        <w:rPr>
          <w:i/>
        </w:rPr>
        <w:t xml:space="preserve"> of indigenous populations </w:t>
      </w:r>
      <w:r w:rsidR="00556A4B">
        <w:rPr>
          <w:i/>
        </w:rPr>
        <w:t>in</w:t>
      </w:r>
      <w:r w:rsidRPr="0008508D">
        <w:rPr>
          <w:i/>
        </w:rPr>
        <w:t xml:space="preserve"> liberal</w:t>
      </w:r>
      <w:r w:rsidR="000360EC">
        <w:rPr>
          <w:i/>
        </w:rPr>
        <w:t xml:space="preserve"> democra</w:t>
      </w:r>
      <w:r w:rsidR="000E3771">
        <w:rPr>
          <w:i/>
        </w:rPr>
        <w:t>cies</w:t>
      </w:r>
      <w:r w:rsidRPr="0008508D">
        <w:rPr>
          <w:i/>
        </w:rPr>
        <w:t xml:space="preserve">? </w:t>
      </w:r>
      <w:r w:rsidRPr="0008508D">
        <w:t xml:space="preserve"> </w:t>
      </w:r>
    </w:p>
    <w:p w14:paraId="6BF8A523" w14:textId="60033F2B" w:rsidR="0069399F" w:rsidRPr="000F77AB" w:rsidRDefault="0069399F" w:rsidP="008158E1">
      <w:pPr>
        <w:pStyle w:val="Geenafstand"/>
        <w:spacing w:line="360" w:lineRule="auto"/>
        <w:ind w:firstLine="708"/>
        <w:jc w:val="both"/>
        <w:rPr>
          <w:rFonts w:cstheme="minorHAnsi"/>
        </w:rPr>
      </w:pPr>
      <w:r w:rsidRPr="000F77AB">
        <w:rPr>
          <w:rFonts w:cstheme="minorHAnsi"/>
        </w:rPr>
        <w:t xml:space="preserve">This chapter will </w:t>
      </w:r>
      <w:r w:rsidR="004138C7">
        <w:rPr>
          <w:rFonts w:cstheme="minorHAnsi"/>
        </w:rPr>
        <w:t>provide</w:t>
      </w:r>
      <w:r w:rsidRPr="000F77AB">
        <w:rPr>
          <w:rFonts w:cstheme="minorHAnsi"/>
        </w:rPr>
        <w:t xml:space="preserve"> an overview of the whole thesis.</w:t>
      </w:r>
      <w:r w:rsidR="00100586">
        <w:rPr>
          <w:rFonts w:cstheme="minorHAnsi"/>
        </w:rPr>
        <w:t xml:space="preserve"> Starting by introducing</w:t>
      </w:r>
      <w:r w:rsidRPr="000F77AB">
        <w:rPr>
          <w:rFonts w:cstheme="minorHAnsi"/>
        </w:rPr>
        <w:t xml:space="preserve"> the main puzzle of this thesis</w:t>
      </w:r>
      <w:r w:rsidR="00B20FC2" w:rsidRPr="000F77AB">
        <w:rPr>
          <w:rFonts w:cstheme="minorHAnsi"/>
        </w:rPr>
        <w:t xml:space="preserve"> within the </w:t>
      </w:r>
      <w:r w:rsidR="00100586">
        <w:rPr>
          <w:rFonts w:cstheme="minorHAnsi"/>
        </w:rPr>
        <w:t>extensive</w:t>
      </w:r>
      <w:r w:rsidRPr="000F77AB">
        <w:rPr>
          <w:rFonts w:cstheme="minorHAnsi"/>
        </w:rPr>
        <w:t xml:space="preserve"> field of literature</w:t>
      </w:r>
      <w:r w:rsidR="00100586">
        <w:rPr>
          <w:rFonts w:cstheme="minorHAnsi"/>
        </w:rPr>
        <w:t>,</w:t>
      </w:r>
      <w:r w:rsidRPr="000F77AB">
        <w:rPr>
          <w:rFonts w:cstheme="minorHAnsi"/>
        </w:rPr>
        <w:t xml:space="preserve"> discussing the link between descriptive and substantive representation. After this introduction of the main literature, Aotearoa New Zealand</w:t>
      </w:r>
      <w:r w:rsidRPr="000F77AB">
        <w:rPr>
          <w:rStyle w:val="Voetnootmarkering"/>
          <w:rFonts w:cstheme="minorHAnsi"/>
          <w:color w:val="000000"/>
          <w:shd w:val="clear" w:color="auto" w:fill="FFFFFF"/>
        </w:rPr>
        <w:footnoteReference w:id="2"/>
      </w:r>
      <w:r w:rsidRPr="000F77AB">
        <w:rPr>
          <w:rFonts w:cstheme="minorHAnsi"/>
        </w:rPr>
        <w:t xml:space="preserve"> as </w:t>
      </w:r>
      <w:r w:rsidR="00AA1D8F" w:rsidRPr="000F77AB">
        <w:rPr>
          <w:rFonts w:cstheme="minorHAnsi"/>
        </w:rPr>
        <w:t xml:space="preserve">a </w:t>
      </w:r>
      <w:r w:rsidRPr="000F77AB">
        <w:rPr>
          <w:rFonts w:cstheme="minorHAnsi"/>
        </w:rPr>
        <w:t>case will be introduced</w:t>
      </w:r>
      <w:r w:rsidR="007A11A4">
        <w:rPr>
          <w:rFonts w:cstheme="minorHAnsi"/>
        </w:rPr>
        <w:t>,</w:t>
      </w:r>
      <w:r w:rsidRPr="000F77AB">
        <w:rPr>
          <w:rFonts w:cstheme="minorHAnsi"/>
        </w:rPr>
        <w:t xml:space="preserve"> after which the used methodology will be</w:t>
      </w:r>
      <w:r w:rsidR="00AA1D8F" w:rsidRPr="000F77AB">
        <w:rPr>
          <w:rFonts w:cstheme="minorHAnsi"/>
        </w:rPr>
        <w:t xml:space="preserve"> briefly</w:t>
      </w:r>
      <w:r w:rsidRPr="000F77AB">
        <w:rPr>
          <w:rFonts w:cstheme="minorHAnsi"/>
        </w:rPr>
        <w:t xml:space="preserve"> explained. This will </w:t>
      </w:r>
      <w:r w:rsidR="00AA1D8F" w:rsidRPr="000F77AB">
        <w:rPr>
          <w:rFonts w:cstheme="minorHAnsi"/>
        </w:rPr>
        <w:t xml:space="preserve">be </w:t>
      </w:r>
      <w:r w:rsidRPr="000F77AB">
        <w:rPr>
          <w:rFonts w:cstheme="minorHAnsi"/>
        </w:rPr>
        <w:lastRenderedPageBreak/>
        <w:t>follow</w:t>
      </w:r>
      <w:r w:rsidR="00AA1D8F" w:rsidRPr="000F77AB">
        <w:rPr>
          <w:rFonts w:cstheme="minorHAnsi"/>
        </w:rPr>
        <w:t>ed</w:t>
      </w:r>
      <w:r w:rsidRPr="000F77AB">
        <w:rPr>
          <w:rFonts w:cstheme="minorHAnsi"/>
        </w:rPr>
        <w:t xml:space="preserve"> by scientific and societal relevance of th</w:t>
      </w:r>
      <w:r w:rsidR="007A11A4">
        <w:rPr>
          <w:rFonts w:cstheme="minorHAnsi"/>
        </w:rPr>
        <w:t>e</w:t>
      </w:r>
      <w:r w:rsidRPr="000F77AB">
        <w:rPr>
          <w:rFonts w:cstheme="minorHAnsi"/>
        </w:rPr>
        <w:t xml:space="preserve"> research question. </w:t>
      </w:r>
      <w:r w:rsidR="00412201">
        <w:rPr>
          <w:rFonts w:cstheme="minorHAnsi"/>
        </w:rPr>
        <w:t>T</w:t>
      </w:r>
      <w:r w:rsidR="00D84430" w:rsidRPr="000F77AB">
        <w:rPr>
          <w:rFonts w:cstheme="minorHAnsi"/>
        </w:rPr>
        <w:t>his thesis will</w:t>
      </w:r>
      <w:r w:rsidR="00412201">
        <w:rPr>
          <w:rFonts w:cstheme="minorHAnsi"/>
        </w:rPr>
        <w:t xml:space="preserve"> close</w:t>
      </w:r>
      <w:r w:rsidR="00D84430" w:rsidRPr="000F77AB">
        <w:rPr>
          <w:rFonts w:cstheme="minorHAnsi"/>
        </w:rPr>
        <w:t xml:space="preserve"> by providing</w:t>
      </w:r>
      <w:r w:rsidR="00412201">
        <w:rPr>
          <w:rFonts w:cstheme="minorHAnsi"/>
        </w:rPr>
        <w:t xml:space="preserve"> </w:t>
      </w:r>
      <w:r w:rsidR="00D84430" w:rsidRPr="000F77AB">
        <w:rPr>
          <w:rFonts w:cstheme="minorHAnsi"/>
        </w:rPr>
        <w:t xml:space="preserve">the reader with an overview of the remaining </w:t>
      </w:r>
      <w:r w:rsidR="006771A0">
        <w:rPr>
          <w:rFonts w:cstheme="minorHAnsi"/>
        </w:rPr>
        <w:t>four</w:t>
      </w:r>
      <w:r w:rsidR="00D84430" w:rsidRPr="000F77AB">
        <w:rPr>
          <w:rFonts w:cstheme="minorHAnsi"/>
        </w:rPr>
        <w:t xml:space="preserve"> chapters</w:t>
      </w:r>
      <w:r w:rsidR="00412201">
        <w:rPr>
          <w:rFonts w:cstheme="minorHAnsi"/>
        </w:rPr>
        <w:t xml:space="preserve">. </w:t>
      </w:r>
    </w:p>
    <w:p w14:paraId="25B167F0" w14:textId="77777777" w:rsidR="008158E1" w:rsidRDefault="008158E1" w:rsidP="008158E1">
      <w:pPr>
        <w:pStyle w:val="Geenafstand"/>
        <w:spacing w:line="360" w:lineRule="auto"/>
        <w:jc w:val="both"/>
      </w:pPr>
      <w:bookmarkStart w:id="4" w:name="_Toc74583776"/>
    </w:p>
    <w:p w14:paraId="3CE42B1F" w14:textId="335D8483" w:rsidR="0069399F" w:rsidRPr="00412F50" w:rsidRDefault="0069399F" w:rsidP="008158E1">
      <w:pPr>
        <w:pStyle w:val="Kop2"/>
        <w:rPr>
          <w:lang w:val="en-GB"/>
        </w:rPr>
      </w:pPr>
      <w:bookmarkStart w:id="5" w:name="_Toc75384046"/>
      <w:r w:rsidRPr="00412F50">
        <w:rPr>
          <w:lang w:val="en-GB"/>
        </w:rPr>
        <w:t>1.1 Theory of political representation</w:t>
      </w:r>
      <w:bookmarkEnd w:id="4"/>
      <w:bookmarkEnd w:id="5"/>
      <w:r w:rsidRPr="00412F50">
        <w:rPr>
          <w:lang w:val="en-GB"/>
        </w:rPr>
        <w:t xml:space="preserve"> </w:t>
      </w:r>
    </w:p>
    <w:p w14:paraId="18572466" w14:textId="33F13D74" w:rsidR="0069399F" w:rsidRDefault="0069399F" w:rsidP="008158E1">
      <w:pPr>
        <w:pStyle w:val="Geenafstand"/>
        <w:spacing w:line="360" w:lineRule="auto"/>
        <w:ind w:firstLine="708"/>
        <w:jc w:val="both"/>
      </w:pPr>
      <w:r>
        <w:t xml:space="preserve">As mentioned above, the two main concepts in the theory of political representation are ‘descriptive’ and ‘substantive’ representation. </w:t>
      </w:r>
      <w:r w:rsidR="00DF2641">
        <w:t xml:space="preserve">In chapter </w:t>
      </w:r>
      <w:r w:rsidR="005467B1">
        <w:t>2</w:t>
      </w:r>
      <w:r w:rsidR="00DF2641">
        <w:t xml:space="preserve"> these two concepts are discussed in further detail. </w:t>
      </w:r>
      <w:r>
        <w:t>Pitkin (1967) formulates these concepts as separate. However, r</w:t>
      </w:r>
      <w:r w:rsidRPr="0069700E">
        <w:t xml:space="preserve">ecent scholars </w:t>
      </w:r>
      <w:r>
        <w:t xml:space="preserve">criticize this rigid divide and </w:t>
      </w:r>
      <w:r w:rsidRPr="0069700E">
        <w:t xml:space="preserve">argue for a </w:t>
      </w:r>
      <w:r w:rsidR="00C4426E">
        <w:t>broader</w:t>
      </w:r>
      <w:r w:rsidRPr="0069700E">
        <w:t xml:space="preserve"> view on political representation (Mackay, 2008; Severs, 2012; Saward, 2006, Schwindt-Bayer and Mishler, 2005).</w:t>
      </w:r>
      <w:r>
        <w:t xml:space="preserve"> Meaning that the different concepts are overlapping rather than each presenting a different part of political representation. Therefore, this thesis will use Saward’s (2008) definition of political representation: ‘the representative claim’. This definition takes a </w:t>
      </w:r>
      <w:r w:rsidRPr="00A0731E">
        <w:t>broader view on political representation. It</w:t>
      </w:r>
      <w:r w:rsidR="00EF1C1E">
        <w:t xml:space="preserve"> suggests that political representation regards more than solely</w:t>
      </w:r>
      <w:r w:rsidRPr="00A0731E">
        <w:t xml:space="preserve"> the representation of interests and preferences of the people</w:t>
      </w:r>
      <w:r w:rsidR="00245E13">
        <w:t>,</w:t>
      </w:r>
      <w:r w:rsidRPr="00A0731E">
        <w:t xml:space="preserve"> as Rohrschneider and Thomassen (2020) propose. Saward (2008) moves beyond the institutional view by covering different elements </w:t>
      </w:r>
      <w:r>
        <w:t>of</w:t>
      </w:r>
      <w:r w:rsidRPr="00A0731E">
        <w:t xml:space="preserve"> political representation in the </w:t>
      </w:r>
      <w:r w:rsidR="00FE0CCE">
        <w:t>“</w:t>
      </w:r>
      <w:r w:rsidRPr="00A0731E">
        <w:t>representative claim</w:t>
      </w:r>
      <w:r w:rsidR="00FE0CCE">
        <w:t>”</w:t>
      </w:r>
      <w:r w:rsidRPr="00A0731E">
        <w:t>.</w:t>
      </w:r>
      <w:r w:rsidRPr="000B1F06">
        <w:rPr>
          <w:lang w:val="en-US"/>
        </w:rPr>
        <w:t xml:space="preserve"> </w:t>
      </w:r>
      <w:r w:rsidR="003C7B3F">
        <w:rPr>
          <w:lang w:val="en-US"/>
        </w:rPr>
        <w:t>The</w:t>
      </w:r>
      <w:r w:rsidR="00245E13">
        <w:rPr>
          <w:lang w:val="en-US"/>
        </w:rPr>
        <w:t>se</w:t>
      </w:r>
      <w:r w:rsidR="003C7B3F">
        <w:rPr>
          <w:lang w:val="en-US"/>
        </w:rPr>
        <w:t xml:space="preserve"> elements consists of </w:t>
      </w:r>
      <w:r>
        <w:rPr>
          <w:lang w:val="en-US"/>
        </w:rPr>
        <w:t>a maker, a subject,</w:t>
      </w:r>
      <w:r w:rsidRPr="00A0731E">
        <w:t xml:space="preserve"> an object, a referent</w:t>
      </w:r>
      <w:r w:rsidR="00F94FC1">
        <w:t>,</w:t>
      </w:r>
      <w:r w:rsidRPr="00A0731E">
        <w:t xml:space="preserve"> and an audience. Although the claim</w:t>
      </w:r>
      <w:r w:rsidR="00706799">
        <w:t>-</w:t>
      </w:r>
      <w:r w:rsidR="00FE0CCE">
        <w:t>maker</w:t>
      </w:r>
      <w:r w:rsidRPr="00A0731E">
        <w:t xml:space="preserve"> could be anyone (Saward, 2008), this thesis will focus on politicians in the national parliament</w:t>
      </w:r>
      <w:r w:rsidR="004E6C48">
        <w:t>,</w:t>
      </w:r>
      <w:r>
        <w:t xml:space="preserve"> because this thesis </w:t>
      </w:r>
      <w:r w:rsidR="0073739E">
        <w:t>studies</w:t>
      </w:r>
      <w:r>
        <w:t xml:space="preserve"> whether representation is indeed claimed by specific </w:t>
      </w:r>
      <w:r w:rsidR="009048F7">
        <w:t>politicians</w:t>
      </w:r>
      <w:r w:rsidRPr="00A0731E">
        <w:t>. Although</w:t>
      </w:r>
      <w:r w:rsidR="003614C2">
        <w:t xml:space="preserve"> </w:t>
      </w:r>
      <w:r w:rsidR="00CC047B">
        <w:t>politicians</w:t>
      </w:r>
      <w:r w:rsidR="003614C2">
        <w:t xml:space="preserve"> are</w:t>
      </w:r>
      <w:r w:rsidRPr="00A0731E">
        <w:t xml:space="preserve"> not the only </w:t>
      </w:r>
      <w:r w:rsidR="00C91805">
        <w:t>actors</w:t>
      </w:r>
      <w:r w:rsidRPr="00A0731E">
        <w:t xml:space="preserve"> that matters, the parliamentary process reveals the core of political representation (Wängnerud, 2009).</w:t>
      </w:r>
      <w:r>
        <w:t xml:space="preserve"> </w:t>
      </w:r>
    </w:p>
    <w:p w14:paraId="61846380" w14:textId="2112FEC3" w:rsidR="0090511A" w:rsidRPr="00F84F1D" w:rsidRDefault="0069399F" w:rsidP="008158E1">
      <w:pPr>
        <w:pStyle w:val="Geenafstand"/>
        <w:spacing w:line="360" w:lineRule="auto"/>
        <w:ind w:firstLine="708"/>
        <w:jc w:val="both"/>
        <w:rPr>
          <w:lang w:val="en-US"/>
        </w:rPr>
      </w:pPr>
      <w:r>
        <w:t>The field of political representation consists of normative and empirical research. N</w:t>
      </w:r>
      <w:r w:rsidRPr="00E56DC8">
        <w:t xml:space="preserve">ormative research mainly argues that descriptive </w:t>
      </w:r>
      <w:r>
        <w:t xml:space="preserve">representation </w:t>
      </w:r>
      <w:r w:rsidRPr="00E56DC8">
        <w:t xml:space="preserve">leads to substantial changes while the empirical findings are mixed. </w:t>
      </w:r>
      <w:r>
        <w:t xml:space="preserve">Many studies researching this link between descriptive and substantive representation are </w:t>
      </w:r>
      <w:r w:rsidR="00DC3034">
        <w:t>in the field of</w:t>
      </w:r>
      <w:r>
        <w:t xml:space="preserve"> gender</w:t>
      </w:r>
      <w:r w:rsidR="001D3D2B">
        <w:t xml:space="preserve"> </w:t>
      </w:r>
      <w:r w:rsidR="001D3D2B" w:rsidRPr="00831D0A">
        <w:t>(Wängnerud, 2009; Ruedin, 2020; Sawer, Tremblay and Trimble, 2006; Schwindt-Bayer and Mishler, 2005; Curtin, 2008</w:t>
      </w:r>
      <w:r w:rsidR="001D3D2B">
        <w:t xml:space="preserve"> and Mansbridge, 2005</w:t>
      </w:r>
      <w:r w:rsidR="001D3D2B" w:rsidRPr="00831D0A">
        <w:t>)</w:t>
      </w:r>
      <w:r w:rsidR="001D3D2B" w:rsidRPr="00831D0A">
        <w:rPr>
          <w:color w:val="000000"/>
          <w:highlight w:val="white"/>
        </w:rPr>
        <w:t xml:space="preserve">. </w:t>
      </w:r>
      <w:r>
        <w:t xml:space="preserve">These studies </w:t>
      </w:r>
      <w:r w:rsidR="00CB45C5">
        <w:t>confirm</w:t>
      </w:r>
      <w:r w:rsidRPr="00E56DC8">
        <w:t xml:space="preserve"> at least a weak link between descriptive and substantive representation (Wängnerud, 2009; Ruedin, 2020; Sawer, Tremblay and Trimble, 2006; Schwindt-Bayer and Mishler, 2005; Curtin, 2008)</w:t>
      </w:r>
      <w:r>
        <w:t xml:space="preserve">. However, as will be shown in chapter </w:t>
      </w:r>
      <w:r w:rsidR="006F0193">
        <w:t>2</w:t>
      </w:r>
      <w:r>
        <w:t xml:space="preserve">, </w:t>
      </w:r>
      <w:r w:rsidRPr="00E56DC8">
        <w:t xml:space="preserve">the evidence regarding indigenous peoples </w:t>
      </w:r>
      <w:r>
        <w:t xml:space="preserve">is less unanimous </w:t>
      </w:r>
      <w:r w:rsidRPr="00E56DC8">
        <w:t xml:space="preserve">(Maddison, 2010; Morris, 2014; Lloyd, 2009; Summersby, 2009; Snagovsky et al, 2020; White, 2017). </w:t>
      </w:r>
      <w:r>
        <w:t xml:space="preserve">White (2017) already studied the political representation of </w:t>
      </w:r>
      <w:r w:rsidRPr="005E6450">
        <w:rPr>
          <w:color w:val="000000"/>
        </w:rPr>
        <w:t>Māori</w:t>
      </w:r>
      <w:r>
        <w:rPr>
          <w:color w:val="000000"/>
        </w:rPr>
        <w:t xml:space="preserve"> people</w:t>
      </w:r>
      <w:r w:rsidR="00AD14F5">
        <w:rPr>
          <w:color w:val="000000"/>
        </w:rPr>
        <w:t>. Instead of a claims-making analysis White (2017) used a</w:t>
      </w:r>
      <w:r>
        <w:rPr>
          <w:color w:val="000000"/>
        </w:rPr>
        <w:t xml:space="preserve"> discourse analysis </w:t>
      </w:r>
      <w:r w:rsidR="00AD14F5">
        <w:rPr>
          <w:color w:val="000000"/>
        </w:rPr>
        <w:t>to study</w:t>
      </w:r>
      <w:r>
        <w:rPr>
          <w:color w:val="000000"/>
        </w:rPr>
        <w:t xml:space="preserve"> maiden speeches from </w:t>
      </w:r>
      <w:r w:rsidRPr="000F2A8F">
        <w:rPr>
          <w:rFonts w:cstheme="minorHAnsi"/>
        </w:rPr>
        <w:t xml:space="preserve">Māori </w:t>
      </w:r>
      <w:r>
        <w:rPr>
          <w:rFonts w:cstheme="minorHAnsi"/>
        </w:rPr>
        <w:t xml:space="preserve">MPs. </w:t>
      </w:r>
      <w:r w:rsidR="001F3977" w:rsidRPr="0069399F">
        <w:t xml:space="preserve">Saward (2006) proposed </w:t>
      </w:r>
      <w:r w:rsidR="00F27835">
        <w:t>a</w:t>
      </w:r>
      <w:r w:rsidR="001F3977" w:rsidRPr="0069399F">
        <w:t xml:space="preserve"> claims-making analysis because it fits the dynamic an</w:t>
      </w:r>
      <w:r w:rsidR="001F3977">
        <w:t>d</w:t>
      </w:r>
      <w:r w:rsidR="001F3977" w:rsidRPr="0069399F">
        <w:t xml:space="preserve"> relational character of political representation.</w:t>
      </w:r>
      <w:r w:rsidR="0056378E">
        <w:t xml:space="preserve"> </w:t>
      </w:r>
      <w:r>
        <w:rPr>
          <w:rFonts w:cstheme="minorHAnsi"/>
        </w:rPr>
        <w:t xml:space="preserve">White (2017) found a link between the descriptive and substantive representation of </w:t>
      </w:r>
      <w:r w:rsidRPr="00543CC5">
        <w:rPr>
          <w:rFonts w:cstheme="minorHAnsi"/>
        </w:rPr>
        <w:t xml:space="preserve">Māori </w:t>
      </w:r>
      <w:r>
        <w:rPr>
          <w:rFonts w:cstheme="minorHAnsi"/>
        </w:rPr>
        <w:t>people, but White</w:t>
      </w:r>
      <w:r w:rsidR="007025BE">
        <w:rPr>
          <w:rFonts w:cstheme="minorHAnsi"/>
        </w:rPr>
        <w:t xml:space="preserve"> (2017)</w:t>
      </w:r>
      <w:r>
        <w:rPr>
          <w:rFonts w:cstheme="minorHAnsi"/>
        </w:rPr>
        <w:t xml:space="preserve"> only researched </w:t>
      </w:r>
      <w:r w:rsidR="005D3DA3">
        <w:rPr>
          <w:rFonts w:cstheme="minorHAnsi"/>
        </w:rPr>
        <w:t>twelve</w:t>
      </w:r>
      <w:r>
        <w:rPr>
          <w:rFonts w:cstheme="minorHAnsi"/>
        </w:rPr>
        <w:t xml:space="preserve"> speeches without looking at </w:t>
      </w:r>
      <w:r w:rsidR="005F1FB5">
        <w:rPr>
          <w:rFonts w:cstheme="minorHAnsi"/>
        </w:rPr>
        <w:t xml:space="preserve">differences between </w:t>
      </w:r>
      <w:r w:rsidR="0090511A" w:rsidRPr="007D7E22">
        <w:rPr>
          <w:color w:val="000000"/>
        </w:rPr>
        <w:t>Māori</w:t>
      </w:r>
      <w:r w:rsidR="0090511A">
        <w:rPr>
          <w:color w:val="000000"/>
        </w:rPr>
        <w:t xml:space="preserve"> </w:t>
      </w:r>
      <w:r w:rsidR="005F1FB5">
        <w:rPr>
          <w:rFonts w:cstheme="minorHAnsi"/>
        </w:rPr>
        <w:t>and non-</w:t>
      </w:r>
      <w:r w:rsidR="0090511A" w:rsidRPr="007D7E22">
        <w:rPr>
          <w:color w:val="000000"/>
        </w:rPr>
        <w:t>Māori</w:t>
      </w:r>
      <w:r w:rsidR="0090511A">
        <w:rPr>
          <w:color w:val="000000"/>
        </w:rPr>
        <w:t xml:space="preserve"> </w:t>
      </w:r>
      <w:r w:rsidR="005F1FB5">
        <w:rPr>
          <w:rFonts w:cstheme="minorHAnsi"/>
        </w:rPr>
        <w:t xml:space="preserve">MPs </w:t>
      </w:r>
      <w:r w:rsidR="00C22D9B">
        <w:rPr>
          <w:rFonts w:cstheme="minorHAnsi"/>
        </w:rPr>
        <w:t>and</w:t>
      </w:r>
      <w:r w:rsidR="005F1FB5">
        <w:rPr>
          <w:rFonts w:cstheme="minorHAnsi"/>
        </w:rPr>
        <w:t xml:space="preserve"> differences between symbolic and substantive </w:t>
      </w:r>
      <w:r w:rsidR="005F1FB5">
        <w:rPr>
          <w:rFonts w:cstheme="minorHAnsi"/>
        </w:rPr>
        <w:lastRenderedPageBreak/>
        <w:t xml:space="preserve">representation. </w:t>
      </w:r>
      <w:r>
        <w:rPr>
          <w:color w:val="000000"/>
        </w:rPr>
        <w:t>Therefore</w:t>
      </w:r>
      <w:r w:rsidR="007353D5">
        <w:rPr>
          <w:color w:val="000000"/>
        </w:rPr>
        <w:t>,</w:t>
      </w:r>
      <w:r>
        <w:rPr>
          <w:color w:val="000000"/>
        </w:rPr>
        <w:t xml:space="preserve"> </w:t>
      </w:r>
      <w:r>
        <w:rPr>
          <w:lang w:val="en-US"/>
        </w:rPr>
        <w:t>m</w:t>
      </w:r>
      <w:r w:rsidRPr="001A3265">
        <w:rPr>
          <w:lang w:val="en-US"/>
        </w:rPr>
        <w:t xml:space="preserve">ore research on the </w:t>
      </w:r>
      <w:r w:rsidRPr="00543CC5">
        <w:rPr>
          <w:rFonts w:cstheme="minorHAnsi"/>
        </w:rPr>
        <w:t xml:space="preserve">Māori </w:t>
      </w:r>
      <w:r>
        <w:rPr>
          <w:lang w:val="en-US"/>
        </w:rPr>
        <w:t xml:space="preserve">representation in Aotearoa New Zealand is needed. This is what this thesis aims to contribute to the literature. </w:t>
      </w:r>
    </w:p>
    <w:p w14:paraId="49854340" w14:textId="77777777" w:rsidR="008158E1" w:rsidRDefault="008158E1" w:rsidP="008158E1">
      <w:pPr>
        <w:pStyle w:val="Geenafstand"/>
        <w:spacing w:line="360" w:lineRule="auto"/>
        <w:jc w:val="both"/>
      </w:pPr>
      <w:bookmarkStart w:id="6" w:name="_Toc74583777"/>
    </w:p>
    <w:p w14:paraId="69F5201A" w14:textId="7265E168" w:rsidR="0069399F" w:rsidRPr="00412F50" w:rsidRDefault="0069399F" w:rsidP="008158E1">
      <w:pPr>
        <w:pStyle w:val="Kop2"/>
        <w:rPr>
          <w:lang w:val="en-GB"/>
        </w:rPr>
      </w:pPr>
      <w:bookmarkStart w:id="7" w:name="_Toc75384047"/>
      <w:r w:rsidRPr="00412F50">
        <w:rPr>
          <w:lang w:val="en-GB"/>
        </w:rPr>
        <w:t>1.2 Aotearoa New Zealand</w:t>
      </w:r>
      <w:bookmarkEnd w:id="6"/>
      <w:bookmarkEnd w:id="7"/>
    </w:p>
    <w:p w14:paraId="7BDD7323" w14:textId="586AB536" w:rsidR="0069399F" w:rsidRDefault="0069399F" w:rsidP="008158E1">
      <w:pPr>
        <w:pStyle w:val="Geenafstand"/>
        <w:spacing w:line="360" w:lineRule="auto"/>
        <w:ind w:firstLine="708"/>
        <w:jc w:val="both"/>
        <w:rPr>
          <w:color w:val="000000"/>
        </w:rPr>
      </w:pPr>
      <w:r>
        <w:t xml:space="preserve">As will be shown in chapter </w:t>
      </w:r>
      <w:r w:rsidR="006F0193">
        <w:t>3</w:t>
      </w:r>
      <w:r>
        <w:t>,</w:t>
      </w:r>
      <w:r>
        <w:rPr>
          <w:color w:val="000000"/>
        </w:rPr>
        <w:t xml:space="preserve"> Aotearoa New Zealand is an appropriate case to study. </w:t>
      </w:r>
      <w:r>
        <w:t>The goal of this single case study is to identify a link between descriptive and substantive representation. Aotearoa New Zealand provides a fruitful case to analyse because of their electoral system</w:t>
      </w:r>
      <w:r w:rsidR="00D07362">
        <w:t xml:space="preserve">; </w:t>
      </w:r>
      <w:r>
        <w:t>a Mixed Member Proportional (MMP) system.</w:t>
      </w:r>
      <w:bookmarkStart w:id="8" w:name="_Ref74214160"/>
      <w:r>
        <w:rPr>
          <w:rStyle w:val="Voetnootmarkering"/>
        </w:rPr>
        <w:footnoteReference w:id="3"/>
      </w:r>
      <w:bookmarkEnd w:id="8"/>
      <w:r>
        <w:t xml:space="preserve"> The Parliament consists of 120 seats. Via the MMP system each voter casts two votes</w:t>
      </w:r>
      <w:r w:rsidR="00CD3C18">
        <w:t>; one for</w:t>
      </w:r>
      <w:r>
        <w:t xml:space="preserve"> a party and one for an electorate. Th</w:t>
      </w:r>
      <w:r w:rsidR="00CB20CB">
        <w:t>e</w:t>
      </w:r>
      <w:r>
        <w:t xml:space="preserve"> party vote mainly determines how many seats a party gets in Parliament.</w:t>
      </w:r>
      <w:r w:rsidR="008C15A7" w:rsidRPr="008C15A7">
        <w:rPr>
          <w:vertAlign w:val="superscript"/>
        </w:rPr>
        <w:t>3</w:t>
      </w:r>
      <w:r>
        <w:t xml:space="preserve"> The </w:t>
      </w:r>
      <w:r w:rsidR="00421283">
        <w:t xml:space="preserve">electorate </w:t>
      </w:r>
      <w:r>
        <w:t>vote determines which candidate is going to represent the area you live in.</w:t>
      </w:r>
      <w:r w:rsidR="00324A60">
        <w:rPr>
          <w:vertAlign w:val="superscript"/>
        </w:rPr>
        <w:t>3</w:t>
      </w:r>
      <w:r>
        <w:t xml:space="preserve"> Aotearoa New Zealand’s electoral system has a special feature; the </w:t>
      </w:r>
      <w:r w:rsidRPr="007D7E22">
        <w:rPr>
          <w:color w:val="000000"/>
        </w:rPr>
        <w:t xml:space="preserve">Māori </w:t>
      </w:r>
      <w:r>
        <w:rPr>
          <w:color w:val="000000"/>
        </w:rPr>
        <w:t>electoral option.</w:t>
      </w:r>
      <w:r>
        <w:rPr>
          <w:rStyle w:val="Voetnootmarkering"/>
        </w:rPr>
        <w:footnoteReference w:id="4"/>
      </w:r>
      <w:r>
        <w:t xml:space="preserve"> This option defines that all voters get the opportunity to register themselves on the general or the </w:t>
      </w:r>
      <w:r w:rsidRPr="007D7E22">
        <w:rPr>
          <w:color w:val="000000"/>
        </w:rPr>
        <w:t>Māori</w:t>
      </w:r>
      <w:r>
        <w:rPr>
          <w:color w:val="000000"/>
        </w:rPr>
        <w:t xml:space="preserve"> roll. This roll determines on which </w:t>
      </w:r>
      <w:r w:rsidR="005143BE">
        <w:rPr>
          <w:color w:val="000000"/>
        </w:rPr>
        <w:t>candidates</w:t>
      </w:r>
      <w:r>
        <w:rPr>
          <w:color w:val="000000"/>
        </w:rPr>
        <w:t xml:space="preserve"> they can vote for the electorate vote; </w:t>
      </w:r>
      <w:r w:rsidR="002359F8">
        <w:rPr>
          <w:color w:val="000000"/>
        </w:rPr>
        <w:t>candidates</w:t>
      </w:r>
      <w:r>
        <w:rPr>
          <w:color w:val="000000"/>
        </w:rPr>
        <w:t xml:space="preserve"> registered as </w:t>
      </w:r>
      <w:r w:rsidRPr="007D7E22">
        <w:rPr>
          <w:color w:val="000000"/>
        </w:rPr>
        <w:t>Māori</w:t>
      </w:r>
      <w:r>
        <w:rPr>
          <w:color w:val="000000"/>
        </w:rPr>
        <w:t xml:space="preserve"> or </w:t>
      </w:r>
      <w:r w:rsidR="007E2EB6">
        <w:rPr>
          <w:color w:val="000000"/>
        </w:rPr>
        <w:t>candidates</w:t>
      </w:r>
      <w:r>
        <w:rPr>
          <w:color w:val="000000"/>
        </w:rPr>
        <w:t xml:space="preserve"> registered as general New Zealander</w:t>
      </w:r>
      <w:r w:rsidR="000721A5">
        <w:rPr>
          <w:color w:val="000000"/>
        </w:rPr>
        <w:t>.</w:t>
      </w:r>
      <w:r w:rsidR="000721A5">
        <w:rPr>
          <w:color w:val="000000"/>
          <w:vertAlign w:val="superscript"/>
        </w:rPr>
        <w:t>4</w:t>
      </w:r>
      <w:r>
        <w:rPr>
          <w:color w:val="000000"/>
        </w:rPr>
        <w:t xml:space="preserve"> Out of the 120 parliamentary seats, 7 seats are reserved for the </w:t>
      </w:r>
      <w:r w:rsidRPr="007D7E22">
        <w:rPr>
          <w:color w:val="000000"/>
        </w:rPr>
        <w:t>Māori</w:t>
      </w:r>
      <w:r>
        <w:rPr>
          <w:color w:val="000000"/>
        </w:rPr>
        <w:t xml:space="preserve"> roll candidates. These seats ensure the descriptive representation of </w:t>
      </w:r>
      <w:r w:rsidRPr="005E6450">
        <w:rPr>
          <w:color w:val="000000"/>
        </w:rPr>
        <w:t xml:space="preserve">Māori </w:t>
      </w:r>
      <w:r>
        <w:rPr>
          <w:color w:val="000000"/>
        </w:rPr>
        <w:t xml:space="preserve">people. This presence of </w:t>
      </w:r>
      <w:r w:rsidRPr="007D7E22">
        <w:rPr>
          <w:color w:val="000000"/>
        </w:rPr>
        <w:t>Māori</w:t>
      </w:r>
      <w:r>
        <w:rPr>
          <w:color w:val="000000"/>
        </w:rPr>
        <w:t xml:space="preserve"> MPs makes it possible to study the difference between </w:t>
      </w:r>
      <w:r w:rsidRPr="005E6450">
        <w:rPr>
          <w:color w:val="000000"/>
        </w:rPr>
        <w:t>Māori</w:t>
      </w:r>
      <w:r>
        <w:rPr>
          <w:color w:val="000000"/>
        </w:rPr>
        <w:t xml:space="preserve"> MPs and non-</w:t>
      </w:r>
      <w:r w:rsidRPr="005E6450">
        <w:rPr>
          <w:color w:val="000000"/>
        </w:rPr>
        <w:t>Māori</w:t>
      </w:r>
      <w:r>
        <w:rPr>
          <w:color w:val="000000"/>
        </w:rPr>
        <w:t xml:space="preserve"> MPs. </w:t>
      </w:r>
    </w:p>
    <w:p w14:paraId="799702EB" w14:textId="07AFA747" w:rsidR="0069399F" w:rsidRDefault="0069399F" w:rsidP="00EB5CEE">
      <w:pPr>
        <w:pStyle w:val="Geenafstand"/>
        <w:spacing w:line="360" w:lineRule="auto"/>
        <w:ind w:firstLine="708"/>
        <w:jc w:val="both"/>
      </w:pPr>
      <w:r>
        <w:t xml:space="preserve">Aotearoa New Zealand </w:t>
      </w:r>
      <w:r w:rsidR="009115CD">
        <w:t xml:space="preserve">has only </w:t>
      </w:r>
      <w:r w:rsidR="000F13AF">
        <w:t>had a</w:t>
      </w:r>
      <w:r w:rsidR="008E2648">
        <w:t>n</w:t>
      </w:r>
      <w:r w:rsidR="000F13AF">
        <w:t xml:space="preserve"> MMP system </w:t>
      </w:r>
      <w:r w:rsidR="009115CD">
        <w:t xml:space="preserve">since 1996. </w:t>
      </w:r>
      <w:r>
        <w:t>The beginning of Aotearoa New Zealand as one state goes back to the beginning of the 1</w:t>
      </w:r>
      <w:r w:rsidR="00A304C1">
        <w:t>9</w:t>
      </w:r>
      <w:r w:rsidRPr="008429B3">
        <w:rPr>
          <w:vertAlign w:val="superscript"/>
        </w:rPr>
        <w:t>th</w:t>
      </w:r>
      <w:r>
        <w:t xml:space="preserve"> century when the British colonized the land of Aotearoa New Zealand (Terruhn, 2019). In 1840 they created an agreement with the </w:t>
      </w:r>
      <w:r w:rsidRPr="007D7E22">
        <w:rPr>
          <w:color w:val="000000"/>
        </w:rPr>
        <w:t>Māori</w:t>
      </w:r>
      <w:r>
        <w:rPr>
          <w:color w:val="000000"/>
        </w:rPr>
        <w:t xml:space="preserve"> population; the Treaty of Waitangi (Stokes, 1992). This is seen as the founding document of the state. The colonizers took awa</w:t>
      </w:r>
      <w:r w:rsidRPr="00A34419">
        <w:rPr>
          <w:color w:val="000000"/>
        </w:rPr>
        <w:t xml:space="preserve">y </w:t>
      </w:r>
      <w:r>
        <w:rPr>
          <w:color w:val="000000"/>
        </w:rPr>
        <w:t>l</w:t>
      </w:r>
      <w:r w:rsidRPr="00A34419">
        <w:rPr>
          <w:color w:val="000000"/>
        </w:rPr>
        <w:t xml:space="preserve">and and </w:t>
      </w:r>
      <w:r>
        <w:rPr>
          <w:color w:val="000000"/>
        </w:rPr>
        <w:t>dishonoured</w:t>
      </w:r>
      <w:r w:rsidRPr="00A34419">
        <w:rPr>
          <w:color w:val="000000"/>
        </w:rPr>
        <w:t xml:space="preserve"> the culture of Māori people</w:t>
      </w:r>
      <w:r>
        <w:rPr>
          <w:color w:val="000000"/>
        </w:rPr>
        <w:t xml:space="preserve">. This resulted in a difficult coexistence of the two peoples (Bell, 2008). Chapter </w:t>
      </w:r>
      <w:r w:rsidR="006F0193">
        <w:rPr>
          <w:color w:val="000000"/>
        </w:rPr>
        <w:t>4</w:t>
      </w:r>
      <w:r>
        <w:rPr>
          <w:color w:val="000000"/>
        </w:rPr>
        <w:t xml:space="preserve"> will </w:t>
      </w:r>
      <w:r w:rsidR="007B4FFE">
        <w:rPr>
          <w:color w:val="000000"/>
        </w:rPr>
        <w:t xml:space="preserve">elaborate on </w:t>
      </w:r>
      <w:r>
        <w:rPr>
          <w:color w:val="000000"/>
        </w:rPr>
        <w:t xml:space="preserve">the history of Aotearoa New Zealand and </w:t>
      </w:r>
      <w:r w:rsidR="00F04D17">
        <w:rPr>
          <w:color w:val="000000"/>
        </w:rPr>
        <w:t xml:space="preserve">how it has </w:t>
      </w:r>
      <w:r w:rsidR="007353D5">
        <w:rPr>
          <w:color w:val="000000"/>
        </w:rPr>
        <w:t>a</w:t>
      </w:r>
      <w:r w:rsidR="00F04D17">
        <w:rPr>
          <w:color w:val="000000"/>
        </w:rPr>
        <w:t>ffected</w:t>
      </w:r>
      <w:r>
        <w:rPr>
          <w:color w:val="000000"/>
        </w:rPr>
        <w:t xml:space="preserve"> the political representation of </w:t>
      </w:r>
      <w:r w:rsidRPr="007D7E22">
        <w:rPr>
          <w:color w:val="000000"/>
        </w:rPr>
        <w:t>Māori</w:t>
      </w:r>
      <w:r>
        <w:rPr>
          <w:color w:val="000000"/>
        </w:rPr>
        <w:t xml:space="preserve"> people today. The next section will describe the methodology that will be used to study the research question. </w:t>
      </w:r>
    </w:p>
    <w:p w14:paraId="0247AD86" w14:textId="77777777" w:rsidR="00EB5CEE" w:rsidRDefault="00EB5CEE" w:rsidP="008158E1">
      <w:pPr>
        <w:pStyle w:val="Geenafstand"/>
        <w:spacing w:line="360" w:lineRule="auto"/>
        <w:jc w:val="both"/>
      </w:pPr>
      <w:bookmarkStart w:id="9" w:name="_Toc74583778"/>
    </w:p>
    <w:p w14:paraId="3157DF4B" w14:textId="5E65CBC8" w:rsidR="0069399F" w:rsidRPr="00412F50" w:rsidRDefault="0069399F" w:rsidP="00EB5CEE">
      <w:pPr>
        <w:pStyle w:val="Kop2"/>
        <w:rPr>
          <w:lang w:val="en-GB"/>
        </w:rPr>
      </w:pPr>
      <w:bookmarkStart w:id="10" w:name="_Toc75384048"/>
      <w:r w:rsidRPr="00412F50">
        <w:rPr>
          <w:lang w:val="en-GB"/>
        </w:rPr>
        <w:t>1.3 Methodology</w:t>
      </w:r>
      <w:bookmarkEnd w:id="9"/>
      <w:bookmarkEnd w:id="10"/>
    </w:p>
    <w:p w14:paraId="01CDB2D8" w14:textId="0B9E6057" w:rsidR="0069399F" w:rsidRDefault="0069399F" w:rsidP="00EB5CEE">
      <w:pPr>
        <w:pStyle w:val="Geenafstand"/>
        <w:spacing w:line="360" w:lineRule="auto"/>
        <w:ind w:firstLine="708"/>
        <w:jc w:val="both"/>
        <w:rPr>
          <w:color w:val="000000"/>
        </w:rPr>
      </w:pPr>
      <w:r>
        <w:rPr>
          <w:color w:val="000000"/>
        </w:rPr>
        <w:t xml:space="preserve">This thesis will use a </w:t>
      </w:r>
      <w:r w:rsidRPr="007D7E22">
        <w:t>claim</w:t>
      </w:r>
      <w:r w:rsidR="007B2F31">
        <w:t>s</w:t>
      </w:r>
      <w:r w:rsidRPr="007D7E22">
        <w:t>-making analysis</w:t>
      </w:r>
      <w:r>
        <w:rPr>
          <w:color w:val="000000"/>
        </w:rPr>
        <w:t xml:space="preserve">. Saward (2006) is one of the most influential scholars that proposes this method to study political representation. As </w:t>
      </w:r>
      <w:r w:rsidR="001E1DCF">
        <w:rPr>
          <w:color w:val="000000"/>
        </w:rPr>
        <w:t>was previously</w:t>
      </w:r>
      <w:r>
        <w:rPr>
          <w:color w:val="000000"/>
        </w:rPr>
        <w:t xml:space="preserve"> stated and will become</w:t>
      </w:r>
      <w:r w:rsidR="00795504">
        <w:rPr>
          <w:color w:val="000000"/>
        </w:rPr>
        <w:t xml:space="preserve"> </w:t>
      </w:r>
      <w:r w:rsidR="00BA5866">
        <w:rPr>
          <w:color w:val="000000"/>
        </w:rPr>
        <w:t>clearer</w:t>
      </w:r>
      <w:r>
        <w:rPr>
          <w:color w:val="000000"/>
        </w:rPr>
        <w:t xml:space="preserve"> in chapter </w:t>
      </w:r>
      <w:r w:rsidR="006F0193">
        <w:rPr>
          <w:color w:val="000000"/>
        </w:rPr>
        <w:t>2</w:t>
      </w:r>
      <w:r>
        <w:rPr>
          <w:color w:val="000000"/>
        </w:rPr>
        <w:t xml:space="preserve">, not only Saward (2006), but many scholars argue for a </w:t>
      </w:r>
      <w:r w:rsidR="00784E5A">
        <w:rPr>
          <w:color w:val="000000"/>
        </w:rPr>
        <w:t>broader view on</w:t>
      </w:r>
      <w:r>
        <w:rPr>
          <w:color w:val="000000"/>
        </w:rPr>
        <w:t xml:space="preserve"> political representation (</w:t>
      </w:r>
      <w:r>
        <w:t xml:space="preserve">Phillips, 2019; Mansbridge, 1999; Williams, 2018; </w:t>
      </w:r>
      <w:r w:rsidRPr="0069700E">
        <w:t>Mackay</w:t>
      </w:r>
      <w:r>
        <w:t xml:space="preserve">, </w:t>
      </w:r>
      <w:r w:rsidRPr="0069700E">
        <w:t>2008</w:t>
      </w:r>
      <w:r>
        <w:t xml:space="preserve">; </w:t>
      </w:r>
      <w:r w:rsidRPr="0069700E">
        <w:t>Severs</w:t>
      </w:r>
      <w:r>
        <w:t xml:space="preserve">, </w:t>
      </w:r>
      <w:r w:rsidRPr="0069700E">
        <w:t>2012</w:t>
      </w:r>
      <w:r>
        <w:t xml:space="preserve"> </w:t>
      </w:r>
      <w:r>
        <w:lastRenderedPageBreak/>
        <w:t>and S</w:t>
      </w:r>
      <w:r w:rsidRPr="0069700E">
        <w:t>chwindt-Bayer and Mishler</w:t>
      </w:r>
      <w:r>
        <w:t>, 2005)</w:t>
      </w:r>
      <w:r>
        <w:rPr>
          <w:color w:val="000000"/>
        </w:rPr>
        <w:t>. The claim</w:t>
      </w:r>
      <w:r w:rsidR="007B2F31">
        <w:rPr>
          <w:color w:val="000000"/>
        </w:rPr>
        <w:t>s</w:t>
      </w:r>
      <w:r>
        <w:rPr>
          <w:color w:val="000000"/>
        </w:rPr>
        <w:t xml:space="preserve">-making analysis aligns this </w:t>
      </w:r>
      <w:r w:rsidR="00BB0C2D">
        <w:rPr>
          <w:color w:val="000000"/>
        </w:rPr>
        <w:t xml:space="preserve">broader view </w:t>
      </w:r>
      <w:r>
        <w:rPr>
          <w:color w:val="000000"/>
        </w:rPr>
        <w:t>by using quantitative and qualitative methods. Meaning that a claim</w:t>
      </w:r>
      <w:r w:rsidR="007B2F31">
        <w:rPr>
          <w:color w:val="000000"/>
        </w:rPr>
        <w:t>s</w:t>
      </w:r>
      <w:r>
        <w:rPr>
          <w:color w:val="000000"/>
        </w:rPr>
        <w:t xml:space="preserve">-making analysis is a mixed-method design. </w:t>
      </w:r>
      <w:r w:rsidR="007F7670">
        <w:rPr>
          <w:color w:val="000000"/>
        </w:rPr>
        <w:t>In this way</w:t>
      </w:r>
      <w:r w:rsidR="00AB343F">
        <w:rPr>
          <w:color w:val="000000"/>
        </w:rPr>
        <w:t xml:space="preserve"> more </w:t>
      </w:r>
      <w:r w:rsidR="00397A7D">
        <w:rPr>
          <w:color w:val="000000"/>
        </w:rPr>
        <w:t>c</w:t>
      </w:r>
      <w:r w:rsidR="00397A7D" w:rsidRPr="002318A3">
        <w:rPr>
          <w:color w:val="000000"/>
        </w:rPr>
        <w:t>ontextual</w:t>
      </w:r>
      <w:r w:rsidR="00AB343F">
        <w:rPr>
          <w:color w:val="000000"/>
        </w:rPr>
        <w:t xml:space="preserve"> aspects can be </w:t>
      </w:r>
      <w:r w:rsidR="00BA5866">
        <w:rPr>
          <w:color w:val="000000"/>
        </w:rPr>
        <w:t>considered</w:t>
      </w:r>
      <w:r w:rsidR="00940658">
        <w:rPr>
          <w:color w:val="000000"/>
        </w:rPr>
        <w:t>, while s</w:t>
      </w:r>
      <w:r w:rsidR="00AB343F">
        <w:rPr>
          <w:color w:val="000000"/>
        </w:rPr>
        <w:t>imultaneously</w:t>
      </w:r>
      <w:r w:rsidR="00C636F9">
        <w:rPr>
          <w:color w:val="000000"/>
        </w:rPr>
        <w:t xml:space="preserve"> </w:t>
      </w:r>
      <w:r w:rsidR="0037770C">
        <w:rPr>
          <w:color w:val="000000"/>
        </w:rPr>
        <w:t xml:space="preserve">can </w:t>
      </w:r>
      <w:r w:rsidR="00AE2FF8">
        <w:rPr>
          <w:color w:val="000000"/>
        </w:rPr>
        <w:t>be</w:t>
      </w:r>
      <w:r w:rsidR="00AB343F">
        <w:rPr>
          <w:color w:val="000000"/>
        </w:rPr>
        <w:t xml:space="preserve"> </w:t>
      </w:r>
      <w:r w:rsidR="00397A7D">
        <w:rPr>
          <w:color w:val="000000"/>
        </w:rPr>
        <w:t>measure</w:t>
      </w:r>
      <w:r w:rsidR="00AE2FF8">
        <w:rPr>
          <w:color w:val="000000"/>
        </w:rPr>
        <w:t>d</w:t>
      </w:r>
      <w:r w:rsidR="00397A7D">
        <w:rPr>
          <w:color w:val="000000"/>
        </w:rPr>
        <w:t xml:space="preserve"> whether and to what extent descriptive representation influences the substantive claims made in Parliament. </w:t>
      </w:r>
      <w:r>
        <w:t>The</w:t>
      </w:r>
      <w:r w:rsidRPr="007D7E22">
        <w:t xml:space="preserve"> qualitative </w:t>
      </w:r>
      <w:r w:rsidR="007025BE">
        <w:t>analysis</w:t>
      </w:r>
      <w:r w:rsidRPr="007D7E22">
        <w:t xml:space="preserve"> consists</w:t>
      </w:r>
      <w:r>
        <w:t xml:space="preserve"> of two parts. First, some general information about key events and actors that influenced the political representation </w:t>
      </w:r>
      <w:r w:rsidRPr="007D7E22">
        <w:t xml:space="preserve">of </w:t>
      </w:r>
      <w:r w:rsidRPr="007D7E22">
        <w:rPr>
          <w:color w:val="000000"/>
        </w:rPr>
        <w:t xml:space="preserve">Māori </w:t>
      </w:r>
      <w:r>
        <w:rPr>
          <w:color w:val="000000"/>
        </w:rPr>
        <w:t xml:space="preserve">people </w:t>
      </w:r>
      <w:r w:rsidR="009E6697">
        <w:rPr>
          <w:color w:val="000000"/>
        </w:rPr>
        <w:t>over</w:t>
      </w:r>
      <w:r>
        <w:rPr>
          <w:color w:val="000000"/>
        </w:rPr>
        <w:t xml:space="preserve"> the years will be gathered. </w:t>
      </w:r>
      <w:r w:rsidR="002C3F88">
        <w:rPr>
          <w:color w:val="000000"/>
        </w:rPr>
        <w:t>Second</w:t>
      </w:r>
      <w:r>
        <w:rPr>
          <w:color w:val="000000"/>
        </w:rPr>
        <w:t xml:space="preserve">, parliamentary speeches are gathered and </w:t>
      </w:r>
      <w:r w:rsidRPr="007D7E22">
        <w:t xml:space="preserve">claims made </w:t>
      </w:r>
      <w:r>
        <w:t>on behalf</w:t>
      </w:r>
      <w:r w:rsidRPr="007D7E22">
        <w:t xml:space="preserve"> </w:t>
      </w:r>
      <w:r w:rsidRPr="007D7E22">
        <w:rPr>
          <w:color w:val="000000"/>
        </w:rPr>
        <w:t>Māori people</w:t>
      </w:r>
      <w:r>
        <w:rPr>
          <w:color w:val="000000"/>
        </w:rPr>
        <w:t xml:space="preserve"> are coded</w:t>
      </w:r>
      <w:r w:rsidRPr="007D7E22">
        <w:rPr>
          <w:color w:val="000000"/>
        </w:rPr>
        <w:t>.</w:t>
      </w:r>
      <w:r>
        <w:rPr>
          <w:color w:val="000000"/>
        </w:rPr>
        <w:t xml:space="preserve"> The speeches need to be interpreted</w:t>
      </w:r>
      <w:r w:rsidR="007025BE">
        <w:rPr>
          <w:color w:val="000000"/>
        </w:rPr>
        <w:t xml:space="preserve"> </w:t>
      </w:r>
      <w:r w:rsidR="009E6697">
        <w:rPr>
          <w:color w:val="000000"/>
        </w:rPr>
        <w:t>as a</w:t>
      </w:r>
      <w:r>
        <w:rPr>
          <w:color w:val="000000"/>
        </w:rPr>
        <w:t xml:space="preserve"> part of the qualitative analysis. The coding afterwards is what makes </w:t>
      </w:r>
      <w:r w:rsidR="007025BE">
        <w:rPr>
          <w:color w:val="000000"/>
        </w:rPr>
        <w:t xml:space="preserve">the analysis </w:t>
      </w:r>
      <w:r>
        <w:rPr>
          <w:color w:val="000000"/>
        </w:rPr>
        <w:t xml:space="preserve">quantitative. </w:t>
      </w:r>
      <w:r w:rsidRPr="00C06D72">
        <w:rPr>
          <w:color w:val="000000"/>
        </w:rPr>
        <w:t>This quantitative data</w:t>
      </w:r>
      <w:r w:rsidR="007025BE">
        <w:rPr>
          <w:color w:val="000000"/>
        </w:rPr>
        <w:t xml:space="preserve"> w</w:t>
      </w:r>
      <w:r w:rsidR="00DD0403">
        <w:rPr>
          <w:color w:val="000000"/>
        </w:rPr>
        <w:t>ill be</w:t>
      </w:r>
      <w:r w:rsidRPr="00C06D72">
        <w:rPr>
          <w:color w:val="000000"/>
        </w:rPr>
        <w:t xml:space="preserve"> analysed </w:t>
      </w:r>
      <w:r w:rsidR="00DD0403">
        <w:rPr>
          <w:color w:val="000000"/>
        </w:rPr>
        <w:t xml:space="preserve">by </w:t>
      </w:r>
      <w:r w:rsidRPr="00C06D72">
        <w:rPr>
          <w:color w:val="000000"/>
        </w:rPr>
        <w:t xml:space="preserve">using the statistical program SPSS. </w:t>
      </w:r>
      <w:r>
        <w:rPr>
          <w:color w:val="000000"/>
        </w:rPr>
        <w:t xml:space="preserve">The parliamentary speeches are dated between </w:t>
      </w:r>
      <w:r w:rsidRPr="00F757D4">
        <w:rPr>
          <w:color w:val="000000"/>
        </w:rPr>
        <w:t>23 July 2019 and 17 February 2021</w:t>
      </w:r>
      <w:r>
        <w:rPr>
          <w:color w:val="000000"/>
        </w:rPr>
        <w:t xml:space="preserve">. They </w:t>
      </w:r>
      <w:r w:rsidR="00773B0E">
        <w:rPr>
          <w:color w:val="000000"/>
        </w:rPr>
        <w:t>concern</w:t>
      </w:r>
      <w:r>
        <w:rPr>
          <w:color w:val="000000"/>
        </w:rPr>
        <w:t xml:space="preserve"> the previous and current government periods. </w:t>
      </w:r>
      <w:r w:rsidR="007025BE">
        <w:rPr>
          <w:color w:val="000000"/>
        </w:rPr>
        <w:t xml:space="preserve">Chapter </w:t>
      </w:r>
      <w:r w:rsidR="006F0193">
        <w:rPr>
          <w:color w:val="000000"/>
        </w:rPr>
        <w:t>3</w:t>
      </w:r>
      <w:r w:rsidR="007025BE">
        <w:rPr>
          <w:color w:val="000000"/>
        </w:rPr>
        <w:t xml:space="preserve"> will go </w:t>
      </w:r>
      <w:r w:rsidR="00741467">
        <w:rPr>
          <w:color w:val="000000"/>
        </w:rPr>
        <w:t>into further</w:t>
      </w:r>
      <w:r w:rsidR="007025BE">
        <w:rPr>
          <w:color w:val="000000"/>
        </w:rPr>
        <w:t xml:space="preserve"> </w:t>
      </w:r>
      <w:r w:rsidR="008103EC">
        <w:rPr>
          <w:color w:val="000000"/>
        </w:rPr>
        <w:t>detail</w:t>
      </w:r>
      <w:r w:rsidR="007025BE">
        <w:rPr>
          <w:color w:val="000000"/>
        </w:rPr>
        <w:t xml:space="preserve"> o</w:t>
      </w:r>
      <w:r w:rsidR="008103EC">
        <w:rPr>
          <w:color w:val="000000"/>
        </w:rPr>
        <w:t>n</w:t>
      </w:r>
      <w:r w:rsidR="007025BE">
        <w:rPr>
          <w:color w:val="000000"/>
        </w:rPr>
        <w:t xml:space="preserve"> the mixed-method design. </w:t>
      </w:r>
      <w:r>
        <w:rPr>
          <w:color w:val="000000"/>
        </w:rPr>
        <w:t xml:space="preserve">The next section will explain the scientifical and societal relevance of this thesis. </w:t>
      </w:r>
    </w:p>
    <w:p w14:paraId="1A103FB4" w14:textId="77777777" w:rsidR="00EB5CEE" w:rsidRDefault="00EB5CEE" w:rsidP="008158E1">
      <w:pPr>
        <w:pStyle w:val="Geenafstand"/>
        <w:spacing w:line="360" w:lineRule="auto"/>
        <w:jc w:val="both"/>
        <w:rPr>
          <w:highlight w:val="white"/>
        </w:rPr>
      </w:pPr>
      <w:bookmarkStart w:id="11" w:name="_Toc74583779"/>
    </w:p>
    <w:p w14:paraId="4B52C3E3" w14:textId="12D89672" w:rsidR="0069399F" w:rsidRPr="00412F50" w:rsidRDefault="0069399F" w:rsidP="00EB5CEE">
      <w:pPr>
        <w:pStyle w:val="Kop2"/>
        <w:rPr>
          <w:highlight w:val="white"/>
          <w:lang w:val="en-GB"/>
        </w:rPr>
      </w:pPr>
      <w:bookmarkStart w:id="12" w:name="_Toc75384049"/>
      <w:r w:rsidRPr="00412F50">
        <w:rPr>
          <w:highlight w:val="white"/>
          <w:lang w:val="en-GB"/>
        </w:rPr>
        <w:t>1.4 Scientifical and societal relevance</w:t>
      </w:r>
      <w:bookmarkEnd w:id="11"/>
      <w:bookmarkEnd w:id="12"/>
      <w:r w:rsidRPr="00412F50">
        <w:rPr>
          <w:highlight w:val="white"/>
          <w:lang w:val="en-GB"/>
        </w:rPr>
        <w:t xml:space="preserve"> </w:t>
      </w:r>
    </w:p>
    <w:p w14:paraId="4131B6E1" w14:textId="722CBC19" w:rsidR="0069399F" w:rsidRDefault="0069399F" w:rsidP="00EB5CEE">
      <w:pPr>
        <w:pStyle w:val="Geenafstand"/>
        <w:spacing w:line="360" w:lineRule="auto"/>
        <w:ind w:firstLine="708"/>
        <w:jc w:val="both"/>
        <w:rPr>
          <w:rFonts w:cstheme="minorHAnsi"/>
          <w:color w:val="000000"/>
        </w:rPr>
      </w:pPr>
      <w:r>
        <w:t xml:space="preserve">This thesis contributes to the field of political representation by establishing a link between descriptive </w:t>
      </w:r>
      <w:r w:rsidR="003F12A8">
        <w:t xml:space="preserve">representation </w:t>
      </w:r>
      <w:r>
        <w:t xml:space="preserve">and substantive </w:t>
      </w:r>
      <w:r w:rsidR="003F12A8">
        <w:t>claims made on behalf of</w:t>
      </w:r>
      <w:r>
        <w:t xml:space="preserve"> </w:t>
      </w:r>
      <w:r w:rsidRPr="005E6450">
        <w:rPr>
          <w:color w:val="000000"/>
        </w:rPr>
        <w:t>Māori</w:t>
      </w:r>
      <w:r>
        <w:rPr>
          <w:color w:val="000000"/>
        </w:rPr>
        <w:t xml:space="preserve"> people in Aotearoa New Zealand. Most studies regarding political representation are directed to gender </w:t>
      </w:r>
      <w:r w:rsidRPr="00831D0A">
        <w:t>(Wängnerud, 2009; Ruedin, 2020; Sawer, Tremblay and Trimble, 2006; Schwindt-Bayer and Mishler, 2005; Curtin, 2008</w:t>
      </w:r>
      <w:r>
        <w:t xml:space="preserve"> and Mansbridge, 2005</w:t>
      </w:r>
      <w:r w:rsidRPr="00831D0A">
        <w:t>)</w:t>
      </w:r>
      <w:r w:rsidRPr="00831D0A">
        <w:rPr>
          <w:color w:val="000000"/>
          <w:highlight w:val="white"/>
        </w:rPr>
        <w:t xml:space="preserve">. </w:t>
      </w:r>
      <w:r>
        <w:rPr>
          <w:color w:val="000000"/>
        </w:rPr>
        <w:t>Thus, this thesis broadens this scope to include indigenous peoples of liberal</w:t>
      </w:r>
      <w:r w:rsidR="000360EC">
        <w:rPr>
          <w:color w:val="000000"/>
        </w:rPr>
        <w:t xml:space="preserve"> democra</w:t>
      </w:r>
      <w:r w:rsidR="000E3771">
        <w:rPr>
          <w:color w:val="000000"/>
        </w:rPr>
        <w:t>cies</w:t>
      </w:r>
      <w:r>
        <w:rPr>
          <w:color w:val="000000"/>
        </w:rPr>
        <w:t xml:space="preserve">. This is much needed due to the Western bias in (political science) research. This bias arose due to </w:t>
      </w:r>
      <w:r>
        <w:rPr>
          <w:rFonts w:cstheme="minorHAnsi"/>
          <w:color w:val="000000"/>
        </w:rPr>
        <w:t xml:space="preserve">a lack of presence of indigenous scholars and a lack of research </w:t>
      </w:r>
      <w:r w:rsidR="009F4DF4">
        <w:rPr>
          <w:rFonts w:cstheme="minorHAnsi"/>
          <w:color w:val="000000"/>
        </w:rPr>
        <w:t>on</w:t>
      </w:r>
      <w:r>
        <w:rPr>
          <w:rFonts w:cstheme="minorHAnsi"/>
          <w:color w:val="000000"/>
        </w:rPr>
        <w:t xml:space="preserve"> indigenous issues (Curtin and Sawer, 2016). </w:t>
      </w:r>
    </w:p>
    <w:p w14:paraId="644E4156" w14:textId="23B9047B" w:rsidR="007025BE" w:rsidRDefault="0069399F" w:rsidP="00A02D66">
      <w:pPr>
        <w:pStyle w:val="Geenafstand"/>
        <w:spacing w:line="360" w:lineRule="auto"/>
        <w:ind w:firstLine="708"/>
        <w:jc w:val="both"/>
        <w:rPr>
          <w:color w:val="000000"/>
        </w:rPr>
      </w:pPr>
      <w:r>
        <w:rPr>
          <w:rFonts w:cstheme="minorHAnsi"/>
          <w:color w:val="000000"/>
        </w:rPr>
        <w:t xml:space="preserve">As mentioned above, </w:t>
      </w:r>
      <w:r>
        <w:rPr>
          <w:color w:val="000000"/>
        </w:rPr>
        <w:t xml:space="preserve">Aotearoa </w:t>
      </w:r>
      <w:r w:rsidRPr="001D70E3">
        <w:rPr>
          <w:color w:val="000000"/>
        </w:rPr>
        <w:t xml:space="preserve">New Zealand provides us with the unique condition of dedicated seats for </w:t>
      </w:r>
      <w:r w:rsidR="00272BBE" w:rsidRPr="001D70E3">
        <w:rPr>
          <w:color w:val="000000"/>
        </w:rPr>
        <w:t xml:space="preserve">Māori </w:t>
      </w:r>
      <w:r w:rsidRPr="001D70E3">
        <w:rPr>
          <w:color w:val="000000"/>
        </w:rPr>
        <w:t>people.</w:t>
      </w:r>
      <w:r>
        <w:rPr>
          <w:rFonts w:cstheme="minorHAnsi"/>
          <w:color w:val="000000"/>
        </w:rPr>
        <w:t xml:space="preserve"> Therefore, t</w:t>
      </w:r>
      <w:r w:rsidRPr="001D70E3">
        <w:rPr>
          <w:color w:val="000000"/>
        </w:rPr>
        <w:t xml:space="preserve">he descriptive representation of Māori people in </w:t>
      </w:r>
      <w:r>
        <w:rPr>
          <w:color w:val="000000"/>
        </w:rPr>
        <w:t xml:space="preserve">Aotearoa </w:t>
      </w:r>
      <w:r w:rsidRPr="001D70E3">
        <w:rPr>
          <w:color w:val="000000"/>
        </w:rPr>
        <w:t xml:space="preserve">New Zealand is quite well established. </w:t>
      </w:r>
      <w:r w:rsidRPr="00A63CCA">
        <w:rPr>
          <w:color w:val="000000"/>
        </w:rPr>
        <w:t>Other countries, like Australi</w:t>
      </w:r>
      <w:r>
        <w:rPr>
          <w:color w:val="000000"/>
        </w:rPr>
        <w:t>a</w:t>
      </w:r>
      <w:r w:rsidRPr="00A63CCA">
        <w:rPr>
          <w:color w:val="000000"/>
        </w:rPr>
        <w:t xml:space="preserve">, see </w:t>
      </w:r>
      <w:r>
        <w:rPr>
          <w:color w:val="000000"/>
        </w:rPr>
        <w:t xml:space="preserve">the way </w:t>
      </w:r>
      <w:r w:rsidRPr="00A63CCA">
        <w:rPr>
          <w:color w:val="000000"/>
        </w:rPr>
        <w:t xml:space="preserve">Aotearoa New Zealand </w:t>
      </w:r>
      <w:r>
        <w:rPr>
          <w:color w:val="000000"/>
        </w:rPr>
        <w:t xml:space="preserve">handles the political representation of their indigenous peoples </w:t>
      </w:r>
      <w:r w:rsidRPr="00A63CCA">
        <w:rPr>
          <w:color w:val="000000"/>
        </w:rPr>
        <w:t>a</w:t>
      </w:r>
      <w:r>
        <w:rPr>
          <w:color w:val="000000"/>
        </w:rPr>
        <w:t>s an example (Lloyd, 2009). Dedicated seats could be essential in establishing an expression of a formal relationship between indigenous and non-indigenous peoples (Llloyd, 2009).</w:t>
      </w:r>
      <w:r w:rsidRPr="00B5347B">
        <w:rPr>
          <w:color w:val="000000"/>
        </w:rPr>
        <w:t xml:space="preserve"> </w:t>
      </w:r>
    </w:p>
    <w:p w14:paraId="2B41B74C" w14:textId="465AA433" w:rsidR="0069399F" w:rsidRPr="00A7366E" w:rsidRDefault="00EE61D3" w:rsidP="00A02D66">
      <w:pPr>
        <w:pStyle w:val="Geenafstand"/>
        <w:spacing w:line="360" w:lineRule="auto"/>
        <w:ind w:firstLine="708"/>
        <w:jc w:val="both"/>
        <w:rPr>
          <w:rFonts w:cstheme="minorHAnsi"/>
        </w:rPr>
      </w:pPr>
      <w:r>
        <w:rPr>
          <w:color w:val="000000"/>
        </w:rPr>
        <w:t>The preserving of the dedicated seats is discussed time after time (Taonui, 2017).</w:t>
      </w:r>
      <w:r w:rsidRPr="00B5347B">
        <w:rPr>
          <w:color w:val="000000"/>
        </w:rPr>
        <w:t xml:space="preserve"> </w:t>
      </w:r>
      <w:r w:rsidR="0069399F">
        <w:rPr>
          <w:color w:val="000000"/>
        </w:rPr>
        <w:t xml:space="preserve">After the switch from a majority to a mixed-member proportional (MMP) system in 1996, this discussion intensified because the number of minority representatives was expected to </w:t>
      </w:r>
      <w:r w:rsidR="00842CA6">
        <w:rPr>
          <w:color w:val="000000"/>
        </w:rPr>
        <w:t xml:space="preserve">already </w:t>
      </w:r>
      <w:r w:rsidR="0069399F">
        <w:rPr>
          <w:color w:val="000000"/>
        </w:rPr>
        <w:t xml:space="preserve">increase with this MMP system (Xanthaki and O’Sullivan, 2009). Separate </w:t>
      </w:r>
      <w:r w:rsidR="0069399F" w:rsidRPr="00B93035">
        <w:rPr>
          <w:rFonts w:cstheme="minorHAnsi"/>
        </w:rPr>
        <w:t xml:space="preserve">Māori </w:t>
      </w:r>
      <w:r w:rsidR="0069399F">
        <w:rPr>
          <w:rFonts w:cstheme="minorHAnsi"/>
        </w:rPr>
        <w:t>seats would become unnecessary because with a</w:t>
      </w:r>
      <w:r w:rsidR="008E2648">
        <w:rPr>
          <w:rFonts w:cstheme="minorHAnsi"/>
        </w:rPr>
        <w:t>n</w:t>
      </w:r>
      <w:r w:rsidR="0069399F">
        <w:rPr>
          <w:rFonts w:cstheme="minorHAnsi"/>
        </w:rPr>
        <w:t xml:space="preserve"> MMP system </w:t>
      </w:r>
      <w:r w:rsidR="0069399F" w:rsidRPr="005E6450">
        <w:rPr>
          <w:color w:val="000000"/>
        </w:rPr>
        <w:t>Māori</w:t>
      </w:r>
      <w:r w:rsidR="0069399F">
        <w:rPr>
          <w:color w:val="000000"/>
        </w:rPr>
        <w:t xml:space="preserve"> people would already get </w:t>
      </w:r>
      <w:r w:rsidR="001A632F">
        <w:rPr>
          <w:color w:val="000000"/>
        </w:rPr>
        <w:t>represented better</w:t>
      </w:r>
      <w:r w:rsidR="0069399F">
        <w:rPr>
          <w:rFonts w:cstheme="minorHAnsi"/>
        </w:rPr>
        <w:t xml:space="preserve"> (Xanthaki and O’Sullivan, 2009). However, to</w:t>
      </w:r>
      <w:r w:rsidR="0069399F">
        <w:rPr>
          <w:color w:val="000000"/>
        </w:rPr>
        <w:t xml:space="preserve"> </w:t>
      </w:r>
      <w:r w:rsidR="0069399F" w:rsidRPr="005E6450">
        <w:rPr>
          <w:color w:val="000000"/>
        </w:rPr>
        <w:t>Māori</w:t>
      </w:r>
      <w:r w:rsidR="0069399F">
        <w:rPr>
          <w:color w:val="000000"/>
        </w:rPr>
        <w:t xml:space="preserve"> people these seats were more than just proportional </w:t>
      </w:r>
      <w:r w:rsidR="0069399F">
        <w:rPr>
          <w:color w:val="000000"/>
        </w:rPr>
        <w:lastRenderedPageBreak/>
        <w:t>representation; it recognised the distinct position they had in the state of Aotearoa New Zealand. With the dedicated seats they could distance themselves from other minorities while emphasizing the special status they have due to being the original population (Xanthaki and O’Sullivan, 2009).</w:t>
      </w:r>
      <w:r w:rsidR="0069399F" w:rsidRPr="006A0D43">
        <w:rPr>
          <w:color w:val="000000"/>
        </w:rPr>
        <w:t xml:space="preserve"> </w:t>
      </w:r>
      <w:r w:rsidR="0069399F">
        <w:rPr>
          <w:color w:val="000000"/>
        </w:rPr>
        <w:t xml:space="preserve">The dedicated seats survived and became an institutional aspect of the MMP system. </w:t>
      </w:r>
      <w:r w:rsidR="0069399F">
        <w:rPr>
          <w:rFonts w:cstheme="minorHAnsi"/>
        </w:rPr>
        <w:t xml:space="preserve">In the next section the conclusion of this chapter will be </w:t>
      </w:r>
      <w:r w:rsidR="00E850A8">
        <w:rPr>
          <w:rFonts w:cstheme="minorHAnsi"/>
        </w:rPr>
        <w:t>briefly</w:t>
      </w:r>
      <w:r w:rsidR="0069399F">
        <w:rPr>
          <w:rFonts w:cstheme="minorHAnsi"/>
        </w:rPr>
        <w:t xml:space="preserve"> formulated after which an overview of the structure of this thesis is given.</w:t>
      </w:r>
    </w:p>
    <w:p w14:paraId="0A63A8BA" w14:textId="77777777" w:rsidR="00A02D66" w:rsidRDefault="00A02D66" w:rsidP="008158E1">
      <w:pPr>
        <w:pStyle w:val="Geenafstand"/>
        <w:spacing w:line="360" w:lineRule="auto"/>
        <w:jc w:val="both"/>
      </w:pPr>
      <w:bookmarkStart w:id="13" w:name="_Toc74583780"/>
    </w:p>
    <w:p w14:paraId="1321A51F" w14:textId="67AD9CC2" w:rsidR="0069399F" w:rsidRPr="00412F50" w:rsidRDefault="0069399F" w:rsidP="00A02D66">
      <w:pPr>
        <w:pStyle w:val="Kop2"/>
        <w:rPr>
          <w:lang w:val="en-GB"/>
        </w:rPr>
      </w:pPr>
      <w:bookmarkStart w:id="14" w:name="_Toc75384050"/>
      <w:r w:rsidRPr="00412F50">
        <w:rPr>
          <w:lang w:val="en-GB"/>
        </w:rPr>
        <w:t xml:space="preserve">1.5 </w:t>
      </w:r>
      <w:r w:rsidR="00C4145C" w:rsidRPr="00412F50">
        <w:rPr>
          <w:lang w:val="en-GB"/>
        </w:rPr>
        <w:t xml:space="preserve">Thesis </w:t>
      </w:r>
      <w:r w:rsidR="00B2273A" w:rsidRPr="00412F50">
        <w:rPr>
          <w:lang w:val="en-GB"/>
        </w:rPr>
        <w:t>o</w:t>
      </w:r>
      <w:r w:rsidR="00C4145C" w:rsidRPr="00412F50">
        <w:rPr>
          <w:lang w:val="en-GB"/>
        </w:rPr>
        <w:t xml:space="preserve">utline </w:t>
      </w:r>
      <w:r w:rsidRPr="00412F50">
        <w:rPr>
          <w:lang w:val="en-GB"/>
        </w:rPr>
        <w:t xml:space="preserve">and </w:t>
      </w:r>
      <w:r w:rsidR="00B2273A" w:rsidRPr="00412F50">
        <w:rPr>
          <w:lang w:val="en-GB"/>
        </w:rPr>
        <w:t>c</w:t>
      </w:r>
      <w:r w:rsidRPr="00412F50">
        <w:rPr>
          <w:lang w:val="en-GB"/>
        </w:rPr>
        <w:t>onclusion</w:t>
      </w:r>
      <w:bookmarkEnd w:id="13"/>
      <w:bookmarkEnd w:id="14"/>
    </w:p>
    <w:p w14:paraId="514B3384" w14:textId="1E8C1CC9" w:rsidR="00C4145C" w:rsidRDefault="00C4145C" w:rsidP="00A02D66">
      <w:pPr>
        <w:pStyle w:val="Geenafstand"/>
        <w:spacing w:line="360" w:lineRule="auto"/>
        <w:ind w:firstLine="708"/>
        <w:jc w:val="both"/>
      </w:pPr>
      <w:r>
        <w:t xml:space="preserve">This thesis consists of five chapters. Chapter </w:t>
      </w:r>
      <w:r w:rsidR="006F0193">
        <w:t>2</w:t>
      </w:r>
      <w:r>
        <w:t xml:space="preserve"> contains the theoretical framework, which gives an overview of the literature used in this thesis. This chapter starts with explaining the concept of </w:t>
      </w:r>
      <w:r w:rsidR="00845DF4">
        <w:t xml:space="preserve">political </w:t>
      </w:r>
      <w:r>
        <w:t>representation after which the different forms of representation are elaborated</w:t>
      </w:r>
      <w:r w:rsidR="007667E7">
        <w:t xml:space="preserve"> further</w:t>
      </w:r>
      <w:r>
        <w:t xml:space="preserve">. Chapter </w:t>
      </w:r>
      <w:r w:rsidR="006F0193">
        <w:t>3</w:t>
      </w:r>
      <w:r>
        <w:t xml:space="preserve"> provides an explanation of the </w:t>
      </w:r>
      <w:r w:rsidR="00FC6E53">
        <w:t>methods and</w:t>
      </w:r>
      <w:r>
        <w:t xml:space="preserve"> methodology. This consists of a claims-making analysis. Chapter </w:t>
      </w:r>
      <w:r w:rsidR="006F0193">
        <w:t>4</w:t>
      </w:r>
      <w:r>
        <w:t xml:space="preserve"> is split up into two parts. First a contextual overview of Aotearoa New Zealand’s history is given, </w:t>
      </w:r>
      <w:r w:rsidR="00621058">
        <w:t>regarding</w:t>
      </w:r>
      <w:r>
        <w:t xml:space="preserve"> the </w:t>
      </w:r>
      <w:r w:rsidRPr="006435A2">
        <w:rPr>
          <w:rFonts w:cstheme="minorHAnsi"/>
        </w:rPr>
        <w:t>Māori</w:t>
      </w:r>
      <w:r>
        <w:rPr>
          <w:rFonts w:cstheme="minorHAnsi"/>
        </w:rPr>
        <w:t xml:space="preserve"> representation. The second part consists of a statistical analysis of the claims made in Parliament on behalf of </w:t>
      </w:r>
      <w:r w:rsidRPr="006435A2">
        <w:rPr>
          <w:rFonts w:cstheme="minorHAnsi"/>
        </w:rPr>
        <w:t>Māori</w:t>
      </w:r>
      <w:r>
        <w:rPr>
          <w:rFonts w:cstheme="minorHAnsi"/>
        </w:rPr>
        <w:t xml:space="preserve"> people. </w:t>
      </w:r>
      <w:r>
        <w:t xml:space="preserve">Chapter </w:t>
      </w:r>
      <w:r w:rsidR="006F0193">
        <w:t>5</w:t>
      </w:r>
      <w:r>
        <w:t xml:space="preserve"> </w:t>
      </w:r>
      <w:r w:rsidR="00C61A6C">
        <w:t>concludes</w:t>
      </w:r>
      <w:r>
        <w:t xml:space="preserve"> this thesis by discussing the main results in relation to the literature of political representation after which a final conclusion is given. </w:t>
      </w:r>
    </w:p>
    <w:p w14:paraId="7A518E5F" w14:textId="5F871A99" w:rsidR="0069399F" w:rsidRDefault="00C4145C" w:rsidP="00A02D66">
      <w:pPr>
        <w:pStyle w:val="Geenafstand"/>
        <w:spacing w:line="360" w:lineRule="auto"/>
        <w:ind w:firstLine="708"/>
        <w:jc w:val="both"/>
      </w:pPr>
      <w:r>
        <w:t>Overall, t</w:t>
      </w:r>
      <w:r w:rsidR="0069399F">
        <w:t>he main goal of this thesis is to determine a link between descriptive</w:t>
      </w:r>
      <w:r w:rsidR="00511B04">
        <w:t xml:space="preserve"> representation</w:t>
      </w:r>
      <w:r w:rsidR="0069399F">
        <w:t xml:space="preserve"> and substantive </w:t>
      </w:r>
      <w:r w:rsidR="004C1091">
        <w:t>claims</w:t>
      </w:r>
      <w:r w:rsidR="00D36E38">
        <w:t xml:space="preserve"> made on behalf of</w:t>
      </w:r>
      <w:r w:rsidR="0069399F">
        <w:t xml:space="preserve"> indigenous populations </w:t>
      </w:r>
      <w:r w:rsidR="000360EC">
        <w:t xml:space="preserve">in </w:t>
      </w:r>
      <w:r w:rsidR="0069399F">
        <w:t xml:space="preserve">liberal </w:t>
      </w:r>
      <w:r w:rsidR="000360EC">
        <w:t>democra</w:t>
      </w:r>
      <w:r w:rsidR="000E3771">
        <w:t>cies</w:t>
      </w:r>
      <w:r w:rsidR="0069399F">
        <w:t xml:space="preserve">. </w:t>
      </w:r>
      <w:r w:rsidR="00A909DC">
        <w:t xml:space="preserve">This </w:t>
      </w:r>
      <w:r w:rsidR="0069399F">
        <w:t xml:space="preserve">link will be established in the case of </w:t>
      </w:r>
      <w:r w:rsidR="0069399F" w:rsidRPr="006435A2">
        <w:rPr>
          <w:rFonts w:cstheme="minorHAnsi"/>
        </w:rPr>
        <w:t>Māori</w:t>
      </w:r>
      <w:r w:rsidR="0069399F">
        <w:rPr>
          <w:rFonts w:cstheme="minorHAnsi"/>
        </w:rPr>
        <w:t xml:space="preserve"> people. </w:t>
      </w:r>
      <w:r w:rsidR="0069399F">
        <w:rPr>
          <w:iCs/>
          <w:color w:val="000000"/>
        </w:rPr>
        <w:t xml:space="preserve">As </w:t>
      </w:r>
      <w:r>
        <w:rPr>
          <w:iCs/>
          <w:color w:val="000000"/>
        </w:rPr>
        <w:t>the results will show</w:t>
      </w:r>
      <w:r w:rsidR="0069399F">
        <w:rPr>
          <w:iCs/>
          <w:color w:val="000000"/>
        </w:rPr>
        <w:t xml:space="preserve"> in chapter </w:t>
      </w:r>
      <w:r w:rsidR="006F0193">
        <w:rPr>
          <w:iCs/>
          <w:color w:val="000000"/>
        </w:rPr>
        <w:t>4</w:t>
      </w:r>
      <w:r w:rsidR="0069399F">
        <w:rPr>
          <w:iCs/>
          <w:color w:val="000000"/>
        </w:rPr>
        <w:t>, the claim</w:t>
      </w:r>
      <w:r w:rsidR="007B2F31">
        <w:rPr>
          <w:iCs/>
          <w:color w:val="000000"/>
        </w:rPr>
        <w:t>s-</w:t>
      </w:r>
      <w:r w:rsidR="0069399F">
        <w:rPr>
          <w:iCs/>
          <w:color w:val="000000"/>
        </w:rPr>
        <w:t xml:space="preserve">making analysis will reveal that </w:t>
      </w:r>
      <w:r w:rsidR="0069399F" w:rsidRPr="005E6450">
        <w:rPr>
          <w:color w:val="000000"/>
        </w:rPr>
        <w:t xml:space="preserve">MPs </w:t>
      </w:r>
      <w:r w:rsidR="00984564">
        <w:rPr>
          <w:color w:val="000000"/>
        </w:rPr>
        <w:t>from</w:t>
      </w:r>
      <w:r w:rsidR="0069399F">
        <w:rPr>
          <w:color w:val="000000"/>
        </w:rPr>
        <w:t xml:space="preserve"> </w:t>
      </w:r>
      <w:r w:rsidR="0069399F" w:rsidRPr="005E6450">
        <w:rPr>
          <w:color w:val="000000"/>
        </w:rPr>
        <w:t xml:space="preserve">Māori </w:t>
      </w:r>
      <w:r w:rsidR="00984564">
        <w:rPr>
          <w:color w:val="000000"/>
        </w:rPr>
        <w:t>descent</w:t>
      </w:r>
      <w:r w:rsidR="0069399F" w:rsidRPr="005E6450">
        <w:rPr>
          <w:color w:val="000000"/>
        </w:rPr>
        <w:t xml:space="preserve"> are more likely to make claims on behalf of Māori people than other MPs.</w:t>
      </w:r>
      <w:r w:rsidR="0069399F" w:rsidRPr="005E6450">
        <w:t xml:space="preserve"> </w:t>
      </w:r>
      <w:r w:rsidR="0069399F">
        <w:t xml:space="preserve">When the </w:t>
      </w:r>
      <w:r w:rsidR="0069399F" w:rsidRPr="005E6450">
        <w:rPr>
          <w:color w:val="000000"/>
        </w:rPr>
        <w:t xml:space="preserve">Māori </w:t>
      </w:r>
      <w:r w:rsidR="0069399F" w:rsidRPr="005E6450">
        <w:t xml:space="preserve">MPs </w:t>
      </w:r>
      <w:r w:rsidR="0069399F">
        <w:t xml:space="preserve">are </w:t>
      </w:r>
      <w:r w:rsidR="0069399F" w:rsidRPr="005E6450">
        <w:t xml:space="preserve">chosen via the </w:t>
      </w:r>
      <w:r w:rsidR="0069399F" w:rsidRPr="005E6450">
        <w:rPr>
          <w:color w:val="000000"/>
        </w:rPr>
        <w:t>Māori roll</w:t>
      </w:r>
      <w:r>
        <w:rPr>
          <w:color w:val="000000"/>
        </w:rPr>
        <w:t>,</w:t>
      </w:r>
      <w:r w:rsidR="0069399F" w:rsidRPr="005E6450">
        <w:rPr>
          <w:color w:val="000000"/>
        </w:rPr>
        <w:t xml:space="preserve"> </w:t>
      </w:r>
      <w:r w:rsidR="0069399F">
        <w:rPr>
          <w:color w:val="000000"/>
        </w:rPr>
        <w:t>they are</w:t>
      </w:r>
      <w:r w:rsidR="0069399F" w:rsidRPr="005E6450">
        <w:rPr>
          <w:color w:val="000000"/>
        </w:rPr>
        <w:t xml:space="preserve"> even more likely to make claims on behalf of Māori people. </w:t>
      </w:r>
      <w:r w:rsidR="0069399F">
        <w:rPr>
          <w:rFonts w:cstheme="minorHAnsi"/>
        </w:rPr>
        <w:t xml:space="preserve">This confirms the studies of </w:t>
      </w:r>
      <w:r w:rsidR="0069399F">
        <w:t>Phillips (2019), Young (2002), Williams (1998), White (2017),</w:t>
      </w:r>
      <w:r w:rsidR="0069399F" w:rsidRPr="001A4DA7">
        <w:t xml:space="preserve"> Morris </w:t>
      </w:r>
      <w:r w:rsidR="0069399F">
        <w:t>(</w:t>
      </w:r>
      <w:r w:rsidR="0069399F" w:rsidRPr="001A4DA7">
        <w:t>2014</w:t>
      </w:r>
      <w:r w:rsidR="0069399F">
        <w:t>),</w:t>
      </w:r>
      <w:r w:rsidR="0069399F" w:rsidRPr="001A4DA7">
        <w:t xml:space="preserve"> Lloyd </w:t>
      </w:r>
      <w:r w:rsidR="0069399F">
        <w:t>(</w:t>
      </w:r>
      <w:r w:rsidR="0069399F" w:rsidRPr="001A4DA7">
        <w:t>2009</w:t>
      </w:r>
      <w:r w:rsidR="0069399F">
        <w:t xml:space="preserve">) and </w:t>
      </w:r>
      <w:r w:rsidR="0069399F" w:rsidRPr="001A4DA7">
        <w:t xml:space="preserve">Summersby </w:t>
      </w:r>
      <w:r w:rsidR="0069399F">
        <w:t>(</w:t>
      </w:r>
      <w:r w:rsidR="0069399F" w:rsidRPr="001A4DA7">
        <w:t>2009</w:t>
      </w:r>
      <w:r w:rsidR="0069399F">
        <w:t xml:space="preserve">). </w:t>
      </w:r>
      <w:r>
        <w:t xml:space="preserve">Chapter 5 will provide limitations, future avenues of research and the conclusion for the thesis. </w:t>
      </w:r>
    </w:p>
    <w:p w14:paraId="6FE1636B" w14:textId="1AC0DF87" w:rsidR="0069399F" w:rsidRDefault="0069399F" w:rsidP="008158E1">
      <w:pPr>
        <w:pStyle w:val="Geenafstand"/>
        <w:spacing w:line="360" w:lineRule="auto"/>
        <w:jc w:val="both"/>
      </w:pPr>
      <w:r>
        <w:br w:type="page"/>
      </w:r>
    </w:p>
    <w:p w14:paraId="1F7EE1B6" w14:textId="77777777" w:rsidR="00A21B9A" w:rsidRPr="00412F50" w:rsidRDefault="00A21B9A" w:rsidP="00A02D66">
      <w:pPr>
        <w:pStyle w:val="Kop1"/>
        <w:rPr>
          <w:lang w:val="en-GB"/>
        </w:rPr>
      </w:pPr>
      <w:bookmarkStart w:id="15" w:name="_Toc74237363"/>
      <w:bookmarkStart w:id="16" w:name="_Toc74583781"/>
      <w:bookmarkStart w:id="17" w:name="_Toc75384051"/>
      <w:bookmarkStart w:id="18" w:name="_Toc74583790"/>
      <w:r w:rsidRPr="00412F50">
        <w:rPr>
          <w:lang w:val="en-GB"/>
        </w:rPr>
        <w:lastRenderedPageBreak/>
        <w:t>Chapter 2: Theoretical Framework</w:t>
      </w:r>
      <w:bookmarkEnd w:id="15"/>
      <w:bookmarkEnd w:id="16"/>
      <w:bookmarkEnd w:id="17"/>
      <w:r w:rsidRPr="00412F50">
        <w:rPr>
          <w:lang w:val="en-GB"/>
        </w:rPr>
        <w:t xml:space="preserve"> </w:t>
      </w:r>
    </w:p>
    <w:p w14:paraId="61A5BE89" w14:textId="143FE8DA" w:rsidR="00A21B9A" w:rsidRPr="00674DFD" w:rsidRDefault="00A21B9A" w:rsidP="008158E1">
      <w:pPr>
        <w:pStyle w:val="Geenafstand"/>
        <w:spacing w:line="360" w:lineRule="auto"/>
        <w:jc w:val="both"/>
      </w:pPr>
      <w:r w:rsidRPr="00674DFD">
        <w:tab/>
        <w:t xml:space="preserve">In the following chapter, I will discuss the literature regarding political representation to answer the following research question: </w:t>
      </w:r>
      <w:r w:rsidRPr="00674DFD">
        <w:rPr>
          <w:i/>
          <w:iCs/>
        </w:rPr>
        <w:t xml:space="preserve">Does descriptive representation lead to substantive representative claims of indigenous populations </w:t>
      </w:r>
      <w:r w:rsidR="00556A4B">
        <w:rPr>
          <w:i/>
          <w:iCs/>
        </w:rPr>
        <w:t>in</w:t>
      </w:r>
      <w:r w:rsidRPr="00674DFD">
        <w:rPr>
          <w:i/>
          <w:iCs/>
        </w:rPr>
        <w:t xml:space="preserve"> liberal</w:t>
      </w:r>
      <w:r w:rsidR="000360EC">
        <w:rPr>
          <w:i/>
          <w:iCs/>
        </w:rPr>
        <w:t xml:space="preserve"> democra</w:t>
      </w:r>
      <w:r w:rsidR="000E3771">
        <w:rPr>
          <w:i/>
          <w:iCs/>
        </w:rPr>
        <w:t>cies</w:t>
      </w:r>
      <w:r w:rsidRPr="00674DFD">
        <w:rPr>
          <w:i/>
          <w:iCs/>
        </w:rPr>
        <w:t xml:space="preserve">? </w:t>
      </w:r>
      <w:r w:rsidRPr="00674DFD">
        <w:t xml:space="preserve"> More specifically, this literature review evaluates the different types of representation formulated by Pitkin (1967).  Pitkin (1967) is one of the most influential scholars to political representation who started the ongoing discussion with her comprehensive work “</w:t>
      </w:r>
      <w:r w:rsidRPr="00674DFD">
        <w:rPr>
          <w:i/>
          <w:iCs/>
        </w:rPr>
        <w:t xml:space="preserve">The Concept of Representation” </w:t>
      </w:r>
      <w:r w:rsidRPr="00674DFD">
        <w:t xml:space="preserve">about the different forms of representation (Kurebwa, 2015). Recent scholars, like Saward (2006), Schwindt-Bayer and Mishler (2005), suggest that the different forms of political representation Pitkin (1965) originally formulated must not be seen as </w:t>
      </w:r>
      <w:r w:rsidR="002B189A">
        <w:t>separate</w:t>
      </w:r>
      <w:r w:rsidRPr="00674DFD">
        <w:t xml:space="preserve"> concepts, but are interconnected.</w:t>
      </w:r>
    </w:p>
    <w:p w14:paraId="2E8B692F" w14:textId="6CDBA731" w:rsidR="00A21B9A" w:rsidRPr="00674DFD" w:rsidRDefault="00A21B9A" w:rsidP="00A02D66">
      <w:pPr>
        <w:pStyle w:val="Geenafstand"/>
        <w:spacing w:line="360" w:lineRule="auto"/>
        <w:ind w:firstLine="708"/>
        <w:jc w:val="both"/>
      </w:pPr>
      <w:r w:rsidRPr="00674DFD">
        <w:t xml:space="preserve">The chapter is organized in the following way. First, the concept of political representation will be defined. Then, the </w:t>
      </w:r>
      <w:r w:rsidR="002B189A">
        <w:t>different</w:t>
      </w:r>
      <w:r w:rsidRPr="00674DFD">
        <w:t xml:space="preserve"> forms of representation will be discussed. The chapter concludes with an overview of the empirical studies, mainly done in Aotearoa New Zealand, about the link between descriptive and substantive representation. </w:t>
      </w:r>
    </w:p>
    <w:p w14:paraId="15268788" w14:textId="77777777" w:rsidR="00A02D66" w:rsidRDefault="00A02D66" w:rsidP="008158E1">
      <w:pPr>
        <w:pStyle w:val="Geenafstand"/>
        <w:spacing w:line="360" w:lineRule="auto"/>
        <w:jc w:val="both"/>
      </w:pPr>
      <w:bookmarkStart w:id="19" w:name="_Toc74237364"/>
      <w:bookmarkStart w:id="20" w:name="_Toc74583782"/>
    </w:p>
    <w:p w14:paraId="354EFAA1" w14:textId="2C4CB0C7" w:rsidR="00A21B9A" w:rsidRPr="00412F50" w:rsidRDefault="00A21B9A" w:rsidP="00A02D66">
      <w:pPr>
        <w:pStyle w:val="Kop2"/>
        <w:rPr>
          <w:lang w:val="en-GB"/>
        </w:rPr>
      </w:pPr>
      <w:bookmarkStart w:id="21" w:name="_Toc75384052"/>
      <w:r w:rsidRPr="00412F50">
        <w:rPr>
          <w:lang w:val="en-GB"/>
        </w:rPr>
        <w:t>2.1 Political representation</w:t>
      </w:r>
      <w:bookmarkEnd w:id="19"/>
      <w:bookmarkEnd w:id="20"/>
      <w:bookmarkEnd w:id="21"/>
      <w:r w:rsidRPr="00412F50">
        <w:rPr>
          <w:lang w:val="en-GB"/>
        </w:rPr>
        <w:t xml:space="preserve"> </w:t>
      </w:r>
    </w:p>
    <w:p w14:paraId="31F1C210" w14:textId="20AFB96F" w:rsidR="00A21B9A" w:rsidRPr="00674DFD" w:rsidRDefault="00A21B9A" w:rsidP="008158E1">
      <w:pPr>
        <w:pStyle w:val="Geenafstand"/>
        <w:spacing w:line="360" w:lineRule="auto"/>
        <w:jc w:val="both"/>
      </w:pPr>
      <w:r w:rsidRPr="00674DFD">
        <w:tab/>
      </w:r>
      <w:r w:rsidR="00FA2E3E">
        <w:t>Politic</w:t>
      </w:r>
      <w:r w:rsidR="00B631D8">
        <w:t xml:space="preserve">al </w:t>
      </w:r>
      <w:r w:rsidRPr="00674DFD">
        <w:t xml:space="preserve">representation is commonly defined as “the representation of a constituency by an elected member of a legislature” (Saward, 2008, p.94). Rohrschneider and Thomassen (2020) clearly explain how political representation is at work in liberal democracies. They define political representation as the process of “how well the interests and preferences of mass publics become represented by the institutions of liberal democracies” (Rohrschneider and Thomassen, p.1). Meaning that when people are sufficiently politically represented, their voices are heard in Parliament. Phillips (2019) and Ruedin (2020) reveal that this is not always the case for marginalized groups. </w:t>
      </w:r>
    </w:p>
    <w:p w14:paraId="22AEB5E8" w14:textId="20D16D14" w:rsidR="00A21B9A" w:rsidRPr="00674DFD" w:rsidRDefault="00A21B9A" w:rsidP="00A02D66">
      <w:pPr>
        <w:pStyle w:val="Geenafstand"/>
        <w:spacing w:line="360" w:lineRule="auto"/>
        <w:ind w:firstLine="708"/>
        <w:jc w:val="both"/>
      </w:pPr>
      <w:r w:rsidRPr="00674DFD">
        <w:t xml:space="preserve">This definition of political representation is limited to liberal democratic institutions. According to Saward, (2008) scholars like Young (2002), Phillips (1995) and Mansbridge (2003), rely on such a definition. While Saward (2008) does not deny the importance of representation via democratic institutions, Saward argues that there is much more that matters to political representation. Saward (2008, p.298) moves beyond this institutional view by offering ‘the representative claim’ – “seeing representation in terms of claims to be representative by a variety of political actors, rather than (as is normally the case) seeing it as an achieved, or potentially achievable, state of affairs as a result of election”. This means that being a political actor is not limited to the profession of being a politician. In principle, everybody can claim to represent the interests of someone or something. The mechanism through which political representation occurs is more broadly applicable than the democratic institutions that Rohrschneider and Thomassen (2020) propose. Saward (2008, p.203) suggests the following mechanism of the representative claim: “A maker of representations (M) puts forward a </w:t>
      </w:r>
      <w:r w:rsidRPr="00674DFD">
        <w:lastRenderedPageBreak/>
        <w:t xml:space="preserve">subject (S) which stands for an object (O) which is related to a referent (R) and is offered to an audience (A)”. Representative claims only work if there is an audience who acknowledges them. This reveals the dynamic nature of political representation. This thesis </w:t>
      </w:r>
      <w:r w:rsidR="0034530E">
        <w:t>uses</w:t>
      </w:r>
      <w:r w:rsidRPr="00674DFD">
        <w:t xml:space="preserve"> the definition of Saward (2008) applied in the parliamentary process. Saward’s (2008) definition will be used as it takes a broad view on representation whereby different aspects are taken into account. The focus is on the parliamentary arena since this reveals the core of political representation (Wängnerud, 2009). This results in a study to the claims politicians make in Parliament. </w:t>
      </w:r>
    </w:p>
    <w:p w14:paraId="238553CF" w14:textId="426C39D5" w:rsidR="00A21B9A" w:rsidRDefault="00A21B9A" w:rsidP="008158E1">
      <w:pPr>
        <w:pStyle w:val="Geenafstand"/>
        <w:spacing w:line="360" w:lineRule="auto"/>
        <w:jc w:val="both"/>
      </w:pPr>
      <w:r w:rsidRPr="00674DFD">
        <w:tab/>
        <w:t xml:space="preserve"> Rohrschneider and Thomassen (2020) state that political representation only works well if there is variation in the offered policies by political parties. Without sufficient variation, the congruence between the electorate and the party system will decline (Brandenburg and Johns, 2014). If this choice between policies does not offer all issues or directions of the population, people will be excluded from political representation. If, for example, people of colour do not see their interest represented in policies made by the political parties, their preferences are not represented in politics. They could start their own political party to get their preferences represented. However, often there are practical constraints that make this difficult, or even impossible, for the average citizen. For example, money for campaigning or a threshold value to enter parliament. If marginalised minorities face more difficulties entering </w:t>
      </w:r>
      <w:r w:rsidR="007B55FF">
        <w:t>pa</w:t>
      </w:r>
      <w:r w:rsidRPr="00674DFD">
        <w:t>rliament, representation</w:t>
      </w:r>
      <w:r w:rsidR="00043F60">
        <w:t xml:space="preserve"> </w:t>
      </w:r>
      <w:r w:rsidRPr="00674DFD">
        <w:t>might be biased. Th</w:t>
      </w:r>
      <w:r w:rsidR="00260EE2">
        <w:t>e</w:t>
      </w:r>
      <w:r w:rsidRPr="00674DFD">
        <w:t xml:space="preserve"> bias could be a consequence of certain people being more likely to be elected. Such as, people of majoritarian groups or those who already belong to political parties. But does a biased parliament lead to biased outcomes? Or, put more clearly; if one group, for example people of colour, are underrepresented in terms of visual characteristics, in this case skin colour, does this result in a lesser or absence of representation of the preferences of people of colour in policies? Or, can a person from a majoritarian group represent just as well the preferences or interests of people of colour? This example illustrates the importance of the different interpretations of the concept of 'representation'. In the first case it is about representation where one could claim to represent a group, in this example people of colour, by virtue of being descriptively similar (Saward, 2008). While in the second case it is about the substance of the representation itself. Pitkin (1967) distinguishes those two forms of political representation; representation in the sense of ‘standing for’ and ‘acting for’. As previously explained in chapter 1, the first is mostly referred to as descriptive representation whereas the second is often referred to as substantive representation’ (Pitkin 1967). In the next sections, the different forms of representation will be further explained. </w:t>
      </w:r>
    </w:p>
    <w:p w14:paraId="382CB29C" w14:textId="77777777" w:rsidR="00D84FFF" w:rsidRDefault="00D84FFF" w:rsidP="008158E1">
      <w:pPr>
        <w:pStyle w:val="Geenafstand"/>
        <w:spacing w:line="360" w:lineRule="auto"/>
        <w:jc w:val="both"/>
      </w:pPr>
      <w:bookmarkStart w:id="22" w:name="_Toc74237365"/>
      <w:bookmarkStart w:id="23" w:name="_Toc74583783"/>
    </w:p>
    <w:p w14:paraId="4CECED76" w14:textId="01085836" w:rsidR="00A21B9A" w:rsidRPr="00412F50" w:rsidRDefault="00A21B9A" w:rsidP="00A02D66">
      <w:pPr>
        <w:pStyle w:val="Kop2"/>
        <w:rPr>
          <w:lang w:val="en-GB"/>
        </w:rPr>
      </w:pPr>
      <w:bookmarkStart w:id="24" w:name="_Toc75384053"/>
      <w:r w:rsidRPr="00412F50">
        <w:rPr>
          <w:lang w:val="en-GB"/>
        </w:rPr>
        <w:t>2.2 Descriptive representation</w:t>
      </w:r>
      <w:bookmarkEnd w:id="22"/>
      <w:bookmarkEnd w:id="23"/>
      <w:bookmarkEnd w:id="24"/>
    </w:p>
    <w:p w14:paraId="385EA9B9" w14:textId="381923F5" w:rsidR="00A21B9A" w:rsidRPr="00674DFD" w:rsidRDefault="00A21B9A" w:rsidP="00A02D66">
      <w:pPr>
        <w:pStyle w:val="Geenafstand"/>
        <w:spacing w:line="360" w:lineRule="auto"/>
        <w:ind w:firstLine="708"/>
        <w:jc w:val="both"/>
      </w:pPr>
      <w:r w:rsidRPr="00674DFD">
        <w:t xml:space="preserve">The concept of descriptive representation is widely used. But there are different ways of describing the same phenomenon. Besides the ‘standing for’ naming of Pitkin (1967), ‘politics of </w:t>
      </w:r>
      <w:r w:rsidRPr="00674DFD">
        <w:lastRenderedPageBreak/>
        <w:t>presence’ and ‘politics of ideas’ (Phillips, 1995), ‘self-representation’ (Williams, 1998) and ‘politics of difference’ (Young, 1990, 2002) are commonly used concepts. To avoid confusion the concept ‘descriptive representation’ will be used in this thesis. Descriptive representation means that a representative is similar in appearance to his or her constituency. However, it goes beyond only visible characteristics such as skin colour or gender. Shared experiences are just as much part of it (Mansbridge, 1999). For example, in Aotearoa New Zealand, a Māori representative could claim to represent Māori people by simply being a Māori.</w:t>
      </w:r>
    </w:p>
    <w:p w14:paraId="46235C27" w14:textId="051A14EF" w:rsidR="00664368" w:rsidRDefault="00A21B9A" w:rsidP="008231F7">
      <w:pPr>
        <w:pStyle w:val="Geenafstand"/>
        <w:spacing w:line="360" w:lineRule="auto"/>
        <w:ind w:firstLine="708"/>
        <w:jc w:val="both"/>
      </w:pPr>
      <w:r w:rsidRPr="00674DFD">
        <w:t xml:space="preserve">Authors such as Oleh Protsyk (2010), claim that everyone </w:t>
      </w:r>
      <w:r w:rsidR="00621058" w:rsidRPr="00674DFD">
        <w:t>must</w:t>
      </w:r>
      <w:r w:rsidRPr="00674DFD">
        <w:t xml:space="preserve"> be represented in parliament. Protsyk (2010) wrote a rapport on behalf of the IPU (Inter-Parliamentary Union) and UNDP (United Nations Development Programme) where he emphasizes the importance of parliamentary representation of minorities and indigenous peoples. Protsyk (2010) claims that this improves not only the political participation of those groups, but benefits societies as a whole by, among other things, strengthening democracy and preventing conflict. Other authors like Phillips (2019) reveal that theorists who write about descriptive representation do so in reaction to the homogeneity of those in positions of power. The basic ground of descriptive representation theorists is that everybody needs to be represented in politics. Although, at least a minimal form of descriptive representation is quite well accepted in liberal democracies today (Childs and Cowley, 2011), arguments against descriptive representation are far from gone (Phillips, 2019). </w:t>
      </w:r>
    </w:p>
    <w:p w14:paraId="17C22284" w14:textId="0897E470" w:rsidR="00664368" w:rsidRDefault="00A21B9A" w:rsidP="008231F7">
      <w:pPr>
        <w:pStyle w:val="Geenafstand"/>
        <w:spacing w:line="360" w:lineRule="auto"/>
        <w:ind w:firstLine="708"/>
        <w:jc w:val="both"/>
      </w:pPr>
      <w:r w:rsidRPr="00674DFD">
        <w:t xml:space="preserve">Pitkin (1967) herself brings in a crucial argument that questions the utility of descriptive representation. Where theorists in favour of descriptive representation argue that it increases the legitimacy of policy since a diverse group of decision makers mirrors the electorate (Snagovsky et al., 2020), Pitkin argues that it is exactly this that is not obviously connected to descriptive representation. Indeed, representatives can look like their electorate or share the same experiences as them, but this does not automatically lead to policy that reflects those characteristics. As Pitkin (1967, p.61) puts it: “Representing is not acting with authority, or acting before being held to account, or any kind of acting at all.” According to Pitkin (1967) descriptive representation is purely about resemblance, but not about acting. It is about ‘standing for’ and not ‘acting for’ (Pitkin, 1967). However, I argue that descriptive representation is important as it is also representation. </w:t>
      </w:r>
      <w:bookmarkStart w:id="25" w:name="_Hlk73348800"/>
    </w:p>
    <w:p w14:paraId="6A6DA7A0" w14:textId="77D86EA4" w:rsidR="008C798C" w:rsidRDefault="00A21B9A" w:rsidP="008231F7">
      <w:pPr>
        <w:pStyle w:val="Geenafstand"/>
        <w:spacing w:line="360" w:lineRule="auto"/>
        <w:ind w:firstLine="708"/>
        <w:jc w:val="both"/>
      </w:pPr>
      <w:r w:rsidRPr="00674DFD">
        <w:t>In Pitkin’s (1967) argument, descriptive representation seems to be a static act of simply being. Others argue</w:t>
      </w:r>
      <w:sdt>
        <w:sdtPr>
          <w:tag w:val="goog_rdk_4"/>
          <w:id w:val="-1287187677"/>
          <w:placeholder>
            <w:docPart w:val="140A03928F0D446986479F73D589B452"/>
          </w:placeholder>
        </w:sdtPr>
        <w:sdtEndPr/>
        <w:sdtContent/>
      </w:sdt>
      <w:r w:rsidRPr="00674DFD">
        <w:t>; this demonstrates a false and quite negative image of descriptive representation</w:t>
      </w:r>
      <w:r w:rsidR="006A23C2">
        <w:t xml:space="preserve"> </w:t>
      </w:r>
      <w:r w:rsidR="006A23C2" w:rsidRPr="00674DFD">
        <w:t>(Phillips, 2019; Mansbridge, 1999; Williams, 2018; Snagovsky et al., 2020)</w:t>
      </w:r>
      <w:r w:rsidRPr="00674DFD">
        <w:t>. Phillips (2019) explains that experiences determine the way in which political issues are understood. Thus, descriptive representation consists not simply of being there, but also of understanding what problems descriptively similar people face.</w:t>
      </w:r>
      <w:bookmarkEnd w:id="25"/>
      <w:r w:rsidRPr="00674DFD">
        <w:t xml:space="preserve"> </w:t>
      </w:r>
      <w:r w:rsidRPr="00674DFD">
        <w:rPr>
          <w:rFonts w:eastAsia="Arial"/>
          <w:color w:val="000000"/>
        </w:rPr>
        <w:t xml:space="preserve">Now that I have explained descriptive representation, I will continue </w:t>
      </w:r>
      <w:r w:rsidRPr="00674DFD">
        <w:rPr>
          <w:rFonts w:eastAsia="Arial"/>
          <w:color w:val="000000"/>
        </w:rPr>
        <w:lastRenderedPageBreak/>
        <w:t xml:space="preserve">to present another type of representation; substantive representation, </w:t>
      </w:r>
      <w:r w:rsidRPr="00674DFD">
        <w:t xml:space="preserve">or, as Pitkin (1967) puts it; ‘acting for’. </w:t>
      </w:r>
    </w:p>
    <w:p w14:paraId="1A725451" w14:textId="77777777" w:rsidR="00D84FFF" w:rsidRPr="008C798C" w:rsidRDefault="00D84FFF" w:rsidP="008158E1">
      <w:pPr>
        <w:pStyle w:val="Geenafstand"/>
        <w:spacing w:line="360" w:lineRule="auto"/>
        <w:jc w:val="both"/>
        <w:rPr>
          <w:rFonts w:eastAsiaTheme="minorHAnsi"/>
        </w:rPr>
      </w:pPr>
    </w:p>
    <w:p w14:paraId="2C7C8C90" w14:textId="77777777" w:rsidR="00A21B9A" w:rsidRPr="00412F50" w:rsidRDefault="00A21B9A" w:rsidP="008231F7">
      <w:pPr>
        <w:pStyle w:val="Kop2"/>
        <w:rPr>
          <w:lang w:val="en-GB"/>
        </w:rPr>
      </w:pPr>
      <w:bookmarkStart w:id="26" w:name="_Toc74237366"/>
      <w:bookmarkStart w:id="27" w:name="_Toc74583784"/>
      <w:bookmarkStart w:id="28" w:name="_Toc75384054"/>
      <w:r w:rsidRPr="00412F50">
        <w:rPr>
          <w:lang w:val="en-GB"/>
        </w:rPr>
        <w:t>2.3 Substantive representation</w:t>
      </w:r>
      <w:bookmarkEnd w:id="26"/>
      <w:bookmarkEnd w:id="27"/>
      <w:bookmarkEnd w:id="28"/>
    </w:p>
    <w:p w14:paraId="41293373" w14:textId="454FCF60" w:rsidR="00A21B9A" w:rsidRPr="00674DFD" w:rsidRDefault="00A21B9A" w:rsidP="008158E1">
      <w:pPr>
        <w:pStyle w:val="Geenafstand"/>
        <w:spacing w:line="360" w:lineRule="auto"/>
        <w:jc w:val="both"/>
      </w:pPr>
      <w:r w:rsidRPr="00674DFD">
        <w:tab/>
        <w:t xml:space="preserve">According to Pitkin (1967) representation as ‘standing for’ misses an essential part of political representation, namely ‘acting for’. This is about the execution of representation for others. About the nature of the actions a representative takes; consisting of the substance or content during the acting itself (Pitkin, 1967). Pitkin (1967) argues that this is known as ‘substantive representation’. Only this view of representation </w:t>
      </w:r>
      <w:r w:rsidR="0016741E" w:rsidRPr="00674DFD">
        <w:t>can</w:t>
      </w:r>
      <w:r w:rsidRPr="00674DFD">
        <w:t xml:space="preserve"> cover the obligations of representatives, because only this view reveals the action taken by representatives. Just being present, is not the pith of the matter in substantive representation. It is about the </w:t>
      </w:r>
      <w:r w:rsidRPr="00674DFD">
        <w:rPr>
          <w:i/>
          <w:iCs/>
        </w:rPr>
        <w:t>actions</w:t>
      </w:r>
      <w:r w:rsidRPr="00674DFD">
        <w:t xml:space="preserve"> you execute as representative, and one can only be properly judged on that ground (Pitkin, 1967). It is about representing interests rather than representing symbolically. </w:t>
      </w:r>
    </w:p>
    <w:p w14:paraId="64A79306" w14:textId="5A083BDC" w:rsidR="00A21B9A" w:rsidRPr="00674DFD" w:rsidRDefault="00A21B9A" w:rsidP="008158E1">
      <w:pPr>
        <w:pStyle w:val="Geenafstand"/>
        <w:spacing w:line="360" w:lineRule="auto"/>
        <w:jc w:val="both"/>
      </w:pPr>
      <w:r w:rsidRPr="00674DFD">
        <w:tab/>
      </w:r>
      <w:bookmarkStart w:id="29" w:name="_Hlk73092664"/>
      <w:r w:rsidRPr="00674DFD">
        <w:t xml:space="preserve">Although the definition of Pitkin’s (1967) notion of substantive representation is widely used, a lot of critique has come to the rigid divide of the different concepts. Recent scholars argue for a broader view on political representation (Mackay, 2008; Severs, 2012; Saward, 2006, Schwindt-Bayer and Mishler, 2005). The claims that political representatives make are context dependent. According to Saward (2012, p.297) the theory of political representation requires “a shift in frame of reference”. The different concepts cannot be seen separately due to their dynamic relationship. </w:t>
      </w:r>
      <w:bookmarkEnd w:id="29"/>
      <w:r w:rsidRPr="00674DFD">
        <w:t xml:space="preserve">Therefore, Mackay (2008) pleads for a thick conceptualization of substantive representation. A good study of political representation should not be limited to a fixed substance beforehand, but should take the contested nature of substantive representation into account. Saward (2006), Severs (2012) and Schwindt-Bayer and Mishler (2005) also emphasize the relational aspects of political representation. Therefore, the study of substantive representation requires an open-ended approach. This open-ended approach should take the interpretation of the parliamentary context into account. Besides, the study should not solely focus on descriptive and substantive representation, but should also look at symbolic forms of representation. The following section will start with an explanation of symbolic representation based on Pitkin (1967) continued by placing it into the wider debate of political representation shortly demonstrated in this paragraph. </w:t>
      </w:r>
    </w:p>
    <w:p w14:paraId="50050D77" w14:textId="77777777" w:rsidR="008231F7" w:rsidRDefault="008231F7" w:rsidP="008158E1">
      <w:pPr>
        <w:pStyle w:val="Geenafstand"/>
        <w:spacing w:line="360" w:lineRule="auto"/>
        <w:jc w:val="both"/>
      </w:pPr>
      <w:bookmarkStart w:id="30" w:name="_Toc74237367"/>
      <w:bookmarkStart w:id="31" w:name="_Toc74583785"/>
    </w:p>
    <w:p w14:paraId="0BC03BA1" w14:textId="1C53A59C" w:rsidR="00A21B9A" w:rsidRPr="00412F50" w:rsidRDefault="00A21B9A" w:rsidP="008231F7">
      <w:pPr>
        <w:pStyle w:val="Kop2"/>
        <w:rPr>
          <w:lang w:val="en-GB"/>
        </w:rPr>
      </w:pPr>
      <w:bookmarkStart w:id="32" w:name="_Toc75384055"/>
      <w:r w:rsidRPr="00412F50">
        <w:rPr>
          <w:lang w:val="en-GB"/>
        </w:rPr>
        <w:t>2.4 Symbolic representation</w:t>
      </w:r>
      <w:bookmarkEnd w:id="30"/>
      <w:bookmarkEnd w:id="31"/>
      <w:bookmarkEnd w:id="32"/>
      <w:r w:rsidRPr="00412F50">
        <w:rPr>
          <w:lang w:val="en-GB"/>
        </w:rPr>
        <w:t xml:space="preserve"> </w:t>
      </w:r>
    </w:p>
    <w:p w14:paraId="68BC38EC" w14:textId="33503E2B" w:rsidR="00A21B9A" w:rsidRPr="00674DFD" w:rsidRDefault="00A21B9A" w:rsidP="008158E1">
      <w:pPr>
        <w:pStyle w:val="Geenafstand"/>
        <w:spacing w:line="360" w:lineRule="auto"/>
        <w:jc w:val="both"/>
      </w:pPr>
      <w:r w:rsidRPr="00674DFD">
        <w:tab/>
      </w:r>
      <w:sdt>
        <w:sdtPr>
          <w:tag w:val="goog_rdk_6"/>
          <w:id w:val="-605887646"/>
          <w:placeholder>
            <w:docPart w:val="140A03928F0D446986479F73D589B452"/>
          </w:placeholder>
        </w:sdtPr>
        <w:sdtEndPr/>
        <w:sdtContent/>
      </w:sdt>
      <w:r w:rsidRPr="00674DFD">
        <w:t xml:space="preserve">In addition to descriptive and substantive representation, Pitkin (1967) offers </w:t>
      </w:r>
      <w:r w:rsidR="00AC4E8E">
        <w:t>symbolic representation as oth</w:t>
      </w:r>
      <w:r w:rsidRPr="00674DFD">
        <w:t>er form</w:t>
      </w:r>
      <w:r w:rsidR="00AC4E8E">
        <w:t xml:space="preserve"> </w:t>
      </w:r>
      <w:r w:rsidRPr="00674DFD">
        <w:t>of political representation</w:t>
      </w:r>
      <w:r w:rsidR="00731F72">
        <w:t>.</w:t>
      </w:r>
      <w:r w:rsidRPr="00674DFD">
        <w:t xml:space="preserve"> According to various authors, the different forms of representation that Pitkin (1967) sets apart are much more interconnected than often assumed</w:t>
      </w:r>
      <w:r w:rsidR="006635C8">
        <w:t xml:space="preserve"> </w:t>
      </w:r>
      <w:r w:rsidR="006635C8" w:rsidRPr="00674DFD">
        <w:t>(Mackay, 2008; Severs, 2012; Saward, 2006, Schwindt-Bayer and Mishler, 2005)</w:t>
      </w:r>
      <w:r w:rsidRPr="00674DFD">
        <w:t xml:space="preserve">. Pitkin (1967) </w:t>
      </w:r>
      <w:r w:rsidRPr="00674DFD">
        <w:lastRenderedPageBreak/>
        <w:t xml:space="preserve">explains the notion of symbolic representation with the example of a flag standing symbol for a nation. Under the right circumstances politicians can, just like the flag, stand for a nation. </w:t>
      </w:r>
      <w:r w:rsidR="00621058" w:rsidRPr="00674DFD">
        <w:t>Like</w:t>
      </w:r>
      <w:r w:rsidRPr="00674DFD">
        <w:t xml:space="preserve"> descriptive representation, Pitkin (1967) sees this kind of representation as ‘standing for’, not as ‘acting for’. Saward (2006) criticizes this interpretation of Pitkin for the same reason Phillips (2019) does on the notion of descriptive representation. Namely, the assumption of ‘standing for’ as a seemingly non-active state of being. The word ‘symbolic’ unfairly feigns a passive state of representation. However, it appears to be a lot more substantively connected. As Kurebwa (2015) and Schwindt-Bayer and Mishler (2005) state, the different forms of political representation formulated by Pitkin (1967) cannot be handled separately because the</w:t>
      </w:r>
      <w:r w:rsidR="0016741E">
        <w:t>re</w:t>
      </w:r>
      <w:r w:rsidRPr="00674DFD">
        <w:t xml:space="preserve"> is a strong causal connection. Most empirical research treats the concepts as separate. Therefore, this creates an incomplete picture of political representation (Schwindt-Bayer and Mishler, 2005). </w:t>
      </w:r>
    </w:p>
    <w:p w14:paraId="17E0A0BC" w14:textId="1356C312" w:rsidR="00A21B9A" w:rsidRPr="00674DFD" w:rsidRDefault="00A21B9A" w:rsidP="008158E1">
      <w:pPr>
        <w:pStyle w:val="Geenafstand"/>
        <w:spacing w:line="360" w:lineRule="auto"/>
        <w:jc w:val="both"/>
      </w:pPr>
      <w:r w:rsidRPr="00674DFD">
        <w:tab/>
        <w:t xml:space="preserve">Since the work of Saward (2006), symbolic representation is seen as more than “standing for”. Saward (2006) calls for a shift of reference. Therefore, we should no longer decompose different forms of representation, but we </w:t>
      </w:r>
      <w:r w:rsidR="00621058" w:rsidRPr="00674DFD">
        <w:t>must</w:t>
      </w:r>
      <w:r w:rsidRPr="00674DFD">
        <w:t xml:space="preserve"> explore what is going on in representation in a broader sense. To do so, Saward (2006) offers the mechanism of ‘the representative claim’. Representation arises in the making of claims.  Saward (2006, p. 301) states “More specifically, political figures (or political parties or other groups, for example) make representations of their constituencies, their countries, themselves. Crucially, these representations are an unavoidable part of a ‘substantive acting for’, and any theory of political representation must take them on board.” </w:t>
      </w:r>
    </w:p>
    <w:p w14:paraId="1F830E76" w14:textId="5828C5D8" w:rsidR="00A21B9A" w:rsidRPr="00674DFD" w:rsidRDefault="00A21B9A" w:rsidP="008158E1">
      <w:pPr>
        <w:pStyle w:val="Geenafstand"/>
        <w:spacing w:line="360" w:lineRule="auto"/>
        <w:jc w:val="both"/>
      </w:pPr>
      <w:r w:rsidRPr="00674DFD">
        <w:tab/>
        <w:t xml:space="preserve"> Saward (2006) is not the only one who argues for the incorporation of symbolic representation into substantive representation. Mackay (2008) sets out a framework to study the quality of substantive representation for women. This consists of two components</w:t>
      </w:r>
      <w:r w:rsidR="0016741E">
        <w:t>:</w:t>
      </w:r>
      <w:r w:rsidRPr="00674DFD">
        <w:t xml:space="preserve"> recognition and redistribution. Where Pitkin’s (1967) notion of substantive representation focuses on the second, the first is also crucial to look out for. Recognition is linked to the symbolic part of substantive representation (Mackay, 2008). It is about the degree to which politicians or democratic institutions recognise the, in this case, indigenous peoples of a country. In addition to the redistributive part, where the emphasis is on the economic and social rights, this creates a thick conception of substantive representation (Mackay, 2008). Severs (2012) elaborates further on the representative claim from Saward (2006). To make the claim substantive, it is essential that it covers more than simply claiming to represent someone; a reference </w:t>
      </w:r>
      <w:r w:rsidR="002538BF">
        <w:t>to an activity must be made.</w:t>
      </w:r>
    </w:p>
    <w:p w14:paraId="50536987" w14:textId="411D995C" w:rsidR="00BF7C47" w:rsidRDefault="00A21B9A" w:rsidP="008231F7">
      <w:pPr>
        <w:pStyle w:val="Geenafstand"/>
        <w:spacing w:line="360" w:lineRule="auto"/>
        <w:ind w:firstLine="708"/>
        <w:jc w:val="both"/>
      </w:pPr>
      <w:r w:rsidRPr="00674DFD">
        <w:t xml:space="preserve">The question remains whether such claims are more often made by descriptively similar politicians. Phillips (1995) suggests that such a link is present in the case of women in her book </w:t>
      </w:r>
      <w:r w:rsidR="004A75B7">
        <w:t>“</w:t>
      </w:r>
      <w:r w:rsidRPr="00674DFD">
        <w:rPr>
          <w:i/>
          <w:iCs/>
        </w:rPr>
        <w:t>The Politics of Presence</w:t>
      </w:r>
      <w:r w:rsidR="004A75B7">
        <w:rPr>
          <w:i/>
          <w:iCs/>
        </w:rPr>
        <w:t>”</w:t>
      </w:r>
      <w:r w:rsidRPr="00674DFD">
        <w:rPr>
          <w:i/>
          <w:iCs/>
        </w:rPr>
        <w:t xml:space="preserve">. </w:t>
      </w:r>
      <w:r w:rsidRPr="00674DFD">
        <w:t xml:space="preserve">Just like Mansbridge (1999), the argument is based on the differences between men and women. Mansbridge (1999) states that women should be better able to represent women as a result of experiencing similar issues, such as raising children, sexual harassment and divisions of </w:t>
      </w:r>
      <w:r w:rsidRPr="00674DFD">
        <w:lastRenderedPageBreak/>
        <w:t>(un)paid labour. If we would carry over this argument to indigenous peoples, this would mean that indigenous people are best represented by people of their own group because they have the same experiences and understand the issues they face. This link between descriptive and substantive representation will be further explained in the next section.</w:t>
      </w:r>
    </w:p>
    <w:p w14:paraId="27913B8F" w14:textId="77777777" w:rsidR="00BF7C47" w:rsidRPr="00674DFD" w:rsidRDefault="00BF7C47" w:rsidP="008158E1">
      <w:pPr>
        <w:pStyle w:val="Geenafstand"/>
        <w:spacing w:line="360" w:lineRule="auto"/>
        <w:jc w:val="both"/>
      </w:pPr>
    </w:p>
    <w:p w14:paraId="6B279FE7" w14:textId="77777777" w:rsidR="00A21B9A" w:rsidRPr="00412F50" w:rsidRDefault="00A21B9A" w:rsidP="008231F7">
      <w:pPr>
        <w:pStyle w:val="Kop2"/>
        <w:rPr>
          <w:lang w:val="en-GB"/>
        </w:rPr>
      </w:pPr>
      <w:bookmarkStart w:id="33" w:name="_Toc74237368"/>
      <w:bookmarkStart w:id="34" w:name="_Toc74583786"/>
      <w:bookmarkStart w:id="35" w:name="_Toc75384056"/>
      <w:r w:rsidRPr="00412F50">
        <w:rPr>
          <w:lang w:val="en-GB"/>
        </w:rPr>
        <w:t>2.5 Bringing the two together</w:t>
      </w:r>
      <w:bookmarkEnd w:id="33"/>
      <w:bookmarkEnd w:id="34"/>
      <w:bookmarkEnd w:id="35"/>
    </w:p>
    <w:p w14:paraId="6A2E5236" w14:textId="1B21D166" w:rsidR="00A21B9A" w:rsidRPr="00674DFD" w:rsidRDefault="00A21B9A" w:rsidP="008158E1">
      <w:pPr>
        <w:pStyle w:val="Geenafstand"/>
        <w:spacing w:line="360" w:lineRule="auto"/>
        <w:jc w:val="both"/>
      </w:pPr>
      <w:r w:rsidRPr="00674DFD">
        <w:tab/>
        <w:t xml:space="preserve">Pitkin (1967) makes a clear distinction between </w:t>
      </w:r>
      <w:r w:rsidR="00233C39">
        <w:t>descriptive</w:t>
      </w:r>
      <w:r w:rsidRPr="00674DFD">
        <w:t xml:space="preserve"> and </w:t>
      </w:r>
      <w:r w:rsidR="00233C39">
        <w:t>substantive</w:t>
      </w:r>
      <w:r w:rsidRPr="00674DFD">
        <w:t xml:space="preserve"> representation. The only thing that they have in common are that they are both about political representation, but the interpretation they provide is totally different (Pitkin 1967). If we follow Pitkin's (1967) line of thinking, the core of political representation consists of substantive representation. The question that comes to mind is: “Does descriptive representation enhance substantive representation?” Phillips (2019) thinks so</w:t>
      </w:r>
      <w:r w:rsidR="0016741E">
        <w:t>,</w:t>
      </w:r>
      <w:r w:rsidRPr="00674DFD">
        <w:t xml:space="preserve"> and points out an important critique in framing the two, ‘standing for’ and ‘acting for’, as exclusive concepts. This is misleading because representatives are never just standing there and doing nothing, they are always doing something (Phillips, 2019). Representatives always have to act; they are always busy discussing or making policies. As Phillips (2019) formulates: “It is precisely because representatives must act that the knowledge they draw on from their social experiences become relevant to their political decisions.” This has important consequences. If indeed, as suggested by Phillips (2019), representatives draw from their own </w:t>
      </w:r>
      <w:r w:rsidR="00DD13FD">
        <w:t>experiences</w:t>
      </w:r>
      <w:r w:rsidRPr="00674DFD">
        <w:t xml:space="preserve">, it does matter how well the representatives mirror the electorate in descriptive characteristics and shared experiences. In the case of Aotearoa New Zealand, that would mean that </w:t>
      </w:r>
      <w:bookmarkStart w:id="36" w:name="_Hlk73349674"/>
      <w:r w:rsidRPr="00674DFD">
        <w:t xml:space="preserve">Māori people are best represented by a Māori representative because that person understands what policy is in their interests. </w:t>
      </w:r>
      <w:bookmarkEnd w:id="36"/>
    </w:p>
    <w:p w14:paraId="0E14C4C0" w14:textId="77777777" w:rsidR="00A21B9A" w:rsidRPr="00674DFD" w:rsidRDefault="00A21B9A" w:rsidP="008158E1">
      <w:pPr>
        <w:pStyle w:val="Geenafstand"/>
        <w:spacing w:line="360" w:lineRule="auto"/>
        <w:jc w:val="both"/>
      </w:pPr>
      <w:r w:rsidRPr="00674DFD">
        <w:tab/>
        <w:t xml:space="preserve">In a broader sense, this is exactly what Mansbridge (1999) argues. According to her, descriptive representation is the best way of providing substantive representation. Mansbridge’s (1999) argument is twofold. In the first place, descriptive representation enhances substantive representation in providing adequate communication in contexts of mistrust. These contexts arise when groups become marginalized due to a history of suppression. The suppression of one group creates a dominant, often even arrogant group, standing opposite a subordinate group that has lost its faith in the dominant group. This creates a gap between them. Consequently, communication and deliberation between the two is difficult to accomplish. Mansbridge (1999, p.643) argues: “The deeper the communicative chasm between a dominant and a subordinate group, the more descriptive representation is needed to bridge that chasm.” Thus, in theory, descriptive representation should enhance substantive representation. </w:t>
      </w:r>
    </w:p>
    <w:p w14:paraId="4DCCB924" w14:textId="45280900" w:rsidR="00A21B9A" w:rsidRPr="00674DFD" w:rsidRDefault="00A21B9A" w:rsidP="008158E1">
      <w:pPr>
        <w:pStyle w:val="Geenafstand"/>
        <w:spacing w:line="360" w:lineRule="auto"/>
        <w:jc w:val="both"/>
      </w:pPr>
      <w:r w:rsidRPr="00674DFD">
        <w:tab/>
        <w:t>The second argument in which Mansbridge (1999) states the need of descriptive representation is</w:t>
      </w:r>
      <w:r w:rsidR="0079658A">
        <w:t xml:space="preserve"> in</w:t>
      </w:r>
      <w:r w:rsidRPr="00674DFD">
        <w:t xml:space="preserve"> the situation of ‘uncrystallised interests’.  These are situations where, for example, the representative does not have the opportunity to take a position on a certain topic, because that topic has not yet reached the political agenda. A</w:t>
      </w:r>
      <w:r w:rsidR="007F3C97">
        <w:t xml:space="preserve">n </w:t>
      </w:r>
      <w:r w:rsidRPr="00674DFD">
        <w:t xml:space="preserve">example is the Covid-19 crisis. With the outbreak of </w:t>
      </w:r>
      <w:r w:rsidRPr="00674DFD">
        <w:lastRenderedPageBreak/>
        <w:t>Covid-19, citizens, but especially political representatives, started to deepen their knowledge on the topic. Unless, at that moment, there is an election, citizens do not know how the representatives they voted into parliament are going to handle the Covid-19 crisis. In that case, Mansbridge (1999) argues, it might be beneficial for citizens to have descriptive representatives in parliament. For example, people from their own ethnicity, class</w:t>
      </w:r>
      <w:r w:rsidR="00277F82">
        <w:t>,</w:t>
      </w:r>
      <w:r w:rsidRPr="00674DFD">
        <w:t xml:space="preserve"> or gender. This is in their substantive interests because representatives will likely react similarly as the voters, based on descriptive likeness. Citizens may get their best substantive representation from a descriptive representative (Mansbridge, 1999). </w:t>
      </w:r>
    </w:p>
    <w:p w14:paraId="41E7672E" w14:textId="16DB81F5" w:rsidR="00A21B9A" w:rsidRPr="00674DFD" w:rsidRDefault="00A21B9A" w:rsidP="008158E1">
      <w:pPr>
        <w:pStyle w:val="Geenafstand"/>
        <w:spacing w:line="360" w:lineRule="auto"/>
        <w:jc w:val="both"/>
      </w:pPr>
      <w:r w:rsidRPr="00674DFD">
        <w:tab/>
        <w:t xml:space="preserve">Griffiths and Wollheim (1960, p.190) can be seen as pioneers in questioning the utility of descriptive representation in establishing substantive representation. They made a statement to the debate that could be considered to be quite controversial: “We would not want to complain that the large class of stupid or maleficent people have too few representatives in Parliament: rather the contrary.” Nevertheless, they reveal a key question; which groups </w:t>
      </w:r>
      <w:r w:rsidR="00621058" w:rsidRPr="00674DFD">
        <w:t>need</w:t>
      </w:r>
      <w:r w:rsidRPr="00674DFD">
        <w:t xml:space="preserve"> descriptive representation to become better represented substantively? Williams (2018, p.176) sets two criteria to answer this question. The first assumes people who currently experience inequality. The second contains people who face a history of oppression and discrimination. In the following section the problem of ‘essentialism’ that arises when requiring representation of groups will be explained. </w:t>
      </w:r>
    </w:p>
    <w:p w14:paraId="44748F93" w14:textId="77777777" w:rsidR="008231F7" w:rsidRDefault="008231F7" w:rsidP="008158E1">
      <w:pPr>
        <w:pStyle w:val="Geenafstand"/>
        <w:spacing w:line="360" w:lineRule="auto"/>
        <w:jc w:val="both"/>
      </w:pPr>
      <w:bookmarkStart w:id="37" w:name="_Toc74583787"/>
      <w:bookmarkStart w:id="38" w:name="_Toc74237369"/>
    </w:p>
    <w:p w14:paraId="656E2607" w14:textId="6CE2661E" w:rsidR="00A21B9A" w:rsidRPr="00412F50" w:rsidRDefault="00A21B9A" w:rsidP="008231F7">
      <w:pPr>
        <w:pStyle w:val="Kop2"/>
        <w:rPr>
          <w:lang w:val="en-GB"/>
        </w:rPr>
      </w:pPr>
      <w:bookmarkStart w:id="39" w:name="_Toc75384057"/>
      <w:r w:rsidRPr="00412F50">
        <w:rPr>
          <w:lang w:val="en-GB"/>
        </w:rPr>
        <w:t>2.6 Essentialism</w:t>
      </w:r>
      <w:bookmarkEnd w:id="37"/>
      <w:bookmarkEnd w:id="39"/>
      <w:r w:rsidRPr="00412F50">
        <w:rPr>
          <w:lang w:val="en-GB"/>
        </w:rPr>
        <w:t xml:space="preserve"> </w:t>
      </w:r>
      <w:bookmarkEnd w:id="38"/>
    </w:p>
    <w:p w14:paraId="4DB5BDF9" w14:textId="4FD693A2" w:rsidR="00A21B9A" w:rsidRPr="00674DFD" w:rsidRDefault="00A21B9A" w:rsidP="008158E1">
      <w:pPr>
        <w:pStyle w:val="Geenafstand"/>
        <w:spacing w:line="360" w:lineRule="auto"/>
        <w:jc w:val="both"/>
      </w:pPr>
      <w:r w:rsidRPr="00674DFD">
        <w:tab/>
        <w:t>The expected link between descriptive and substantive representation implies some form of “essentialism”. Phillips (2019) explains this in the context of gender. Here, essentialism means that all women by the virtue of being women have the same interests and thus favour the same policies. Essentialism is highly criticized because there is no such thing as a</w:t>
      </w:r>
      <w:r w:rsidR="00F05BBE">
        <w:t>n</w:t>
      </w:r>
      <w:r w:rsidRPr="00674DFD">
        <w:t xml:space="preserve"> unified women’s interest (Phillips, 2019; Young, 1997) or an essential identity (Mansbridge, 1999). Groups are per definition heterogenous (Phillips, 2019). Certain groups are dominant, while others remain marginalized. We </w:t>
      </w:r>
      <w:r w:rsidR="00621058" w:rsidRPr="00674DFD">
        <w:t>must</w:t>
      </w:r>
      <w:r w:rsidRPr="00674DFD">
        <w:t xml:space="preserve"> challenge those structures to change the power positions of these different groups. Minority groups need special attention or special procedures to be properly represented (Young, 1997; Phillips, 2019; Mansbridge, 2005). The case of Aotearoa New Zealand provides an example of these challenging to the power structures. The previously underrepresented group of Māori people is via dedicated seats actively better represented in terms of descriptive characteristics. In this way, descriptive representation is implemented to overcome those power structures and thereby enhance the legitimation of policy. Nevertheless, the ongoing tension between demanding special treatment for a marginalized group while, at the same time, deferring that the particularly marginalized group has certain essential characteristics that form a common set of interests, remains. Mansbridge (1999) points out that tendencies towards essentialism are indeed the greatest cost of descriptive representation. She stipulates that we should be cautious with actively pursuing descriptive </w:t>
      </w:r>
      <w:r w:rsidRPr="00674DFD">
        <w:lastRenderedPageBreak/>
        <w:t xml:space="preserve">representation in the form of quota’s because this encourages essentialism (Mansbridge, 2005). In this way, essentialism could in some circumstances disrupt political representation. Interests and preferences of citizens are now clustered into groups and can be used strategically (Bell, 2014). While strategic essentialism tries to gain political benefits by claiming shared preferences (Bell, 2014), the process of political representation requires the preference formation of individual citizens (Rohrschneider and Thomassen, 2020). </w:t>
      </w:r>
    </w:p>
    <w:p w14:paraId="5045D4B8" w14:textId="16757512" w:rsidR="00A21B9A" w:rsidRDefault="00A21B9A" w:rsidP="008158E1">
      <w:pPr>
        <w:pStyle w:val="Geenafstand"/>
        <w:spacing w:line="360" w:lineRule="auto"/>
        <w:jc w:val="both"/>
        <w:rPr>
          <w:color w:val="000000"/>
        </w:rPr>
      </w:pPr>
      <w:r w:rsidRPr="00674DFD">
        <w:tab/>
        <w:t xml:space="preserve">Young (1997) clarifies the tension between descriptive representation and essentialism by making a distinction between interests and opinions in contrast to perspectives. Interests and opinions imply solutions or answers to certain problems; those could be qualified as good or bad or as (il)legitimate. While perspectives consist of assumptions and questions about concerns or experiences (Young, 1997). An experience cannot be judged in the same way as interests can. The representation of groups is about representing perspectives rather than interests of members of a group. Those perspectives are formed by their structured social position. Due to the social structures, certain perspectives are dominant while others remain unheard. Young (1997) refutes the problem of essentialism by stating that all social perspectives need to be </w:t>
      </w:r>
      <w:r w:rsidR="00621058" w:rsidRPr="00674DFD">
        <w:t>considered</w:t>
      </w:r>
      <w:r w:rsidRPr="00674DFD">
        <w:t xml:space="preserve"> to arrive at wise and fair decisions. This implies that descriptive representation matters and leads to better decisions, and thus enhances substantive representation. In the next paragraph empirical research about the link between descriptive and substantive representation will be discussed. </w:t>
      </w:r>
      <w:r w:rsidRPr="00674DFD">
        <w:rPr>
          <w:color w:val="000000"/>
        </w:rPr>
        <w:t xml:space="preserve"> </w:t>
      </w:r>
    </w:p>
    <w:p w14:paraId="3318E871" w14:textId="77777777" w:rsidR="00F05679" w:rsidRPr="00674DFD" w:rsidRDefault="00F05679" w:rsidP="008158E1">
      <w:pPr>
        <w:pStyle w:val="Geenafstand"/>
        <w:spacing w:line="360" w:lineRule="auto"/>
        <w:jc w:val="both"/>
      </w:pPr>
    </w:p>
    <w:p w14:paraId="72C867F3" w14:textId="0D48C7C5" w:rsidR="00F05679" w:rsidRPr="00412F50" w:rsidRDefault="00A21B9A" w:rsidP="00C07F0C">
      <w:pPr>
        <w:pStyle w:val="Kop2"/>
        <w:rPr>
          <w:lang w:val="en-GB"/>
        </w:rPr>
      </w:pPr>
      <w:bookmarkStart w:id="40" w:name="_Toc74237370"/>
      <w:bookmarkStart w:id="41" w:name="_Toc74583788"/>
      <w:bookmarkStart w:id="42" w:name="_Toc75384058"/>
      <w:r w:rsidRPr="00412F50">
        <w:rPr>
          <w:lang w:val="en-GB"/>
        </w:rPr>
        <w:t>2.7 Aotearoa New Zealand</w:t>
      </w:r>
      <w:bookmarkEnd w:id="40"/>
      <w:bookmarkEnd w:id="41"/>
      <w:bookmarkEnd w:id="42"/>
    </w:p>
    <w:p w14:paraId="3A946B78" w14:textId="77777777" w:rsidR="00A21B9A" w:rsidRPr="00674DFD" w:rsidRDefault="00A21B9A" w:rsidP="00C07F0C">
      <w:pPr>
        <w:pStyle w:val="Geenafstand"/>
        <w:spacing w:line="360" w:lineRule="auto"/>
        <w:ind w:firstLine="708"/>
        <w:jc w:val="both"/>
      </w:pPr>
      <w:r w:rsidRPr="00674DFD">
        <w:rPr>
          <w:color w:val="000000"/>
        </w:rPr>
        <w:t xml:space="preserve">Regarding the literature on </w:t>
      </w:r>
      <w:r w:rsidRPr="00674DFD">
        <w:t>Aotearoa</w:t>
      </w:r>
      <w:r w:rsidRPr="00674DFD">
        <w:rPr>
          <w:color w:val="000000"/>
        </w:rPr>
        <w:t xml:space="preserve"> New Zealand and other Westminster countries, there is mixed empirical evidence, but most works have mentioned that although the relationship remains weak, descriptive representation can enhance substantive representation. At least on gender </w:t>
      </w:r>
      <w:r w:rsidRPr="00674DFD">
        <w:t>(Wängnerud, 2009; Ruedin, 2020; Sawer, Tremblay and Trimble, 2006; Schwindt-Bayer and Mishler, 2005; Curtin, 2008)</w:t>
      </w:r>
      <w:r w:rsidRPr="00674DFD">
        <w:rPr>
          <w:color w:val="000000"/>
        </w:rPr>
        <w:t xml:space="preserve">. Mansbridge (2005, p.622) gives this conclusion more substance by stating </w:t>
      </w:r>
      <w:r w:rsidRPr="00674DFD">
        <w:t>the following: “As I write, descriptive representation by gender improves substantive outcomes for women in every polity for which we have a measure. And as I write, significant representation by gender cannot be achieved in any existing polity without some form of quota.”</w:t>
      </w:r>
    </w:p>
    <w:p w14:paraId="6AEBAFEF" w14:textId="37D9172F" w:rsidR="00A21B9A" w:rsidRPr="00674DFD" w:rsidRDefault="00A21B9A" w:rsidP="00C07F0C">
      <w:pPr>
        <w:pStyle w:val="Geenafstand"/>
        <w:spacing w:line="360" w:lineRule="auto"/>
        <w:ind w:firstLine="708"/>
        <w:jc w:val="both"/>
      </w:pPr>
      <w:r w:rsidRPr="00674DFD">
        <w:t xml:space="preserve">Sawer, Tremblay and Trimble (2006) </w:t>
      </w:r>
      <w:r w:rsidR="00CF2CC4">
        <w:t>did a comparative study,</w:t>
      </w:r>
      <w:r w:rsidRPr="00674DFD">
        <w:t xml:space="preserve"> </w:t>
      </w:r>
      <w:r w:rsidR="00CF2CC4" w:rsidRPr="00674DFD">
        <w:t>among four Westminster regimes</w:t>
      </w:r>
      <w:r w:rsidR="0072234D">
        <w:t>, including</w:t>
      </w:r>
      <w:r w:rsidR="00CF2CC4" w:rsidRPr="00674DFD">
        <w:t xml:space="preserve"> Aotearoa New Zealand</w:t>
      </w:r>
      <w:r w:rsidR="00CF2CC4">
        <w:t>, where they</w:t>
      </w:r>
      <w:r w:rsidRPr="00674DFD">
        <w:t xml:space="preserve"> f</w:t>
      </w:r>
      <w:r w:rsidR="00870F9E">
        <w:t>oun</w:t>
      </w:r>
      <w:r w:rsidRPr="00674DFD">
        <w:t>d a</w:t>
      </w:r>
      <w:r w:rsidR="009E1CAD">
        <w:t xml:space="preserve">n </w:t>
      </w:r>
      <w:r w:rsidR="0092096B">
        <w:t>ambiguous</w:t>
      </w:r>
      <w:r w:rsidRPr="00674DFD">
        <w:t xml:space="preserve"> link between descriptive and substantive representation</w:t>
      </w:r>
      <w:r w:rsidR="009E1CAD">
        <w:t>.</w:t>
      </w:r>
      <w:r w:rsidRPr="00674DFD">
        <w:t xml:space="preserve"> </w:t>
      </w:r>
      <w:r w:rsidR="00621058" w:rsidRPr="00674DFD">
        <w:t>Even though</w:t>
      </w:r>
      <w:r w:rsidRPr="00674DFD">
        <w:t xml:space="preserve"> women’s interests are not homogenous, without the presence of women in politics, their perspectives and experiences are unlikely to be heard and taken into account (Sawer, Tremblay and Trimble, 2006). They reveal important factors that determine the strength of the link. Those factors are: party discipline and the electoral system. In countries with a proportional system, like Aotearoa New Zealand, cooperation between women is more prevalent due </w:t>
      </w:r>
      <w:r w:rsidRPr="00674DFD">
        <w:lastRenderedPageBreak/>
        <w:t>to a tendency towards consensus. The strength of party discipline matters, because strong party ties make it difficult to act independently on behalf of women or cooperate across party lines</w:t>
      </w:r>
      <w:r w:rsidR="00555525">
        <w:t xml:space="preserve"> </w:t>
      </w:r>
      <w:r w:rsidR="00555525" w:rsidRPr="00674DFD">
        <w:t>(Sawer, Tremblay and Trimble, 2006)</w:t>
      </w:r>
      <w:r w:rsidRPr="00674DFD">
        <w:t xml:space="preserve">. Wängnerud (2009) discusses various studies that reveal a link between descriptive and substantive representation. Again, the link is not that strong. Wängnerud (2009) emphasizes that it leans towards a position where the presence of female politicians strengthens the interests of women. However, Schwindt-Bayer and Mishler (2005) caution against overestimating the link between descriptive and substantive representation. This is because most research investigates the specific forms of representation in isolation, but it is of crucial importance to </w:t>
      </w:r>
      <w:r w:rsidR="00621058" w:rsidRPr="00674DFD">
        <w:t>consider</w:t>
      </w:r>
      <w:r w:rsidRPr="00674DFD">
        <w:t xml:space="preserve"> all different forms of representation in order to establish a complete picture of political representation. As already noted, other authors (Saward, 2006; Mackay, 2008; Severs, 2012) also emphasize the importance of taking symbolic representation into account in the study of substantive representation. When incorporating all forms of political representation formulated by Pitkin (1967), Schwindt-Bayer and Mishler (2005) find a much lower effect of substantive representation of women than the theory predicts. However, they still find an effect (Schwindt-Bayer and Mishler, 2005). To conclude, although the overall evidence is not that strong, the two concepts seem to be connected.</w:t>
      </w:r>
    </w:p>
    <w:p w14:paraId="6EC95FC1" w14:textId="731961B2" w:rsidR="00A21B9A" w:rsidRPr="00674DFD" w:rsidRDefault="00A21B9A" w:rsidP="00C07F0C">
      <w:pPr>
        <w:pStyle w:val="Geenafstand"/>
        <w:spacing w:line="360" w:lineRule="auto"/>
        <w:ind w:firstLine="708"/>
        <w:jc w:val="both"/>
      </w:pPr>
      <w:r w:rsidRPr="00674DFD">
        <w:t>According to Curtin (2008) descriptive representation of women is a necessary, but not a sufficient, condition for the substantive representation of women’s interests. With her case study to Aotearoa New Zealand, Curtin (2008) argues for the importance of political activism and separate institutional spaces exclusive for women. A</w:t>
      </w:r>
      <w:r w:rsidRPr="00674DFD">
        <w:rPr>
          <w:color w:val="000000" w:themeColor="text1"/>
        </w:rPr>
        <w:t xml:space="preserve"> link between descriptive and substantive representation regarding gender can be expected to exist in </w:t>
      </w:r>
      <w:r w:rsidRPr="00674DFD">
        <w:t>Aotearoa</w:t>
      </w:r>
      <w:r w:rsidRPr="00674DFD">
        <w:rPr>
          <w:color w:val="000000" w:themeColor="text1"/>
        </w:rPr>
        <w:t xml:space="preserve"> New Zealand (Sawer, Tremblay and Trible, 2006; Schwindt-Bayer and Mishler, 2005; Curtin, 2008). But is the same argument applicable to the case of indigenous peoples? </w:t>
      </w:r>
      <w:r w:rsidRPr="00674DFD">
        <w:t xml:space="preserve">In the case of Aotearoa New Zealand, descriptive representation of indigenous peoples is far better established than other Western countries with indigenous populations. This is due to the electoral system (Maddison, 2010). Aotearoa New Zealand has a proportional system with dedicated seats for the indigenous population which makes the voice of Māori people better heard (Morris, 2014). Consequently, the recognition moves beyond the symbolic level, causing substantive representation of Māori people (Morris, 2014). It makes symbolic recognition practical and substantive in the sense that it gets fixed on a legal level. This should lead to a fairer treatment of indigenous peoples in constitutional terms (Morris, 2014). An important study to the political representation of indigenous people is done by White (2017). White (2017) researched the link between descriptive and substantive representation of Māori people in the Parliament of Aotearoa New Zealand, specifically directed to te ao Māori (the Māori worldview). Via a discourse analysis of maiden speeches White (2017, p. 191) states that the substantive representation of te ao Māori in Parliament </w:t>
      </w:r>
      <w:r w:rsidR="00F5106D">
        <w:t>will</w:t>
      </w:r>
      <w:r w:rsidRPr="00674DFD">
        <w:t xml:space="preserve"> be ensured via the presence of Māori electorates: “all those Māori MPs demonstrate a perspective that can be described as ‘te ao Māori’”. Meaning that descriptive representation is a sufficient condition for the </w:t>
      </w:r>
      <w:r w:rsidRPr="00674DFD">
        <w:lastRenderedPageBreak/>
        <w:t xml:space="preserve">substantive representation of Māori people. As mentioned before, the study of Curtin (2008), to the political representation of women, finds that descriptive representation is not a sufficient, but a necessary condition for substantive representation. </w:t>
      </w:r>
    </w:p>
    <w:p w14:paraId="12833ACC" w14:textId="00721835" w:rsidR="001011FE" w:rsidRDefault="00A21B9A" w:rsidP="008158E1">
      <w:pPr>
        <w:pStyle w:val="Geenafstand"/>
        <w:spacing w:line="360" w:lineRule="auto"/>
        <w:jc w:val="both"/>
      </w:pPr>
      <w:r w:rsidRPr="00674DFD">
        <w:tab/>
        <w:t xml:space="preserve">As already explained, there is a difference between substantive and symbolic representation. Symbolic representation of minorities is closely related to their recognition. Although it may seem unnecessary to determine recognition, it is necessary. Often, recognition is assumed, but in the case of indigenous peoples, this is unfortunately not always reality. Recognition of indigenous peoples starts with the acknowledgment of </w:t>
      </w:r>
      <w:r w:rsidR="00D332F2">
        <w:t>the</w:t>
      </w:r>
      <w:r w:rsidRPr="00674DFD">
        <w:t xml:space="preserve"> difference in culture (Bell, 2014). It becomes substantive when this is laid down in law. In the case of indigenous peoples this is mostly in terms of repairing past injustices (Bell, 2014). Examples are the restoration of lands that were unjustly taken, economic means to be self-sustaining or forms of self-governance (Bell, 2014). An example of symbolic recognition of indigenous peoples without the substantive results is the UN Declaration on the </w:t>
      </w:r>
      <w:r w:rsidR="00D35064">
        <w:t>Ri</w:t>
      </w:r>
      <w:r w:rsidRPr="00674DFD">
        <w:t xml:space="preserve">ghts of </w:t>
      </w:r>
      <w:r w:rsidR="00D35064">
        <w:t>I</w:t>
      </w:r>
      <w:r w:rsidRPr="00674DFD">
        <w:t xml:space="preserve">ndigenous </w:t>
      </w:r>
      <w:r w:rsidR="00D35064">
        <w:t>P</w:t>
      </w:r>
      <w:r w:rsidRPr="00674DFD">
        <w:t xml:space="preserve">eoples (UNDRIP) (2007). International norms are set on how to respect Māori rights. However, this declaration is not binding and therefore does not give any assurance on the implementation </w:t>
      </w:r>
      <w:r w:rsidR="008F05EA">
        <w:t xml:space="preserve">at </w:t>
      </w:r>
      <w:r w:rsidRPr="00674DFD">
        <w:t xml:space="preserve">the national level. Aotearoa New Zealand did not sign the declaration until 2010. And even now, they continue violating the norms set by the declaration (Mutu, 2018). Thus, although the words of the UNDRIP promises a prosperous future, the deeds that </w:t>
      </w:r>
      <w:r w:rsidR="00621058" w:rsidRPr="00674DFD">
        <w:t>must</w:t>
      </w:r>
      <w:r w:rsidRPr="00674DFD">
        <w:t xml:space="preserve"> establish this remain absent. Aotearoa</w:t>
      </w:r>
      <w:r w:rsidR="001011FE">
        <w:t xml:space="preserve"> </w:t>
      </w:r>
      <w:r w:rsidRPr="00674DFD">
        <w:t xml:space="preserve">New Zealand is not the only country that only </w:t>
      </w:r>
      <w:r w:rsidR="00621058" w:rsidRPr="00674DFD">
        <w:t>later</w:t>
      </w:r>
      <w:r w:rsidRPr="00674DFD">
        <w:t xml:space="preserve"> signed the UNDRIP, also Australia, Canada and the United States voted against the declaration at first, only to return to it afterwards.</w:t>
      </w:r>
      <w:r w:rsidRPr="00674DFD">
        <w:rPr>
          <w:rStyle w:val="Voetnootmarkering"/>
        </w:rPr>
        <w:footnoteReference w:id="5"/>
      </w:r>
      <w:r w:rsidR="001011FE">
        <w:t xml:space="preserve"> </w:t>
      </w:r>
    </w:p>
    <w:p w14:paraId="375E6D6B" w14:textId="211DD461" w:rsidR="00A21B9A" w:rsidRPr="00674DFD" w:rsidRDefault="00A21B9A" w:rsidP="00C07F0C">
      <w:pPr>
        <w:pStyle w:val="Geenafstand"/>
        <w:spacing w:line="360" w:lineRule="auto"/>
        <w:ind w:firstLine="708"/>
        <w:jc w:val="both"/>
      </w:pPr>
      <w:r w:rsidRPr="00674DFD">
        <w:t xml:space="preserve">Due to the geographical location and colonial history, Australia is often compared with Aotearoa New Zealand. However, the two cannot be more different from each other regarding the political representation of their indigenous populations. Morris (2014) states that Australia can learn a lot from Aotearoa New Zealand and that the country requires a reform. Lloyd (2009) demonstrates, by looking at Aotearoa New Zealand, that dedicated seats could be essential in establishing an expression of a formal relationship between indigenous and non-indigenous peoples in Australia. Thus, where an electoral feature, such as dedicated seats, could establish descriptive representation, this will likely enhance the substantive representation. </w:t>
      </w:r>
      <w:r w:rsidRPr="00674DFD">
        <w:rPr>
          <w:color w:val="000000" w:themeColor="text1"/>
        </w:rPr>
        <w:t>Is descriptive representation then, like Curtin (2008) suggested, a necessary, but not sufficient condition for the substantive representation? Should this, as with gender, be in the form of separate institutions such as, for example</w:t>
      </w:r>
      <w:r w:rsidR="00596F3D">
        <w:rPr>
          <w:color w:val="000000" w:themeColor="text1"/>
        </w:rPr>
        <w:t>,</w:t>
      </w:r>
      <w:r w:rsidRPr="00674DFD">
        <w:rPr>
          <w:color w:val="000000" w:themeColor="text1"/>
        </w:rPr>
        <w:t xml:space="preserve"> an indigenous commission. Or are more radical forms required? In the case of indigenous peoples some form of self-government is often argued. According to article 4 and 5 of the United Nations Declaration on the Rights of </w:t>
      </w:r>
      <w:r w:rsidRPr="00674DFD">
        <w:rPr>
          <w:color w:val="000000" w:themeColor="text1"/>
        </w:rPr>
        <w:lastRenderedPageBreak/>
        <w:t>Indigenous Peoples (2007) indigenous people</w:t>
      </w:r>
      <w:r w:rsidR="006109FF">
        <w:rPr>
          <w:color w:val="000000" w:themeColor="text1"/>
        </w:rPr>
        <w:t>s</w:t>
      </w:r>
      <w:r w:rsidRPr="00674DFD">
        <w:rPr>
          <w:color w:val="000000" w:themeColor="text1"/>
        </w:rPr>
        <w:t xml:space="preserve"> possess the right to self-determination, meaning that they have the right to self-government and separate political institutions while simultaneously being able to participate in the state’s political institutions. </w:t>
      </w:r>
    </w:p>
    <w:p w14:paraId="3C987FD5" w14:textId="28E3B0F5" w:rsidR="00A21B9A" w:rsidRPr="00674DFD" w:rsidRDefault="00A21B9A" w:rsidP="00C07F0C">
      <w:pPr>
        <w:pStyle w:val="Geenafstand"/>
        <w:spacing w:line="360" w:lineRule="auto"/>
        <w:ind w:firstLine="708"/>
        <w:jc w:val="both"/>
      </w:pPr>
      <w:r w:rsidRPr="00674DFD">
        <w:rPr>
          <w:color w:val="000000" w:themeColor="text1"/>
        </w:rPr>
        <w:t xml:space="preserve">Maddison (2010) makes a comparable argument in the case of Australia. Parliamentary representation is essential, but contains mainly a symbolic function. There is more needed to create a structural transformation that leads to an appropriate representation of the concerns and needs of indigenous peoples in a postcolonial state like Australia (Maddison, 2010). Maddison (2010) wonders whether it is possible that descriptive representation can ever lead to effective participation of a broad diversity of indigenous interests. This cites the notion of essentialism; are you just a politician or are you per definition an indigenous politician as politician </w:t>
      </w:r>
      <w:r w:rsidR="009C7D4B">
        <w:rPr>
          <w:color w:val="000000" w:themeColor="text1"/>
        </w:rPr>
        <w:t>from</w:t>
      </w:r>
      <w:r w:rsidRPr="00674DFD">
        <w:rPr>
          <w:color w:val="000000" w:themeColor="text1"/>
        </w:rPr>
        <w:t xml:space="preserve"> indigenous </w:t>
      </w:r>
      <w:r w:rsidR="009C7D4B">
        <w:rPr>
          <w:color w:val="000000" w:themeColor="text1"/>
        </w:rPr>
        <w:t>descent</w:t>
      </w:r>
      <w:r w:rsidRPr="00674DFD">
        <w:rPr>
          <w:color w:val="000000" w:themeColor="text1"/>
        </w:rPr>
        <w:t>. As Maddison (2010) describes: “</w:t>
      </w:r>
      <w:r w:rsidRPr="00674DFD">
        <w:t xml:space="preserve">Indigenous parliamentarians take up their role bearing a complex burden of representational expectations, raising questions about who or what they represent, and in what circumstances.” At the same time, Maddison (2010) sees a system present in Aotearoa New Zealand, with dedicated seats for indigenous peoples, as a valuable addition to the Australian political system. First, it creates clarity about the afore mentioned dilemma; politicians chosen on behalf of indigenous peoples can be unambiguously seen as indigenous politicians instead of politicians representing the broader electorate. White (2017) confirms this in her study; all Māori MPs represent Māori people in a substantive way, but Māori MPs chosen on behalf of the Māori roll even more. Besides, the political relationship between the settler state and the indigenous peoples will be captured with the inclusion of Māori people in Parliament. Maddison (2010) ends her article by stating that the underrepresentation of indigenous peoples in Australia will continue to create dilemmas that limit their substantive representation. Dedicated seats could be part of a possible solution (Maddison, 2010). Thus, just like Sawer, Tremblay and Trimble (2006) revealed with their comparative study to the political representation of gender, the electoral system matters. But does this enhance the substantive representation of Māori people? Summersby (2009) </w:t>
      </w:r>
      <w:r w:rsidRPr="00674DFD">
        <w:rPr>
          <w:color w:val="000000" w:themeColor="text1"/>
        </w:rPr>
        <w:t>investigates this link between Pitkin’s ‘</w:t>
      </w:r>
      <w:r w:rsidRPr="00674DFD">
        <w:t xml:space="preserve">standing for’ and ‘acting for’ in case of Māori representation in Aotearoa New Zealand. Although, Summersby (2009) cannot find a direct correlation between the two, she finds that descriptive representation does matter in this case, because the evidence suggests that Māori representatives feel responsible to act in the interests of Māori people and thus promote Māori interests. Where the study </w:t>
      </w:r>
      <w:r w:rsidR="009A51AF">
        <w:t xml:space="preserve">of </w:t>
      </w:r>
      <w:r w:rsidRPr="00674DFD">
        <w:t xml:space="preserve">Summersby (2009) suggests a link between descriptive and substantive representation of Māori people, White’s (2017) study states a stronger conclusion by finding the evidence that </w:t>
      </w:r>
      <w:r w:rsidR="00B372D5">
        <w:t>confirms</w:t>
      </w:r>
      <w:r w:rsidRPr="00674DFD">
        <w:t xml:space="preserve"> this link. </w:t>
      </w:r>
    </w:p>
    <w:p w14:paraId="416CDFAD" w14:textId="3DE8D95F" w:rsidR="00A21B9A" w:rsidRPr="00674DFD" w:rsidRDefault="00A21B9A" w:rsidP="00C07F0C">
      <w:pPr>
        <w:pStyle w:val="Geenafstand"/>
        <w:spacing w:line="360" w:lineRule="auto"/>
        <w:ind w:firstLine="708"/>
        <w:jc w:val="both"/>
        <w:rPr>
          <w:color w:val="000000"/>
        </w:rPr>
      </w:pPr>
      <w:r w:rsidRPr="00674DFD">
        <w:t xml:space="preserve">According to the case of Aotearoa New Zealand, some link between descriptive and substantive representation of indigenous peoples appears. Ruedin (2020, p.1) makes an important contribution to the field of descriptive representation by stating that: “On average, representatives of </w:t>
      </w:r>
      <w:r w:rsidRPr="00674DFD">
        <w:rPr>
          <w:color w:val="000000" w:themeColor="text1"/>
        </w:rPr>
        <w:t xml:space="preserve">regional and ethnic minorities work in the name of their respective group.” This would imply that </w:t>
      </w:r>
      <w:r w:rsidRPr="00674DFD">
        <w:rPr>
          <w:color w:val="000000" w:themeColor="text1"/>
        </w:rPr>
        <w:lastRenderedPageBreak/>
        <w:t xml:space="preserve">descriptive representation does lead to substantive representation. In contrast, Snagovsky et al. (2020) explains that normative arguments are made in favour of descriptive representation </w:t>
      </w:r>
      <w:r w:rsidR="00621058" w:rsidRPr="00674DFD">
        <w:rPr>
          <w:color w:val="000000" w:themeColor="text1"/>
        </w:rPr>
        <w:t>because of</w:t>
      </w:r>
      <w:r w:rsidRPr="00674DFD">
        <w:rPr>
          <w:color w:val="000000" w:themeColor="text1"/>
        </w:rPr>
        <w:t xml:space="preserve"> the enhanced legitimacy, but this claim is empirically flawed. Snagovsky et al. (2020) contradicts the normative perceptions with his Australian case study. The results suggest that the descriptive representation of ethnic minority or immigrants does not enhance the perceived legitimacy of policy. A possible explanation for this unexpected result could be due to the categorization of all ethnic minorities as one entity (Snagovsky et al., 2020).  </w:t>
      </w:r>
    </w:p>
    <w:p w14:paraId="08CDCCC3" w14:textId="37209175" w:rsidR="00A21B9A" w:rsidRPr="00674DFD" w:rsidRDefault="00A21B9A" w:rsidP="009B7864">
      <w:pPr>
        <w:pStyle w:val="Geenafstand"/>
        <w:spacing w:line="360" w:lineRule="auto"/>
        <w:ind w:firstLine="708"/>
        <w:jc w:val="both"/>
        <w:rPr>
          <w:color w:val="000000"/>
        </w:rPr>
      </w:pPr>
      <w:r w:rsidRPr="00674DFD">
        <w:t>In sum</w:t>
      </w:r>
      <w:r w:rsidRPr="00674DFD">
        <w:rPr>
          <w:color w:val="000000" w:themeColor="text1"/>
        </w:rPr>
        <w:t xml:space="preserve">, a link between descriptive and substantive representation </w:t>
      </w:r>
      <w:r w:rsidR="00621058" w:rsidRPr="00674DFD">
        <w:rPr>
          <w:color w:val="000000" w:themeColor="text1"/>
        </w:rPr>
        <w:t>regarding</w:t>
      </w:r>
      <w:r w:rsidRPr="00674DFD">
        <w:rPr>
          <w:color w:val="000000" w:themeColor="text1"/>
        </w:rPr>
        <w:t xml:space="preserve"> gender seems to be present </w:t>
      </w:r>
      <w:r w:rsidRPr="00674DFD">
        <w:t>(Wängnerud, 2009; Ruedin, 2020; Sawer, Tremblay and Trimble, 2006; Schwindt-Bayer and Mishler, 2005; Curtin, 2008). Authors such as Maddison (2010) and Lloyd (2009) also expect such a link in case of indigenous peoples. This is confirmed by Summersby’s (2009) study that finds an indirect link between descriptive and substantive representation, but rejected by the study of Snagovsky et al. (2020). However, White (2017) finds a direct relation between descriptive and substantive representation by studying the discourse of maiden speeches.</w:t>
      </w:r>
      <w:r w:rsidRPr="00674DFD">
        <w:rPr>
          <w:color w:val="000000" w:themeColor="text1"/>
        </w:rPr>
        <w:t xml:space="preserve"> Therefore</w:t>
      </w:r>
      <w:r w:rsidR="0016741E">
        <w:rPr>
          <w:color w:val="000000" w:themeColor="text1"/>
        </w:rPr>
        <w:t>,</w:t>
      </w:r>
      <w:r w:rsidRPr="00674DFD">
        <w:rPr>
          <w:color w:val="000000" w:themeColor="text1"/>
        </w:rPr>
        <w:t xml:space="preserve"> the following </w:t>
      </w:r>
      <w:r w:rsidR="00BD7F00">
        <w:rPr>
          <w:color w:val="000000" w:themeColor="text1"/>
        </w:rPr>
        <w:t>hypothesis</w:t>
      </w:r>
      <w:r w:rsidRPr="00674DFD">
        <w:rPr>
          <w:color w:val="000000" w:themeColor="text1"/>
        </w:rPr>
        <w:t xml:space="preserve"> is stated: </w:t>
      </w:r>
      <w:r w:rsidRPr="00674DFD">
        <w:rPr>
          <w:i/>
          <w:iCs/>
          <w:color w:val="000000" w:themeColor="text1"/>
        </w:rPr>
        <w:t>Descriptive representation of indigenous peoples enhances the substantive claims made on their behalf.</w:t>
      </w:r>
    </w:p>
    <w:p w14:paraId="45996280" w14:textId="77777777" w:rsidR="00C07F0C" w:rsidRDefault="00C07F0C" w:rsidP="008158E1">
      <w:pPr>
        <w:pStyle w:val="Geenafstand"/>
        <w:spacing w:line="360" w:lineRule="auto"/>
        <w:jc w:val="both"/>
      </w:pPr>
      <w:bookmarkStart w:id="43" w:name="_Toc74237371"/>
      <w:bookmarkStart w:id="44" w:name="_Toc74583789"/>
    </w:p>
    <w:p w14:paraId="5A35114E" w14:textId="6D9343B5" w:rsidR="00A21B9A" w:rsidRPr="00C07F0C" w:rsidRDefault="00354820" w:rsidP="008158E1">
      <w:pPr>
        <w:pStyle w:val="Geenafstand"/>
        <w:spacing w:line="360" w:lineRule="auto"/>
        <w:jc w:val="both"/>
        <w:rPr>
          <w:rStyle w:val="Kop2Char"/>
        </w:rPr>
      </w:pPr>
      <w:sdt>
        <w:sdtPr>
          <w:rPr>
            <w:rFonts w:asciiTheme="majorHAnsi" w:eastAsiaTheme="majorEastAsia" w:hAnsiTheme="majorHAnsi" w:cstheme="majorBidi"/>
            <w:color w:val="2F5496" w:themeColor="accent1" w:themeShade="BF"/>
            <w:sz w:val="26"/>
            <w:szCs w:val="26"/>
          </w:rPr>
          <w:tag w:val="goog_rdk_12"/>
          <w:id w:val="1182087532"/>
        </w:sdtPr>
        <w:sdtEndPr>
          <w:rPr>
            <w:rFonts w:asciiTheme="minorHAnsi" w:eastAsiaTheme="minorEastAsia" w:hAnsiTheme="minorHAnsi" w:cstheme="minorBidi"/>
            <w:color w:val="auto"/>
            <w:sz w:val="22"/>
            <w:szCs w:val="22"/>
          </w:rPr>
        </w:sdtEndPr>
        <w:sdtContent/>
      </w:sdt>
      <w:r w:rsidR="00A21B9A" w:rsidRPr="00C07F0C">
        <w:rPr>
          <w:rStyle w:val="Kop2Char"/>
        </w:rPr>
        <w:t>2.8 Conclusion</w:t>
      </w:r>
      <w:bookmarkEnd w:id="43"/>
      <w:bookmarkEnd w:id="44"/>
    </w:p>
    <w:p w14:paraId="40E5CD94" w14:textId="77777777" w:rsidR="00A21B9A" w:rsidRPr="00674DFD" w:rsidRDefault="00A21B9A" w:rsidP="008158E1">
      <w:pPr>
        <w:pStyle w:val="Geenafstand"/>
        <w:spacing w:line="360" w:lineRule="auto"/>
        <w:jc w:val="both"/>
        <w:rPr>
          <w:color w:val="000000"/>
        </w:rPr>
      </w:pPr>
      <w:r w:rsidRPr="00674DFD">
        <w:tab/>
        <w:t xml:space="preserve">As we have seen Pitkin (1967) sets out different forms of representation. Recent scholars like Saward (2008), Schwindt-Bayer and Mishler (2005) and Mackay (2008) argue that the different forms are much more interconnected than proposed by Pitkin (1967). Where normative research mainly argues that descriptive representation leads to substantial changes (Phillips, 2019; Mansbridge, 1999; Williams, 2018), the empirical findings are mixed. The research on gender clearly turns into a direction of confirming, at least, a weak link between descriptive and substantive representation (Wängnerud, 2009; Ruedin, 2020; Sawer, Tremblay and Trimble, 2006; Schwindt-Bayer and Mishler, 2005; Curtin, 2008), but the evidence regarding indigenous peoples is less unequivocal (Maddison, 2010; Morris, 2014; Lloyd, 2009; Summersby, 2009; Snagovsky et al, 2020; White, 2017). </w:t>
      </w:r>
    </w:p>
    <w:p w14:paraId="3E7452C9" w14:textId="4B0C845A" w:rsidR="00A21B9A" w:rsidRDefault="00A21B9A" w:rsidP="008158E1">
      <w:pPr>
        <w:pStyle w:val="Geenafstand"/>
        <w:spacing w:line="360" w:lineRule="auto"/>
        <w:jc w:val="both"/>
        <w:rPr>
          <w:rFonts w:asciiTheme="majorHAnsi" w:eastAsiaTheme="majorEastAsia" w:hAnsiTheme="majorHAnsi" w:cstheme="majorBidi"/>
          <w:color w:val="2F5496" w:themeColor="accent1" w:themeShade="BF"/>
          <w:sz w:val="32"/>
          <w:szCs w:val="32"/>
        </w:rPr>
      </w:pPr>
      <w:r w:rsidRPr="00674DFD">
        <w:rPr>
          <w:color w:val="000000"/>
        </w:rPr>
        <w:tab/>
        <w:t xml:space="preserve">Overall, the evidence </w:t>
      </w:r>
      <w:r w:rsidRPr="00674DFD">
        <w:t>suggests</w:t>
      </w:r>
      <w:r w:rsidRPr="00674DFD">
        <w:rPr>
          <w:color w:val="000000"/>
        </w:rPr>
        <w:t xml:space="preserve"> a link between descriptive and substantive representation. The presence of indigenous peoples ensures the understanding of their experiences. This leads to the expectation that the descriptive representation of indigenous peoples enhances their substantive representation by representatives who claim the representation of the preferences of indigenous peoples. To study this expectation, a claims-making analysis is executed in chapter 4. Meanwhile, the following chapter will explain why this is an appropriate method to study this expectation and how it is done.</w:t>
      </w:r>
      <w:r>
        <w:br w:type="page"/>
      </w:r>
    </w:p>
    <w:p w14:paraId="1D029EA5" w14:textId="1B343F7D" w:rsidR="0069399F" w:rsidRPr="00412F50" w:rsidRDefault="0069399F" w:rsidP="00F622A8">
      <w:pPr>
        <w:pStyle w:val="Kop1"/>
        <w:rPr>
          <w:rFonts w:ascii="Times New Roman" w:eastAsia="Times New Roman" w:hAnsi="Times New Roman" w:cs="Times New Roman"/>
          <w:sz w:val="24"/>
          <w:szCs w:val="24"/>
          <w:lang w:val="en-GB"/>
        </w:rPr>
      </w:pPr>
      <w:bookmarkStart w:id="45" w:name="_Toc75384059"/>
      <w:r w:rsidRPr="00412F50">
        <w:rPr>
          <w:lang w:val="en-GB"/>
        </w:rPr>
        <w:lastRenderedPageBreak/>
        <w:t xml:space="preserve">Chapter </w:t>
      </w:r>
      <w:r w:rsidR="00694B37" w:rsidRPr="00412F50">
        <w:rPr>
          <w:lang w:val="en-GB"/>
        </w:rPr>
        <w:t>3</w:t>
      </w:r>
      <w:r w:rsidRPr="00412F50">
        <w:rPr>
          <w:lang w:val="en-GB"/>
        </w:rPr>
        <w:t xml:space="preserve">: </w:t>
      </w:r>
      <w:r w:rsidR="005C27F3" w:rsidRPr="00412F50">
        <w:rPr>
          <w:lang w:val="en-GB"/>
        </w:rPr>
        <w:t>Method</w:t>
      </w:r>
      <w:r w:rsidR="005A0A0D" w:rsidRPr="00412F50">
        <w:rPr>
          <w:lang w:val="en-GB"/>
        </w:rPr>
        <w:t>ology and Method</w:t>
      </w:r>
      <w:r w:rsidR="005C27F3" w:rsidRPr="00412F50">
        <w:rPr>
          <w:lang w:val="en-GB"/>
        </w:rPr>
        <w:t>s</w:t>
      </w:r>
      <w:bookmarkEnd w:id="18"/>
      <w:bookmarkEnd w:id="45"/>
    </w:p>
    <w:p w14:paraId="53D354F3" w14:textId="77777777" w:rsidR="006314A7" w:rsidRPr="00412F50" w:rsidRDefault="0069399F" w:rsidP="00F622A8">
      <w:pPr>
        <w:pStyle w:val="Kop2"/>
        <w:rPr>
          <w:lang w:val="en-GB"/>
        </w:rPr>
      </w:pPr>
      <w:bookmarkStart w:id="46" w:name="_heading=h.30j0zll" w:colFirst="0" w:colLast="0"/>
      <w:bookmarkStart w:id="47" w:name="_Toc74583791"/>
      <w:bookmarkStart w:id="48" w:name="_Toc75384060"/>
      <w:bookmarkEnd w:id="46"/>
      <w:r w:rsidRPr="00412F50">
        <w:rPr>
          <w:lang w:val="en-GB"/>
        </w:rPr>
        <w:t>3.1 Metho</w:t>
      </w:r>
      <w:r w:rsidR="00BA09D8" w:rsidRPr="00412F50">
        <w:rPr>
          <w:lang w:val="en-GB"/>
        </w:rPr>
        <w:t>d</w:t>
      </w:r>
      <w:bookmarkEnd w:id="47"/>
      <w:bookmarkEnd w:id="48"/>
    </w:p>
    <w:p w14:paraId="21717530" w14:textId="3BFC2990" w:rsidR="0069399F" w:rsidRPr="0069399F" w:rsidRDefault="0069399F" w:rsidP="00F622A8">
      <w:pPr>
        <w:pStyle w:val="Geenafstand"/>
        <w:spacing w:line="360" w:lineRule="auto"/>
        <w:ind w:firstLine="708"/>
        <w:jc w:val="both"/>
        <w:rPr>
          <w:rFonts w:ascii="Times New Roman" w:eastAsia="Times New Roman" w:hAnsi="Times New Roman" w:cs="Times New Roman"/>
          <w:sz w:val="24"/>
          <w:szCs w:val="24"/>
        </w:rPr>
      </w:pPr>
      <w:r w:rsidRPr="0069399F">
        <w:t xml:space="preserve">To analyse the </w:t>
      </w:r>
      <w:r w:rsidR="005248D8">
        <w:t>hypothesis</w:t>
      </w:r>
      <w:r w:rsidR="00171556">
        <w:t xml:space="preserve">, </w:t>
      </w:r>
      <w:r w:rsidR="00171556" w:rsidRPr="0069399F">
        <w:t>‘</w:t>
      </w:r>
      <w:r w:rsidR="00171556" w:rsidRPr="0069399F">
        <w:rPr>
          <w:i/>
        </w:rPr>
        <w:t>Descriptive representation of indigenous peoples enhances the substantive claims made on their behalf’</w:t>
      </w:r>
      <w:r w:rsidR="00171556">
        <w:rPr>
          <w:i/>
        </w:rPr>
        <w:t>,</w:t>
      </w:r>
      <w:r w:rsidRPr="0069399F">
        <w:t xml:space="preserve"> following the theoretical framework</w:t>
      </w:r>
      <w:r w:rsidRPr="0069399F">
        <w:rPr>
          <w:i/>
        </w:rPr>
        <w:t xml:space="preserve">, </w:t>
      </w:r>
      <w:r w:rsidRPr="0069399F">
        <w:t>a claim</w:t>
      </w:r>
      <w:r w:rsidR="00C51DBF">
        <w:t>s</w:t>
      </w:r>
      <w:r w:rsidRPr="0069399F">
        <w:t xml:space="preserve">-making analysis will be executed using Aotearoa New Zealand as case study. </w:t>
      </w:r>
      <w:r w:rsidR="00A00A57">
        <w:t>T</w:t>
      </w:r>
      <w:r w:rsidRPr="0069399F">
        <w:t>he following sections will explain</w:t>
      </w:r>
      <w:r w:rsidR="00A00A57">
        <w:t xml:space="preserve"> </w:t>
      </w:r>
      <w:r w:rsidRPr="0069399F">
        <w:t xml:space="preserve">why </w:t>
      </w:r>
      <w:r w:rsidR="00545C2C">
        <w:t>this</w:t>
      </w:r>
      <w:r w:rsidRPr="0069399F">
        <w:t xml:space="preserve"> is a good approach to </w:t>
      </w:r>
      <w:r w:rsidR="000B223A">
        <w:t>study</w:t>
      </w:r>
      <w:r w:rsidRPr="0069399F">
        <w:t xml:space="preserve"> </w:t>
      </w:r>
      <w:r w:rsidR="005248D8">
        <w:t>the hypothesis</w:t>
      </w:r>
      <w:r w:rsidRPr="0069399F">
        <w:t>. </w:t>
      </w:r>
      <w:r w:rsidR="00884381">
        <w:t>T</w:t>
      </w:r>
      <w:r w:rsidRPr="0069399F">
        <w:t>he mixed-method design will be further expl</w:t>
      </w:r>
      <w:r w:rsidR="00884381">
        <w:t>ored</w:t>
      </w:r>
      <w:r w:rsidRPr="0069399F">
        <w:t>. The chosen mixed-method design is a claim</w:t>
      </w:r>
      <w:r w:rsidR="005325FC">
        <w:t>s</w:t>
      </w:r>
      <w:r w:rsidRPr="0069399F">
        <w:t>-making analysis</w:t>
      </w:r>
      <w:r w:rsidR="00F34580">
        <w:t>,</w:t>
      </w:r>
      <w:r w:rsidR="00BD6B54">
        <w:t xml:space="preserve"> and it is structured in </w:t>
      </w:r>
      <w:r w:rsidR="005C4DCE">
        <w:t>two</w:t>
      </w:r>
      <w:r w:rsidR="00BD6B54">
        <w:t xml:space="preserve"> parts</w:t>
      </w:r>
      <w:r w:rsidRPr="0069399F">
        <w:t xml:space="preserve">. The first part is qualitative; this consists of coding claims made in parliamentary speeches. The second part </w:t>
      </w:r>
      <w:r w:rsidR="00B72970">
        <w:t>is</w:t>
      </w:r>
      <w:r w:rsidRPr="0069399F">
        <w:t xml:space="preserve"> the quantitative analysis of these coded claims. In the second section, the choice for Aotearoa New Zealand as case study will be argued. </w:t>
      </w:r>
      <w:r w:rsidR="00BE3FC1">
        <w:t>Followed by</w:t>
      </w:r>
      <w:r w:rsidRPr="0069399F">
        <w:t xml:space="preserve"> a detailed explanation on the data gathering</w:t>
      </w:r>
      <w:r w:rsidR="008343AA">
        <w:t xml:space="preserve"> and </w:t>
      </w:r>
      <w:r w:rsidR="00BD6B54">
        <w:t>the operationalization of</w:t>
      </w:r>
      <w:r w:rsidRPr="0069399F">
        <w:t xml:space="preserve"> key concepts. </w:t>
      </w:r>
      <w:r w:rsidR="00B74F34">
        <w:t>T</w:t>
      </w:r>
      <w:r w:rsidRPr="0069399F">
        <w:t xml:space="preserve">his chapter concludes with </w:t>
      </w:r>
      <w:r w:rsidR="002509EE">
        <w:t>examples of pre-coded speeches a</w:t>
      </w:r>
      <w:r w:rsidR="003F0DD7">
        <w:t>nd an overall conclusion</w:t>
      </w:r>
      <w:r w:rsidR="00320B98">
        <w:t xml:space="preserve">. </w:t>
      </w:r>
    </w:p>
    <w:p w14:paraId="18A96B63"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36896A3D" w14:textId="02A61BA7" w:rsidR="0069399F" w:rsidRDefault="0069399F" w:rsidP="00F622A8">
      <w:pPr>
        <w:pStyle w:val="Kop3"/>
        <w:rPr>
          <w:rFonts w:ascii="Times New Roman" w:eastAsia="Times New Roman" w:hAnsi="Times New Roman" w:cs="Times New Roman"/>
        </w:rPr>
      </w:pPr>
      <w:bookmarkStart w:id="49" w:name="_heading=h.1fob9te" w:colFirst="0" w:colLast="0"/>
      <w:bookmarkStart w:id="50" w:name="_Toc74583792"/>
      <w:bookmarkStart w:id="51" w:name="_Toc75384061"/>
      <w:bookmarkEnd w:id="49"/>
      <w:r>
        <w:t>3.1.1 Mixed</w:t>
      </w:r>
      <w:r w:rsidR="00C13361">
        <w:t>-</w:t>
      </w:r>
      <w:r>
        <w:t>method design</w:t>
      </w:r>
      <w:bookmarkEnd w:id="50"/>
      <w:bookmarkEnd w:id="51"/>
    </w:p>
    <w:p w14:paraId="50BD859E" w14:textId="2EA925C2" w:rsidR="0069399F" w:rsidRPr="0069399F" w:rsidRDefault="0069399F" w:rsidP="00F622A8">
      <w:pPr>
        <w:pStyle w:val="Geenafstand"/>
        <w:spacing w:line="360" w:lineRule="auto"/>
        <w:ind w:firstLine="708"/>
        <w:jc w:val="both"/>
        <w:rPr>
          <w:color w:val="000000"/>
        </w:rPr>
      </w:pPr>
      <w:r w:rsidRPr="0069399F">
        <w:rPr>
          <w:color w:val="000000"/>
        </w:rPr>
        <w:t>Mixed-method studies originate from a paradigm war between quantitative and qualitative research (Terrell, 2012). Johnson and Onwuegbuzie (2004) define it as “</w:t>
      </w:r>
      <w:r w:rsidRPr="0069399F">
        <w:t xml:space="preserve">the class of research where the researcher mixes or combines quantitative and qualitative research techniques, methods, approaches, concepts or language into a single study.” </w:t>
      </w:r>
      <w:r w:rsidRPr="0069399F">
        <w:rPr>
          <w:color w:val="000000"/>
        </w:rPr>
        <w:t xml:space="preserve">Pure quantitative researchers claim that science is objective and thereby aims for generalizations that are time- and context-free (Johnson and Onwuegbuzie, 2004). In contrast, qualitative researchers criticize this point of view by stating that time- and context-free generalizations are not feasible, nor desirable (Johnson and Onwuegbuzie, 2004). Where quantitative researchers strive to establish a causal relationship between cause and outcome, qualitative researchers see it as impossible to completely separate cause and outcome. Qualitative scholars </w:t>
      </w:r>
      <w:r w:rsidR="002F0B96">
        <w:rPr>
          <w:color w:val="000000"/>
        </w:rPr>
        <w:t>perceive</w:t>
      </w:r>
      <w:r w:rsidRPr="0069399F">
        <w:rPr>
          <w:color w:val="000000"/>
        </w:rPr>
        <w:t xml:space="preserve"> science as subjective and therefore belong to a</w:t>
      </w:r>
      <w:r w:rsidR="007B7A15">
        <w:rPr>
          <w:color w:val="000000"/>
        </w:rPr>
        <w:t>n</w:t>
      </w:r>
      <w:r w:rsidRPr="0069399F">
        <w:rPr>
          <w:color w:val="000000"/>
        </w:rPr>
        <w:t xml:space="preserve"> interpretivists school of thought (Johnson and Onwuegbuzie, 2004). This way of thinking complies with the theory of political representation. As mentioned in the theoretical framework, recent scholars argue for a</w:t>
      </w:r>
      <w:r w:rsidR="007B7A15">
        <w:rPr>
          <w:color w:val="000000"/>
        </w:rPr>
        <w:t>n open-ended</w:t>
      </w:r>
      <w:r w:rsidRPr="0069399F">
        <w:rPr>
          <w:color w:val="000000"/>
        </w:rPr>
        <w:t xml:space="preserve"> approach in studying political representation (Mackay, 2008; Severs, 2012; Saward, 2006, Schwindt-Bayer and Mishler, 2005). Due to the relational aspect of the different forms of representation that Pitkin (1967) sets apart, a </w:t>
      </w:r>
      <w:r w:rsidR="00845976">
        <w:rPr>
          <w:color w:val="000000"/>
        </w:rPr>
        <w:t xml:space="preserve">broader outlook is needed </w:t>
      </w:r>
      <w:r w:rsidRPr="0069399F">
        <w:rPr>
          <w:color w:val="000000"/>
        </w:rPr>
        <w:t>(Severs, 2012). A claim</w:t>
      </w:r>
      <w:r w:rsidR="00427BFD">
        <w:rPr>
          <w:color w:val="000000"/>
        </w:rPr>
        <w:t>s</w:t>
      </w:r>
      <w:r w:rsidRPr="0069399F">
        <w:rPr>
          <w:color w:val="000000"/>
        </w:rPr>
        <w:t xml:space="preserve">-making analysis fits this </w:t>
      </w:r>
      <w:r w:rsidR="0027078B">
        <w:rPr>
          <w:color w:val="000000"/>
        </w:rPr>
        <w:t xml:space="preserve">open-ended </w:t>
      </w:r>
      <w:r w:rsidRPr="0069399F">
        <w:rPr>
          <w:color w:val="000000"/>
        </w:rPr>
        <w:t>approach</w:t>
      </w:r>
      <w:r w:rsidR="00186580">
        <w:rPr>
          <w:color w:val="000000"/>
        </w:rPr>
        <w:t xml:space="preserve"> by studying a broad set of aspects an</w:t>
      </w:r>
      <w:r w:rsidR="00472A3E">
        <w:rPr>
          <w:color w:val="000000"/>
        </w:rPr>
        <w:t>d</w:t>
      </w:r>
      <w:r w:rsidR="00186580">
        <w:rPr>
          <w:color w:val="000000"/>
        </w:rPr>
        <w:t xml:space="preserve"> taking the context into account</w:t>
      </w:r>
      <w:r w:rsidRPr="0069399F">
        <w:rPr>
          <w:color w:val="000000"/>
        </w:rPr>
        <w:t>. This approach consists of two parts. First information will be gathered to create a historical overview of the political representation of Māori people. The second part is the beginning of the mixed</w:t>
      </w:r>
      <w:r w:rsidR="000245D3">
        <w:rPr>
          <w:color w:val="000000"/>
        </w:rPr>
        <w:t>-</w:t>
      </w:r>
      <w:r w:rsidRPr="0069399F">
        <w:rPr>
          <w:color w:val="000000"/>
        </w:rPr>
        <w:t>method design by collecting parliamentary speeches as data. These speeches are interpreted by the researcher and coded into different categories. T</w:t>
      </w:r>
      <w:r w:rsidR="007A7652">
        <w:rPr>
          <w:color w:val="000000"/>
        </w:rPr>
        <w:t xml:space="preserve">he qualitative part of this thesis </w:t>
      </w:r>
      <w:r w:rsidR="008903D9">
        <w:rPr>
          <w:color w:val="000000"/>
        </w:rPr>
        <w:t>consists of</w:t>
      </w:r>
      <w:r w:rsidR="007A7652">
        <w:rPr>
          <w:color w:val="000000"/>
        </w:rPr>
        <w:t xml:space="preserve"> the</w:t>
      </w:r>
      <w:r w:rsidRPr="0069399F">
        <w:rPr>
          <w:color w:val="000000"/>
        </w:rPr>
        <w:t xml:space="preserve"> interpretation of the speeches</w:t>
      </w:r>
      <w:r w:rsidR="007A7652">
        <w:rPr>
          <w:color w:val="000000"/>
        </w:rPr>
        <w:t xml:space="preserve">. </w:t>
      </w:r>
      <w:r w:rsidRPr="0069399F">
        <w:rPr>
          <w:color w:val="000000"/>
        </w:rPr>
        <w:t xml:space="preserve">After this data is coded it is transformed into numbers representing different categories. </w:t>
      </w:r>
      <w:r w:rsidRPr="0069399F">
        <w:rPr>
          <w:color w:val="000000"/>
        </w:rPr>
        <w:lastRenderedPageBreak/>
        <w:t xml:space="preserve">This </w:t>
      </w:r>
      <w:r w:rsidR="00C6237A">
        <w:rPr>
          <w:color w:val="000000"/>
        </w:rPr>
        <w:t>is</w:t>
      </w:r>
      <w:r w:rsidRPr="0069399F">
        <w:rPr>
          <w:color w:val="000000"/>
        </w:rPr>
        <w:t xml:space="preserve"> the quantitative part of this thesis. Th</w:t>
      </w:r>
      <w:r w:rsidR="006456B3">
        <w:rPr>
          <w:color w:val="000000"/>
        </w:rPr>
        <w:t>e</w:t>
      </w:r>
      <w:r w:rsidRPr="0069399F">
        <w:rPr>
          <w:color w:val="000000"/>
        </w:rPr>
        <w:t xml:space="preserve"> data will be analysed</w:t>
      </w:r>
      <w:r w:rsidR="006456B3">
        <w:rPr>
          <w:color w:val="000000"/>
        </w:rPr>
        <w:t xml:space="preserve"> by</w:t>
      </w:r>
      <w:r w:rsidRPr="0069399F">
        <w:rPr>
          <w:color w:val="000000"/>
        </w:rPr>
        <w:t xml:space="preserve"> using the statistical program SPSS. All data is categorical</w:t>
      </w:r>
      <w:r>
        <w:rPr>
          <w:rStyle w:val="Voetnootmarkering"/>
          <w:color w:val="000000"/>
        </w:rPr>
        <w:footnoteReference w:id="6"/>
      </w:r>
      <w:r w:rsidRPr="0069399F">
        <w:rPr>
          <w:color w:val="000000"/>
        </w:rPr>
        <w:t xml:space="preserve"> and will therefore be analysed via descriptive statistics, chi-square tests</w:t>
      </w:r>
      <w:r w:rsidR="007C6F84">
        <w:rPr>
          <w:rStyle w:val="Voetnootmarkering"/>
          <w:color w:val="000000"/>
        </w:rPr>
        <w:footnoteReference w:id="7"/>
      </w:r>
      <w:r w:rsidRPr="0069399F">
        <w:rPr>
          <w:color w:val="000000"/>
        </w:rPr>
        <w:t xml:space="preserve"> and Cramer’s V test</w:t>
      </w:r>
      <w:r w:rsidR="00A81FE8">
        <w:rPr>
          <w:color w:val="000000"/>
        </w:rPr>
        <w:t>s</w:t>
      </w:r>
      <w:r w:rsidR="00605BFA">
        <w:rPr>
          <w:rStyle w:val="Voetnootmarkering"/>
          <w:color w:val="000000"/>
        </w:rPr>
        <w:footnoteReference w:id="8"/>
      </w:r>
      <w:r w:rsidRPr="0069399F">
        <w:rPr>
          <w:color w:val="000000"/>
        </w:rPr>
        <w:t>. Thereby</w:t>
      </w:r>
      <w:r w:rsidR="005A0A0D">
        <w:rPr>
          <w:color w:val="000000"/>
        </w:rPr>
        <w:t>,</w:t>
      </w:r>
      <w:r w:rsidRPr="0069399F">
        <w:rPr>
          <w:color w:val="000000"/>
        </w:rPr>
        <w:t xml:space="preserve"> it can be determined whether a link is present between descriptive </w:t>
      </w:r>
      <w:r w:rsidR="000245D3">
        <w:rPr>
          <w:color w:val="000000"/>
        </w:rPr>
        <w:t xml:space="preserve">representation </w:t>
      </w:r>
      <w:r w:rsidRPr="0069399F">
        <w:rPr>
          <w:color w:val="000000"/>
        </w:rPr>
        <w:t xml:space="preserve">and substantive </w:t>
      </w:r>
      <w:r w:rsidR="000245D3">
        <w:rPr>
          <w:color w:val="000000"/>
        </w:rPr>
        <w:t xml:space="preserve">claims made on behalf of </w:t>
      </w:r>
      <w:r w:rsidR="000245D3" w:rsidRPr="0069399F">
        <w:rPr>
          <w:color w:val="000000"/>
        </w:rPr>
        <w:t>Māori</w:t>
      </w:r>
      <w:r w:rsidR="000245D3">
        <w:rPr>
          <w:color w:val="000000"/>
        </w:rPr>
        <w:t xml:space="preserve"> people. </w:t>
      </w:r>
    </w:p>
    <w:p w14:paraId="70BF12AC" w14:textId="0C8292E9" w:rsidR="0069399F" w:rsidRPr="0069399F" w:rsidRDefault="0069399F" w:rsidP="00F622A8">
      <w:pPr>
        <w:pStyle w:val="Geenafstand"/>
        <w:spacing w:line="360" w:lineRule="auto"/>
        <w:ind w:firstLine="708"/>
        <w:jc w:val="both"/>
        <w:rPr>
          <w:color w:val="000000"/>
        </w:rPr>
      </w:pPr>
      <w:r w:rsidRPr="002318A3">
        <w:rPr>
          <w:color w:val="000000"/>
        </w:rPr>
        <w:t>An advantage of this combination of qualitative and quantitative approaches is that the contexts resulting from the qualitative approach adds meaning to the numbers, while the quantitative outcomes in their turn add precision to these contexts (Johnson and Onwuegbuzie, 2004). The qualitative part of the claim</w:t>
      </w:r>
      <w:r w:rsidR="00FD661A" w:rsidRPr="002318A3">
        <w:rPr>
          <w:color w:val="000000"/>
        </w:rPr>
        <w:t>s</w:t>
      </w:r>
      <w:r w:rsidRPr="002318A3">
        <w:rPr>
          <w:color w:val="000000"/>
        </w:rPr>
        <w:t xml:space="preserve">-making analysis captures the detailed, </w:t>
      </w:r>
      <w:r w:rsidR="00277F82" w:rsidRPr="002318A3">
        <w:rPr>
          <w:color w:val="000000"/>
        </w:rPr>
        <w:t>contextual,</w:t>
      </w:r>
      <w:r w:rsidRPr="002318A3">
        <w:rPr>
          <w:color w:val="000000"/>
        </w:rPr>
        <w:t xml:space="preserve"> and dynamic process of political representation.</w:t>
      </w:r>
      <w:r w:rsidRPr="0069399F">
        <w:rPr>
          <w:color w:val="000000"/>
        </w:rPr>
        <w:t xml:space="preserve"> Where a qualitative analysis is less applicable in establishing a causal relationship, this is exactly what the strength is of quantitative research (Johnson and Onwuegbuzie, 2004). In this way a mixed-method approach combines the best of both worlds. However</w:t>
      </w:r>
      <w:r w:rsidR="00F34580">
        <w:rPr>
          <w:color w:val="000000"/>
        </w:rPr>
        <w:t>,</w:t>
      </w:r>
      <w:r w:rsidRPr="0069399F">
        <w:rPr>
          <w:color w:val="000000"/>
        </w:rPr>
        <w:t xml:space="preserve"> some disadvantages remain. By taking the context of speeches into account, the research depends on the interpretation of the researcher itself, because </w:t>
      </w:r>
      <w:r w:rsidR="00FD2967">
        <w:rPr>
          <w:color w:val="000000"/>
        </w:rPr>
        <w:t>the person</w:t>
      </w:r>
      <w:r w:rsidRPr="0069399F">
        <w:rPr>
          <w:color w:val="000000"/>
        </w:rPr>
        <w:t xml:space="preserve"> coding interpret</w:t>
      </w:r>
      <w:r w:rsidR="00FD2967">
        <w:rPr>
          <w:color w:val="000000"/>
        </w:rPr>
        <w:t>ates</w:t>
      </w:r>
      <w:r w:rsidRPr="0069399F">
        <w:rPr>
          <w:color w:val="000000"/>
        </w:rPr>
        <w:t xml:space="preserve"> the speeches (Johnson and Onwuegbuzie, 2004). However, the codebook in </w:t>
      </w:r>
      <w:r w:rsidR="00AF1591">
        <w:rPr>
          <w:color w:val="000000"/>
        </w:rPr>
        <w:t>A</w:t>
      </w:r>
      <w:r w:rsidRPr="0069399F">
        <w:rPr>
          <w:color w:val="000000"/>
        </w:rPr>
        <w:t>ppendix</w:t>
      </w:r>
      <w:r w:rsidR="00AF1591">
        <w:rPr>
          <w:color w:val="000000"/>
        </w:rPr>
        <w:t xml:space="preserve"> </w:t>
      </w:r>
      <w:r w:rsidR="004F59EB">
        <w:rPr>
          <w:color w:val="000000"/>
        </w:rPr>
        <w:t>A</w:t>
      </w:r>
      <w:r w:rsidR="00914A81">
        <w:rPr>
          <w:color w:val="000000"/>
        </w:rPr>
        <w:t xml:space="preserve"> is</w:t>
      </w:r>
      <w:r w:rsidR="00667BCA">
        <w:rPr>
          <w:color w:val="000000"/>
        </w:rPr>
        <w:t xml:space="preserve"> aimed at providing validity to the study.</w:t>
      </w:r>
      <w:r w:rsidRPr="0069399F">
        <w:rPr>
          <w:color w:val="000000"/>
        </w:rPr>
        <w:t xml:space="preserve"> In the next section the choice to </w:t>
      </w:r>
      <w:r w:rsidR="00CC38EA">
        <w:rPr>
          <w:color w:val="000000"/>
        </w:rPr>
        <w:t>study</w:t>
      </w:r>
      <w:r w:rsidRPr="0069399F">
        <w:rPr>
          <w:color w:val="000000"/>
        </w:rPr>
        <w:t xml:space="preserve"> </w:t>
      </w:r>
      <w:r w:rsidRPr="0069399F">
        <w:t>Aotearoa</w:t>
      </w:r>
      <w:r w:rsidRPr="0069399F">
        <w:rPr>
          <w:color w:val="000000"/>
        </w:rPr>
        <w:t xml:space="preserve"> New Zealand will be explained. </w:t>
      </w:r>
    </w:p>
    <w:p w14:paraId="6D3C3ACE"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3AA8E773" w14:textId="77777777" w:rsidR="0069399F" w:rsidRDefault="0069399F" w:rsidP="00F622A8">
      <w:pPr>
        <w:pStyle w:val="Kop3"/>
        <w:rPr>
          <w:rFonts w:ascii="Times New Roman" w:eastAsia="Times New Roman" w:hAnsi="Times New Roman" w:cs="Times New Roman"/>
        </w:rPr>
      </w:pPr>
      <w:bookmarkStart w:id="52" w:name="_heading=h.3znysh7" w:colFirst="0" w:colLast="0"/>
      <w:bookmarkStart w:id="53" w:name="_Toc74583793"/>
      <w:bookmarkStart w:id="54" w:name="_Toc75384062"/>
      <w:bookmarkEnd w:id="52"/>
      <w:r>
        <w:t>3.1.2 Choosing Aotearoa New Zealand as a case study</w:t>
      </w:r>
      <w:bookmarkEnd w:id="53"/>
      <w:bookmarkEnd w:id="54"/>
    </w:p>
    <w:p w14:paraId="7CC3EEEE" w14:textId="489EB323" w:rsidR="0069399F" w:rsidRPr="0069399F" w:rsidRDefault="0069399F" w:rsidP="00F622A8">
      <w:pPr>
        <w:pStyle w:val="Geenafstand"/>
        <w:spacing w:line="360" w:lineRule="auto"/>
        <w:ind w:firstLine="708"/>
        <w:jc w:val="both"/>
        <w:rPr>
          <w:rFonts w:ascii="Times New Roman" w:eastAsia="Times New Roman" w:hAnsi="Times New Roman" w:cs="Times New Roman"/>
          <w:sz w:val="24"/>
          <w:szCs w:val="24"/>
        </w:rPr>
      </w:pPr>
      <w:r w:rsidRPr="0069399F">
        <w:rPr>
          <w:color w:val="000000"/>
        </w:rPr>
        <w:t xml:space="preserve">Gerring (2016, p.28) defines a case study as follows: “A case study is an intensive study of a single case or a small number of cases which draws on observational data and promises to shed light on a larger population of cases”. </w:t>
      </w:r>
      <w:r w:rsidR="006F1A40">
        <w:rPr>
          <w:color w:val="000000"/>
        </w:rPr>
        <w:t>T</w:t>
      </w:r>
      <w:r w:rsidRPr="0069399F">
        <w:rPr>
          <w:color w:val="000000"/>
        </w:rPr>
        <w:t>his thesis</w:t>
      </w:r>
      <w:r w:rsidR="006F1A40">
        <w:rPr>
          <w:color w:val="000000"/>
        </w:rPr>
        <w:t xml:space="preserve"> analysis</w:t>
      </w:r>
      <w:r w:rsidRPr="0069399F">
        <w:rPr>
          <w:color w:val="000000"/>
        </w:rPr>
        <w:t xml:space="preserve"> only one case</w:t>
      </w:r>
      <w:r w:rsidR="001B1427">
        <w:rPr>
          <w:color w:val="000000"/>
        </w:rPr>
        <w:t xml:space="preserve">, also called </w:t>
      </w:r>
      <w:r w:rsidRPr="0069399F">
        <w:rPr>
          <w:color w:val="000000"/>
        </w:rPr>
        <w:t xml:space="preserve">a </w:t>
      </w:r>
      <w:r w:rsidRPr="0069399F">
        <w:rPr>
          <w:i/>
          <w:color w:val="000000"/>
        </w:rPr>
        <w:t>single case study</w:t>
      </w:r>
      <w:r w:rsidRPr="0069399F">
        <w:rPr>
          <w:color w:val="000000"/>
        </w:rPr>
        <w:t xml:space="preserve">. An advantage is that the case can be studied very deep and thorough (Gerring, 2016). However, this can be at the expense of the strength of your conclusion, because the number of cases provide the representative basis of your argument (Gerring, 2016). Despite this, </w:t>
      </w:r>
      <w:r w:rsidRPr="0069399F">
        <w:t>Aotearoa</w:t>
      </w:r>
      <w:r w:rsidRPr="0069399F">
        <w:rPr>
          <w:color w:val="000000"/>
        </w:rPr>
        <w:t xml:space="preserve"> New Zealan</w:t>
      </w:r>
      <w:r w:rsidR="004050A7">
        <w:rPr>
          <w:color w:val="000000"/>
        </w:rPr>
        <w:t>d</w:t>
      </w:r>
      <w:r w:rsidRPr="0069399F">
        <w:rPr>
          <w:color w:val="000000"/>
        </w:rPr>
        <w:t>, can be received as a sufficient basis of the study of the link between descriptive</w:t>
      </w:r>
      <w:r w:rsidR="00F070B1">
        <w:rPr>
          <w:color w:val="000000"/>
        </w:rPr>
        <w:t xml:space="preserve"> representation</w:t>
      </w:r>
      <w:r w:rsidRPr="0069399F">
        <w:rPr>
          <w:color w:val="000000"/>
        </w:rPr>
        <w:t xml:space="preserve"> and substantive</w:t>
      </w:r>
      <w:r w:rsidR="00F070B1">
        <w:rPr>
          <w:color w:val="000000"/>
        </w:rPr>
        <w:t xml:space="preserve"> claims being made</w:t>
      </w:r>
      <w:r w:rsidRPr="0069399F">
        <w:rPr>
          <w:color w:val="000000"/>
        </w:rPr>
        <w:t>. </w:t>
      </w:r>
      <w:r w:rsidR="00C97B42">
        <w:rPr>
          <w:color w:val="000000"/>
        </w:rPr>
        <w:t xml:space="preserve">The </w:t>
      </w:r>
      <w:r w:rsidRPr="0069399F">
        <w:rPr>
          <w:color w:val="000000"/>
        </w:rPr>
        <w:t xml:space="preserve">next paragraph will </w:t>
      </w:r>
      <w:r w:rsidR="00C97B42">
        <w:rPr>
          <w:color w:val="000000"/>
        </w:rPr>
        <w:t>explain</w:t>
      </w:r>
      <w:r w:rsidRPr="0069399F">
        <w:rPr>
          <w:color w:val="000000"/>
        </w:rPr>
        <w:t xml:space="preserve"> why.</w:t>
      </w:r>
    </w:p>
    <w:p w14:paraId="632610E1" w14:textId="118DBDCE" w:rsidR="0069399F" w:rsidRPr="0069399F" w:rsidRDefault="0069399F" w:rsidP="008158E1">
      <w:pPr>
        <w:pStyle w:val="Geenafstand"/>
        <w:spacing w:line="360" w:lineRule="auto"/>
        <w:jc w:val="both"/>
        <w:rPr>
          <w:color w:val="000000"/>
        </w:rPr>
      </w:pPr>
      <w:r w:rsidRPr="0069399F">
        <w:rPr>
          <w:color w:val="000000"/>
        </w:rPr>
        <w:tab/>
        <w:t xml:space="preserve">The case of </w:t>
      </w:r>
      <w:r w:rsidRPr="0069399F">
        <w:t>Aotearoa</w:t>
      </w:r>
      <w:r w:rsidRPr="0069399F">
        <w:rPr>
          <w:color w:val="000000"/>
        </w:rPr>
        <w:t xml:space="preserve"> New Zealand can be received as a</w:t>
      </w:r>
      <w:r w:rsidRPr="0069399F">
        <w:rPr>
          <w:i/>
          <w:color w:val="000000"/>
        </w:rPr>
        <w:t xml:space="preserve"> pathway case</w:t>
      </w:r>
      <w:r w:rsidRPr="0069399F">
        <w:rPr>
          <w:color w:val="000000"/>
        </w:rPr>
        <w:t>. A pathway case illustrates the theory in a way that the impact of X on Y confirms the hypothesis</w:t>
      </w:r>
      <w:r w:rsidR="008236C6">
        <w:rPr>
          <w:color w:val="000000"/>
        </w:rPr>
        <w:t xml:space="preserve"> (Gerring, 2016)</w:t>
      </w:r>
      <w:r w:rsidRPr="0069399F">
        <w:rPr>
          <w:color w:val="000000"/>
        </w:rPr>
        <w:t xml:space="preserve">. Therefore, the link between X and Y is strongly present. This is applicable to </w:t>
      </w:r>
      <w:r w:rsidRPr="0069399F">
        <w:t>Aotearoa</w:t>
      </w:r>
      <w:r w:rsidRPr="0069399F">
        <w:rPr>
          <w:color w:val="000000"/>
        </w:rPr>
        <w:t xml:space="preserve"> New Zealand, because their electoral system provides a high number of descriptive representatives of indigenous </w:t>
      </w:r>
      <w:r w:rsidRPr="0069399F">
        <w:rPr>
          <w:color w:val="000000"/>
        </w:rPr>
        <w:lastRenderedPageBreak/>
        <w:t>peoples in comparison with other countries. This means that X</w:t>
      </w:r>
      <w:r w:rsidR="00000F2A">
        <w:rPr>
          <w:color w:val="000000"/>
        </w:rPr>
        <w:t xml:space="preserve"> = </w:t>
      </w:r>
      <w:r w:rsidRPr="0069399F">
        <w:rPr>
          <w:color w:val="000000"/>
        </w:rPr>
        <w:t xml:space="preserve">1. Leading to the expectation that the substantive representation of indigenous peoples in </w:t>
      </w:r>
      <w:r w:rsidRPr="0069399F">
        <w:t>Aotearoa</w:t>
      </w:r>
      <w:r w:rsidRPr="0069399F">
        <w:rPr>
          <w:color w:val="000000"/>
        </w:rPr>
        <w:t xml:space="preserve"> New Zealand is enhanced. Thus, Y = 1. Whether the presence of X will actually lead to the presence of Y has to appear from the analysis.  </w:t>
      </w:r>
    </w:p>
    <w:p w14:paraId="46627E93" w14:textId="21407476" w:rsidR="0069399F" w:rsidRPr="006F635C" w:rsidRDefault="0069399F" w:rsidP="008158E1">
      <w:pPr>
        <w:pStyle w:val="Geenafstand"/>
        <w:spacing w:line="360" w:lineRule="auto"/>
        <w:jc w:val="both"/>
      </w:pPr>
      <w:r w:rsidRPr="0069399F">
        <w:rPr>
          <w:color w:val="000000"/>
        </w:rPr>
        <w:tab/>
        <w:t xml:space="preserve">In contrast to most countries, </w:t>
      </w:r>
      <w:r w:rsidRPr="0069399F">
        <w:t>Aotearoa</w:t>
      </w:r>
      <w:r w:rsidRPr="0069399F">
        <w:rPr>
          <w:color w:val="000000"/>
        </w:rPr>
        <w:t xml:space="preserve"> New Zealand's Parliament represents indigenous people quite well, at least in descriptive terms. This is mainly due to the dedicated </w:t>
      </w:r>
      <w:r w:rsidR="00F04CEB" w:rsidRPr="0069399F">
        <w:rPr>
          <w:color w:val="000000"/>
        </w:rPr>
        <w:t>Māori</w:t>
      </w:r>
      <w:r w:rsidR="00F04CEB">
        <w:rPr>
          <w:color w:val="000000"/>
        </w:rPr>
        <w:t xml:space="preserve"> </w:t>
      </w:r>
      <w:r w:rsidRPr="0069399F">
        <w:rPr>
          <w:color w:val="000000"/>
        </w:rPr>
        <w:t xml:space="preserve">seats. </w:t>
      </w:r>
      <w:r w:rsidR="00863873">
        <w:rPr>
          <w:color w:val="000000"/>
        </w:rPr>
        <w:t xml:space="preserve">In the previous government period, 27 out of 120 MPs </w:t>
      </w:r>
      <w:r w:rsidR="00AF08F5">
        <w:rPr>
          <w:color w:val="000000"/>
        </w:rPr>
        <w:t xml:space="preserve">(Members of Parliament) </w:t>
      </w:r>
      <w:r w:rsidR="00863873">
        <w:rPr>
          <w:color w:val="000000"/>
        </w:rPr>
        <w:t xml:space="preserve">were from </w:t>
      </w:r>
      <w:r w:rsidR="00D7697E" w:rsidRPr="00444A93">
        <w:t>Māori</w:t>
      </w:r>
      <w:r w:rsidR="00D7697E">
        <w:rPr>
          <w:color w:val="000000"/>
        </w:rPr>
        <w:t xml:space="preserve"> </w:t>
      </w:r>
      <w:r w:rsidR="00863873">
        <w:rPr>
          <w:color w:val="000000"/>
        </w:rPr>
        <w:t xml:space="preserve">descent. In the current government period 23 out of 120 MPs are from </w:t>
      </w:r>
      <w:r w:rsidR="00D7697E" w:rsidRPr="00444A93">
        <w:t>Māori</w:t>
      </w:r>
      <w:r w:rsidR="00D7697E">
        <w:rPr>
          <w:color w:val="000000"/>
        </w:rPr>
        <w:t xml:space="preserve"> </w:t>
      </w:r>
      <w:r w:rsidR="00863873">
        <w:rPr>
          <w:color w:val="000000"/>
        </w:rPr>
        <w:t>descent.</w:t>
      </w:r>
      <w:r w:rsidR="00A17FB7">
        <w:rPr>
          <w:color w:val="000000"/>
        </w:rPr>
        <w:t xml:space="preserve"> </w:t>
      </w:r>
      <w:r w:rsidR="00DC695A">
        <w:rPr>
          <w:color w:val="000000"/>
        </w:rPr>
        <w:t>This comes down to respectively 22,5% and 19,2%</w:t>
      </w:r>
      <w:r w:rsidR="00641FC9">
        <w:rPr>
          <w:color w:val="000000"/>
        </w:rPr>
        <w:t>,</w:t>
      </w:r>
      <w:r w:rsidR="00DC695A">
        <w:rPr>
          <w:color w:val="000000"/>
        </w:rPr>
        <w:t xml:space="preserve"> while only 16,9% of the population is from </w:t>
      </w:r>
      <w:r w:rsidR="00D7697E" w:rsidRPr="00444A93">
        <w:t>Māori</w:t>
      </w:r>
      <w:r w:rsidR="00D7697E">
        <w:rPr>
          <w:color w:val="000000"/>
        </w:rPr>
        <w:t xml:space="preserve"> </w:t>
      </w:r>
      <w:r w:rsidR="00DC695A">
        <w:rPr>
          <w:color w:val="000000"/>
        </w:rPr>
        <w:t>descent (</w:t>
      </w:r>
      <w:r w:rsidR="006475F4">
        <w:rPr>
          <w:color w:val="000000"/>
        </w:rPr>
        <w:t>Stats NZ, 2020</w:t>
      </w:r>
      <w:r w:rsidR="00B70871">
        <w:rPr>
          <w:color w:val="000000"/>
        </w:rPr>
        <w:t>).</w:t>
      </w:r>
      <w:r w:rsidR="00863873">
        <w:rPr>
          <w:color w:val="000000"/>
        </w:rPr>
        <w:t xml:space="preserve"> </w:t>
      </w:r>
      <w:r w:rsidR="00147825">
        <w:rPr>
          <w:color w:val="000000"/>
        </w:rPr>
        <w:t>In comparison with other liberal</w:t>
      </w:r>
      <w:r w:rsidR="000360EC">
        <w:rPr>
          <w:color w:val="000000"/>
        </w:rPr>
        <w:t xml:space="preserve"> </w:t>
      </w:r>
      <w:r w:rsidR="000E3771">
        <w:rPr>
          <w:color w:val="000000"/>
        </w:rPr>
        <w:t>democracies</w:t>
      </w:r>
      <w:r w:rsidR="00147825">
        <w:rPr>
          <w:color w:val="000000"/>
        </w:rPr>
        <w:t xml:space="preserve">, the descriptive representation of indigenous people in Aotearoa New Zealand is much better. </w:t>
      </w:r>
      <w:r w:rsidRPr="0069399F">
        <w:rPr>
          <w:color w:val="000000"/>
        </w:rPr>
        <w:t xml:space="preserve">In Canada 3% of the MPs identifies themselves as indigenous, while 5% of the Canadian population does so (Lim and Gibson, 2019). </w:t>
      </w:r>
      <w:r w:rsidR="00170D00">
        <w:rPr>
          <w:color w:val="000000"/>
        </w:rPr>
        <w:t>This results</w:t>
      </w:r>
      <w:r w:rsidR="00AB33F1">
        <w:rPr>
          <w:color w:val="000000"/>
        </w:rPr>
        <w:t xml:space="preserve"> in </w:t>
      </w:r>
      <w:r w:rsidR="00170D00">
        <w:rPr>
          <w:color w:val="000000"/>
        </w:rPr>
        <w:t xml:space="preserve">the </w:t>
      </w:r>
      <w:r w:rsidRPr="0069399F">
        <w:rPr>
          <w:color w:val="000000"/>
        </w:rPr>
        <w:t>underrepresen</w:t>
      </w:r>
      <w:r w:rsidR="00AB33F1">
        <w:rPr>
          <w:color w:val="000000"/>
        </w:rPr>
        <w:t>tation</w:t>
      </w:r>
      <w:r w:rsidR="00170D00">
        <w:rPr>
          <w:color w:val="000000"/>
        </w:rPr>
        <w:t xml:space="preserve"> of </w:t>
      </w:r>
      <w:r w:rsidR="00006D24">
        <w:rPr>
          <w:color w:val="000000"/>
        </w:rPr>
        <w:t>its</w:t>
      </w:r>
      <w:r w:rsidR="00170D00">
        <w:rPr>
          <w:color w:val="000000"/>
        </w:rPr>
        <w:t xml:space="preserve"> indigenous peoples</w:t>
      </w:r>
      <w:r w:rsidRPr="0069399F">
        <w:rPr>
          <w:color w:val="000000"/>
        </w:rPr>
        <w:t>. The same holds for Australia, 2 (Parliament of Australia, 2017) out of the 151 Parliamentarians</w:t>
      </w:r>
      <w:r w:rsidR="0027153D">
        <w:rPr>
          <w:rStyle w:val="Voetnootmarkering"/>
          <w:color w:val="000000"/>
        </w:rPr>
        <w:footnoteReference w:id="9"/>
      </w:r>
      <w:r w:rsidRPr="0069399F">
        <w:rPr>
          <w:color w:val="000000"/>
        </w:rPr>
        <w:t xml:space="preserve"> is of indigenous descent. Meaning that 1,3% of MPs identifies as indigenous while</w:t>
      </w:r>
      <w:r w:rsidR="00AD4E6E">
        <w:rPr>
          <w:color w:val="000000"/>
        </w:rPr>
        <w:t xml:space="preserve"> </w:t>
      </w:r>
      <w:r w:rsidRPr="0069399F">
        <w:rPr>
          <w:color w:val="000000"/>
        </w:rPr>
        <w:t xml:space="preserve">3,3% of the population </w:t>
      </w:r>
      <w:r w:rsidR="00077999">
        <w:rPr>
          <w:color w:val="000000"/>
        </w:rPr>
        <w:t>is from indigenous descent</w:t>
      </w:r>
      <w:r w:rsidRPr="0069399F">
        <w:rPr>
          <w:color w:val="000000"/>
        </w:rPr>
        <w:t xml:space="preserve"> (AIHW, 2019).</w:t>
      </w:r>
      <w:r w:rsidR="00147825">
        <w:rPr>
          <w:color w:val="000000"/>
        </w:rPr>
        <w:t xml:space="preserve"> </w:t>
      </w:r>
    </w:p>
    <w:p w14:paraId="4B9EAA63" w14:textId="753CCFB5" w:rsidR="0069399F" w:rsidRPr="0069399F" w:rsidRDefault="0069399F" w:rsidP="009A220E">
      <w:pPr>
        <w:pStyle w:val="Geenafstand"/>
        <w:spacing w:line="360" w:lineRule="auto"/>
        <w:ind w:firstLine="708"/>
        <w:jc w:val="both"/>
        <w:rPr>
          <w:rFonts w:ascii="Times New Roman" w:eastAsia="Times New Roman" w:hAnsi="Times New Roman" w:cs="Times New Roman"/>
          <w:sz w:val="24"/>
          <w:szCs w:val="24"/>
        </w:rPr>
      </w:pPr>
      <w:r w:rsidRPr="0069399F">
        <w:rPr>
          <w:color w:val="000000"/>
        </w:rPr>
        <w:t xml:space="preserve">Aotearoa New Zealand's Parliament consists of 120 seats. </w:t>
      </w:r>
      <w:r w:rsidR="003F3D2B">
        <w:rPr>
          <w:color w:val="000000"/>
        </w:rPr>
        <w:t>P</w:t>
      </w:r>
      <w:r w:rsidRPr="0069399F">
        <w:rPr>
          <w:color w:val="000000"/>
        </w:rPr>
        <w:t>eople can cast two votes; one for a party and one for their electorate.</w:t>
      </w:r>
      <w:r w:rsidR="0054287C">
        <w:rPr>
          <w:rStyle w:val="Voetnootmarkering"/>
          <w:color w:val="000000"/>
        </w:rPr>
        <w:footnoteReference w:id="10"/>
      </w:r>
      <w:r w:rsidRPr="0069399F">
        <w:rPr>
          <w:color w:val="000000"/>
        </w:rPr>
        <w:t xml:space="preserve"> The votes for the party determine the number of seats a party receives in Parliament. A vote for an electorate represents a vote for a candidate you want to represent the area you live in.</w:t>
      </w:r>
      <w:r w:rsidR="004360D3">
        <w:rPr>
          <w:rStyle w:val="Voetnootmarkering"/>
          <w:color w:val="000000"/>
        </w:rPr>
        <w:footnoteReference w:id="11"/>
      </w:r>
      <w:r w:rsidRPr="0069399F">
        <w:rPr>
          <w:color w:val="000000"/>
        </w:rPr>
        <w:t xml:space="preserve"> The electorate vote displays two options. If you are registered on the Māori roll you can vote for a Māori representative of the Māori area you live in and if you are registered on the general roll you can vote for a representative in the general electorate you live in.</w:t>
      </w:r>
      <w:r w:rsidR="005424E0">
        <w:rPr>
          <w:color w:val="000000"/>
        </w:rPr>
        <w:t xml:space="preserve"> </w:t>
      </w:r>
      <w:r w:rsidRPr="0069399F">
        <w:rPr>
          <w:color w:val="000000"/>
        </w:rPr>
        <w:t>The number of Māori electorates is determined at seven.</w:t>
      </w:r>
      <w:r w:rsidR="0010235F">
        <w:rPr>
          <w:rStyle w:val="Voetnootmarkering"/>
          <w:color w:val="000000"/>
        </w:rPr>
        <w:footnoteReference w:id="12"/>
      </w:r>
      <w:r w:rsidRPr="0069399F">
        <w:rPr>
          <w:color w:val="000000"/>
        </w:rPr>
        <w:t xml:space="preserve"> In contrast to the electoral systems before, with the current MMP system Māori representatives are not solely chosen by Māori electorates, but </w:t>
      </w:r>
      <w:r w:rsidR="009C662E">
        <w:rPr>
          <w:color w:val="000000"/>
        </w:rPr>
        <w:t xml:space="preserve">can </w:t>
      </w:r>
      <w:r w:rsidRPr="0069399F">
        <w:rPr>
          <w:color w:val="000000"/>
        </w:rPr>
        <w:t>also</w:t>
      </w:r>
      <w:r w:rsidR="009C662E">
        <w:rPr>
          <w:color w:val="000000"/>
        </w:rPr>
        <w:t xml:space="preserve"> be chosen</w:t>
      </w:r>
      <w:r w:rsidRPr="0069399F">
        <w:rPr>
          <w:color w:val="000000"/>
        </w:rPr>
        <w:t xml:space="preserve"> via general electorates and parties</w:t>
      </w:r>
      <w:r w:rsidR="005D334E">
        <w:rPr>
          <w:color w:val="000000"/>
        </w:rPr>
        <w:t>.</w:t>
      </w:r>
      <w:r w:rsidR="008F262B">
        <w:rPr>
          <w:color w:val="000000"/>
          <w:vertAlign w:val="superscript"/>
        </w:rPr>
        <w:t>11</w:t>
      </w:r>
      <w:r w:rsidR="005D334E">
        <w:rPr>
          <w:color w:val="000000"/>
        </w:rPr>
        <w:t xml:space="preserve"> </w:t>
      </w:r>
    </w:p>
    <w:p w14:paraId="3E7015A0" w14:textId="771F3A34" w:rsidR="00234113" w:rsidRPr="00D42793" w:rsidRDefault="0069399F" w:rsidP="009A220E">
      <w:pPr>
        <w:pStyle w:val="Geenafstand"/>
        <w:spacing w:line="360" w:lineRule="auto"/>
        <w:ind w:firstLine="708"/>
        <w:jc w:val="both"/>
        <w:rPr>
          <w:rFonts w:eastAsiaTheme="minorHAnsi"/>
          <w:color w:val="000000"/>
        </w:rPr>
      </w:pPr>
      <w:bookmarkStart w:id="55" w:name="_Hlk73453278"/>
      <w:r w:rsidRPr="0069399F">
        <w:rPr>
          <w:color w:val="000000"/>
        </w:rPr>
        <w:t xml:space="preserve">In sum, the descriptive representation of Māori people in </w:t>
      </w:r>
      <w:r w:rsidRPr="0069399F">
        <w:t>Aotearoa</w:t>
      </w:r>
      <w:r w:rsidRPr="0069399F">
        <w:rPr>
          <w:color w:val="000000"/>
        </w:rPr>
        <w:t xml:space="preserve"> New Zealand is quite well established. </w:t>
      </w:r>
      <w:r w:rsidRPr="0069399F">
        <w:t>Aotearoa</w:t>
      </w:r>
      <w:r w:rsidRPr="0069399F">
        <w:rPr>
          <w:color w:val="000000"/>
        </w:rPr>
        <w:t xml:space="preserve"> New Zealand provides us with the unique condition of dedicated seats for indigenous peoples. </w:t>
      </w:r>
      <w:bookmarkEnd w:id="55"/>
      <w:r w:rsidR="00667BCA">
        <w:rPr>
          <w:color w:val="000000"/>
        </w:rPr>
        <w:t xml:space="preserve">The </w:t>
      </w:r>
      <w:r w:rsidRPr="0069399F">
        <w:rPr>
          <w:color w:val="000000"/>
        </w:rPr>
        <w:t xml:space="preserve">next section </w:t>
      </w:r>
      <w:r w:rsidR="00667BCA" w:rsidRPr="0069399F">
        <w:rPr>
          <w:color w:val="000000"/>
        </w:rPr>
        <w:t>describes</w:t>
      </w:r>
      <w:r w:rsidR="00667BCA">
        <w:rPr>
          <w:color w:val="000000"/>
        </w:rPr>
        <w:t xml:space="preserve"> </w:t>
      </w:r>
      <w:r w:rsidRPr="0069399F">
        <w:rPr>
          <w:color w:val="000000"/>
        </w:rPr>
        <w:t>what sources will be analysed and how this data will be gathered. </w:t>
      </w:r>
    </w:p>
    <w:p w14:paraId="44A6BE40" w14:textId="77777777" w:rsidR="009A220E" w:rsidRDefault="009A220E" w:rsidP="008158E1">
      <w:pPr>
        <w:pStyle w:val="Geenafstand"/>
        <w:spacing w:line="360" w:lineRule="auto"/>
        <w:jc w:val="both"/>
      </w:pPr>
      <w:bookmarkStart w:id="56" w:name="_heading=h.2et92p0" w:colFirst="0" w:colLast="0"/>
      <w:bookmarkStart w:id="57" w:name="_Toc74583794"/>
      <w:bookmarkEnd w:id="56"/>
    </w:p>
    <w:p w14:paraId="0D8E1855" w14:textId="2DCA4ADD" w:rsidR="0069399F" w:rsidRPr="00412F50" w:rsidRDefault="0069399F" w:rsidP="009A220E">
      <w:pPr>
        <w:pStyle w:val="Kop2"/>
        <w:rPr>
          <w:rFonts w:ascii="Times New Roman" w:eastAsia="Times New Roman" w:hAnsi="Times New Roman" w:cs="Times New Roman"/>
          <w:sz w:val="24"/>
          <w:szCs w:val="24"/>
          <w:lang w:val="en-GB"/>
        </w:rPr>
      </w:pPr>
      <w:bookmarkStart w:id="58" w:name="_Toc75384063"/>
      <w:r w:rsidRPr="00412F50">
        <w:rPr>
          <w:lang w:val="en-GB"/>
        </w:rPr>
        <w:lastRenderedPageBreak/>
        <w:t>3.2 Data gathering</w:t>
      </w:r>
      <w:bookmarkEnd w:id="57"/>
      <w:bookmarkEnd w:id="58"/>
    </w:p>
    <w:p w14:paraId="4212D06A" w14:textId="16CDF47A" w:rsidR="009822B8" w:rsidRDefault="0069399F" w:rsidP="008158E1">
      <w:pPr>
        <w:pStyle w:val="Geenafstand"/>
        <w:spacing w:line="360" w:lineRule="auto"/>
        <w:jc w:val="both"/>
        <w:rPr>
          <w:color w:val="000000"/>
        </w:rPr>
      </w:pPr>
      <w:r w:rsidRPr="0069399F">
        <w:rPr>
          <w:b/>
          <w:color w:val="000000"/>
        </w:rPr>
        <w:tab/>
      </w:r>
      <w:r w:rsidR="00F40826" w:rsidRPr="0069399F">
        <w:rPr>
          <w:color w:val="000000"/>
        </w:rPr>
        <w:t xml:space="preserve">The goal of </w:t>
      </w:r>
      <w:r w:rsidR="00DA404F">
        <w:rPr>
          <w:color w:val="000000"/>
        </w:rPr>
        <w:t xml:space="preserve">the </w:t>
      </w:r>
      <w:r w:rsidR="00F40826" w:rsidRPr="0069399F">
        <w:rPr>
          <w:color w:val="000000"/>
        </w:rPr>
        <w:t>claim</w:t>
      </w:r>
      <w:r w:rsidR="00F40826">
        <w:rPr>
          <w:color w:val="000000"/>
        </w:rPr>
        <w:t>s</w:t>
      </w:r>
      <w:r w:rsidR="00F40826" w:rsidRPr="0069399F">
        <w:rPr>
          <w:color w:val="000000"/>
        </w:rPr>
        <w:t xml:space="preserve">-making analysis is to see whether descriptive representation enhances substantive representation in the case of Māori people in </w:t>
      </w:r>
      <w:r w:rsidR="00F40826" w:rsidRPr="0069399F">
        <w:t>Aotearoa</w:t>
      </w:r>
      <w:r w:rsidR="00F40826" w:rsidRPr="0069399F">
        <w:rPr>
          <w:color w:val="000000"/>
        </w:rPr>
        <w:t xml:space="preserve"> New Zealand</w:t>
      </w:r>
      <w:r w:rsidR="00F40826">
        <w:rPr>
          <w:color w:val="000000"/>
        </w:rPr>
        <w:t xml:space="preserve"> by making claims on behalf of them.</w:t>
      </w:r>
      <w:r w:rsidR="00F40826" w:rsidRPr="0069399F">
        <w:rPr>
          <w:color w:val="000000"/>
        </w:rPr>
        <w:t xml:space="preserve"> With a claim</w:t>
      </w:r>
      <w:r w:rsidR="00F40826">
        <w:rPr>
          <w:color w:val="000000"/>
        </w:rPr>
        <w:t>s</w:t>
      </w:r>
      <w:r w:rsidR="00F40826" w:rsidRPr="0069399F">
        <w:rPr>
          <w:color w:val="000000"/>
        </w:rPr>
        <w:t xml:space="preserve">-making analysis different aspects come to the surface. For instance, the person </w:t>
      </w:r>
      <w:r w:rsidR="00F40826" w:rsidRPr="0069399F">
        <w:rPr>
          <w:i/>
          <w:color w:val="000000"/>
        </w:rPr>
        <w:t xml:space="preserve">who </w:t>
      </w:r>
      <w:r w:rsidR="00F40826" w:rsidRPr="0069399F">
        <w:rPr>
          <w:color w:val="000000"/>
        </w:rPr>
        <w:t>makes the claim</w:t>
      </w:r>
      <w:r w:rsidR="00F40826">
        <w:rPr>
          <w:color w:val="000000"/>
        </w:rPr>
        <w:t xml:space="preserve"> and</w:t>
      </w:r>
      <w:r w:rsidR="00F40826" w:rsidRPr="0069399F">
        <w:rPr>
          <w:color w:val="000000"/>
        </w:rPr>
        <w:t xml:space="preserve"> on </w:t>
      </w:r>
      <w:r w:rsidR="00F40826" w:rsidRPr="0069399F">
        <w:rPr>
          <w:i/>
          <w:color w:val="000000"/>
        </w:rPr>
        <w:t xml:space="preserve">what </w:t>
      </w:r>
      <w:r w:rsidR="00F40826" w:rsidRPr="0069399F">
        <w:rPr>
          <w:color w:val="000000"/>
        </w:rPr>
        <w:t>kind of issue the claim is made</w:t>
      </w:r>
      <w:r w:rsidR="00F40826">
        <w:rPr>
          <w:color w:val="000000"/>
        </w:rPr>
        <w:t>.</w:t>
      </w:r>
      <w:r w:rsidR="00F40826" w:rsidRPr="0069399F">
        <w:rPr>
          <w:color w:val="000000"/>
        </w:rPr>
        <w:t xml:space="preserve"> These aspects will be explained in detail in the operationalization that follows. However, a complete analysis of all speeches since the installation of MMP in </w:t>
      </w:r>
      <w:r w:rsidR="00F40826" w:rsidRPr="0069399F">
        <w:t>Aotearoa</w:t>
      </w:r>
      <w:r w:rsidR="00F40826" w:rsidRPr="0069399F">
        <w:rPr>
          <w:color w:val="000000"/>
        </w:rPr>
        <w:t xml:space="preserve"> New Zealand is not feasible. Therefore</w:t>
      </w:r>
      <w:r w:rsidR="00F34580">
        <w:rPr>
          <w:color w:val="000000"/>
        </w:rPr>
        <w:t>,</w:t>
      </w:r>
      <w:r w:rsidR="00F40826" w:rsidRPr="0069399F">
        <w:rPr>
          <w:color w:val="000000"/>
        </w:rPr>
        <w:t xml:space="preserve"> a selection of speeches </w:t>
      </w:r>
      <w:r w:rsidR="00621058" w:rsidRPr="0069399F">
        <w:rPr>
          <w:color w:val="000000"/>
        </w:rPr>
        <w:t>must</w:t>
      </w:r>
      <w:r w:rsidR="00F40826" w:rsidRPr="0069399F">
        <w:rPr>
          <w:color w:val="000000"/>
        </w:rPr>
        <w:t xml:space="preserve"> be made. Only </w:t>
      </w:r>
      <w:r w:rsidR="00797A14">
        <w:rPr>
          <w:color w:val="000000"/>
        </w:rPr>
        <w:t xml:space="preserve">the </w:t>
      </w:r>
      <w:r w:rsidR="00F40826" w:rsidRPr="0069399F">
        <w:rPr>
          <w:color w:val="000000"/>
        </w:rPr>
        <w:t xml:space="preserve">period after 2003 can be analysed because the Hansard records (official records of debates) are available </w:t>
      </w:r>
      <w:r w:rsidR="0092107D">
        <w:rPr>
          <w:color w:val="000000"/>
        </w:rPr>
        <w:t>since</w:t>
      </w:r>
      <w:r w:rsidR="00F40826" w:rsidRPr="0069399F">
        <w:rPr>
          <w:color w:val="000000"/>
        </w:rPr>
        <w:t xml:space="preserve"> then. However, after 2003 no important electoral changes have taken place in </w:t>
      </w:r>
      <w:r w:rsidR="00F40826" w:rsidRPr="0069399F">
        <w:t>Aotearoa</w:t>
      </w:r>
      <w:r w:rsidR="00F40826" w:rsidRPr="0069399F">
        <w:rPr>
          <w:color w:val="000000"/>
        </w:rPr>
        <w:t xml:space="preserve"> New Zealand in relation to Māori rights.</w:t>
      </w:r>
      <w:bookmarkStart w:id="59" w:name="_heading=h.tyjcwt" w:colFirst="0" w:colLast="0"/>
      <w:bookmarkEnd w:id="59"/>
      <w:r w:rsidR="009D7FF9">
        <w:rPr>
          <w:color w:val="000000"/>
        </w:rPr>
        <w:t xml:space="preserve"> In the next section the sources and period of the speeches that will be analysed are </w:t>
      </w:r>
      <w:r w:rsidR="0055725C">
        <w:rPr>
          <w:color w:val="000000"/>
        </w:rPr>
        <w:t>explained</w:t>
      </w:r>
      <w:r w:rsidR="009D7FF9">
        <w:rPr>
          <w:color w:val="000000"/>
        </w:rPr>
        <w:t xml:space="preserve">. </w:t>
      </w:r>
    </w:p>
    <w:p w14:paraId="5EDEDF7B" w14:textId="77777777" w:rsidR="00234113" w:rsidRPr="009822B8" w:rsidRDefault="00234113" w:rsidP="008158E1">
      <w:pPr>
        <w:pStyle w:val="Geenafstand"/>
        <w:spacing w:line="360" w:lineRule="auto"/>
        <w:jc w:val="both"/>
        <w:rPr>
          <w:rFonts w:ascii="Times New Roman" w:eastAsia="Times New Roman" w:hAnsi="Times New Roman" w:cs="Times New Roman"/>
          <w:sz w:val="24"/>
          <w:szCs w:val="24"/>
        </w:rPr>
      </w:pPr>
    </w:p>
    <w:p w14:paraId="7CDBD7D4" w14:textId="5AF81329" w:rsidR="0069399F" w:rsidRPr="00F40826" w:rsidRDefault="0069399F" w:rsidP="009A220E">
      <w:pPr>
        <w:pStyle w:val="Kop3"/>
        <w:rPr>
          <w:rFonts w:ascii="Times New Roman" w:eastAsia="Times New Roman" w:hAnsi="Times New Roman" w:cs="Times New Roman"/>
        </w:rPr>
      </w:pPr>
      <w:bookmarkStart w:id="60" w:name="_heading=h.3dy6vkm" w:colFirst="0" w:colLast="0"/>
      <w:bookmarkStart w:id="61" w:name="_Toc74583796"/>
      <w:bookmarkStart w:id="62" w:name="_Toc75384064"/>
      <w:bookmarkEnd w:id="60"/>
      <w:r>
        <w:t>3.2.</w:t>
      </w:r>
      <w:r w:rsidR="009822B8">
        <w:t>1</w:t>
      </w:r>
      <w:r>
        <w:t xml:space="preserve"> Sources and time frame</w:t>
      </w:r>
      <w:bookmarkEnd w:id="61"/>
      <w:bookmarkEnd w:id="62"/>
    </w:p>
    <w:p w14:paraId="53B7FC1D" w14:textId="62AE9F2E" w:rsidR="00DD224A" w:rsidRDefault="0069399F" w:rsidP="009A220E">
      <w:pPr>
        <w:pStyle w:val="Geenafstand"/>
        <w:spacing w:line="360" w:lineRule="auto"/>
        <w:ind w:firstLine="708"/>
        <w:jc w:val="both"/>
        <w:rPr>
          <w:color w:val="000000"/>
        </w:rPr>
      </w:pPr>
      <w:r w:rsidRPr="0069399F">
        <w:rPr>
          <w:color w:val="000000"/>
        </w:rPr>
        <w:t>In this thesis, the speeches</w:t>
      </w:r>
      <w:r w:rsidR="00A730AE">
        <w:rPr>
          <w:color w:val="000000"/>
        </w:rPr>
        <w:t xml:space="preserve"> were gathered </w:t>
      </w:r>
      <w:r w:rsidRPr="0069399F">
        <w:rPr>
          <w:color w:val="000000"/>
        </w:rPr>
        <w:t xml:space="preserve">between </w:t>
      </w:r>
      <w:bookmarkStart w:id="63" w:name="_Hlk73452604"/>
      <w:r w:rsidRPr="0069399F">
        <w:rPr>
          <w:color w:val="000000"/>
        </w:rPr>
        <w:t xml:space="preserve">23 July 2019 and 17 February 2021 </w:t>
      </w:r>
      <w:bookmarkEnd w:id="63"/>
      <w:r w:rsidR="00A730AE">
        <w:rPr>
          <w:color w:val="000000"/>
        </w:rPr>
        <w:t xml:space="preserve">due to </w:t>
      </w:r>
      <w:r w:rsidRPr="0069399F">
        <w:rPr>
          <w:color w:val="000000"/>
        </w:rPr>
        <w:t xml:space="preserve">several reasons. First, it gives an accurate picture of the current representation of Māori people. </w:t>
      </w:r>
      <w:r w:rsidR="00585AFA">
        <w:rPr>
          <w:color w:val="000000"/>
        </w:rPr>
        <w:t>S</w:t>
      </w:r>
      <w:r w:rsidRPr="0069399F">
        <w:rPr>
          <w:color w:val="000000"/>
        </w:rPr>
        <w:t>econd</w:t>
      </w:r>
      <w:r w:rsidR="00585AFA">
        <w:rPr>
          <w:color w:val="000000"/>
        </w:rPr>
        <w:t xml:space="preserve">, </w:t>
      </w:r>
      <w:r w:rsidRPr="0069399F">
        <w:rPr>
          <w:color w:val="000000"/>
        </w:rPr>
        <w:t xml:space="preserve">the national election </w:t>
      </w:r>
      <w:r w:rsidR="009A495A">
        <w:rPr>
          <w:color w:val="000000"/>
        </w:rPr>
        <w:t>on 17 October 2020 falls in</w:t>
      </w:r>
      <w:r w:rsidRPr="0069399F">
        <w:rPr>
          <w:color w:val="000000"/>
        </w:rPr>
        <w:t xml:space="preserve"> this period. The Parliament that resulted is the most diverse Parliament in </w:t>
      </w:r>
      <w:r w:rsidRPr="0069399F">
        <w:t>Aotearoa</w:t>
      </w:r>
      <w:r w:rsidRPr="0069399F">
        <w:rPr>
          <w:color w:val="000000"/>
        </w:rPr>
        <w:t xml:space="preserve"> New Zealand’s’ history (Reuters, 2020). However, there are slightly less Māori representatives in the current Parliament than in the previous Parliament. It decreased from 27 to 23 Māori representatives (see Codebook</w:t>
      </w:r>
      <w:r w:rsidR="00646E53">
        <w:rPr>
          <w:color w:val="000000"/>
        </w:rPr>
        <w:t xml:space="preserve">, </w:t>
      </w:r>
      <w:r w:rsidR="00CF2A76">
        <w:rPr>
          <w:color w:val="000000"/>
        </w:rPr>
        <w:t>Appendix A</w:t>
      </w:r>
      <w:r w:rsidRPr="0069399F">
        <w:rPr>
          <w:color w:val="000000"/>
        </w:rPr>
        <w:t>). This election also brought the Māori Party back into Parliament with two seats</w:t>
      </w:r>
      <w:r w:rsidR="00D92B65">
        <w:rPr>
          <w:color w:val="000000"/>
        </w:rPr>
        <w:t>,</w:t>
      </w:r>
      <w:r w:rsidRPr="0069399F">
        <w:rPr>
          <w:color w:val="000000"/>
        </w:rPr>
        <w:t xml:space="preserve"> while they were only voted out of office in the 2017 election (RNZ, 2020). This development makes it possible to reveal whether there is a difference in Māori representation between a Parliament with and without the Māori Party. </w:t>
      </w:r>
    </w:p>
    <w:p w14:paraId="5536C82D" w14:textId="366D106B" w:rsidR="00DD224A" w:rsidRDefault="0069399F" w:rsidP="007B4AB0">
      <w:pPr>
        <w:pStyle w:val="Geenafstand"/>
        <w:spacing w:line="360" w:lineRule="auto"/>
        <w:ind w:firstLine="708"/>
        <w:jc w:val="both"/>
        <w:rPr>
          <w:color w:val="000000"/>
        </w:rPr>
      </w:pPr>
      <w:r w:rsidRPr="0069399F">
        <w:rPr>
          <w:color w:val="000000"/>
        </w:rPr>
        <w:t xml:space="preserve">The specific dates are based on news events. First 23 July; this was one week before Māori protest the ‘stolen children’ (Menon, 2019). This protest displays the tension between the state and the Māori population. The state removes a disproportionate number of Māori children from their parents because they are at-risk according to the state institutions. However, the Māori population criticized this process because it </w:t>
      </w:r>
      <w:r w:rsidR="00420736">
        <w:rPr>
          <w:color w:val="000000"/>
        </w:rPr>
        <w:t>is</w:t>
      </w:r>
      <w:r w:rsidRPr="0069399F">
        <w:rPr>
          <w:color w:val="000000"/>
        </w:rPr>
        <w:t xml:space="preserve"> racially skewed and a legacy of colonization (Menon, 2019). This provides a starting point for this </w:t>
      </w:r>
      <w:r w:rsidR="003430A4" w:rsidRPr="0069399F">
        <w:rPr>
          <w:color w:val="000000"/>
        </w:rPr>
        <w:t>thesis because</w:t>
      </w:r>
      <w:r w:rsidRPr="0069399F">
        <w:rPr>
          <w:color w:val="000000"/>
        </w:rPr>
        <w:t xml:space="preserve"> it directly addresses national politics</w:t>
      </w:r>
      <w:r w:rsidR="00DD224A">
        <w:rPr>
          <w:color w:val="000000"/>
        </w:rPr>
        <w:t>. T</w:t>
      </w:r>
      <w:r w:rsidRPr="0069399F">
        <w:rPr>
          <w:color w:val="000000"/>
        </w:rPr>
        <w:t>hus</w:t>
      </w:r>
      <w:r w:rsidR="00DD224A">
        <w:rPr>
          <w:color w:val="000000"/>
        </w:rPr>
        <w:t>, this</w:t>
      </w:r>
      <w:r w:rsidRPr="0069399F">
        <w:rPr>
          <w:color w:val="000000"/>
        </w:rPr>
        <w:t xml:space="preserve"> can be expected to result in claims about Māori people. The end date, 17 February 2021 </w:t>
      </w:r>
      <w:r w:rsidR="00DD224A">
        <w:rPr>
          <w:color w:val="000000"/>
        </w:rPr>
        <w:t xml:space="preserve">is </w:t>
      </w:r>
      <w:r w:rsidRPr="0069399F">
        <w:rPr>
          <w:color w:val="000000"/>
        </w:rPr>
        <w:t xml:space="preserve">a week after the day that Rawiri Waititi, </w:t>
      </w:r>
      <w:r w:rsidR="00D92B65">
        <w:rPr>
          <w:color w:val="000000"/>
        </w:rPr>
        <w:t>MP</w:t>
      </w:r>
      <w:r w:rsidRPr="0069399F">
        <w:rPr>
          <w:color w:val="000000"/>
        </w:rPr>
        <w:t xml:space="preserve"> for the Māori Party, was ejected from Parliament because he wore a hei-tiki, a greenstone pendant with cultural importance </w:t>
      </w:r>
      <w:r w:rsidR="00974F4B">
        <w:rPr>
          <w:color w:val="000000"/>
        </w:rPr>
        <w:t xml:space="preserve">to </w:t>
      </w:r>
      <w:r w:rsidRPr="0069399F">
        <w:rPr>
          <w:color w:val="000000"/>
        </w:rPr>
        <w:t>Māori people, instead of the usual tie wor</w:t>
      </w:r>
      <w:r w:rsidR="00974F4B">
        <w:rPr>
          <w:color w:val="000000"/>
        </w:rPr>
        <w:t>n</w:t>
      </w:r>
      <w:r w:rsidRPr="0069399F">
        <w:rPr>
          <w:color w:val="000000"/>
        </w:rPr>
        <w:t xml:space="preserve"> by all other male M</w:t>
      </w:r>
      <w:r w:rsidR="00B04CED">
        <w:rPr>
          <w:color w:val="000000"/>
        </w:rPr>
        <w:t>Ps</w:t>
      </w:r>
      <w:r w:rsidRPr="0069399F">
        <w:rPr>
          <w:color w:val="000000"/>
        </w:rPr>
        <w:t xml:space="preserve">. </w:t>
      </w:r>
      <w:r w:rsidRPr="0069399F">
        <w:rPr>
          <w:rFonts w:cs="Segoe UI"/>
          <w:color w:val="0F1419"/>
        </w:rPr>
        <w:t>The speaker of the House, Trevor Mallard, made a U-turn in this debate. At first, he rejected Rawiri Waititi when he wanted to speak without</w:t>
      </w:r>
      <w:r w:rsidR="004F7887">
        <w:rPr>
          <w:rFonts w:cs="Segoe UI"/>
          <w:color w:val="0F1419"/>
        </w:rPr>
        <w:t xml:space="preserve"> a</w:t>
      </w:r>
      <w:r w:rsidRPr="0069399F">
        <w:rPr>
          <w:rFonts w:cs="Segoe UI"/>
          <w:color w:val="0F1419"/>
        </w:rPr>
        <w:t xml:space="preserve"> tie (Frost, 2021). After all the commotion, h</w:t>
      </w:r>
      <w:r w:rsidR="00B03BF7">
        <w:rPr>
          <w:rFonts w:cs="Segoe UI"/>
          <w:color w:val="0F1419"/>
        </w:rPr>
        <w:t>e</w:t>
      </w:r>
      <w:r w:rsidRPr="0069399F">
        <w:rPr>
          <w:rFonts w:cs="Segoe UI"/>
          <w:color w:val="0F1419"/>
        </w:rPr>
        <w:t xml:space="preserve"> stated that there was not enough support for change, even though he personally loathed the practice of wearing a tie (Frost, 2021). However, Mallard returned to his actions by stating </w:t>
      </w:r>
      <w:r w:rsidRPr="0069399F">
        <w:rPr>
          <w:rFonts w:cs="Segoe UI"/>
          <w:color w:val="0F1419"/>
        </w:rPr>
        <w:lastRenderedPageBreak/>
        <w:t xml:space="preserve">that a Standing Orders Committee had discussed the matter and a majority no longer </w:t>
      </w:r>
      <w:r w:rsidR="00412F71">
        <w:rPr>
          <w:rFonts w:cs="Segoe UI"/>
          <w:color w:val="0F1419"/>
        </w:rPr>
        <w:t>required</w:t>
      </w:r>
      <w:r w:rsidRPr="0069399F">
        <w:rPr>
          <w:rFonts w:cs="Segoe UI"/>
          <w:color w:val="0F1419"/>
        </w:rPr>
        <w:t xml:space="preserve"> a tie as appropriate business attire (NZ Herarld, 2021). </w:t>
      </w:r>
      <w:r w:rsidRPr="0069399F">
        <w:rPr>
          <w:color w:val="000000"/>
        </w:rPr>
        <w:t xml:space="preserve">The tie, or as Rawiri Waititi called it a ‘colonial noose’, is now no longer a necessary part of men's clothing in Parliament (Cramer, </w:t>
      </w:r>
      <w:sdt>
        <w:sdtPr>
          <w:tag w:val="goog_rdk_1"/>
          <w:id w:val="1249539893"/>
        </w:sdtPr>
        <w:sdtEndPr/>
        <w:sdtContent/>
      </w:sdt>
      <w:r w:rsidRPr="0069399F">
        <w:rPr>
          <w:color w:val="000000"/>
        </w:rPr>
        <w:t xml:space="preserve">2021). Prime Minister Jacinda Ardern </w:t>
      </w:r>
      <w:r w:rsidR="00C64BC1">
        <w:rPr>
          <w:color w:val="000000"/>
        </w:rPr>
        <w:t>said in a reaction</w:t>
      </w:r>
      <w:r w:rsidRPr="0069399F">
        <w:rPr>
          <w:color w:val="000000"/>
        </w:rPr>
        <w:t xml:space="preserve"> that she thinks this situation can be resolved and that most New Zealanders probably do not care about ties (Frost, 2021). Other MPs, both in the Labour Party as in other parties voice</w:t>
      </w:r>
      <w:r w:rsidR="00387567">
        <w:rPr>
          <w:color w:val="000000"/>
        </w:rPr>
        <w:t>d</w:t>
      </w:r>
      <w:r w:rsidRPr="0069399F">
        <w:rPr>
          <w:color w:val="000000"/>
        </w:rPr>
        <w:t xml:space="preserve"> a much stronger opinion. According to Chris Hipkins and Kieran McAnulty, both members of the Labour Party, wearing a tie shows respect to the democratic institution (Cooke, 2021). Simon Bridges (2020), leader of the National Party, himself from Māori descent, made a clear statement on Twitter: “</w:t>
      </w:r>
      <w:r w:rsidRPr="0069399F">
        <w:rPr>
          <w:rFonts w:cs="Segoe UI"/>
          <w:color w:val="0F1419"/>
        </w:rPr>
        <w:t xml:space="preserve">It may not be the biggest issue the world faces but men who come to Parliament should wear ties. It’s not a bar, or a club, or a business, it’s a national Parliament.” This occurrence reveals the still clashing cultures of </w:t>
      </w:r>
      <w:r w:rsidRPr="0069399F">
        <w:rPr>
          <w:color w:val="000000"/>
        </w:rPr>
        <w:t xml:space="preserve">Māori and Pākehā. Not all speeches between 23 July 2019 and 17 February 2021 </w:t>
      </w:r>
      <w:r w:rsidR="00D151B5">
        <w:rPr>
          <w:color w:val="000000"/>
        </w:rPr>
        <w:t xml:space="preserve">will be </w:t>
      </w:r>
      <w:r w:rsidRPr="0069399F">
        <w:rPr>
          <w:color w:val="000000"/>
        </w:rPr>
        <w:t xml:space="preserve">analysed. Only those where the word ‘Māori’ is mentioned, because this </w:t>
      </w:r>
      <w:r w:rsidR="00DD224A">
        <w:rPr>
          <w:color w:val="000000"/>
        </w:rPr>
        <w:t xml:space="preserve">is likely to </w:t>
      </w:r>
      <w:r w:rsidRPr="0069399F">
        <w:rPr>
          <w:color w:val="000000"/>
        </w:rPr>
        <w:t xml:space="preserve">cover all or almost all speeches that make claims about Māori people. </w:t>
      </w:r>
    </w:p>
    <w:p w14:paraId="6077644C" w14:textId="03054D29" w:rsidR="0069399F" w:rsidRPr="0069399F" w:rsidRDefault="0069399F" w:rsidP="007B4AB0">
      <w:pPr>
        <w:pStyle w:val="Geenafstand"/>
        <w:spacing w:line="360" w:lineRule="auto"/>
        <w:ind w:firstLine="708"/>
        <w:jc w:val="both"/>
        <w:rPr>
          <w:color w:val="000000"/>
        </w:rPr>
      </w:pPr>
      <w:r w:rsidRPr="0069399F">
        <w:rPr>
          <w:color w:val="000000"/>
        </w:rPr>
        <w:t>On the website of the Hansard reports</w:t>
      </w:r>
      <w:r w:rsidR="005D5F00">
        <w:rPr>
          <w:color w:val="000000"/>
        </w:rPr>
        <w:t xml:space="preserve"> </w:t>
      </w:r>
      <w:r w:rsidRPr="0069399F">
        <w:rPr>
          <w:color w:val="000000"/>
        </w:rPr>
        <w:t>of the parliamentary debates several filters can be applied.</w:t>
      </w:r>
      <w:r w:rsidR="000F7694">
        <w:rPr>
          <w:rStyle w:val="Voetnootmarkering"/>
          <w:color w:val="000000"/>
        </w:rPr>
        <w:footnoteReference w:id="13"/>
      </w:r>
      <w:r w:rsidRPr="0069399F">
        <w:rPr>
          <w:color w:val="000000"/>
        </w:rPr>
        <w:t xml:space="preserve"> The steps taken to get the needed speeches are the following; first the word ‘Māori’ is written in the ‘keyword’ bar; second, the correct parliament is chosen (</w:t>
      </w:r>
      <w:r w:rsidR="001B220E">
        <w:rPr>
          <w:color w:val="000000"/>
        </w:rPr>
        <w:t>52</w:t>
      </w:r>
      <w:r w:rsidR="001B220E" w:rsidRPr="001B220E">
        <w:rPr>
          <w:color w:val="000000"/>
          <w:vertAlign w:val="superscript"/>
        </w:rPr>
        <w:t>nd</w:t>
      </w:r>
      <w:r w:rsidR="001B220E">
        <w:rPr>
          <w:color w:val="000000"/>
        </w:rPr>
        <w:t xml:space="preserve"> or </w:t>
      </w:r>
      <w:r w:rsidRPr="0069399F">
        <w:rPr>
          <w:color w:val="000000"/>
        </w:rPr>
        <w:t>53</w:t>
      </w:r>
      <w:r w:rsidRPr="0069399F">
        <w:rPr>
          <w:color w:val="000000"/>
          <w:vertAlign w:val="superscript"/>
        </w:rPr>
        <w:t>rd</w:t>
      </w:r>
      <w:r w:rsidRPr="0069399F">
        <w:rPr>
          <w:color w:val="000000"/>
        </w:rPr>
        <w:t>); third, the correct ‘date range’ is selected and lastly a ‘speech’ is selected as document type. T</w:t>
      </w:r>
      <w:r w:rsidR="00DD224A">
        <w:rPr>
          <w:color w:val="000000"/>
        </w:rPr>
        <w:t>his</w:t>
      </w:r>
      <w:r w:rsidRPr="0069399F">
        <w:rPr>
          <w:color w:val="000000"/>
        </w:rPr>
        <w:t xml:space="preserve"> result</w:t>
      </w:r>
      <w:r w:rsidR="00DD224A">
        <w:rPr>
          <w:color w:val="000000"/>
        </w:rPr>
        <w:t>ed</w:t>
      </w:r>
      <w:r w:rsidRPr="0069399F">
        <w:rPr>
          <w:color w:val="000000"/>
        </w:rPr>
        <w:t xml:space="preserve"> in 131 speeches in the current government period and 695 speeches in the previous government period. The previous government period consists of far more speeches because it is a greater period. To be able to make a good comparison between the two government periods a proportional number of speeches shall be analysed</w:t>
      </w:r>
      <w:r w:rsidR="00170D00">
        <w:rPr>
          <w:color w:val="000000"/>
        </w:rPr>
        <w:t>, r</w:t>
      </w:r>
      <w:r w:rsidR="00311C86">
        <w:rPr>
          <w:color w:val="000000"/>
        </w:rPr>
        <w:t xml:space="preserve">esulting in 114 speeches. </w:t>
      </w:r>
      <w:r w:rsidRPr="0069399F">
        <w:rPr>
          <w:color w:val="000000"/>
        </w:rPr>
        <w:t xml:space="preserve">This means that all speeches of the current government will be analysed, but only a selection, 114 out of the 695, of the previous government. These </w:t>
      </w:r>
      <w:r w:rsidR="00DD224A">
        <w:rPr>
          <w:color w:val="000000"/>
        </w:rPr>
        <w:t xml:space="preserve">were </w:t>
      </w:r>
      <w:r w:rsidRPr="0069399F">
        <w:rPr>
          <w:color w:val="000000"/>
        </w:rPr>
        <w:t>randomly selected to provide a representative selection</w:t>
      </w:r>
      <w:r w:rsidR="004B1F6B">
        <w:rPr>
          <w:color w:val="000000"/>
        </w:rPr>
        <w:t>.</w:t>
      </w:r>
      <w:r w:rsidR="00763DF1">
        <w:rPr>
          <w:color w:val="000000"/>
        </w:rPr>
        <w:t xml:space="preserve"> In the next section the operationalization of the claims-making approach will be explained. </w:t>
      </w:r>
    </w:p>
    <w:p w14:paraId="0C1B487A" w14:textId="794516B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color w:val="000000"/>
        </w:rPr>
        <w:tab/>
      </w:r>
      <w:r w:rsidR="00A928A8">
        <w:rPr>
          <w:color w:val="000000"/>
        </w:rPr>
        <w:t xml:space="preserve"> </w:t>
      </w:r>
    </w:p>
    <w:p w14:paraId="0DB825F9" w14:textId="6B829470" w:rsidR="0069399F" w:rsidRPr="00412F50" w:rsidRDefault="0069399F" w:rsidP="007B4AB0">
      <w:pPr>
        <w:pStyle w:val="Kop2"/>
        <w:rPr>
          <w:rFonts w:ascii="Times New Roman" w:eastAsia="Times New Roman" w:hAnsi="Times New Roman" w:cs="Times New Roman"/>
          <w:lang w:val="en-GB"/>
        </w:rPr>
      </w:pPr>
      <w:bookmarkStart w:id="64" w:name="_heading=h.1t3h5sf" w:colFirst="0" w:colLast="0"/>
      <w:bookmarkStart w:id="65" w:name="_Toc74583797"/>
      <w:bookmarkStart w:id="66" w:name="_Toc75384065"/>
      <w:bookmarkEnd w:id="64"/>
      <w:r w:rsidRPr="00412F50">
        <w:rPr>
          <w:lang w:val="en-GB"/>
        </w:rPr>
        <w:t>3.3 Operationalization and claim</w:t>
      </w:r>
      <w:r w:rsidR="007B2F31" w:rsidRPr="00412F50">
        <w:rPr>
          <w:lang w:val="en-GB"/>
        </w:rPr>
        <w:t>s</w:t>
      </w:r>
      <w:r w:rsidRPr="00412F50">
        <w:rPr>
          <w:lang w:val="en-GB"/>
        </w:rPr>
        <w:t>-making in practice</w:t>
      </w:r>
      <w:bookmarkEnd w:id="65"/>
      <w:bookmarkEnd w:id="66"/>
    </w:p>
    <w:p w14:paraId="2BA3C7EC" w14:textId="1465DD47" w:rsidR="00231CE1" w:rsidRDefault="00B07037" w:rsidP="007B4AB0">
      <w:pPr>
        <w:pStyle w:val="Geenafstand"/>
        <w:spacing w:line="360" w:lineRule="auto"/>
        <w:ind w:firstLine="708"/>
        <w:jc w:val="both"/>
        <w:rPr>
          <w:color w:val="000000"/>
        </w:rPr>
      </w:pPr>
      <w:r w:rsidRPr="0069399F">
        <w:rPr>
          <w:color w:val="000000"/>
        </w:rPr>
        <w:t>In this thesis a claim</w:t>
      </w:r>
      <w:r>
        <w:rPr>
          <w:color w:val="000000"/>
        </w:rPr>
        <w:t>s</w:t>
      </w:r>
      <w:r w:rsidRPr="0069399F">
        <w:rPr>
          <w:color w:val="000000"/>
        </w:rPr>
        <w:t xml:space="preserve">-making analysis will be used to study the link between descriptive </w:t>
      </w:r>
      <w:r>
        <w:rPr>
          <w:color w:val="000000"/>
        </w:rPr>
        <w:t xml:space="preserve">representation </w:t>
      </w:r>
      <w:r w:rsidRPr="0069399F">
        <w:rPr>
          <w:color w:val="000000"/>
        </w:rPr>
        <w:t xml:space="preserve">and substantive </w:t>
      </w:r>
      <w:r>
        <w:rPr>
          <w:color w:val="000000"/>
        </w:rPr>
        <w:t xml:space="preserve">claims made on behalf of </w:t>
      </w:r>
      <w:r w:rsidRPr="0069399F">
        <w:rPr>
          <w:color w:val="000000"/>
        </w:rPr>
        <w:t>Māori</w:t>
      </w:r>
      <w:r>
        <w:rPr>
          <w:color w:val="000000"/>
        </w:rPr>
        <w:t xml:space="preserve"> people</w:t>
      </w:r>
      <w:r w:rsidRPr="0069399F">
        <w:rPr>
          <w:color w:val="000000"/>
        </w:rPr>
        <w:t xml:space="preserve">. The main reason to choose this method is that it sees “representation in terms of claims to be representative by a variety of political actors, rather than (as is normally the case) seeing it as an achieved, or potentially achievable, state of affairs as a result of election” (Saward, 2006, p.298). </w:t>
      </w:r>
      <w:r w:rsidR="00AD61BC">
        <w:rPr>
          <w:color w:val="000000"/>
        </w:rPr>
        <w:t>In the following sections, first the claims-</w:t>
      </w:r>
      <w:r w:rsidR="00AD61BC">
        <w:rPr>
          <w:color w:val="000000"/>
        </w:rPr>
        <w:lastRenderedPageBreak/>
        <w:t xml:space="preserve">making analysis will be further explained. After which the concepts ‘indigenous peoples’ and ‘claims’ are operationalized. </w:t>
      </w:r>
    </w:p>
    <w:p w14:paraId="22E69E2C" w14:textId="044ECC5D" w:rsidR="00DC78D0" w:rsidRDefault="00DC78D0" w:rsidP="008158E1">
      <w:pPr>
        <w:pStyle w:val="Geenafstand"/>
        <w:spacing w:line="360" w:lineRule="auto"/>
        <w:jc w:val="both"/>
        <w:rPr>
          <w:color w:val="000000"/>
        </w:rPr>
      </w:pPr>
    </w:p>
    <w:p w14:paraId="5E02BF1C" w14:textId="206D3D11" w:rsidR="00DC78D0" w:rsidRDefault="00DC78D0" w:rsidP="007B4AB0">
      <w:pPr>
        <w:pStyle w:val="Kop3"/>
      </w:pPr>
      <w:bookmarkStart w:id="67" w:name="_Toc75384066"/>
      <w:r>
        <w:t>3.3.1 Claims-making</w:t>
      </w:r>
      <w:bookmarkEnd w:id="67"/>
    </w:p>
    <w:p w14:paraId="667EA750" w14:textId="5AB487DE" w:rsidR="005F2316" w:rsidRDefault="00DD0FC2" w:rsidP="007B4AB0">
      <w:pPr>
        <w:pStyle w:val="Geenafstand"/>
        <w:spacing w:line="360" w:lineRule="auto"/>
        <w:ind w:firstLine="708"/>
        <w:jc w:val="both"/>
        <w:rPr>
          <w:color w:val="000000"/>
        </w:rPr>
      </w:pPr>
      <w:r>
        <w:rPr>
          <w:color w:val="000000"/>
        </w:rPr>
        <w:t>Pa</w:t>
      </w:r>
      <w:r w:rsidRPr="0069399F">
        <w:rPr>
          <w:color w:val="000000"/>
        </w:rPr>
        <w:t xml:space="preserve">rliamentary speeches will be coded using </w:t>
      </w:r>
      <w:r w:rsidR="00D2212C">
        <w:rPr>
          <w:color w:val="000000"/>
        </w:rPr>
        <w:t>a</w:t>
      </w:r>
      <w:r w:rsidRPr="0069399F">
        <w:rPr>
          <w:color w:val="000000"/>
        </w:rPr>
        <w:t xml:space="preserve"> claim</w:t>
      </w:r>
      <w:r>
        <w:rPr>
          <w:color w:val="000000"/>
        </w:rPr>
        <w:t>s</w:t>
      </w:r>
      <w:r w:rsidRPr="0069399F">
        <w:rPr>
          <w:color w:val="000000"/>
        </w:rPr>
        <w:t xml:space="preserve">-making approach. Saward is one of the first (2006) </w:t>
      </w:r>
      <w:r w:rsidR="00ED15A0">
        <w:rPr>
          <w:color w:val="000000"/>
        </w:rPr>
        <w:t>to design</w:t>
      </w:r>
      <w:r w:rsidRPr="0069399F">
        <w:rPr>
          <w:color w:val="000000"/>
        </w:rPr>
        <w:t xml:space="preserve"> such an approach in his article ‘The Representative Claim’. According to Saward (2006) a claim consists of a maker, a subject, an </w:t>
      </w:r>
      <w:r w:rsidR="003430A4" w:rsidRPr="0069399F">
        <w:rPr>
          <w:color w:val="000000"/>
        </w:rPr>
        <w:t>object,</w:t>
      </w:r>
      <w:r w:rsidRPr="0069399F">
        <w:rPr>
          <w:color w:val="000000"/>
        </w:rPr>
        <w:t xml:space="preserve"> and an audience. An example Saward (2006, p.308) offers states the following: “The conservative party (maker) offers itself (subject) as standing for the interests of “family” (object) to its electorate (audience)”. Severs (2012) argues that Saward</w:t>
      </w:r>
      <w:r w:rsidR="007C243B">
        <w:rPr>
          <w:color w:val="000000"/>
        </w:rPr>
        <w:t>’</w:t>
      </w:r>
      <w:r w:rsidRPr="0069399F">
        <w:rPr>
          <w:color w:val="000000"/>
        </w:rPr>
        <w:t>s (2006)</w:t>
      </w:r>
      <w:r w:rsidR="00325319">
        <w:rPr>
          <w:color w:val="000000"/>
        </w:rPr>
        <w:t xml:space="preserve"> </w:t>
      </w:r>
      <w:r w:rsidRPr="0069399F">
        <w:rPr>
          <w:color w:val="000000"/>
        </w:rPr>
        <w:t>claim</w:t>
      </w:r>
      <w:r>
        <w:rPr>
          <w:color w:val="000000"/>
        </w:rPr>
        <w:t>s</w:t>
      </w:r>
      <w:r w:rsidRPr="0069399F">
        <w:rPr>
          <w:color w:val="000000"/>
        </w:rPr>
        <w:t>-making analysis provides an insufficient basis for the study of substantive representation. Severs (2012) touches upon an important point; the claim Saward (2006) proposes is mainly symbolic and not substantive. To broaden the study of political representation from symbolic to substantive representation, a reference to an activity must be made. Severs (2012, p.173) adapts the claim in the following way to exemplify: “The conservative party (maker) offers itself (subject) as standing for the interests of “family” (object) to its electorate (audience) by denouncing revenue cuts for family allowances”. The explicit reference to an activity is what makes the claim substantive. Although the concepts of symbolic and substantive representation are interconnected, a distinction between the two can be made by differentiating separate parts of a claim. Claims that explicitly refer to an activity are received as substantive while claims that do not refer to an activity are purely symbolic. In this thesis an activity is present when the issue of a claim is linked to an addressee. An addressee is the person or group o</w:t>
      </w:r>
      <w:r w:rsidR="00485B4A">
        <w:rPr>
          <w:color w:val="000000"/>
        </w:rPr>
        <w:t>r</w:t>
      </w:r>
      <w:r w:rsidRPr="0069399F">
        <w:rPr>
          <w:color w:val="000000"/>
        </w:rPr>
        <w:t xml:space="preserve"> person that </w:t>
      </w:r>
      <w:r w:rsidR="00621058" w:rsidRPr="0069399F">
        <w:rPr>
          <w:color w:val="000000"/>
        </w:rPr>
        <w:t>must</w:t>
      </w:r>
      <w:r w:rsidRPr="0069399F">
        <w:rPr>
          <w:color w:val="000000"/>
        </w:rPr>
        <w:t xml:space="preserve"> take action. In the last section of this chapter the different aspects of </w:t>
      </w:r>
      <w:r>
        <w:rPr>
          <w:color w:val="000000"/>
        </w:rPr>
        <w:t xml:space="preserve">the </w:t>
      </w:r>
      <w:r w:rsidRPr="0069399F">
        <w:rPr>
          <w:color w:val="000000"/>
        </w:rPr>
        <w:t>claim</w:t>
      </w:r>
      <w:r>
        <w:rPr>
          <w:color w:val="000000"/>
        </w:rPr>
        <w:t>s</w:t>
      </w:r>
      <w:r w:rsidRPr="0069399F">
        <w:rPr>
          <w:color w:val="000000"/>
        </w:rPr>
        <w:t>-making analysis will be further explained</w:t>
      </w:r>
      <w:r w:rsidR="003F7CEF">
        <w:rPr>
          <w:color w:val="000000"/>
        </w:rPr>
        <w:t>.</w:t>
      </w:r>
      <w:r w:rsidR="00D300B5">
        <w:rPr>
          <w:color w:val="000000"/>
        </w:rPr>
        <w:t xml:space="preserve"> </w:t>
      </w:r>
    </w:p>
    <w:p w14:paraId="3DDEE4CE" w14:textId="14CADDC6" w:rsidR="00DD0FC2" w:rsidRDefault="00D300B5" w:rsidP="00FF53A4">
      <w:pPr>
        <w:pStyle w:val="Geenafstand"/>
        <w:spacing w:line="360" w:lineRule="auto"/>
        <w:ind w:firstLine="708"/>
        <w:jc w:val="both"/>
        <w:rPr>
          <w:color w:val="000000"/>
        </w:rPr>
      </w:pPr>
      <w:r w:rsidRPr="0069399F">
        <w:rPr>
          <w:color w:val="000000"/>
        </w:rPr>
        <w:t>As mentioned by Saward (2006)</w:t>
      </w:r>
      <w:r w:rsidR="00CE342E">
        <w:rPr>
          <w:color w:val="000000"/>
        </w:rPr>
        <w:t>,</w:t>
      </w:r>
      <w:r w:rsidRPr="0069399F">
        <w:rPr>
          <w:color w:val="000000"/>
        </w:rPr>
        <w:t xml:space="preserve"> a claim</w:t>
      </w:r>
      <w:r>
        <w:rPr>
          <w:color w:val="000000"/>
        </w:rPr>
        <w:t>s</w:t>
      </w:r>
      <w:r w:rsidRPr="0069399F">
        <w:rPr>
          <w:color w:val="000000"/>
        </w:rPr>
        <w:t>-making analysis can be performed by a variety of political actors. Being a political actor is not limited to democratic institutions. Nevertheless, this study only takes M</w:t>
      </w:r>
      <w:r>
        <w:rPr>
          <w:color w:val="000000"/>
        </w:rPr>
        <w:t xml:space="preserve">Ps </w:t>
      </w:r>
      <w:r w:rsidRPr="0069399F">
        <w:rPr>
          <w:color w:val="000000"/>
        </w:rPr>
        <w:t>into account</w:t>
      </w:r>
      <w:r>
        <w:rPr>
          <w:color w:val="000000"/>
        </w:rPr>
        <w:t xml:space="preserve">. </w:t>
      </w:r>
    </w:p>
    <w:p w14:paraId="2BE371CA" w14:textId="635BE986" w:rsidR="00471D8C" w:rsidRPr="00471D8C" w:rsidRDefault="00471D8C" w:rsidP="008158E1">
      <w:pPr>
        <w:pStyle w:val="Geenafstand"/>
        <w:spacing w:line="360" w:lineRule="auto"/>
        <w:jc w:val="both"/>
        <w:rPr>
          <w:color w:val="000000"/>
        </w:rPr>
      </w:pPr>
    </w:p>
    <w:p w14:paraId="6786649D" w14:textId="77777777" w:rsidR="0069399F" w:rsidRDefault="0069399F" w:rsidP="00FF53A4">
      <w:pPr>
        <w:pStyle w:val="Kop3"/>
        <w:rPr>
          <w:rFonts w:ascii="Times New Roman" w:eastAsia="Times New Roman" w:hAnsi="Times New Roman" w:cs="Times New Roman"/>
        </w:rPr>
      </w:pPr>
      <w:bookmarkStart w:id="68" w:name="_heading=h.4d34og8" w:colFirst="0" w:colLast="0"/>
      <w:bookmarkStart w:id="69" w:name="_Toc74583798"/>
      <w:bookmarkStart w:id="70" w:name="_Toc75384067"/>
      <w:bookmarkEnd w:id="68"/>
      <w:r>
        <w:t>3.3.1 Operationalization indigenous peoples</w:t>
      </w:r>
      <w:bookmarkEnd w:id="69"/>
      <w:bookmarkEnd w:id="70"/>
    </w:p>
    <w:p w14:paraId="29CEC1B0" w14:textId="30B465E4" w:rsidR="0069399F" w:rsidRDefault="0069399F" w:rsidP="00FF53A4">
      <w:pPr>
        <w:pStyle w:val="Geenafstand"/>
        <w:spacing w:line="360" w:lineRule="auto"/>
        <w:ind w:firstLine="708"/>
        <w:jc w:val="both"/>
        <w:rPr>
          <w:color w:val="000000"/>
        </w:rPr>
      </w:pPr>
      <w:r w:rsidRPr="0069399F">
        <w:rPr>
          <w:color w:val="000000"/>
        </w:rPr>
        <w:t xml:space="preserve">The concepts that require operationalization are </w:t>
      </w:r>
      <w:r w:rsidRPr="0069399F">
        <w:rPr>
          <w:i/>
          <w:color w:val="000000"/>
        </w:rPr>
        <w:t>indigenous peoples</w:t>
      </w:r>
      <w:r w:rsidRPr="0069399F">
        <w:rPr>
          <w:color w:val="000000"/>
        </w:rPr>
        <w:t xml:space="preserve"> and all aspects of a </w:t>
      </w:r>
      <w:r w:rsidRPr="0069399F">
        <w:rPr>
          <w:i/>
          <w:color w:val="000000"/>
        </w:rPr>
        <w:t xml:space="preserve">claim. </w:t>
      </w:r>
      <w:r w:rsidRPr="0069399F">
        <w:rPr>
          <w:color w:val="000000"/>
        </w:rPr>
        <w:t xml:space="preserve">To start with the first; who determines who has an indigenous identity? </w:t>
      </w:r>
      <w:r w:rsidR="008A130F">
        <w:rPr>
          <w:color w:val="000000"/>
        </w:rPr>
        <w:t>There</w:t>
      </w:r>
      <w:r w:rsidRPr="0069399F">
        <w:rPr>
          <w:color w:val="000000"/>
        </w:rPr>
        <w:t xml:space="preserve"> is no universal definition of indigenous peoples following international law (Griffiths, 2018). Definitions of indigenous peoples are quite controversial and often contested (Roach and Egan, 2008; Adebanwi, 2009; Shaw, 2008). The UNDRIP also does not provide a definition, but emphasises the importance of self-identification. This turns out to be a crucial criteri</w:t>
      </w:r>
      <w:r w:rsidR="00485B4A">
        <w:rPr>
          <w:color w:val="000000"/>
        </w:rPr>
        <w:t>on</w:t>
      </w:r>
      <w:r w:rsidRPr="0069399F">
        <w:rPr>
          <w:color w:val="000000"/>
        </w:rPr>
        <w:t xml:space="preserve"> (Griffiths, 2018; Corntassel, 2003, Wilson, 2009). However, it creates a tension with enforcement of international standards (Corntassel, 2003). This is linked with the problem of essentialism</w:t>
      </w:r>
      <w:r w:rsidR="0029728B">
        <w:rPr>
          <w:color w:val="000000"/>
        </w:rPr>
        <w:t>; n</w:t>
      </w:r>
      <w:r w:rsidRPr="0069399F">
        <w:rPr>
          <w:color w:val="000000"/>
        </w:rPr>
        <w:t xml:space="preserve">o universal definition can be given of indigenous peoples, while at the same </w:t>
      </w:r>
      <w:r w:rsidRPr="0069399F">
        <w:rPr>
          <w:color w:val="000000"/>
        </w:rPr>
        <w:lastRenderedPageBreak/>
        <w:t>time requiring a special treatment. This is the consequence of sharing certain essential characteristics while being a heavily heterogeneous group. Therefore</w:t>
      </w:r>
      <w:r w:rsidR="00485B4A">
        <w:rPr>
          <w:color w:val="000000"/>
        </w:rPr>
        <w:t>,</w:t>
      </w:r>
      <w:r w:rsidRPr="0069399F">
        <w:rPr>
          <w:color w:val="000000"/>
        </w:rPr>
        <w:t xml:space="preserve"> it is more useful to look at a definition of Māori people instead of trying to fit them into a definition of a pluralistic group of indigenous peoples. </w:t>
      </w:r>
      <w:r w:rsidRPr="0069399F">
        <w:t>Aotearoa</w:t>
      </w:r>
      <w:r w:rsidRPr="0069399F">
        <w:rPr>
          <w:color w:val="000000"/>
        </w:rPr>
        <w:t xml:space="preserve"> New Zealand confirms themselves to the common international standard; self-identification.</w:t>
      </w:r>
      <w:r w:rsidR="0015042B">
        <w:rPr>
          <w:rStyle w:val="Voetnootmarkering"/>
          <w:color w:val="000000"/>
        </w:rPr>
        <w:footnoteReference w:id="14"/>
      </w:r>
      <w:r w:rsidRPr="0069399F">
        <w:rPr>
          <w:color w:val="000000"/>
        </w:rPr>
        <w:t xml:space="preserve"> It is up to Māori people themselves to consider if they belong</w:t>
      </w:r>
      <w:r w:rsidR="00D35DA2">
        <w:rPr>
          <w:color w:val="000000"/>
        </w:rPr>
        <w:t xml:space="preserve"> to</w:t>
      </w:r>
      <w:r w:rsidRPr="0069399F">
        <w:rPr>
          <w:color w:val="000000"/>
        </w:rPr>
        <w:t xml:space="preserve"> an indigenous identity. This criteri</w:t>
      </w:r>
      <w:r w:rsidR="00485B4A">
        <w:rPr>
          <w:color w:val="000000"/>
        </w:rPr>
        <w:t>on</w:t>
      </w:r>
      <w:r w:rsidRPr="0069399F">
        <w:rPr>
          <w:color w:val="000000"/>
        </w:rPr>
        <w:t xml:space="preserve"> of self-identification is applied in the current electoral system. Voters can choose to register on the general or Māori roll</w:t>
      </w:r>
      <w:r w:rsidR="00C6057E">
        <w:rPr>
          <w:color w:val="000000"/>
        </w:rPr>
        <w:t>.</w:t>
      </w:r>
      <w:r w:rsidR="00257044">
        <w:rPr>
          <w:color w:val="000000"/>
          <w:vertAlign w:val="superscript"/>
        </w:rPr>
        <w:t>9</w:t>
      </w:r>
      <w:r w:rsidRPr="0069399F">
        <w:rPr>
          <w:color w:val="000000"/>
        </w:rPr>
        <w:t xml:space="preserve"> The seven M</w:t>
      </w:r>
      <w:r w:rsidR="00123F43">
        <w:rPr>
          <w:color w:val="000000"/>
        </w:rPr>
        <w:t>Ps</w:t>
      </w:r>
      <w:r w:rsidRPr="0069399F">
        <w:rPr>
          <w:color w:val="000000"/>
        </w:rPr>
        <w:t xml:space="preserve"> </w:t>
      </w:r>
      <w:r w:rsidR="00802C2D">
        <w:rPr>
          <w:color w:val="000000"/>
        </w:rPr>
        <w:t>who were</w:t>
      </w:r>
      <w:r w:rsidRPr="0069399F">
        <w:rPr>
          <w:color w:val="000000"/>
        </w:rPr>
        <w:t xml:space="preserve"> chosen via the Māori roll</w:t>
      </w:r>
      <w:r w:rsidR="00802C2D">
        <w:rPr>
          <w:color w:val="000000"/>
        </w:rPr>
        <w:t>,</w:t>
      </w:r>
      <w:r w:rsidRPr="0069399F">
        <w:rPr>
          <w:color w:val="000000"/>
        </w:rPr>
        <w:t xml:space="preserve"> identified themselves by standing for election for their Māori electorate. But Māori representatives can also be elected via the general roll or party lists. Table </w:t>
      </w:r>
      <w:r w:rsidR="00826120">
        <w:rPr>
          <w:color w:val="000000"/>
        </w:rPr>
        <w:t>A.</w:t>
      </w:r>
      <w:r w:rsidR="00FC1AE5">
        <w:rPr>
          <w:color w:val="000000"/>
        </w:rPr>
        <w:t>2</w:t>
      </w:r>
      <w:r w:rsidRPr="0069399F">
        <w:rPr>
          <w:color w:val="000000"/>
        </w:rPr>
        <w:t xml:space="preserve"> and </w:t>
      </w:r>
      <w:r w:rsidR="00826120">
        <w:rPr>
          <w:color w:val="000000"/>
        </w:rPr>
        <w:t>A.</w:t>
      </w:r>
      <w:r w:rsidR="00FC1AE5">
        <w:rPr>
          <w:color w:val="000000"/>
        </w:rPr>
        <w:t>3</w:t>
      </w:r>
      <w:r w:rsidRPr="0069399F">
        <w:rPr>
          <w:color w:val="000000"/>
        </w:rPr>
        <w:t xml:space="preserve"> </w:t>
      </w:r>
      <w:r w:rsidR="00826120">
        <w:rPr>
          <w:color w:val="000000"/>
        </w:rPr>
        <w:t>(</w:t>
      </w:r>
      <w:r w:rsidRPr="0069399F">
        <w:rPr>
          <w:color w:val="000000"/>
        </w:rPr>
        <w:t>Appendix</w:t>
      </w:r>
      <w:r w:rsidR="005617CF">
        <w:rPr>
          <w:color w:val="000000"/>
        </w:rPr>
        <w:t xml:space="preserve"> A</w:t>
      </w:r>
      <w:r w:rsidR="00826120">
        <w:rPr>
          <w:color w:val="000000"/>
        </w:rPr>
        <w:t>)</w:t>
      </w:r>
      <w:r w:rsidRPr="0069399F">
        <w:rPr>
          <w:color w:val="000000"/>
        </w:rPr>
        <w:t xml:space="preserve"> display all Members of Parliament in </w:t>
      </w:r>
      <w:r w:rsidR="00930AD9">
        <w:rPr>
          <w:color w:val="000000"/>
        </w:rPr>
        <w:t>both</w:t>
      </w:r>
      <w:r w:rsidRPr="0069399F">
        <w:rPr>
          <w:color w:val="000000"/>
        </w:rPr>
        <w:t xml:space="preserve"> government periods</w:t>
      </w:r>
      <w:r w:rsidR="00287354" w:rsidRPr="00287354">
        <w:rPr>
          <w:color w:val="000000"/>
        </w:rPr>
        <w:t xml:space="preserve"> </w:t>
      </w:r>
      <w:r w:rsidR="00287354" w:rsidRPr="0069399F">
        <w:rPr>
          <w:color w:val="000000"/>
        </w:rPr>
        <w:t>who identif</w:t>
      </w:r>
      <w:r w:rsidR="00287354">
        <w:rPr>
          <w:color w:val="000000"/>
        </w:rPr>
        <w:t>y</w:t>
      </w:r>
      <w:r w:rsidR="00287354" w:rsidRPr="0069399F">
        <w:rPr>
          <w:color w:val="000000"/>
        </w:rPr>
        <w:t xml:space="preserve"> themselves as</w:t>
      </w:r>
      <w:r w:rsidR="00287354">
        <w:rPr>
          <w:color w:val="000000"/>
        </w:rPr>
        <w:t xml:space="preserve"> </w:t>
      </w:r>
      <w:r w:rsidR="00287354" w:rsidRPr="0069399F">
        <w:rPr>
          <w:color w:val="000000"/>
        </w:rPr>
        <w:t>Māori</w:t>
      </w:r>
      <w:r w:rsidRPr="0069399F">
        <w:rPr>
          <w:color w:val="000000"/>
        </w:rPr>
        <w:t>. Th</w:t>
      </w:r>
      <w:r w:rsidR="00900EDA">
        <w:rPr>
          <w:color w:val="000000"/>
        </w:rPr>
        <w:t xml:space="preserve">is </w:t>
      </w:r>
      <w:r w:rsidRPr="0069399F">
        <w:rPr>
          <w:color w:val="000000"/>
        </w:rPr>
        <w:t xml:space="preserve">results in 27 </w:t>
      </w:r>
      <w:r w:rsidR="00900EDA" w:rsidRPr="0069399F">
        <w:rPr>
          <w:color w:val="000000"/>
        </w:rPr>
        <w:t xml:space="preserve">Māori </w:t>
      </w:r>
      <w:r w:rsidRPr="0069399F">
        <w:rPr>
          <w:color w:val="000000"/>
        </w:rPr>
        <w:t>MPs in the 52</w:t>
      </w:r>
      <w:r w:rsidRPr="0069399F">
        <w:rPr>
          <w:color w:val="000000"/>
          <w:vertAlign w:val="superscript"/>
        </w:rPr>
        <w:t>nd</w:t>
      </w:r>
      <w:r w:rsidRPr="0069399F">
        <w:rPr>
          <w:color w:val="000000"/>
        </w:rPr>
        <w:t xml:space="preserve"> government period and 23 in the 53</w:t>
      </w:r>
      <w:r w:rsidRPr="0069399F">
        <w:rPr>
          <w:color w:val="000000"/>
          <w:vertAlign w:val="superscript"/>
        </w:rPr>
        <w:t xml:space="preserve">rd </w:t>
      </w:r>
      <w:r w:rsidRPr="0069399F">
        <w:rPr>
          <w:color w:val="000000"/>
        </w:rPr>
        <w:t xml:space="preserve">government period. </w:t>
      </w:r>
    </w:p>
    <w:p w14:paraId="7BE950EE"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30D3B3C9" w14:textId="7314A2D4" w:rsidR="00DA2F11" w:rsidRPr="00DA2F11" w:rsidRDefault="0069399F" w:rsidP="00FF53A4">
      <w:pPr>
        <w:pStyle w:val="Kop3"/>
      </w:pPr>
      <w:bookmarkStart w:id="71" w:name="_heading=h.2s8eyo1" w:colFirst="0" w:colLast="0"/>
      <w:bookmarkStart w:id="72" w:name="_Toc74583799"/>
      <w:bookmarkStart w:id="73" w:name="_Toc75384068"/>
      <w:bookmarkEnd w:id="71"/>
      <w:r>
        <w:t>3.3.2 Operationalization claim</w:t>
      </w:r>
      <w:bookmarkEnd w:id="72"/>
      <w:bookmarkEnd w:id="73"/>
    </w:p>
    <w:p w14:paraId="286B6BFB" w14:textId="0A912E9B" w:rsidR="00481C0D" w:rsidRDefault="00481C0D" w:rsidP="00FF53A4">
      <w:pPr>
        <w:pStyle w:val="Geenafstand"/>
        <w:spacing w:line="360" w:lineRule="auto"/>
        <w:ind w:firstLine="708"/>
        <w:jc w:val="both"/>
        <w:rPr>
          <w:color w:val="000000"/>
        </w:rPr>
      </w:pPr>
      <w:r w:rsidRPr="0069399F">
        <w:rPr>
          <w:color w:val="000000"/>
        </w:rPr>
        <w:t xml:space="preserve">The claims by the </w:t>
      </w:r>
      <w:r w:rsidR="00E5294D">
        <w:rPr>
          <w:color w:val="000000"/>
        </w:rPr>
        <w:t>MPs</w:t>
      </w:r>
      <w:r w:rsidRPr="0069399F">
        <w:rPr>
          <w:color w:val="000000"/>
        </w:rPr>
        <w:t xml:space="preserve"> are the unit of analysis. M</w:t>
      </w:r>
      <w:r>
        <w:rPr>
          <w:color w:val="000000"/>
        </w:rPr>
        <w:t>Ps</w:t>
      </w:r>
      <w:r w:rsidRPr="0069399F">
        <w:rPr>
          <w:color w:val="000000"/>
        </w:rPr>
        <w:t xml:space="preserve"> were chosen instead of other political actors because the parliamentary process reveals the core of political representation. As Wängnerud (2009, p.65) describes: “It would be a mistake for research on substantive representation to sidestep the parliamentary process”. Despite a tendency towards more autonomy for indigenous governments, the national parliament remains the primary governance representing indigenous peoples (Morden, 2018). </w:t>
      </w:r>
    </w:p>
    <w:p w14:paraId="6D1F56A5" w14:textId="6F2A938C" w:rsidR="0069399F" w:rsidRPr="008C57E0" w:rsidRDefault="00350CF5" w:rsidP="00FF53A4">
      <w:pPr>
        <w:pStyle w:val="Geenafstand"/>
        <w:spacing w:line="360" w:lineRule="auto"/>
        <w:ind w:firstLine="708"/>
        <w:jc w:val="both"/>
      </w:pPr>
      <w:r>
        <w:rPr>
          <w:color w:val="000000"/>
        </w:rPr>
        <w:t xml:space="preserve">The </w:t>
      </w:r>
      <w:r w:rsidR="0069399F" w:rsidRPr="0069399F">
        <w:rPr>
          <w:color w:val="000000"/>
        </w:rPr>
        <w:t>conceptualization</w:t>
      </w:r>
      <w:r>
        <w:rPr>
          <w:color w:val="000000"/>
        </w:rPr>
        <w:t xml:space="preserve"> of claims is inadequate</w:t>
      </w:r>
      <w:r w:rsidR="0069399F" w:rsidRPr="0069399F">
        <w:rPr>
          <w:color w:val="000000"/>
        </w:rPr>
        <w:t xml:space="preserve"> </w:t>
      </w:r>
      <w:r>
        <w:rPr>
          <w:color w:val="000000"/>
        </w:rPr>
        <w:t xml:space="preserve">in the current literature on political representation </w:t>
      </w:r>
      <w:r w:rsidR="0069399F" w:rsidRPr="0069399F">
        <w:rPr>
          <w:color w:val="000000"/>
        </w:rPr>
        <w:t xml:space="preserve">(Guasti and Geissel, 2019). This is the result of </w:t>
      </w:r>
      <w:r w:rsidR="00146EFF">
        <w:rPr>
          <w:color w:val="000000"/>
        </w:rPr>
        <w:t xml:space="preserve">a </w:t>
      </w:r>
      <w:r w:rsidR="0069399F" w:rsidRPr="0069399F">
        <w:rPr>
          <w:color w:val="000000"/>
        </w:rPr>
        <w:t>mainly theoretical instead of empirical debate around claim</w:t>
      </w:r>
      <w:r w:rsidR="0049604F">
        <w:rPr>
          <w:color w:val="000000"/>
        </w:rPr>
        <w:t>s</w:t>
      </w:r>
      <w:r w:rsidR="0069399F" w:rsidRPr="0069399F">
        <w:rPr>
          <w:color w:val="000000"/>
        </w:rPr>
        <w:t>-making. However, there are scholars that did make a clear typology or applied the claim</w:t>
      </w:r>
      <w:r w:rsidR="00AA6DE1">
        <w:rPr>
          <w:color w:val="000000"/>
        </w:rPr>
        <w:t>s</w:t>
      </w:r>
      <w:r w:rsidR="0069399F" w:rsidRPr="0069399F">
        <w:rPr>
          <w:color w:val="000000"/>
        </w:rPr>
        <w:t>-making analysis in practice (e.g.</w:t>
      </w:r>
      <w:r w:rsidR="00485B4A">
        <w:rPr>
          <w:color w:val="000000"/>
        </w:rPr>
        <w:t>,</w:t>
      </w:r>
      <w:r w:rsidR="0069399F" w:rsidRPr="0069399F">
        <w:rPr>
          <w:color w:val="000000"/>
        </w:rPr>
        <w:t xml:space="preserve"> Severs, 2012; Gora and De Wilde, 2019; Joschko and Glaser, 2019, Heinisch and Werner, 2019). As mentioned in the beginning of this chapter, it is important to make sure that the claim is not purely symbolic, but also substantive (Severs, 2012). That means that a broader definition of a claim must be used than Sawards’ (2008) definition</w:t>
      </w:r>
      <w:r w:rsidR="003067F7">
        <w:rPr>
          <w:color w:val="000000"/>
        </w:rPr>
        <w:t xml:space="preserve">. </w:t>
      </w:r>
      <w:r w:rsidR="0069399F" w:rsidRPr="0069399F">
        <w:rPr>
          <w:color w:val="000000"/>
        </w:rPr>
        <w:t xml:space="preserve">There must be a reference to </w:t>
      </w:r>
      <w:r w:rsidR="00621058">
        <w:rPr>
          <w:color w:val="000000"/>
        </w:rPr>
        <w:t xml:space="preserve">an </w:t>
      </w:r>
      <w:r w:rsidR="0069399F" w:rsidRPr="0069399F">
        <w:rPr>
          <w:color w:val="000000"/>
        </w:rPr>
        <w:t xml:space="preserve">activity (Severs, 2012). </w:t>
      </w:r>
      <w:r w:rsidR="0069399F" w:rsidRPr="0069399F">
        <w:t xml:space="preserve">For this </w:t>
      </w:r>
      <w:r w:rsidR="00621058" w:rsidRPr="0069399F">
        <w:t>thesis,</w:t>
      </w:r>
      <w:r w:rsidR="002223CA">
        <w:t xml:space="preserve"> the definition of a claim is the following: “</w:t>
      </w:r>
      <w:r w:rsidR="0069399F" w:rsidRPr="0069399F">
        <w:t xml:space="preserve">the expression of a political opinion by verbal action in the parliamentary sphere regarding </w:t>
      </w:r>
      <w:r w:rsidR="00EF7511" w:rsidRPr="00444A93">
        <w:t>Māori</w:t>
      </w:r>
      <w:r w:rsidR="00EF7511">
        <w:t>’s</w:t>
      </w:r>
      <w:r w:rsidR="0069399F" w:rsidRPr="0069399F">
        <w:t>.</w:t>
      </w:r>
      <w:r w:rsidR="002223CA">
        <w:t>”</w:t>
      </w:r>
      <w:r w:rsidR="00251810">
        <w:t xml:space="preserve"> </w:t>
      </w:r>
      <w:r w:rsidR="0069399F" w:rsidRPr="0069399F">
        <w:t>This definition implies three delimitations: (1) instances of claim</w:t>
      </w:r>
      <w:r w:rsidR="007B2F31">
        <w:t>s</w:t>
      </w:r>
      <w:r w:rsidR="0069399F" w:rsidRPr="0069399F">
        <w:t xml:space="preserve">-making must be the result of purposive strategic action of the claimant, (2) they must deal with issues that relate to </w:t>
      </w:r>
      <w:r w:rsidR="00EF7511" w:rsidRPr="00444A93">
        <w:t>Māori</w:t>
      </w:r>
      <w:r w:rsidR="00EF7511">
        <w:t xml:space="preserve">’s </w:t>
      </w:r>
      <w:r w:rsidR="0069399F" w:rsidRPr="0069399F">
        <w:t>and (3) the claims must be made in parliamentary speeches. A claim c</w:t>
      </w:r>
      <w:r w:rsidR="001D66B4">
        <w:t>an c</w:t>
      </w:r>
      <w:r w:rsidR="0069399F" w:rsidRPr="0069399F">
        <w:t>onsist of the following aspects</w:t>
      </w:r>
      <w:r w:rsidR="00EF3411">
        <w:t>: location</w:t>
      </w:r>
      <w:r w:rsidR="000522D0">
        <w:t>, claimant</w:t>
      </w:r>
      <w:r w:rsidR="00EF3411">
        <w:t xml:space="preserve">, issue, addressee, evaluation of the addressee, object, </w:t>
      </w:r>
      <w:r w:rsidR="003430A4">
        <w:t>unification,</w:t>
      </w:r>
      <w:r w:rsidR="00EF3411">
        <w:t xml:space="preserve"> and justification.</w:t>
      </w:r>
      <w:r w:rsidR="0069399F" w:rsidRPr="0069399F">
        <w:t xml:space="preserve"> </w:t>
      </w:r>
      <w:r w:rsidR="0069399F" w:rsidRPr="0069399F">
        <w:rPr>
          <w:color w:val="000000"/>
        </w:rPr>
        <w:t xml:space="preserve">These aspects are </w:t>
      </w:r>
      <w:r w:rsidR="0069399F" w:rsidRPr="0069399F">
        <w:rPr>
          <w:color w:val="000000"/>
        </w:rPr>
        <w:lastRenderedPageBreak/>
        <w:t>commonly included in claim</w:t>
      </w:r>
      <w:r w:rsidR="00D55E3A">
        <w:rPr>
          <w:color w:val="000000"/>
        </w:rPr>
        <w:t>s</w:t>
      </w:r>
      <w:r w:rsidR="0069399F" w:rsidRPr="0069399F">
        <w:rPr>
          <w:color w:val="000000"/>
        </w:rPr>
        <w:t>-making analysis (Gora and De Wilde, 2019; Joschko and Glaser, 2019; Saward, 2008). Depending on the context and goal of the claim</w:t>
      </w:r>
      <w:r w:rsidR="008859C7">
        <w:rPr>
          <w:color w:val="000000"/>
        </w:rPr>
        <w:t>s</w:t>
      </w:r>
      <w:r w:rsidR="0069399F" w:rsidRPr="0069399F">
        <w:rPr>
          <w:color w:val="000000"/>
        </w:rPr>
        <w:t>-making analysis certain aspects need to be present to speak of a representative claim. In this thesis a distinction between two claims will be made. First</w:t>
      </w:r>
      <w:r w:rsidR="00485B4A">
        <w:rPr>
          <w:color w:val="000000"/>
        </w:rPr>
        <w:t>,</w:t>
      </w:r>
      <w:r w:rsidR="0069399F" w:rsidRPr="0069399F">
        <w:rPr>
          <w:color w:val="000000"/>
        </w:rPr>
        <w:t xml:space="preserve"> to speak of a symbolic claim</w:t>
      </w:r>
      <w:r w:rsidR="00485B4A">
        <w:rPr>
          <w:color w:val="000000"/>
        </w:rPr>
        <w:t>,</w:t>
      </w:r>
      <w:r w:rsidR="0069399F" w:rsidRPr="0069399F">
        <w:rPr>
          <w:color w:val="000000"/>
        </w:rPr>
        <w:t xml:space="preserve"> the following aspects need to </w:t>
      </w:r>
      <w:r w:rsidR="00742A07">
        <w:rPr>
          <w:color w:val="000000"/>
        </w:rPr>
        <w:t xml:space="preserve">be </w:t>
      </w:r>
      <w:r w:rsidR="0069399F" w:rsidRPr="0069399F">
        <w:rPr>
          <w:color w:val="000000"/>
        </w:rPr>
        <w:t xml:space="preserve">present: a claimant, an </w:t>
      </w:r>
      <w:r w:rsidR="003430A4" w:rsidRPr="0069399F">
        <w:rPr>
          <w:color w:val="000000"/>
        </w:rPr>
        <w:t>issue,</w:t>
      </w:r>
      <w:r w:rsidR="0069399F" w:rsidRPr="0069399F">
        <w:rPr>
          <w:color w:val="000000"/>
        </w:rPr>
        <w:t xml:space="preserve"> and an object. As mentioned by Severs (2012) </w:t>
      </w:r>
      <w:r w:rsidR="00485B4A" w:rsidRPr="0069399F">
        <w:rPr>
          <w:color w:val="000000"/>
        </w:rPr>
        <w:t>to</w:t>
      </w:r>
      <w:r w:rsidR="0069399F" w:rsidRPr="0069399F">
        <w:rPr>
          <w:color w:val="000000"/>
        </w:rPr>
        <w:t xml:space="preserve"> speak of a substantive claim also a reference to an activity </w:t>
      </w:r>
      <w:r w:rsidR="00485B4A" w:rsidRPr="0069399F">
        <w:rPr>
          <w:color w:val="000000"/>
        </w:rPr>
        <w:t>must</w:t>
      </w:r>
      <w:r w:rsidR="0069399F" w:rsidRPr="0069399F">
        <w:rPr>
          <w:color w:val="000000"/>
        </w:rPr>
        <w:t xml:space="preserve"> be made. </w:t>
      </w:r>
      <w:r w:rsidR="0069399F" w:rsidRPr="0069399F">
        <w:t>Therefore</w:t>
      </w:r>
      <w:r w:rsidR="00485B4A">
        <w:t>,</w:t>
      </w:r>
      <w:r w:rsidR="0069399F" w:rsidRPr="0069399F">
        <w:rPr>
          <w:color w:val="000000"/>
        </w:rPr>
        <w:t xml:space="preserve"> the following aspects are needed to speak of a substantive claim: a claimant, an issue, an object</w:t>
      </w:r>
      <w:r w:rsidR="00485B4A">
        <w:rPr>
          <w:color w:val="000000"/>
        </w:rPr>
        <w:t>,</w:t>
      </w:r>
      <w:r w:rsidR="0069399F" w:rsidRPr="0069399F">
        <w:rPr>
          <w:color w:val="000000"/>
        </w:rPr>
        <w:t xml:space="preserve"> and an addressee. </w:t>
      </w:r>
      <w:r w:rsidR="008C57E0" w:rsidRPr="008C57E0">
        <w:t>I will now proceed to explain each of these variables briefly (a further specification can be found in the codebook</w:t>
      </w:r>
      <w:r w:rsidR="00A057AF">
        <w:t>, A</w:t>
      </w:r>
      <w:r w:rsidR="008C57E0">
        <w:t>ppendix A</w:t>
      </w:r>
      <w:r w:rsidR="008C57E0" w:rsidRPr="008C57E0">
        <w:t>).</w:t>
      </w:r>
    </w:p>
    <w:p w14:paraId="36BA6F5D" w14:textId="77777777" w:rsidR="00FF53A4" w:rsidRDefault="00FF53A4" w:rsidP="008158E1">
      <w:pPr>
        <w:pStyle w:val="Geenafstand"/>
        <w:spacing w:line="360" w:lineRule="auto"/>
        <w:jc w:val="both"/>
        <w:rPr>
          <w:i/>
          <w:color w:val="000000"/>
        </w:rPr>
      </w:pPr>
    </w:p>
    <w:p w14:paraId="664BF5AB" w14:textId="7BA9A8B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i/>
          <w:color w:val="000000"/>
        </w:rPr>
        <w:t>Location</w:t>
      </w:r>
    </w:p>
    <w:p w14:paraId="0B1C9989" w14:textId="664A20A0" w:rsidR="0069399F" w:rsidRPr="0069399F" w:rsidRDefault="0069399F" w:rsidP="00FF53A4">
      <w:pPr>
        <w:pStyle w:val="Geenafstand"/>
        <w:spacing w:line="360" w:lineRule="auto"/>
        <w:ind w:firstLine="708"/>
        <w:jc w:val="both"/>
        <w:rPr>
          <w:rFonts w:ascii="Times New Roman" w:eastAsia="Times New Roman" w:hAnsi="Times New Roman" w:cs="Times New Roman"/>
          <w:sz w:val="24"/>
          <w:szCs w:val="24"/>
        </w:rPr>
      </w:pPr>
      <w:r w:rsidRPr="0069399F">
        <w:rPr>
          <w:color w:val="000000"/>
        </w:rPr>
        <w:t xml:space="preserve">The location answers the question </w:t>
      </w:r>
      <w:r w:rsidRPr="0069399F">
        <w:rPr>
          <w:i/>
          <w:color w:val="000000"/>
        </w:rPr>
        <w:t xml:space="preserve">when </w:t>
      </w:r>
      <w:r w:rsidRPr="0069399F">
        <w:rPr>
          <w:color w:val="000000"/>
        </w:rPr>
        <w:t xml:space="preserve">and </w:t>
      </w:r>
      <w:r w:rsidRPr="0069399F">
        <w:rPr>
          <w:i/>
          <w:color w:val="000000"/>
        </w:rPr>
        <w:t xml:space="preserve">where </w:t>
      </w:r>
      <w:r w:rsidRPr="0069399F">
        <w:rPr>
          <w:color w:val="000000"/>
        </w:rPr>
        <w:t xml:space="preserve">the claim is made. In this thesis the </w:t>
      </w:r>
      <w:r w:rsidRPr="0069399F">
        <w:rPr>
          <w:i/>
          <w:color w:val="000000"/>
        </w:rPr>
        <w:t xml:space="preserve">where </w:t>
      </w:r>
      <w:r w:rsidRPr="0069399F">
        <w:rPr>
          <w:color w:val="000000"/>
        </w:rPr>
        <w:t xml:space="preserve">is fixed beforehand, namely the Parliament of </w:t>
      </w:r>
      <w:r w:rsidRPr="0069399F">
        <w:t>Aotearoa</w:t>
      </w:r>
      <w:r w:rsidRPr="0069399F">
        <w:rPr>
          <w:color w:val="000000"/>
        </w:rPr>
        <w:t xml:space="preserve"> New Zealand. The </w:t>
      </w:r>
      <w:r w:rsidRPr="0069399F">
        <w:rPr>
          <w:i/>
          <w:color w:val="000000"/>
        </w:rPr>
        <w:t>when</w:t>
      </w:r>
      <w:r w:rsidRPr="0069399F">
        <w:rPr>
          <w:color w:val="000000"/>
        </w:rPr>
        <w:t xml:space="preserve"> is limited to the time frame determined in the last section; 23 July 2019 - 17 February 2021. </w:t>
      </w:r>
    </w:p>
    <w:p w14:paraId="633ACC46"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61BB7969"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i/>
          <w:color w:val="000000"/>
        </w:rPr>
        <w:t>Claimant</w:t>
      </w:r>
    </w:p>
    <w:p w14:paraId="702DA522" w14:textId="58F78E4A"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color w:val="000000"/>
        </w:rPr>
        <w:tab/>
        <w:t xml:space="preserve">A claimant is the actor that makes the claim. Also formulated as an “entity performing a strategic or communicative act in the public sphere” (De Wilde, 2013, p.286). For this </w:t>
      </w:r>
      <w:r w:rsidR="003430A4" w:rsidRPr="0069399F">
        <w:rPr>
          <w:color w:val="000000"/>
        </w:rPr>
        <w:t>thesis,</w:t>
      </w:r>
      <w:r w:rsidRPr="0069399F">
        <w:rPr>
          <w:color w:val="000000"/>
        </w:rPr>
        <w:t xml:space="preserve"> a distinction is made between an electorate </w:t>
      </w:r>
      <w:r w:rsidR="003873C4">
        <w:rPr>
          <w:color w:val="000000"/>
        </w:rPr>
        <w:t>and</w:t>
      </w:r>
      <w:r w:rsidRPr="0069399F">
        <w:rPr>
          <w:color w:val="000000"/>
        </w:rPr>
        <w:t xml:space="preserve"> a list MP. If a person is elected via an electorate seat a further distinction is made between the election via the general or Māori electorate. This difference is key in answering the research </w:t>
      </w:r>
      <w:r w:rsidR="003430A4" w:rsidRPr="0069399F">
        <w:rPr>
          <w:color w:val="000000"/>
        </w:rPr>
        <w:t>question because</w:t>
      </w:r>
      <w:r w:rsidRPr="0069399F">
        <w:rPr>
          <w:color w:val="000000"/>
        </w:rPr>
        <w:t xml:space="preserve"> it shows whether Māori MPs are more likely to claim Māori’s substantive representation than other MPs. But a</w:t>
      </w:r>
      <w:r w:rsidR="008E2648">
        <w:rPr>
          <w:color w:val="000000"/>
        </w:rPr>
        <w:t>n</w:t>
      </w:r>
      <w:r w:rsidRPr="0069399F">
        <w:rPr>
          <w:color w:val="000000"/>
        </w:rPr>
        <w:t xml:space="preserve"> MP who is not elected via the Māori roll can still be a Māori MP. Therefore, there is also a difference within the list MPs and the general electorate MPs whether they identify themsel</w:t>
      </w:r>
      <w:r w:rsidR="004C3FA8">
        <w:rPr>
          <w:color w:val="000000"/>
        </w:rPr>
        <w:t>ves</w:t>
      </w:r>
      <w:r w:rsidRPr="0069399F">
        <w:rPr>
          <w:color w:val="000000"/>
        </w:rPr>
        <w:t xml:space="preserve"> as Māori or not. These differences reveal whether there are any differences between Māori MPs who are especially elected because they are Māori and Māori MPs who are not elected with the goal of representing Māori interests. Finally</w:t>
      </w:r>
      <w:r w:rsidR="00485B4A">
        <w:rPr>
          <w:color w:val="000000"/>
        </w:rPr>
        <w:t>,</w:t>
      </w:r>
      <w:r w:rsidRPr="0069399F">
        <w:rPr>
          <w:color w:val="000000"/>
        </w:rPr>
        <w:t xml:space="preserve"> the gender of the MPs will be coded. </w:t>
      </w:r>
    </w:p>
    <w:p w14:paraId="2224EA16"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7D3514A5"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i/>
          <w:color w:val="000000"/>
        </w:rPr>
        <w:t>Addressee </w:t>
      </w:r>
    </w:p>
    <w:p w14:paraId="78660928" w14:textId="52B99D4D" w:rsidR="0069399F" w:rsidRPr="0069399F" w:rsidRDefault="0069399F" w:rsidP="008158E1">
      <w:pPr>
        <w:pStyle w:val="Geenafstand"/>
        <w:spacing w:line="360" w:lineRule="auto"/>
        <w:jc w:val="both"/>
      </w:pPr>
      <w:r w:rsidRPr="0069399F">
        <w:rPr>
          <w:color w:val="000000"/>
        </w:rPr>
        <w:tab/>
        <w:t>The addressee shows the group or individual at who the claim is directed. This should answer the question: “Who should take action?”. This could be the MP him- or herself</w:t>
      </w:r>
      <w:r w:rsidR="00AE2D72">
        <w:rPr>
          <w:color w:val="000000"/>
        </w:rPr>
        <w:t>,</w:t>
      </w:r>
      <w:r w:rsidRPr="0069399F">
        <w:rPr>
          <w:color w:val="000000"/>
        </w:rPr>
        <w:t xml:space="preserve"> other MPs</w:t>
      </w:r>
      <w:r w:rsidRPr="0069399F">
        <w:t>, other Māori MPs,</w:t>
      </w:r>
      <w:r w:rsidRPr="0069399F">
        <w:rPr>
          <w:color w:val="000000"/>
        </w:rPr>
        <w:t xml:space="preserve"> local actors, international actors</w:t>
      </w:r>
      <w:r w:rsidRPr="0069399F">
        <w:t xml:space="preserve">, the Māori Affairs Committee, </w:t>
      </w:r>
      <w:r w:rsidRPr="0069399F">
        <w:rPr>
          <w:color w:val="000000"/>
        </w:rPr>
        <w:t xml:space="preserve">the </w:t>
      </w:r>
      <w:r w:rsidR="003430A4" w:rsidRPr="0069399F">
        <w:rPr>
          <w:color w:val="000000"/>
        </w:rPr>
        <w:t>government,</w:t>
      </w:r>
      <w:r w:rsidRPr="0069399F">
        <w:rPr>
          <w:color w:val="000000"/>
        </w:rPr>
        <w:t xml:space="preserve"> or </w:t>
      </w:r>
      <w:r w:rsidRPr="0069399F">
        <w:t>Māori citizens</w:t>
      </w:r>
      <w:r w:rsidRPr="0069399F">
        <w:rPr>
          <w:color w:val="000000"/>
        </w:rPr>
        <w:t xml:space="preserve">. </w:t>
      </w:r>
      <w:r w:rsidRPr="0069399F">
        <w:t xml:space="preserve">When there is an addressee in addition to a claimant, an </w:t>
      </w:r>
      <w:r w:rsidR="003430A4" w:rsidRPr="0069399F">
        <w:t>issue,</w:t>
      </w:r>
      <w:r w:rsidRPr="0069399F">
        <w:t xml:space="preserve"> and an object, we speak of a substantive claim, because someone is urged to take action</w:t>
      </w:r>
      <w:r w:rsidR="00B74593">
        <w:t xml:space="preserve"> (Severs, 2012).</w:t>
      </w:r>
      <w:r w:rsidRPr="0069399F">
        <w:t xml:space="preserve"> </w:t>
      </w:r>
    </w:p>
    <w:p w14:paraId="7D7A3040" w14:textId="77777777" w:rsidR="0069399F" w:rsidRPr="0069399F" w:rsidRDefault="0069399F" w:rsidP="008158E1">
      <w:pPr>
        <w:pStyle w:val="Geenafstand"/>
        <w:spacing w:line="360" w:lineRule="auto"/>
        <w:jc w:val="both"/>
        <w:rPr>
          <w:color w:val="000000"/>
        </w:rPr>
      </w:pPr>
    </w:p>
    <w:p w14:paraId="5A68FF0A" w14:textId="77777777" w:rsidR="00FF53A4" w:rsidRDefault="00FF53A4" w:rsidP="008158E1">
      <w:pPr>
        <w:pStyle w:val="Geenafstand"/>
        <w:spacing w:line="360" w:lineRule="auto"/>
        <w:jc w:val="both"/>
        <w:rPr>
          <w:i/>
          <w:color w:val="000000"/>
        </w:rPr>
      </w:pPr>
    </w:p>
    <w:p w14:paraId="5399F6AB" w14:textId="294F186E" w:rsidR="0069399F" w:rsidRPr="0069399F" w:rsidRDefault="0069399F" w:rsidP="008158E1">
      <w:pPr>
        <w:pStyle w:val="Geenafstand"/>
        <w:spacing w:line="360" w:lineRule="auto"/>
        <w:jc w:val="both"/>
        <w:rPr>
          <w:i/>
          <w:color w:val="000000"/>
        </w:rPr>
      </w:pPr>
      <w:r w:rsidRPr="0069399F">
        <w:rPr>
          <w:i/>
          <w:color w:val="000000"/>
        </w:rPr>
        <w:lastRenderedPageBreak/>
        <w:t>Evaluation</w:t>
      </w:r>
    </w:p>
    <w:p w14:paraId="5498DBDB" w14:textId="334D5438" w:rsidR="0069399F" w:rsidRPr="0069399F" w:rsidRDefault="0069399F" w:rsidP="00FF53A4">
      <w:pPr>
        <w:pStyle w:val="Geenafstand"/>
        <w:spacing w:line="360" w:lineRule="auto"/>
        <w:ind w:firstLine="708"/>
        <w:jc w:val="both"/>
        <w:rPr>
          <w:rFonts w:ascii="Times New Roman" w:eastAsia="Times New Roman" w:hAnsi="Times New Roman" w:cs="Times New Roman"/>
          <w:sz w:val="24"/>
          <w:szCs w:val="24"/>
        </w:rPr>
      </w:pPr>
      <w:r w:rsidRPr="0069399F">
        <w:rPr>
          <w:color w:val="000000"/>
        </w:rPr>
        <w:t>Besides</w:t>
      </w:r>
      <w:r w:rsidR="00F6471F">
        <w:rPr>
          <w:color w:val="000000"/>
        </w:rPr>
        <w:t>,</w:t>
      </w:r>
      <w:r w:rsidRPr="0069399F">
        <w:rPr>
          <w:color w:val="000000"/>
        </w:rPr>
        <w:t xml:space="preserve"> the evaluation of the addressee matters. This can be positive, </w:t>
      </w:r>
      <w:r w:rsidR="003430A4" w:rsidRPr="0069399F">
        <w:rPr>
          <w:color w:val="000000"/>
        </w:rPr>
        <w:t>negative,</w:t>
      </w:r>
      <w:r w:rsidRPr="0069399F">
        <w:rPr>
          <w:color w:val="000000"/>
        </w:rPr>
        <w:t xml:space="preserve"> or absent. It is positive if an addressee is for example praised. While it is negative when an addressee is criticized. But there will not always be such an evaluation, resulting in the “absent” option. </w:t>
      </w:r>
      <w:r w:rsidR="004C2210">
        <w:rPr>
          <w:color w:val="000000"/>
        </w:rPr>
        <w:t xml:space="preserve">This variable is solely directed at the evaluation of the addressee, not </w:t>
      </w:r>
      <w:r w:rsidR="00492A22">
        <w:rPr>
          <w:color w:val="000000"/>
        </w:rPr>
        <w:t>to</w:t>
      </w:r>
      <w:r w:rsidR="004C2210">
        <w:rPr>
          <w:color w:val="000000"/>
        </w:rPr>
        <w:t xml:space="preserve"> other parts of the claim. </w:t>
      </w:r>
    </w:p>
    <w:p w14:paraId="07374351"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p>
    <w:p w14:paraId="6E1E3D56"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i/>
          <w:color w:val="000000"/>
        </w:rPr>
        <w:t>Issue</w:t>
      </w:r>
    </w:p>
    <w:p w14:paraId="126C57BA" w14:textId="0BD9B86A" w:rsidR="0069399F" w:rsidRPr="00E177F6" w:rsidRDefault="0069399F" w:rsidP="00FF53A4">
      <w:pPr>
        <w:pStyle w:val="Geenafstand"/>
        <w:spacing w:line="360" w:lineRule="auto"/>
        <w:ind w:firstLine="708"/>
        <w:jc w:val="both"/>
        <w:rPr>
          <w:rFonts w:ascii="Times New Roman" w:eastAsia="Times New Roman" w:hAnsi="Times New Roman" w:cs="Times New Roman"/>
          <w:sz w:val="24"/>
          <w:szCs w:val="24"/>
        </w:rPr>
      </w:pPr>
      <w:r w:rsidRPr="0069399F">
        <w:rPr>
          <w:color w:val="000000"/>
        </w:rPr>
        <w:t xml:space="preserve">The issue is </w:t>
      </w:r>
      <w:r w:rsidR="003A7F3B">
        <w:rPr>
          <w:color w:val="000000"/>
        </w:rPr>
        <w:t>a core part of the</w:t>
      </w:r>
      <w:r w:rsidRPr="0069399F">
        <w:rPr>
          <w:color w:val="000000"/>
        </w:rPr>
        <w:t xml:space="preserve"> claim. </w:t>
      </w:r>
      <w:r w:rsidR="003F68C6">
        <w:rPr>
          <w:color w:val="000000"/>
        </w:rPr>
        <w:t>T</w:t>
      </w:r>
      <w:r w:rsidRPr="0069399F">
        <w:rPr>
          <w:color w:val="000000"/>
        </w:rPr>
        <w:t xml:space="preserve">here is not a standard list of issues that are important for Māori people. This makes the determination of coding possibilities a difficult task. Morden (2018) studied the issue </w:t>
      </w:r>
      <w:r w:rsidR="00B97F4F">
        <w:rPr>
          <w:color w:val="000000"/>
        </w:rPr>
        <w:t xml:space="preserve">of </w:t>
      </w:r>
      <w:r w:rsidRPr="0069399F">
        <w:rPr>
          <w:color w:val="000000"/>
        </w:rPr>
        <w:t xml:space="preserve">representation of indigenous peoples in the Canadian Parliament. Morden (2018) created a list of issues divided in two dominating categories. The first category are universal issues, such as social policy or education, and the second category consists of indigenous-specific issues, such as </w:t>
      </w:r>
      <w:r w:rsidR="00B369C1">
        <w:rPr>
          <w:color w:val="000000"/>
        </w:rPr>
        <w:t>indigenous</w:t>
      </w:r>
      <w:r w:rsidRPr="0069399F">
        <w:rPr>
          <w:color w:val="000000"/>
        </w:rPr>
        <w:t xml:space="preserve"> rights. Morden (2018) also</w:t>
      </w:r>
      <w:r w:rsidR="008810CE">
        <w:rPr>
          <w:color w:val="000000"/>
        </w:rPr>
        <w:t xml:space="preserve"> finds</w:t>
      </w:r>
      <w:r w:rsidRPr="0069399F">
        <w:rPr>
          <w:color w:val="000000"/>
        </w:rPr>
        <w:t xml:space="preserve"> a bias, in the Canadian Parliament 76% of the issues raised for indigenous peoples are universal issues, only 24% are directed as specific indigenous issues. </w:t>
      </w:r>
      <w:r w:rsidRPr="00E177F6">
        <w:rPr>
          <w:color w:val="000000"/>
        </w:rPr>
        <w:t>The list of issues of this thesis is based on a combination of the list of Morden (2018) and the pre-coded claims</w:t>
      </w:r>
      <w:r w:rsidR="00170D00">
        <w:rPr>
          <w:color w:val="000000"/>
        </w:rPr>
        <w:t>, r</w:t>
      </w:r>
      <w:r w:rsidRPr="00E177F6">
        <w:rPr>
          <w:color w:val="000000"/>
        </w:rPr>
        <w:t>esulting in the following issues: </w:t>
      </w:r>
    </w:p>
    <w:p w14:paraId="616E22E1" w14:textId="77777777" w:rsidR="0069399F" w:rsidRPr="00E177F6" w:rsidRDefault="0069399F" w:rsidP="00FF53A4">
      <w:pPr>
        <w:pStyle w:val="Geenafstand"/>
        <w:numPr>
          <w:ilvl w:val="0"/>
          <w:numId w:val="7"/>
        </w:numPr>
        <w:spacing w:line="360" w:lineRule="auto"/>
        <w:jc w:val="both"/>
        <w:rPr>
          <w:rFonts w:ascii="Times New Roman" w:eastAsia="Times New Roman" w:hAnsi="Times New Roman" w:cs="Times New Roman"/>
          <w:sz w:val="24"/>
          <w:szCs w:val="24"/>
        </w:rPr>
      </w:pPr>
      <w:r w:rsidRPr="00E177F6">
        <w:rPr>
          <w:color w:val="000000"/>
        </w:rPr>
        <w:t>Universal issues</w:t>
      </w:r>
    </w:p>
    <w:p w14:paraId="593D074D"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Social policy </w:t>
      </w:r>
    </w:p>
    <w:p w14:paraId="154DEE97"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Health </w:t>
      </w:r>
    </w:p>
    <w:p w14:paraId="2619351C" w14:textId="77777777" w:rsidR="00FF53A4" w:rsidRDefault="0069399F" w:rsidP="00FF53A4">
      <w:pPr>
        <w:pStyle w:val="Geenafstand"/>
        <w:numPr>
          <w:ilvl w:val="1"/>
          <w:numId w:val="7"/>
        </w:numPr>
        <w:spacing w:line="360" w:lineRule="auto"/>
        <w:jc w:val="both"/>
        <w:rPr>
          <w:color w:val="000000"/>
        </w:rPr>
      </w:pPr>
      <w:r w:rsidRPr="00E177F6">
        <w:rPr>
          <w:color w:val="000000"/>
        </w:rPr>
        <w:t>Education, art and language</w:t>
      </w:r>
    </w:p>
    <w:p w14:paraId="0BB16085" w14:textId="576DB081" w:rsidR="0069399F" w:rsidRPr="00FF53A4" w:rsidRDefault="0069399F" w:rsidP="00FF53A4">
      <w:pPr>
        <w:pStyle w:val="Geenafstand"/>
        <w:numPr>
          <w:ilvl w:val="1"/>
          <w:numId w:val="7"/>
        </w:numPr>
        <w:spacing w:line="360" w:lineRule="auto"/>
        <w:jc w:val="both"/>
        <w:rPr>
          <w:color w:val="000000"/>
        </w:rPr>
      </w:pPr>
      <w:r w:rsidRPr="00FF53A4">
        <w:rPr>
          <w:color w:val="000000"/>
        </w:rPr>
        <w:t>Energy, resources and the environment</w:t>
      </w:r>
    </w:p>
    <w:p w14:paraId="2ED0750E"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Crime</w:t>
      </w:r>
    </w:p>
    <w:p w14:paraId="0E277068"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Trade and economy</w:t>
      </w:r>
    </w:p>
    <w:p w14:paraId="1A1002DA"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Housing</w:t>
      </w:r>
    </w:p>
    <w:p w14:paraId="734A1A18" w14:textId="6E64CB38" w:rsidR="0069399F" w:rsidRPr="00E177F6" w:rsidRDefault="0069399F" w:rsidP="00FF53A4">
      <w:pPr>
        <w:pStyle w:val="Geenafstand"/>
        <w:numPr>
          <w:ilvl w:val="0"/>
          <w:numId w:val="7"/>
        </w:numPr>
        <w:spacing w:line="360" w:lineRule="auto"/>
        <w:jc w:val="both"/>
        <w:rPr>
          <w:rFonts w:ascii="Times New Roman" w:eastAsia="Times New Roman" w:hAnsi="Times New Roman" w:cs="Times New Roman"/>
          <w:sz w:val="24"/>
          <w:szCs w:val="24"/>
        </w:rPr>
      </w:pPr>
      <w:r w:rsidRPr="00E177F6">
        <w:rPr>
          <w:color w:val="000000"/>
        </w:rPr>
        <w:t>Indigenous-specific issues</w:t>
      </w:r>
    </w:p>
    <w:p w14:paraId="7CD7EDB2"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Māori rights</w:t>
      </w:r>
    </w:p>
    <w:p w14:paraId="02C6C3EC" w14:textId="4052A462" w:rsidR="0069399F" w:rsidRPr="00E177F6" w:rsidRDefault="0069399F" w:rsidP="00FF53A4">
      <w:pPr>
        <w:pStyle w:val="Geenafstand"/>
        <w:numPr>
          <w:ilvl w:val="1"/>
          <w:numId w:val="7"/>
        </w:numPr>
        <w:spacing w:line="360" w:lineRule="auto"/>
        <w:jc w:val="both"/>
        <w:rPr>
          <w:color w:val="000000"/>
        </w:rPr>
      </w:pPr>
      <w:r w:rsidRPr="00E177F6">
        <w:rPr>
          <w:color w:val="000000"/>
        </w:rPr>
        <w:t>Treaty of Waitangi/Crown-Māori relation</w:t>
      </w:r>
      <w:r w:rsidR="00B8363F">
        <w:rPr>
          <w:color w:val="000000"/>
        </w:rPr>
        <w:t xml:space="preserve"> </w:t>
      </w:r>
    </w:p>
    <w:p w14:paraId="1E56EAC3"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Governance, autonomy and self-determination</w:t>
      </w:r>
    </w:p>
    <w:p w14:paraId="0778ECE6" w14:textId="77777777" w:rsidR="0069399F" w:rsidRPr="00E177F6" w:rsidRDefault="0069399F" w:rsidP="00FF53A4">
      <w:pPr>
        <w:pStyle w:val="Geenafstand"/>
        <w:numPr>
          <w:ilvl w:val="1"/>
          <w:numId w:val="7"/>
        </w:numPr>
        <w:spacing w:line="360" w:lineRule="auto"/>
        <w:jc w:val="both"/>
        <w:rPr>
          <w:color w:val="000000"/>
        </w:rPr>
      </w:pPr>
      <w:r w:rsidRPr="00E177F6">
        <w:rPr>
          <w:color w:val="000000"/>
        </w:rPr>
        <w:t>Land, wildlife and fisheries</w:t>
      </w:r>
    </w:p>
    <w:p w14:paraId="6325A810" w14:textId="77777777" w:rsidR="0069399F" w:rsidRPr="004414FC" w:rsidRDefault="0069399F" w:rsidP="008158E1">
      <w:pPr>
        <w:pStyle w:val="Geenafstand"/>
        <w:spacing w:line="360" w:lineRule="auto"/>
        <w:jc w:val="both"/>
        <w:rPr>
          <w:rFonts w:ascii="Times New Roman" w:eastAsia="Times New Roman" w:hAnsi="Times New Roman" w:cs="Times New Roman"/>
          <w:sz w:val="24"/>
          <w:szCs w:val="24"/>
        </w:rPr>
      </w:pPr>
    </w:p>
    <w:p w14:paraId="36AD610E" w14:textId="77777777" w:rsidR="0069399F" w:rsidRPr="0069399F" w:rsidRDefault="0069399F" w:rsidP="008158E1">
      <w:pPr>
        <w:pStyle w:val="Geenafstand"/>
        <w:spacing w:line="360" w:lineRule="auto"/>
        <w:jc w:val="both"/>
        <w:rPr>
          <w:rFonts w:ascii="Times New Roman" w:eastAsia="Times New Roman" w:hAnsi="Times New Roman" w:cs="Times New Roman"/>
          <w:sz w:val="24"/>
          <w:szCs w:val="24"/>
        </w:rPr>
      </w:pPr>
      <w:r w:rsidRPr="0069399F">
        <w:rPr>
          <w:i/>
          <w:color w:val="000000"/>
        </w:rPr>
        <w:t>Object</w:t>
      </w:r>
    </w:p>
    <w:p w14:paraId="34711780" w14:textId="68E619B2" w:rsidR="0069399F" w:rsidRPr="0069399F" w:rsidRDefault="0069399F" w:rsidP="008158E1">
      <w:pPr>
        <w:pStyle w:val="Geenafstand"/>
        <w:spacing w:line="360" w:lineRule="auto"/>
        <w:jc w:val="both"/>
        <w:rPr>
          <w:color w:val="000000"/>
        </w:rPr>
      </w:pPr>
      <w:r w:rsidRPr="0069399F">
        <w:rPr>
          <w:color w:val="000000"/>
        </w:rPr>
        <w:tab/>
        <w:t xml:space="preserve">The object represents </w:t>
      </w:r>
      <w:r w:rsidRPr="0069399F">
        <w:t xml:space="preserve">the person or group of persons on </w:t>
      </w:r>
      <w:r w:rsidRPr="0069399F">
        <w:rPr>
          <w:color w:val="000000"/>
        </w:rPr>
        <w:t>whose behalf the claim is made. In this thesis this should be on Māori people, otherwise we cannot speak of a claim. However</w:t>
      </w:r>
      <w:r w:rsidR="00485B4A">
        <w:rPr>
          <w:color w:val="000000"/>
        </w:rPr>
        <w:t>,</w:t>
      </w:r>
      <w:r w:rsidRPr="0069399F">
        <w:rPr>
          <w:color w:val="000000"/>
        </w:rPr>
        <w:t xml:space="preserve"> within all </w:t>
      </w:r>
      <w:r w:rsidRPr="0069399F">
        <w:rPr>
          <w:color w:val="000000"/>
        </w:rPr>
        <w:lastRenderedPageBreak/>
        <w:t>Māori people differences can be seen. In this study the focus is on three differences: the whole Māori population</w:t>
      </w:r>
      <w:r w:rsidRPr="0069399F">
        <w:t xml:space="preserve">, </w:t>
      </w:r>
      <w:r w:rsidRPr="0069399F">
        <w:rPr>
          <w:color w:val="000000"/>
        </w:rPr>
        <w:t xml:space="preserve">specific Māori groups or an individual person </w:t>
      </w:r>
      <w:r w:rsidR="0057440E">
        <w:rPr>
          <w:color w:val="000000"/>
        </w:rPr>
        <w:t>from</w:t>
      </w:r>
      <w:r w:rsidRPr="0069399F">
        <w:t xml:space="preserve"> Māori </w:t>
      </w:r>
      <w:r w:rsidR="0057440E">
        <w:t>descent</w:t>
      </w:r>
      <w:r w:rsidRPr="0069399F">
        <w:rPr>
          <w:color w:val="000000"/>
        </w:rPr>
        <w:t xml:space="preserve">. </w:t>
      </w:r>
    </w:p>
    <w:p w14:paraId="26CAF70C" w14:textId="3EB41CCF" w:rsidR="00A03129" w:rsidRDefault="0069399F" w:rsidP="008158E1">
      <w:pPr>
        <w:pStyle w:val="Geenafstand"/>
        <w:spacing w:line="360" w:lineRule="auto"/>
        <w:jc w:val="both"/>
        <w:rPr>
          <w:rFonts w:ascii="Times New Roman" w:eastAsia="Times New Roman" w:hAnsi="Times New Roman" w:cs="Times New Roman"/>
          <w:sz w:val="24"/>
          <w:szCs w:val="24"/>
        </w:rPr>
      </w:pPr>
      <w:r w:rsidRPr="0069399F">
        <w:rPr>
          <w:color w:val="000000"/>
        </w:rPr>
        <w:tab/>
        <w:t>The object differs from the addressee. The object shows on whose behalf the claim is made, thus about whom is talked</w:t>
      </w:r>
      <w:r w:rsidR="00E30610">
        <w:rPr>
          <w:color w:val="000000"/>
        </w:rPr>
        <w:t xml:space="preserve"> about</w:t>
      </w:r>
      <w:r w:rsidRPr="0069399F">
        <w:rPr>
          <w:color w:val="000000"/>
        </w:rPr>
        <w:t xml:space="preserve">, while the addressee mentions </w:t>
      </w:r>
      <w:r w:rsidR="00BF536F">
        <w:rPr>
          <w:color w:val="000000"/>
        </w:rPr>
        <w:t>who</w:t>
      </w:r>
      <w:r w:rsidRPr="0069399F">
        <w:rPr>
          <w:color w:val="000000"/>
        </w:rPr>
        <w:t xml:space="preserve"> </w:t>
      </w:r>
      <w:r w:rsidR="00485B4A" w:rsidRPr="0069399F">
        <w:t>must</w:t>
      </w:r>
      <w:r w:rsidRPr="0069399F">
        <w:rPr>
          <w:color w:val="000000"/>
        </w:rPr>
        <w:t xml:space="preserve"> </w:t>
      </w:r>
      <w:r w:rsidR="00621058" w:rsidRPr="0069399F">
        <w:rPr>
          <w:color w:val="000000"/>
        </w:rPr>
        <w:t>act</w:t>
      </w:r>
      <w:r w:rsidRPr="0069399F">
        <w:rPr>
          <w:color w:val="000000"/>
        </w:rPr>
        <w:t xml:space="preserve"> according to the claim. </w:t>
      </w:r>
    </w:p>
    <w:p w14:paraId="212C2028" w14:textId="77777777" w:rsidR="00744889" w:rsidRPr="0069399F" w:rsidRDefault="00744889" w:rsidP="008158E1">
      <w:pPr>
        <w:pStyle w:val="Geenafstand"/>
        <w:spacing w:line="360" w:lineRule="auto"/>
        <w:jc w:val="both"/>
        <w:rPr>
          <w:rFonts w:ascii="Times New Roman" w:eastAsia="Times New Roman" w:hAnsi="Times New Roman" w:cs="Times New Roman"/>
          <w:sz w:val="24"/>
          <w:szCs w:val="24"/>
        </w:rPr>
      </w:pPr>
    </w:p>
    <w:p w14:paraId="32FD3134" w14:textId="51104D18" w:rsidR="0069399F" w:rsidRPr="0069399F" w:rsidRDefault="00F744E9" w:rsidP="008158E1">
      <w:pPr>
        <w:pStyle w:val="Geenafstand"/>
        <w:spacing w:line="360" w:lineRule="auto"/>
        <w:jc w:val="both"/>
        <w:rPr>
          <w:rFonts w:ascii="Times New Roman" w:eastAsia="Times New Roman" w:hAnsi="Times New Roman" w:cs="Times New Roman"/>
          <w:sz w:val="24"/>
          <w:szCs w:val="24"/>
        </w:rPr>
      </w:pPr>
      <w:r>
        <w:rPr>
          <w:i/>
          <w:color w:val="000000"/>
        </w:rPr>
        <w:t>J</w:t>
      </w:r>
      <w:r w:rsidR="0069399F" w:rsidRPr="0069399F">
        <w:rPr>
          <w:i/>
          <w:color w:val="000000"/>
        </w:rPr>
        <w:t>ustification </w:t>
      </w:r>
    </w:p>
    <w:p w14:paraId="365567C4" w14:textId="16DE620F" w:rsidR="0069399F" w:rsidRDefault="0069399F" w:rsidP="008158E1">
      <w:pPr>
        <w:pStyle w:val="Geenafstand"/>
        <w:spacing w:line="360" w:lineRule="auto"/>
        <w:jc w:val="both"/>
      </w:pPr>
      <w:r w:rsidRPr="0069399F">
        <w:rPr>
          <w:i/>
          <w:color w:val="000000"/>
        </w:rPr>
        <w:tab/>
      </w:r>
      <w:r w:rsidRPr="0069399F">
        <w:rPr>
          <w:color w:val="000000"/>
        </w:rPr>
        <w:t>The justification of a claim consists of the argument being made. Gora and De Wilde (2019, p.30) define a justification as follows: “justifications are the explicit or implicit reasons given by a claimant to rationalize and/or legitimize his or her claims.” This can be done explicitly or contextually. T</w:t>
      </w:r>
      <w:r w:rsidRPr="0069399F">
        <w:t xml:space="preserve">he justification reveals the context and deeper argument in which the claim is seated. </w:t>
      </w:r>
      <w:r w:rsidRPr="0069399F">
        <w:rPr>
          <w:color w:val="000000"/>
        </w:rPr>
        <w:t xml:space="preserve">In the study of Morden (2018) the most common frame used is the ‘poverty-problem’. Other frames that Morden (2018) describes are ‘the culture of victimization’, ‘relationship to the land’ and ‘culture of complaint’. </w:t>
      </w:r>
      <w:r w:rsidR="005C368C">
        <w:rPr>
          <w:color w:val="000000"/>
        </w:rPr>
        <w:t>Justifications</w:t>
      </w:r>
      <w:r w:rsidRPr="0069399F">
        <w:rPr>
          <w:color w:val="000000"/>
        </w:rPr>
        <w:t xml:space="preserve"> that Gora and De Wilde (2019) describe have a broader basis. For example</w:t>
      </w:r>
      <w:r w:rsidR="00485B4A">
        <w:rPr>
          <w:color w:val="000000"/>
        </w:rPr>
        <w:t>;</w:t>
      </w:r>
      <w:r w:rsidRPr="0069399F">
        <w:rPr>
          <w:color w:val="000000"/>
        </w:rPr>
        <w:t xml:space="preserve"> democracy, equality, freedom, rule of law and protection of human dignity.</w:t>
      </w:r>
      <w:r w:rsidRPr="0069399F">
        <w:t xml:space="preserve"> The justifications used in this thesis are based on the precoding of some parliamentary speeches. </w:t>
      </w:r>
      <w:r w:rsidRPr="00765B59">
        <w:t>This resulted into seven categories:</w:t>
      </w:r>
      <w:r>
        <w:t xml:space="preserve"> </w:t>
      </w:r>
    </w:p>
    <w:p w14:paraId="057A95CF" w14:textId="77777777" w:rsidR="0069399F" w:rsidRDefault="0069399F" w:rsidP="0065541E">
      <w:pPr>
        <w:pStyle w:val="Geenafstand"/>
        <w:numPr>
          <w:ilvl w:val="0"/>
          <w:numId w:val="8"/>
        </w:numPr>
        <w:spacing w:line="360" w:lineRule="auto"/>
        <w:jc w:val="both"/>
      </w:pPr>
      <w:r>
        <w:t>Performance</w:t>
      </w:r>
    </w:p>
    <w:p w14:paraId="4AD1E43D" w14:textId="77777777" w:rsidR="0069399F" w:rsidRDefault="0069399F" w:rsidP="0065541E">
      <w:pPr>
        <w:pStyle w:val="Geenafstand"/>
        <w:numPr>
          <w:ilvl w:val="0"/>
          <w:numId w:val="8"/>
        </w:numPr>
        <w:spacing w:line="360" w:lineRule="auto"/>
        <w:jc w:val="both"/>
      </w:pPr>
      <w:r>
        <w:t>Injustice</w:t>
      </w:r>
    </w:p>
    <w:p w14:paraId="712DE148" w14:textId="77777777" w:rsidR="0069399F" w:rsidRDefault="0069399F" w:rsidP="0065541E">
      <w:pPr>
        <w:pStyle w:val="Geenafstand"/>
        <w:numPr>
          <w:ilvl w:val="0"/>
          <w:numId w:val="8"/>
        </w:numPr>
        <w:spacing w:line="360" w:lineRule="auto"/>
        <w:jc w:val="both"/>
      </w:pPr>
      <w:r>
        <w:t>Urgence</w:t>
      </w:r>
    </w:p>
    <w:p w14:paraId="0828814B" w14:textId="77777777" w:rsidR="0069399F" w:rsidRDefault="0069399F" w:rsidP="0065541E">
      <w:pPr>
        <w:pStyle w:val="Geenafstand"/>
        <w:numPr>
          <w:ilvl w:val="0"/>
          <w:numId w:val="8"/>
        </w:numPr>
        <w:spacing w:line="360" w:lineRule="auto"/>
        <w:jc w:val="both"/>
      </w:pPr>
      <w:r>
        <w:t>Substantive</w:t>
      </w:r>
    </w:p>
    <w:p w14:paraId="14F4D0B9" w14:textId="77777777" w:rsidR="0069399F" w:rsidRDefault="0069399F" w:rsidP="0065541E">
      <w:pPr>
        <w:pStyle w:val="Geenafstand"/>
        <w:numPr>
          <w:ilvl w:val="0"/>
          <w:numId w:val="8"/>
        </w:numPr>
        <w:spacing w:line="360" w:lineRule="auto"/>
        <w:jc w:val="both"/>
      </w:pPr>
      <w:r>
        <w:t>Culture</w:t>
      </w:r>
    </w:p>
    <w:p w14:paraId="0EF7FEB6" w14:textId="77777777" w:rsidR="0069399F" w:rsidRDefault="0069399F" w:rsidP="0065541E">
      <w:pPr>
        <w:pStyle w:val="Geenafstand"/>
        <w:numPr>
          <w:ilvl w:val="0"/>
          <w:numId w:val="8"/>
        </w:numPr>
        <w:spacing w:line="360" w:lineRule="auto"/>
        <w:jc w:val="both"/>
      </w:pPr>
      <w:r>
        <w:t>Economy</w:t>
      </w:r>
    </w:p>
    <w:p w14:paraId="5AF333C1" w14:textId="77777777" w:rsidR="0069399F" w:rsidRDefault="0069399F" w:rsidP="0065541E">
      <w:pPr>
        <w:pStyle w:val="Geenafstand"/>
        <w:numPr>
          <w:ilvl w:val="0"/>
          <w:numId w:val="8"/>
        </w:numPr>
        <w:spacing w:line="360" w:lineRule="auto"/>
        <w:jc w:val="both"/>
      </w:pPr>
      <w:r>
        <w:t>Absent</w:t>
      </w:r>
    </w:p>
    <w:p w14:paraId="767B8105" w14:textId="50C3E82A" w:rsidR="000437C8" w:rsidRDefault="0069399F" w:rsidP="0065541E">
      <w:pPr>
        <w:pStyle w:val="Geenafstand"/>
        <w:spacing w:line="360" w:lineRule="auto"/>
        <w:ind w:firstLine="360"/>
        <w:jc w:val="both"/>
      </w:pPr>
      <w:r w:rsidRPr="0069399F">
        <w:t>For example, in the second claim in figure 1 (next section), the claimant praises the Māori population (object) because of their good performance handling the Covid-crisis. Therefore</w:t>
      </w:r>
      <w:r w:rsidR="00485B4A">
        <w:t>,</w:t>
      </w:r>
      <w:r w:rsidRPr="0069399F">
        <w:t xml:space="preserve"> the justification coded is ‘performance’. </w:t>
      </w:r>
      <w:r w:rsidR="000F738C">
        <w:t>Th</w:t>
      </w:r>
      <w:r w:rsidRPr="0069399F">
        <w:t xml:space="preserve">e </w:t>
      </w:r>
      <w:r w:rsidR="00714FE7">
        <w:t>justifications are further specified in the codebook (Appendix A).</w:t>
      </w:r>
      <w:r w:rsidRPr="0069399F">
        <w:t xml:space="preserve"> </w:t>
      </w:r>
    </w:p>
    <w:p w14:paraId="06AE7FE8" w14:textId="77777777" w:rsidR="00B0627B" w:rsidRPr="0069399F" w:rsidRDefault="00B0627B" w:rsidP="0065541E">
      <w:pPr>
        <w:pStyle w:val="Geenafstand"/>
        <w:spacing w:line="360" w:lineRule="auto"/>
        <w:ind w:firstLine="360"/>
        <w:jc w:val="both"/>
      </w:pPr>
    </w:p>
    <w:p w14:paraId="2FB7587E" w14:textId="77777777" w:rsidR="0069399F" w:rsidRPr="006A0EC2" w:rsidRDefault="0069399F" w:rsidP="008158E1">
      <w:pPr>
        <w:pStyle w:val="Geenafstand"/>
        <w:spacing w:line="360" w:lineRule="auto"/>
        <w:jc w:val="both"/>
        <w:rPr>
          <w:i/>
          <w:iCs/>
        </w:rPr>
      </w:pPr>
      <w:r w:rsidRPr="006A0EC2">
        <w:rPr>
          <w:i/>
          <w:iCs/>
        </w:rPr>
        <w:t>Unification</w:t>
      </w:r>
    </w:p>
    <w:p w14:paraId="27CAB989" w14:textId="154108B8" w:rsidR="0069399F" w:rsidRDefault="0069399F" w:rsidP="00B0627B">
      <w:pPr>
        <w:pStyle w:val="Geenafstand"/>
        <w:spacing w:line="360" w:lineRule="auto"/>
        <w:ind w:firstLine="708"/>
        <w:jc w:val="both"/>
      </w:pPr>
      <w:r w:rsidRPr="0069399F">
        <w:t xml:space="preserve">The variable unification measures whether the claimant identifies with the object he or she claims to stand for. The claimant should create a certain degree of togetherness; the feeling that the claimant and object belong to each other and are facing the same difficulties. This is measured </w:t>
      </w:r>
      <w:r w:rsidR="00D52372">
        <w:t>with</w:t>
      </w:r>
      <w:r w:rsidRPr="0069399F">
        <w:t xml:space="preserve"> a binomial variable</w:t>
      </w:r>
      <w:r w:rsidR="00006D24">
        <w:t>, m</w:t>
      </w:r>
      <w:r w:rsidRPr="0069399F">
        <w:t xml:space="preserve">eaning that the unification is either present or absent. Words that </w:t>
      </w:r>
      <w:r w:rsidR="00B40727">
        <w:t>express</w:t>
      </w:r>
      <w:r w:rsidRPr="0069399F">
        <w:t xml:space="preserve"> </w:t>
      </w:r>
      <w:r w:rsidR="00DC525D" w:rsidRPr="0069399F">
        <w:t>unification</w:t>
      </w:r>
      <w:r w:rsidRPr="0069399F">
        <w:t xml:space="preserve"> need to show </w:t>
      </w:r>
      <w:r w:rsidR="00CA6C46" w:rsidRPr="0069399F">
        <w:t>unity</w:t>
      </w:r>
      <w:r w:rsidRPr="0069399F">
        <w:t xml:space="preserve">, like “our people” or “we as Māori people”. If this is the case, this can be seen as a form of the symbolic representation of Māori people. </w:t>
      </w:r>
    </w:p>
    <w:p w14:paraId="75631E4B" w14:textId="3E64ED36" w:rsidR="008C45B2" w:rsidRDefault="008C45B2" w:rsidP="00454F29">
      <w:pPr>
        <w:pStyle w:val="Geenafstand"/>
        <w:spacing w:line="360" w:lineRule="auto"/>
        <w:ind w:firstLine="708"/>
        <w:jc w:val="both"/>
      </w:pPr>
      <w:r w:rsidRPr="0069399F">
        <w:lastRenderedPageBreak/>
        <w:t>To provide a sufficient basis for all choices made above</w:t>
      </w:r>
      <w:r w:rsidR="002D16CC">
        <w:t>,</w:t>
      </w:r>
      <w:r w:rsidRPr="0069399F">
        <w:t xml:space="preserve"> a pre-coding analysis</w:t>
      </w:r>
      <w:r>
        <w:t xml:space="preserve"> of five speeches</w:t>
      </w:r>
      <w:r w:rsidRPr="0069399F">
        <w:t xml:space="preserve"> </w:t>
      </w:r>
      <w:r>
        <w:t>was</w:t>
      </w:r>
      <w:r w:rsidRPr="0069399F">
        <w:t xml:space="preserve"> executed</w:t>
      </w:r>
      <w:r>
        <w:t xml:space="preserve"> </w:t>
      </w:r>
      <w:r w:rsidR="000869C3">
        <w:t>(</w:t>
      </w:r>
      <w:r w:rsidR="000F22CF">
        <w:t>A</w:t>
      </w:r>
      <w:r w:rsidR="000869C3">
        <w:t xml:space="preserve">ppendix B). </w:t>
      </w:r>
      <w:r>
        <w:t xml:space="preserve">The next section gives two examples of these pre-coded speeches. </w:t>
      </w:r>
    </w:p>
    <w:p w14:paraId="40ED09A2" w14:textId="77777777" w:rsidR="00B0627B" w:rsidRPr="0069399F" w:rsidRDefault="00B0627B" w:rsidP="008158E1">
      <w:pPr>
        <w:pStyle w:val="Geenafstand"/>
        <w:spacing w:line="360" w:lineRule="auto"/>
        <w:jc w:val="both"/>
      </w:pPr>
    </w:p>
    <w:p w14:paraId="273C757E" w14:textId="34DE1B45" w:rsidR="0069399F" w:rsidRPr="001208D7" w:rsidRDefault="0069399F" w:rsidP="00B0627B">
      <w:pPr>
        <w:pStyle w:val="Kop2"/>
        <w:rPr>
          <w:lang w:val="en-GB"/>
        </w:rPr>
      </w:pPr>
      <w:bookmarkStart w:id="74" w:name="_heading=h.17dp8vu" w:colFirst="0" w:colLast="0"/>
      <w:bookmarkStart w:id="75" w:name="_Toc74583800"/>
      <w:bookmarkStart w:id="76" w:name="_Toc75384069"/>
      <w:bookmarkEnd w:id="74"/>
      <w:r w:rsidRPr="001208D7">
        <w:rPr>
          <w:lang w:val="en-GB"/>
        </w:rPr>
        <w:t xml:space="preserve">3.4 </w:t>
      </w:r>
      <w:bookmarkEnd w:id="75"/>
      <w:r w:rsidR="00CF04DD" w:rsidRPr="001208D7">
        <w:rPr>
          <w:lang w:val="en-GB"/>
        </w:rPr>
        <w:t>Examples of Claims</w:t>
      </w:r>
      <w:bookmarkEnd w:id="76"/>
      <w:r w:rsidR="00CF04DD" w:rsidRPr="001208D7">
        <w:rPr>
          <w:lang w:val="en-GB"/>
        </w:rPr>
        <w:t xml:space="preserve"> </w:t>
      </w:r>
    </w:p>
    <w:p w14:paraId="70177CD8" w14:textId="25F6A88D" w:rsidR="00C84795" w:rsidRDefault="00210137" w:rsidP="00B0627B">
      <w:pPr>
        <w:pStyle w:val="Geenafstand"/>
        <w:spacing w:line="360" w:lineRule="auto"/>
        <w:ind w:firstLine="708"/>
        <w:jc w:val="both"/>
      </w:pPr>
      <w:r>
        <w:t xml:space="preserve">A pre-coding analysis is executed to see whether the designed method fits the analysis of the speeches. </w:t>
      </w:r>
      <w:r w:rsidR="00CC6CFE">
        <w:t>The</w:t>
      </w:r>
      <w:r>
        <w:t xml:space="preserve"> pre-coded speeches </w:t>
      </w:r>
      <w:r w:rsidR="00CC6CFE">
        <w:t>can be found</w:t>
      </w:r>
      <w:r>
        <w:t xml:space="preserve"> in Appendix B. </w:t>
      </w:r>
      <w:r w:rsidR="007B41F1">
        <w:t xml:space="preserve">Figure 3.1 presents two examples of claims </w:t>
      </w:r>
      <w:r w:rsidR="00A407A9">
        <w:t xml:space="preserve">resulting </w:t>
      </w:r>
      <w:r w:rsidR="007B41F1">
        <w:t>from the pre-coded speeches.</w:t>
      </w:r>
      <w:r w:rsidR="0069399F" w:rsidRPr="0069399F">
        <w:t xml:space="preserve"> In the first column the claims made in the speeches are paraphrased.</w:t>
      </w:r>
      <w:r w:rsidR="00CF10D3">
        <w:t xml:space="preserve"> </w:t>
      </w:r>
      <w:r w:rsidR="002325E8">
        <w:t xml:space="preserve">The second column shows how the variables are coded. </w:t>
      </w:r>
      <w:r w:rsidR="004D2991">
        <w:t>Th</w:t>
      </w:r>
      <w:r w:rsidR="008C7E53">
        <w:t xml:space="preserve">e </w:t>
      </w:r>
      <w:r w:rsidR="00AF69FE">
        <w:t>first claim is made by</w:t>
      </w:r>
      <w:r w:rsidR="008C7E53">
        <w:t xml:space="preserve"> </w:t>
      </w:r>
      <w:r w:rsidR="00187E28">
        <w:t>Rawiri Waititi</w:t>
      </w:r>
      <w:r w:rsidR="00A0505D">
        <w:t>,</w:t>
      </w:r>
      <w:r w:rsidR="004A1A82">
        <w:t xml:space="preserve"> chosen via the </w:t>
      </w:r>
      <w:r w:rsidR="004A1A82" w:rsidRPr="0069399F">
        <w:rPr>
          <w:color w:val="000000"/>
        </w:rPr>
        <w:t>Māori</w:t>
      </w:r>
      <w:r w:rsidR="004A1A82">
        <w:rPr>
          <w:color w:val="000000"/>
        </w:rPr>
        <w:t xml:space="preserve"> roll</w:t>
      </w:r>
      <w:r w:rsidR="008C7E53">
        <w:t xml:space="preserve">. </w:t>
      </w:r>
      <w:r w:rsidR="00187E28">
        <w:t xml:space="preserve">Waititi is the leader of the </w:t>
      </w:r>
      <w:r w:rsidR="00187E28" w:rsidRPr="0069399F">
        <w:rPr>
          <w:color w:val="000000"/>
        </w:rPr>
        <w:t>Māori</w:t>
      </w:r>
      <w:r w:rsidR="00187E28">
        <w:rPr>
          <w:color w:val="000000"/>
        </w:rPr>
        <w:t xml:space="preserve"> Party and demands change in the electoral syste</w:t>
      </w:r>
      <w:r w:rsidR="00CA6238">
        <w:rPr>
          <w:color w:val="000000"/>
        </w:rPr>
        <w:t>m</w:t>
      </w:r>
      <w:r w:rsidR="00187E28">
        <w:rPr>
          <w:color w:val="000000"/>
        </w:rPr>
        <w:t>. Therefore</w:t>
      </w:r>
      <w:r w:rsidR="004F00DE">
        <w:rPr>
          <w:color w:val="000000"/>
        </w:rPr>
        <w:t>,</w:t>
      </w:r>
      <w:r w:rsidR="00187E28">
        <w:rPr>
          <w:color w:val="000000"/>
        </w:rPr>
        <w:t xml:space="preserve"> the issue is coded as ‘governance, autonomy and self-determination’. </w:t>
      </w:r>
      <w:r w:rsidR="00F173E1">
        <w:rPr>
          <w:color w:val="000000"/>
        </w:rPr>
        <w:t xml:space="preserve">Waititi is not requesting anyone to </w:t>
      </w:r>
      <w:r w:rsidR="004F00DE">
        <w:rPr>
          <w:color w:val="000000"/>
        </w:rPr>
        <w:t>act</w:t>
      </w:r>
      <w:r w:rsidR="006613DF">
        <w:rPr>
          <w:color w:val="000000"/>
        </w:rPr>
        <w:t xml:space="preserve"> resulting in an absent</w:t>
      </w:r>
      <w:r w:rsidR="00F173E1">
        <w:rPr>
          <w:color w:val="000000"/>
        </w:rPr>
        <w:t xml:space="preserve"> addressee</w:t>
      </w:r>
      <w:r w:rsidR="006613DF">
        <w:rPr>
          <w:color w:val="000000"/>
        </w:rPr>
        <w:t>. Ho</w:t>
      </w:r>
      <w:r w:rsidR="000622B1">
        <w:rPr>
          <w:color w:val="000000"/>
        </w:rPr>
        <w:t>wever, an attempt to unification is present. In his last sentence he states</w:t>
      </w:r>
      <w:r w:rsidR="004F00DE">
        <w:rPr>
          <w:color w:val="000000"/>
        </w:rPr>
        <w:t>,</w:t>
      </w:r>
      <w:r w:rsidR="000622B1">
        <w:rPr>
          <w:color w:val="000000"/>
        </w:rPr>
        <w:t xml:space="preserve"> “but we are here”</w:t>
      </w:r>
      <w:r w:rsidR="00006D24">
        <w:rPr>
          <w:color w:val="000000"/>
        </w:rPr>
        <w:t>, m</w:t>
      </w:r>
      <w:r w:rsidR="000622B1">
        <w:rPr>
          <w:color w:val="000000"/>
        </w:rPr>
        <w:t xml:space="preserve">eaning that he identifies himself with the </w:t>
      </w:r>
      <w:r w:rsidR="000622B1" w:rsidRPr="0069399F">
        <w:rPr>
          <w:color w:val="000000"/>
        </w:rPr>
        <w:t>Māori</w:t>
      </w:r>
      <w:r w:rsidR="000622B1">
        <w:rPr>
          <w:color w:val="000000"/>
        </w:rPr>
        <w:t xml:space="preserve"> population. </w:t>
      </w:r>
      <w:r w:rsidR="006F1082">
        <w:rPr>
          <w:color w:val="000000"/>
        </w:rPr>
        <w:t xml:space="preserve">No specific </w:t>
      </w:r>
      <w:r w:rsidR="006F1082" w:rsidRPr="0069399F">
        <w:rPr>
          <w:color w:val="000000"/>
        </w:rPr>
        <w:t>Māori</w:t>
      </w:r>
      <w:r w:rsidR="006F1082">
        <w:rPr>
          <w:color w:val="000000"/>
        </w:rPr>
        <w:t xml:space="preserve"> tribe or group is mentioned</w:t>
      </w:r>
      <w:r w:rsidR="00D101EA">
        <w:rPr>
          <w:color w:val="000000"/>
        </w:rPr>
        <w:t>. T</w:t>
      </w:r>
      <w:r w:rsidR="006F1082">
        <w:rPr>
          <w:color w:val="000000"/>
        </w:rPr>
        <w:t>herefore</w:t>
      </w:r>
      <w:r w:rsidR="004F00DE">
        <w:rPr>
          <w:color w:val="000000"/>
        </w:rPr>
        <w:t>,</w:t>
      </w:r>
      <w:r w:rsidR="006F1082">
        <w:rPr>
          <w:color w:val="000000"/>
        </w:rPr>
        <w:t xml:space="preserve"> the object is coded as ‘whole </w:t>
      </w:r>
      <w:r w:rsidR="006F1082" w:rsidRPr="0069399F">
        <w:rPr>
          <w:color w:val="000000"/>
        </w:rPr>
        <w:t>Māori</w:t>
      </w:r>
      <w:r w:rsidR="006F1082">
        <w:rPr>
          <w:color w:val="000000"/>
        </w:rPr>
        <w:t xml:space="preserve"> population’. </w:t>
      </w:r>
      <w:r w:rsidR="007A2134">
        <w:rPr>
          <w:color w:val="000000"/>
        </w:rPr>
        <w:t xml:space="preserve">Finally, the justification is coded as ‘injustice’, because Waititi demands change in the electoral laws due to the racist aspects and the fact that </w:t>
      </w:r>
      <w:r w:rsidR="007A2134" w:rsidRPr="0069399F">
        <w:rPr>
          <w:color w:val="000000"/>
        </w:rPr>
        <w:t>Māori</w:t>
      </w:r>
      <w:r w:rsidR="007A2134">
        <w:rPr>
          <w:color w:val="000000"/>
        </w:rPr>
        <w:t xml:space="preserve"> people were </w:t>
      </w:r>
      <w:r w:rsidR="00075E97">
        <w:rPr>
          <w:color w:val="000000"/>
        </w:rPr>
        <w:t>first-nation peoples</w:t>
      </w:r>
      <w:r w:rsidR="007A2134">
        <w:rPr>
          <w:color w:val="000000"/>
        </w:rPr>
        <w:t xml:space="preserve">. Waititi therefore claims that it would be fair to change these electoral laws. </w:t>
      </w:r>
      <w:r w:rsidR="007306AB">
        <w:rPr>
          <w:color w:val="000000"/>
        </w:rPr>
        <w:t xml:space="preserve">The second claim is made by Meka Whaitiri. Whaitiri is member of the Labour Party. Whaitiri acknowledges the response of the </w:t>
      </w:r>
      <w:r w:rsidR="007306AB" w:rsidRPr="0069399F">
        <w:rPr>
          <w:color w:val="000000"/>
        </w:rPr>
        <w:t>Māori</w:t>
      </w:r>
      <w:r w:rsidR="007306AB">
        <w:rPr>
          <w:color w:val="000000"/>
        </w:rPr>
        <w:t xml:space="preserve"> population in the Covid-19 crisis. The issue is therefore coded as ‘health’. </w:t>
      </w:r>
      <w:r w:rsidR="001102EC">
        <w:rPr>
          <w:color w:val="000000"/>
        </w:rPr>
        <w:t xml:space="preserve">Whaitiri makes no attempt to unification. </w:t>
      </w:r>
      <w:r w:rsidR="00497958">
        <w:rPr>
          <w:color w:val="000000"/>
        </w:rPr>
        <w:t>N</w:t>
      </w:r>
      <w:r w:rsidR="00947964">
        <w:rPr>
          <w:color w:val="000000"/>
        </w:rPr>
        <w:t xml:space="preserve">o addressee is mentioned either. </w:t>
      </w:r>
      <w:r w:rsidR="003C5057">
        <w:rPr>
          <w:color w:val="000000"/>
        </w:rPr>
        <w:t>Therefore, these variables are</w:t>
      </w:r>
      <w:r w:rsidR="00497958">
        <w:rPr>
          <w:color w:val="000000"/>
        </w:rPr>
        <w:t xml:space="preserve"> coded as ‘absent’. </w:t>
      </w:r>
      <w:r w:rsidR="00A64C5E">
        <w:rPr>
          <w:color w:val="000000"/>
        </w:rPr>
        <w:t xml:space="preserve">This claim is purely about the recognition of the conduct of the </w:t>
      </w:r>
      <w:r w:rsidR="00A64C5E" w:rsidRPr="0069399F">
        <w:rPr>
          <w:color w:val="000000"/>
        </w:rPr>
        <w:t>Māori</w:t>
      </w:r>
      <w:r w:rsidR="00A64C5E">
        <w:rPr>
          <w:color w:val="000000"/>
        </w:rPr>
        <w:t xml:space="preserve"> population</w:t>
      </w:r>
      <w:r w:rsidR="000448DC">
        <w:rPr>
          <w:color w:val="000000"/>
        </w:rPr>
        <w:t xml:space="preserve"> resulting in </w:t>
      </w:r>
      <w:r w:rsidR="00A64C5E">
        <w:rPr>
          <w:color w:val="000000"/>
        </w:rPr>
        <w:t xml:space="preserve">‘performance’ </w:t>
      </w:r>
      <w:r w:rsidR="000448DC">
        <w:rPr>
          <w:color w:val="000000"/>
        </w:rPr>
        <w:t xml:space="preserve">as justification </w:t>
      </w:r>
      <w:r w:rsidR="00A64C5E">
        <w:rPr>
          <w:color w:val="000000"/>
        </w:rPr>
        <w:t>and</w:t>
      </w:r>
      <w:r w:rsidR="00666976">
        <w:rPr>
          <w:color w:val="000000"/>
        </w:rPr>
        <w:t xml:space="preserve"> the ‘whole </w:t>
      </w:r>
      <w:r w:rsidR="00666976" w:rsidRPr="0069399F">
        <w:rPr>
          <w:color w:val="000000"/>
        </w:rPr>
        <w:t>Māori</w:t>
      </w:r>
      <w:r w:rsidR="00666976">
        <w:rPr>
          <w:color w:val="000000"/>
        </w:rPr>
        <w:t xml:space="preserve"> population’</w:t>
      </w:r>
      <w:r w:rsidR="00123E21">
        <w:rPr>
          <w:color w:val="000000"/>
        </w:rPr>
        <w:t xml:space="preserve"> as object. </w:t>
      </w:r>
    </w:p>
    <w:p w14:paraId="646925AF" w14:textId="60975D99" w:rsidR="0069399F" w:rsidRDefault="0069399F" w:rsidP="00DA65D4">
      <w:pPr>
        <w:pStyle w:val="Geenafstand"/>
        <w:spacing w:line="360" w:lineRule="auto"/>
        <w:ind w:firstLine="708"/>
        <w:jc w:val="both"/>
      </w:pPr>
      <w:r w:rsidRPr="0069399F">
        <w:t xml:space="preserve">Not all possible aspects of a claim are present, but the three </w:t>
      </w:r>
      <w:r w:rsidR="00E44B9C">
        <w:t xml:space="preserve">necessary </w:t>
      </w:r>
      <w:r w:rsidRPr="0069399F">
        <w:t>aspects to speak of a claim are</w:t>
      </w:r>
      <w:r w:rsidR="00761C7D">
        <w:t xml:space="preserve"> there</w:t>
      </w:r>
      <w:r w:rsidR="004F00DE">
        <w:t>:</w:t>
      </w:r>
      <w:r w:rsidRPr="0069399F">
        <w:t xml:space="preserve"> claimant, </w:t>
      </w:r>
      <w:r w:rsidR="003430A4" w:rsidRPr="0069399F">
        <w:t>issue,</w:t>
      </w:r>
      <w:r w:rsidRPr="0069399F">
        <w:t xml:space="preserve"> and object. According to the determined criteria </w:t>
      </w:r>
      <w:r w:rsidR="00B74CB0">
        <w:t>both claims would be symbolic</w:t>
      </w:r>
      <w:r w:rsidR="007227BD">
        <w:t xml:space="preserve"> and not substantive</w:t>
      </w:r>
      <w:r w:rsidR="00B74CB0">
        <w:t xml:space="preserve">, because no addressee is mentioned. </w:t>
      </w:r>
    </w:p>
    <w:p w14:paraId="29EE96F1" w14:textId="412165A8" w:rsidR="00B0627B" w:rsidRDefault="00B0627B" w:rsidP="008158E1">
      <w:pPr>
        <w:pStyle w:val="Geenafstand"/>
        <w:spacing w:line="360" w:lineRule="auto"/>
        <w:jc w:val="both"/>
      </w:pPr>
    </w:p>
    <w:p w14:paraId="3945AA29" w14:textId="409DAF5A" w:rsidR="00B0627B" w:rsidRDefault="00B0627B" w:rsidP="008158E1">
      <w:pPr>
        <w:pStyle w:val="Geenafstand"/>
        <w:spacing w:line="360" w:lineRule="auto"/>
        <w:jc w:val="both"/>
      </w:pPr>
    </w:p>
    <w:p w14:paraId="7C5CDBF8" w14:textId="6D69FE72" w:rsidR="00B0627B" w:rsidRDefault="00B0627B" w:rsidP="008158E1">
      <w:pPr>
        <w:pStyle w:val="Geenafstand"/>
        <w:spacing w:line="360" w:lineRule="auto"/>
        <w:jc w:val="both"/>
      </w:pPr>
    </w:p>
    <w:p w14:paraId="16533AA7" w14:textId="13B8065D" w:rsidR="00B0627B" w:rsidRDefault="00B0627B" w:rsidP="008158E1">
      <w:pPr>
        <w:pStyle w:val="Geenafstand"/>
        <w:spacing w:line="360" w:lineRule="auto"/>
        <w:jc w:val="both"/>
      </w:pPr>
    </w:p>
    <w:p w14:paraId="15D8D28A" w14:textId="7D2FFD5A" w:rsidR="00B0627B" w:rsidRDefault="00B0627B" w:rsidP="008158E1">
      <w:pPr>
        <w:pStyle w:val="Geenafstand"/>
        <w:spacing w:line="360" w:lineRule="auto"/>
        <w:jc w:val="both"/>
      </w:pPr>
    </w:p>
    <w:p w14:paraId="351768AC" w14:textId="65D78098" w:rsidR="00B0627B" w:rsidRDefault="00B0627B" w:rsidP="008158E1">
      <w:pPr>
        <w:pStyle w:val="Geenafstand"/>
        <w:spacing w:line="360" w:lineRule="auto"/>
        <w:jc w:val="both"/>
      </w:pPr>
    </w:p>
    <w:p w14:paraId="176D2A20" w14:textId="0F91816E" w:rsidR="00B0627B" w:rsidRDefault="00B0627B" w:rsidP="008158E1">
      <w:pPr>
        <w:pStyle w:val="Geenafstand"/>
        <w:spacing w:line="360" w:lineRule="auto"/>
        <w:jc w:val="both"/>
      </w:pPr>
    </w:p>
    <w:p w14:paraId="5C1F2097" w14:textId="5C004055" w:rsidR="00B0627B" w:rsidRDefault="00B0627B" w:rsidP="008158E1">
      <w:pPr>
        <w:pStyle w:val="Geenafstand"/>
        <w:spacing w:line="360" w:lineRule="auto"/>
        <w:jc w:val="both"/>
      </w:pPr>
    </w:p>
    <w:p w14:paraId="10B0D479" w14:textId="0817C731" w:rsidR="00B0627B" w:rsidRDefault="00B0627B" w:rsidP="008158E1">
      <w:pPr>
        <w:pStyle w:val="Geenafstand"/>
        <w:spacing w:line="360" w:lineRule="auto"/>
        <w:jc w:val="both"/>
      </w:pPr>
    </w:p>
    <w:p w14:paraId="134145B8" w14:textId="597F262D" w:rsidR="00B0627B" w:rsidRDefault="00B0627B" w:rsidP="008158E1">
      <w:pPr>
        <w:pStyle w:val="Geenafstand"/>
        <w:spacing w:line="360" w:lineRule="auto"/>
        <w:jc w:val="both"/>
      </w:pPr>
    </w:p>
    <w:p w14:paraId="7DE8631C" w14:textId="77777777" w:rsidR="00B0627B" w:rsidRPr="0069399F" w:rsidRDefault="00B0627B" w:rsidP="008158E1">
      <w:pPr>
        <w:pStyle w:val="Geenafstand"/>
        <w:spacing w:line="360" w:lineRule="auto"/>
        <w:jc w:val="both"/>
      </w:pPr>
    </w:p>
    <w:p w14:paraId="2A35FFEC" w14:textId="47C8FDCF" w:rsidR="00EB3223" w:rsidRPr="00B0627B" w:rsidRDefault="00EB3223" w:rsidP="00B0627B">
      <w:pPr>
        <w:pStyle w:val="Kop3"/>
        <w:rPr>
          <w:sz w:val="20"/>
          <w:szCs w:val="20"/>
        </w:rPr>
      </w:pPr>
      <w:bookmarkStart w:id="77" w:name="_Toc74503462"/>
      <w:bookmarkStart w:id="78" w:name="_Toc74583593"/>
      <w:bookmarkStart w:id="79" w:name="_Toc74583801"/>
      <w:bookmarkStart w:id="80" w:name="_Toc75384070"/>
      <w:r w:rsidRPr="00B0627B">
        <w:rPr>
          <w:sz w:val="20"/>
          <w:szCs w:val="20"/>
        </w:rPr>
        <w:lastRenderedPageBreak/>
        <w:t>Tabl</w:t>
      </w:r>
      <w:r w:rsidR="00AA55EE" w:rsidRPr="00B0627B">
        <w:rPr>
          <w:sz w:val="20"/>
          <w:szCs w:val="20"/>
        </w:rPr>
        <w:t>e</w:t>
      </w:r>
      <w:r w:rsidRPr="00B0627B">
        <w:rPr>
          <w:sz w:val="20"/>
          <w:szCs w:val="20"/>
        </w:rPr>
        <w:t xml:space="preserve"> 3.1 Examples of claims</w:t>
      </w:r>
      <w:bookmarkEnd w:id="77"/>
      <w:bookmarkEnd w:id="78"/>
      <w:bookmarkEnd w:id="79"/>
      <w:bookmarkEnd w:id="80"/>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9399F" w14:paraId="28866EC8" w14:textId="77777777" w:rsidTr="00F35595">
        <w:tc>
          <w:tcPr>
            <w:tcW w:w="4531" w:type="dxa"/>
          </w:tcPr>
          <w:p w14:paraId="30D79307" w14:textId="77777777" w:rsidR="0069399F" w:rsidRDefault="0069399F" w:rsidP="008158E1">
            <w:pPr>
              <w:pStyle w:val="Geenafstand"/>
              <w:spacing w:line="360" w:lineRule="auto"/>
              <w:jc w:val="both"/>
              <w:rPr>
                <w:color w:val="000000"/>
              </w:rPr>
            </w:pPr>
            <w:r>
              <w:rPr>
                <w:color w:val="000000"/>
              </w:rPr>
              <w:t>Claim</w:t>
            </w:r>
          </w:p>
        </w:tc>
        <w:tc>
          <w:tcPr>
            <w:tcW w:w="4531" w:type="dxa"/>
          </w:tcPr>
          <w:p w14:paraId="59302EF6" w14:textId="77777777" w:rsidR="0069399F" w:rsidRDefault="0069399F" w:rsidP="008158E1">
            <w:pPr>
              <w:pStyle w:val="Geenafstand"/>
              <w:spacing w:line="360" w:lineRule="auto"/>
              <w:jc w:val="both"/>
              <w:rPr>
                <w:color w:val="000000"/>
              </w:rPr>
            </w:pPr>
            <w:r>
              <w:rPr>
                <w:color w:val="000000"/>
              </w:rPr>
              <w:t>Variables</w:t>
            </w:r>
          </w:p>
        </w:tc>
      </w:tr>
      <w:tr w:rsidR="0069399F" w:rsidRPr="00534958" w14:paraId="680E2885" w14:textId="77777777" w:rsidTr="00F35595">
        <w:tc>
          <w:tcPr>
            <w:tcW w:w="4531" w:type="dxa"/>
          </w:tcPr>
          <w:p w14:paraId="0630DEA1" w14:textId="64CDC7AE" w:rsidR="0048379A" w:rsidRDefault="00A345BA" w:rsidP="008158E1">
            <w:pPr>
              <w:pStyle w:val="Geenafstand"/>
              <w:spacing w:line="360" w:lineRule="auto"/>
              <w:jc w:val="both"/>
            </w:pPr>
            <w:r w:rsidRPr="00F92C9A">
              <w:t>Rawiri Waititi</w:t>
            </w:r>
            <w:r w:rsidRPr="00A345BA">
              <w:t xml:space="preserve"> claims the need for a Māori Parliament and the removal of racist electoral </w:t>
            </w:r>
            <w:r w:rsidR="003430A4" w:rsidRPr="00A345BA">
              <w:t>laws because</w:t>
            </w:r>
            <w:r w:rsidRPr="00A345BA">
              <w:t xml:space="preserve"> Māori are the original peoples of Aotearoa New Zealand. </w:t>
            </w:r>
          </w:p>
          <w:p w14:paraId="75521C30" w14:textId="583862BD" w:rsidR="0069399F" w:rsidRPr="0069399F" w:rsidRDefault="00A345BA" w:rsidP="008158E1">
            <w:pPr>
              <w:pStyle w:val="Geenafstand"/>
              <w:spacing w:line="360" w:lineRule="auto"/>
              <w:jc w:val="both"/>
            </w:pPr>
            <w:r w:rsidRPr="00A345BA">
              <w:t>Rawiri Waititi ends his speech by stating the following: “Many political commentators and many members in this House have said that these policies are ambitious, but they also said that of the Māori Party's return to Parliament—but we are here.”</w:t>
            </w:r>
          </w:p>
        </w:tc>
        <w:tc>
          <w:tcPr>
            <w:tcW w:w="4531" w:type="dxa"/>
          </w:tcPr>
          <w:p w14:paraId="6A1059E4" w14:textId="1B9BD877" w:rsidR="0069399F" w:rsidRDefault="00E53EFD" w:rsidP="008158E1">
            <w:pPr>
              <w:pStyle w:val="Geenafstand"/>
              <w:spacing w:line="360" w:lineRule="auto"/>
              <w:jc w:val="both"/>
              <w:rPr>
                <w:color w:val="000000"/>
              </w:rPr>
            </w:pPr>
            <w:r>
              <w:rPr>
                <w:i/>
                <w:iCs/>
                <w:color w:val="000000"/>
              </w:rPr>
              <w:t>CLAIMANTNAME</w:t>
            </w:r>
            <w:r w:rsidR="0069399F" w:rsidRPr="0069399F">
              <w:rPr>
                <w:color w:val="000000"/>
              </w:rPr>
              <w:t xml:space="preserve">: </w:t>
            </w:r>
            <w:r w:rsidR="001D09BC">
              <w:rPr>
                <w:color w:val="000000"/>
              </w:rPr>
              <w:t>Waititi, Rawiri</w:t>
            </w:r>
          </w:p>
          <w:p w14:paraId="26636276" w14:textId="38EE2C20" w:rsidR="008C7E53" w:rsidRDefault="00E53EFD" w:rsidP="008158E1">
            <w:pPr>
              <w:pStyle w:val="Geenafstand"/>
              <w:spacing w:line="360" w:lineRule="auto"/>
              <w:jc w:val="both"/>
              <w:rPr>
                <w:color w:val="000000"/>
              </w:rPr>
            </w:pPr>
            <w:r>
              <w:rPr>
                <w:i/>
                <w:iCs/>
                <w:color w:val="000000"/>
              </w:rPr>
              <w:t>CLAIMANTGEN</w:t>
            </w:r>
            <w:r w:rsidR="008C7E53">
              <w:rPr>
                <w:color w:val="000000"/>
              </w:rPr>
              <w:t xml:space="preserve">: </w:t>
            </w:r>
            <w:r w:rsidR="001D09BC">
              <w:rPr>
                <w:color w:val="000000"/>
              </w:rPr>
              <w:t>men</w:t>
            </w:r>
          </w:p>
          <w:p w14:paraId="241F9733" w14:textId="6CAACB22" w:rsidR="00E53EFD" w:rsidRPr="00E53EFD" w:rsidRDefault="00E53EFD" w:rsidP="008158E1">
            <w:pPr>
              <w:pStyle w:val="Geenafstand"/>
              <w:spacing w:line="360" w:lineRule="auto"/>
              <w:jc w:val="both"/>
              <w:rPr>
                <w:color w:val="000000"/>
              </w:rPr>
            </w:pPr>
            <w:r>
              <w:rPr>
                <w:i/>
                <w:iCs/>
                <w:color w:val="000000"/>
              </w:rPr>
              <w:t xml:space="preserve">CLAIMANT: </w:t>
            </w:r>
            <w:r w:rsidR="00EF0A87" w:rsidRPr="0069399F">
              <w:rPr>
                <w:color w:val="000000"/>
              </w:rPr>
              <w:t>Māori</w:t>
            </w:r>
            <w:r w:rsidR="00EF0A87">
              <w:rPr>
                <w:color w:val="000000"/>
              </w:rPr>
              <w:t xml:space="preserve"> roll</w:t>
            </w:r>
          </w:p>
          <w:p w14:paraId="71EEA07A" w14:textId="16996952" w:rsidR="001D09BC" w:rsidRPr="0069399F" w:rsidRDefault="00E53EFD" w:rsidP="008158E1">
            <w:pPr>
              <w:pStyle w:val="Geenafstand"/>
              <w:spacing w:line="360" w:lineRule="auto"/>
              <w:jc w:val="both"/>
              <w:rPr>
                <w:color w:val="000000"/>
              </w:rPr>
            </w:pPr>
            <w:r>
              <w:rPr>
                <w:i/>
                <w:iCs/>
                <w:color w:val="000000"/>
              </w:rPr>
              <w:t>CLAIMANTPAR</w:t>
            </w:r>
            <w:r w:rsidR="001D09BC">
              <w:rPr>
                <w:color w:val="000000"/>
              </w:rPr>
              <w:t xml:space="preserve">: </w:t>
            </w:r>
            <w:r w:rsidR="00CE41AF" w:rsidRPr="0069399F">
              <w:rPr>
                <w:color w:val="000000"/>
              </w:rPr>
              <w:t>Māori</w:t>
            </w:r>
            <w:r w:rsidR="00CE41AF">
              <w:rPr>
                <w:color w:val="000000"/>
              </w:rPr>
              <w:t xml:space="preserve"> Party</w:t>
            </w:r>
          </w:p>
          <w:p w14:paraId="105574CB" w14:textId="4F152471" w:rsidR="0069399F" w:rsidRPr="0069399F" w:rsidRDefault="00E53EFD" w:rsidP="008158E1">
            <w:pPr>
              <w:pStyle w:val="Geenafstand"/>
              <w:spacing w:line="360" w:lineRule="auto"/>
              <w:jc w:val="both"/>
              <w:rPr>
                <w:color w:val="000000"/>
              </w:rPr>
            </w:pPr>
            <w:r>
              <w:rPr>
                <w:i/>
                <w:iCs/>
                <w:color w:val="000000"/>
              </w:rPr>
              <w:t>ADRES</w:t>
            </w:r>
            <w:r w:rsidR="0069399F" w:rsidRPr="0069399F">
              <w:rPr>
                <w:color w:val="000000"/>
              </w:rPr>
              <w:t xml:space="preserve">: </w:t>
            </w:r>
            <w:r w:rsidR="00A345BA">
              <w:rPr>
                <w:color w:val="000000"/>
              </w:rPr>
              <w:t>absent</w:t>
            </w:r>
          </w:p>
          <w:p w14:paraId="396E57FA" w14:textId="268F00F9" w:rsidR="0069399F" w:rsidRPr="0069399F" w:rsidRDefault="00E53EFD" w:rsidP="008158E1">
            <w:pPr>
              <w:pStyle w:val="Geenafstand"/>
              <w:spacing w:line="360" w:lineRule="auto"/>
              <w:jc w:val="both"/>
              <w:rPr>
                <w:color w:val="000000"/>
              </w:rPr>
            </w:pPr>
            <w:r>
              <w:rPr>
                <w:i/>
                <w:iCs/>
              </w:rPr>
              <w:t>EVAL</w:t>
            </w:r>
            <w:r w:rsidR="0069399F" w:rsidRPr="0069399F">
              <w:rPr>
                <w:color w:val="000000"/>
              </w:rPr>
              <w:t xml:space="preserve">: </w:t>
            </w:r>
            <w:r w:rsidR="001D09BC">
              <w:rPr>
                <w:color w:val="000000"/>
              </w:rPr>
              <w:t>absent</w:t>
            </w:r>
          </w:p>
          <w:p w14:paraId="5931EF8E" w14:textId="48236B44" w:rsidR="0069399F" w:rsidRPr="0069399F" w:rsidRDefault="00E53EFD" w:rsidP="008158E1">
            <w:pPr>
              <w:pStyle w:val="Geenafstand"/>
              <w:spacing w:line="360" w:lineRule="auto"/>
              <w:jc w:val="both"/>
              <w:rPr>
                <w:color w:val="000000"/>
              </w:rPr>
            </w:pPr>
            <w:r>
              <w:rPr>
                <w:i/>
                <w:iCs/>
                <w:color w:val="000000"/>
              </w:rPr>
              <w:t>ISSSUE</w:t>
            </w:r>
            <w:r w:rsidR="0069399F" w:rsidRPr="0069399F">
              <w:rPr>
                <w:color w:val="000000"/>
              </w:rPr>
              <w:t>:</w:t>
            </w:r>
            <w:r w:rsidR="001D09BC">
              <w:rPr>
                <w:color w:val="000000"/>
              </w:rPr>
              <w:t xml:space="preserve"> governance, autonomy and self-determination</w:t>
            </w:r>
          </w:p>
          <w:p w14:paraId="6BBFFD57" w14:textId="5E545099" w:rsidR="0069399F" w:rsidRDefault="00E53EFD" w:rsidP="008158E1">
            <w:pPr>
              <w:pStyle w:val="Geenafstand"/>
              <w:spacing w:line="360" w:lineRule="auto"/>
              <w:jc w:val="both"/>
            </w:pPr>
            <w:r>
              <w:rPr>
                <w:i/>
                <w:iCs/>
                <w:color w:val="000000"/>
              </w:rPr>
              <w:t>OBJECT</w:t>
            </w:r>
            <w:r w:rsidR="0069399F" w:rsidRPr="0069399F">
              <w:rPr>
                <w:color w:val="000000"/>
              </w:rPr>
              <w:t xml:space="preserve">: whole Māori </w:t>
            </w:r>
            <w:r w:rsidR="0069399F" w:rsidRPr="0069399F">
              <w:t>population</w:t>
            </w:r>
          </w:p>
          <w:p w14:paraId="60F640D6" w14:textId="6C9C86BB" w:rsidR="001903DD" w:rsidRPr="0069399F" w:rsidRDefault="00E53EFD" w:rsidP="008158E1">
            <w:pPr>
              <w:pStyle w:val="Geenafstand"/>
              <w:spacing w:line="360" w:lineRule="auto"/>
              <w:jc w:val="both"/>
              <w:rPr>
                <w:color w:val="000000"/>
              </w:rPr>
            </w:pPr>
            <w:r>
              <w:rPr>
                <w:i/>
                <w:iCs/>
              </w:rPr>
              <w:t>UNI</w:t>
            </w:r>
            <w:r w:rsidR="001903DD">
              <w:t xml:space="preserve">: </w:t>
            </w:r>
            <w:r w:rsidR="001D09BC">
              <w:t>present</w:t>
            </w:r>
          </w:p>
          <w:p w14:paraId="3F66DBE1" w14:textId="2EC89A1B" w:rsidR="0069399F" w:rsidRPr="0069399F" w:rsidRDefault="00E53EFD" w:rsidP="008158E1">
            <w:pPr>
              <w:pStyle w:val="Geenafstand"/>
              <w:spacing w:line="360" w:lineRule="auto"/>
              <w:jc w:val="both"/>
              <w:rPr>
                <w:color w:val="000000"/>
              </w:rPr>
            </w:pPr>
            <w:r>
              <w:rPr>
                <w:i/>
                <w:iCs/>
                <w:color w:val="000000"/>
              </w:rPr>
              <w:t>JUST</w:t>
            </w:r>
            <w:r w:rsidR="0069399F" w:rsidRPr="0069399F">
              <w:rPr>
                <w:color w:val="000000"/>
              </w:rPr>
              <w:t xml:space="preserve">: </w:t>
            </w:r>
            <w:r w:rsidR="001D09BC">
              <w:rPr>
                <w:color w:val="000000"/>
              </w:rPr>
              <w:t>injustice</w:t>
            </w:r>
          </w:p>
        </w:tc>
      </w:tr>
      <w:tr w:rsidR="0069399F" w14:paraId="13378E5B" w14:textId="77777777" w:rsidTr="00F35595">
        <w:tc>
          <w:tcPr>
            <w:tcW w:w="4531" w:type="dxa"/>
          </w:tcPr>
          <w:p w14:paraId="023551BC" w14:textId="77777777" w:rsidR="0069399F" w:rsidRPr="0069399F" w:rsidRDefault="0069399F" w:rsidP="008158E1">
            <w:pPr>
              <w:pStyle w:val="Geenafstand"/>
              <w:spacing w:line="360" w:lineRule="auto"/>
              <w:jc w:val="both"/>
              <w:rPr>
                <w:color w:val="000000"/>
              </w:rPr>
            </w:pPr>
            <w:r w:rsidRPr="0069399F">
              <w:rPr>
                <w:color w:val="000000"/>
              </w:rPr>
              <w:t>Meka Whaitiri claims to acknowledge the Māori response to doing a stellar job in testing and communicating with communities in the current COVID crisis.</w:t>
            </w:r>
          </w:p>
        </w:tc>
        <w:tc>
          <w:tcPr>
            <w:tcW w:w="4531" w:type="dxa"/>
          </w:tcPr>
          <w:p w14:paraId="27876C34" w14:textId="22D72B09" w:rsidR="00EF0A87" w:rsidRDefault="00EF0A87" w:rsidP="008158E1">
            <w:pPr>
              <w:pStyle w:val="Geenafstand"/>
              <w:spacing w:line="360" w:lineRule="auto"/>
              <w:jc w:val="both"/>
              <w:rPr>
                <w:color w:val="000000"/>
              </w:rPr>
            </w:pPr>
            <w:r>
              <w:rPr>
                <w:i/>
                <w:iCs/>
                <w:color w:val="000000"/>
              </w:rPr>
              <w:t>CLAIMANTNAME</w:t>
            </w:r>
            <w:r w:rsidRPr="0069399F">
              <w:rPr>
                <w:color w:val="000000"/>
              </w:rPr>
              <w:t xml:space="preserve">: </w:t>
            </w:r>
            <w:r>
              <w:rPr>
                <w:color w:val="000000"/>
              </w:rPr>
              <w:t>Whaitiri, Meka</w:t>
            </w:r>
          </w:p>
          <w:p w14:paraId="114ECB27" w14:textId="19E0131D" w:rsidR="00EF0A87" w:rsidRDefault="00EF0A87" w:rsidP="008158E1">
            <w:pPr>
              <w:pStyle w:val="Geenafstand"/>
              <w:spacing w:line="360" w:lineRule="auto"/>
              <w:jc w:val="both"/>
              <w:rPr>
                <w:color w:val="000000"/>
              </w:rPr>
            </w:pPr>
            <w:r>
              <w:rPr>
                <w:i/>
                <w:iCs/>
                <w:color w:val="000000"/>
              </w:rPr>
              <w:t>CLAIMANTGEN</w:t>
            </w:r>
            <w:r>
              <w:rPr>
                <w:color w:val="000000"/>
              </w:rPr>
              <w:t>: woman</w:t>
            </w:r>
          </w:p>
          <w:p w14:paraId="16D45CDB" w14:textId="09D11429" w:rsidR="00EF0A87" w:rsidRPr="00E53EFD" w:rsidRDefault="00EF0A87" w:rsidP="008158E1">
            <w:pPr>
              <w:pStyle w:val="Geenafstand"/>
              <w:spacing w:line="360" w:lineRule="auto"/>
              <w:jc w:val="both"/>
              <w:rPr>
                <w:color w:val="000000"/>
              </w:rPr>
            </w:pPr>
            <w:r>
              <w:rPr>
                <w:i/>
                <w:iCs/>
                <w:color w:val="000000"/>
              </w:rPr>
              <w:t xml:space="preserve">CLAIMANT: </w:t>
            </w:r>
            <w:r w:rsidRPr="0069399F">
              <w:rPr>
                <w:color w:val="000000"/>
              </w:rPr>
              <w:t>Māori</w:t>
            </w:r>
            <w:r>
              <w:rPr>
                <w:color w:val="000000"/>
              </w:rPr>
              <w:t xml:space="preserve"> roll</w:t>
            </w:r>
          </w:p>
          <w:p w14:paraId="6BFAEE2F" w14:textId="4C9DC5C4" w:rsidR="00EF0A87" w:rsidRPr="0069399F" w:rsidRDefault="00EF0A87" w:rsidP="008158E1">
            <w:pPr>
              <w:pStyle w:val="Geenafstand"/>
              <w:spacing w:line="360" w:lineRule="auto"/>
              <w:jc w:val="both"/>
              <w:rPr>
                <w:color w:val="000000"/>
              </w:rPr>
            </w:pPr>
            <w:r>
              <w:rPr>
                <w:i/>
                <w:iCs/>
                <w:color w:val="000000"/>
              </w:rPr>
              <w:t>CLAIMANTPAR</w:t>
            </w:r>
            <w:r>
              <w:rPr>
                <w:color w:val="000000"/>
              </w:rPr>
              <w:t>: Labour Party</w:t>
            </w:r>
          </w:p>
          <w:p w14:paraId="14907CDC" w14:textId="77777777" w:rsidR="00EF0A87" w:rsidRPr="0069399F" w:rsidRDefault="00EF0A87" w:rsidP="008158E1">
            <w:pPr>
              <w:pStyle w:val="Geenafstand"/>
              <w:spacing w:line="360" w:lineRule="auto"/>
              <w:jc w:val="both"/>
              <w:rPr>
                <w:color w:val="000000"/>
              </w:rPr>
            </w:pPr>
            <w:r>
              <w:rPr>
                <w:i/>
                <w:iCs/>
                <w:color w:val="000000"/>
              </w:rPr>
              <w:t>ADRES</w:t>
            </w:r>
            <w:r w:rsidRPr="0069399F">
              <w:rPr>
                <w:color w:val="000000"/>
              </w:rPr>
              <w:t xml:space="preserve">: </w:t>
            </w:r>
            <w:r>
              <w:rPr>
                <w:color w:val="000000"/>
              </w:rPr>
              <w:t>absent</w:t>
            </w:r>
          </w:p>
          <w:p w14:paraId="0612BA19" w14:textId="77777777" w:rsidR="00EF0A87" w:rsidRPr="0069399F" w:rsidRDefault="00EF0A87" w:rsidP="008158E1">
            <w:pPr>
              <w:pStyle w:val="Geenafstand"/>
              <w:spacing w:line="360" w:lineRule="auto"/>
              <w:jc w:val="both"/>
              <w:rPr>
                <w:color w:val="000000"/>
              </w:rPr>
            </w:pPr>
            <w:r>
              <w:rPr>
                <w:i/>
                <w:iCs/>
              </w:rPr>
              <w:t>EVAL</w:t>
            </w:r>
            <w:r w:rsidRPr="0069399F">
              <w:rPr>
                <w:color w:val="000000"/>
              </w:rPr>
              <w:t xml:space="preserve">: </w:t>
            </w:r>
            <w:r>
              <w:rPr>
                <w:color w:val="000000"/>
              </w:rPr>
              <w:t>absent</w:t>
            </w:r>
          </w:p>
          <w:p w14:paraId="177A1113" w14:textId="5293CC13" w:rsidR="00EF0A87" w:rsidRPr="0069399F" w:rsidRDefault="00EF0A87" w:rsidP="008158E1">
            <w:pPr>
              <w:pStyle w:val="Geenafstand"/>
              <w:spacing w:line="360" w:lineRule="auto"/>
              <w:jc w:val="both"/>
              <w:rPr>
                <w:color w:val="000000"/>
              </w:rPr>
            </w:pPr>
            <w:r>
              <w:rPr>
                <w:i/>
                <w:iCs/>
                <w:color w:val="000000"/>
              </w:rPr>
              <w:t>ISSSUE</w:t>
            </w:r>
            <w:r w:rsidRPr="0069399F">
              <w:rPr>
                <w:color w:val="000000"/>
              </w:rPr>
              <w:t>:</w:t>
            </w:r>
            <w:r>
              <w:rPr>
                <w:color w:val="000000"/>
              </w:rPr>
              <w:t xml:space="preserve"> health</w:t>
            </w:r>
          </w:p>
          <w:p w14:paraId="40EDBE06" w14:textId="77777777" w:rsidR="00EF0A87" w:rsidRDefault="00EF0A87" w:rsidP="008158E1">
            <w:pPr>
              <w:pStyle w:val="Geenafstand"/>
              <w:spacing w:line="360" w:lineRule="auto"/>
              <w:jc w:val="both"/>
            </w:pPr>
            <w:r>
              <w:rPr>
                <w:i/>
                <w:iCs/>
                <w:color w:val="000000"/>
              </w:rPr>
              <w:t>OBJECT</w:t>
            </w:r>
            <w:r w:rsidRPr="0069399F">
              <w:rPr>
                <w:color w:val="000000"/>
              </w:rPr>
              <w:t xml:space="preserve">: whole Māori </w:t>
            </w:r>
            <w:r w:rsidRPr="0069399F">
              <w:t>population</w:t>
            </w:r>
          </w:p>
          <w:p w14:paraId="7B9FC7E3" w14:textId="535BDEEF" w:rsidR="00EF0A87" w:rsidRPr="0069399F" w:rsidRDefault="00EF0A87" w:rsidP="008158E1">
            <w:pPr>
              <w:pStyle w:val="Geenafstand"/>
              <w:spacing w:line="360" w:lineRule="auto"/>
              <w:jc w:val="both"/>
              <w:rPr>
                <w:color w:val="000000"/>
              </w:rPr>
            </w:pPr>
            <w:r>
              <w:rPr>
                <w:i/>
                <w:iCs/>
              </w:rPr>
              <w:t>UNI</w:t>
            </w:r>
            <w:r>
              <w:t>: absent</w:t>
            </w:r>
          </w:p>
          <w:p w14:paraId="46284DA5" w14:textId="1D175048" w:rsidR="0069399F" w:rsidRDefault="00EF0A87" w:rsidP="008158E1">
            <w:pPr>
              <w:pStyle w:val="Geenafstand"/>
              <w:spacing w:line="360" w:lineRule="auto"/>
              <w:jc w:val="both"/>
              <w:rPr>
                <w:color w:val="000000"/>
              </w:rPr>
            </w:pPr>
            <w:r>
              <w:rPr>
                <w:i/>
                <w:iCs/>
                <w:color w:val="000000"/>
              </w:rPr>
              <w:t>JUST</w:t>
            </w:r>
            <w:r w:rsidRPr="0069399F">
              <w:rPr>
                <w:color w:val="000000"/>
              </w:rPr>
              <w:t xml:space="preserve">: </w:t>
            </w:r>
            <w:r>
              <w:rPr>
                <w:color w:val="000000"/>
              </w:rPr>
              <w:t>performance</w:t>
            </w:r>
          </w:p>
        </w:tc>
      </w:tr>
    </w:tbl>
    <w:p w14:paraId="3D2EB04E" w14:textId="77777777" w:rsidR="00EB3223" w:rsidRDefault="00EB3223" w:rsidP="008158E1">
      <w:pPr>
        <w:pStyle w:val="Geenafstand"/>
        <w:spacing w:line="360" w:lineRule="auto"/>
        <w:jc w:val="both"/>
      </w:pPr>
    </w:p>
    <w:p w14:paraId="6C606D9B" w14:textId="744CB0FC" w:rsidR="0069399F" w:rsidRPr="00244C99" w:rsidRDefault="0069399F" w:rsidP="00DA65D4">
      <w:pPr>
        <w:pStyle w:val="Kop2"/>
      </w:pPr>
      <w:bookmarkStart w:id="81" w:name="_Toc74583802"/>
      <w:bookmarkStart w:id="82" w:name="_Toc75384071"/>
      <w:r w:rsidRPr="00244C99">
        <w:t xml:space="preserve">3.5 </w:t>
      </w:r>
      <w:r w:rsidRPr="001E1DD7">
        <w:rPr>
          <w:lang w:val="en-GB"/>
        </w:rPr>
        <w:t>Conclusion</w:t>
      </w:r>
      <w:bookmarkEnd w:id="81"/>
      <w:bookmarkEnd w:id="82"/>
    </w:p>
    <w:p w14:paraId="4A59CFC4" w14:textId="35DC88E3" w:rsidR="0069399F" w:rsidRPr="0069399F" w:rsidRDefault="0069399F" w:rsidP="008158E1">
      <w:pPr>
        <w:pStyle w:val="Geenafstand"/>
        <w:spacing w:line="360" w:lineRule="auto"/>
        <w:jc w:val="both"/>
      </w:pPr>
      <w:r w:rsidRPr="0069399F">
        <w:tab/>
      </w:r>
      <w:r w:rsidR="00CF04DD">
        <w:t>Overall,</w:t>
      </w:r>
      <w:r w:rsidRPr="0069399F">
        <w:t xml:space="preserve"> this thesis uses a mixed</w:t>
      </w:r>
      <w:r w:rsidR="00322FD3">
        <w:t>-</w:t>
      </w:r>
      <w:r w:rsidRPr="0069399F">
        <w:t xml:space="preserve">method design applied to </w:t>
      </w:r>
      <w:r w:rsidR="00D34811">
        <w:t xml:space="preserve">Aotearoa New Zealand </w:t>
      </w:r>
      <w:r w:rsidRPr="0069399F">
        <w:t xml:space="preserve">to study the hypothesis: </w:t>
      </w:r>
      <w:r w:rsidRPr="0069399F">
        <w:rPr>
          <w:i/>
          <w:color w:val="000000"/>
        </w:rPr>
        <w:t>Descriptive representation of indigenous peoples enhances the substantive claims made on their behalf</w:t>
      </w:r>
      <w:r w:rsidRPr="0069399F">
        <w:t>. The mixed-method design consists of a claim</w:t>
      </w:r>
      <w:r w:rsidR="00DA6BDE">
        <w:t>s</w:t>
      </w:r>
      <w:r w:rsidRPr="0069399F">
        <w:t xml:space="preserve">-making analysis. </w:t>
      </w:r>
      <w:r w:rsidR="00011834">
        <w:t xml:space="preserve">First the speeches will be gathered. </w:t>
      </w:r>
      <w:r w:rsidRPr="0069399F">
        <w:t xml:space="preserve">The qualitative part consists of </w:t>
      </w:r>
      <w:r w:rsidR="00CF04DD">
        <w:t>t</w:t>
      </w:r>
      <w:r w:rsidR="00FB1770">
        <w:t xml:space="preserve">he </w:t>
      </w:r>
      <w:r w:rsidR="00CE6D39">
        <w:t>interpretation</w:t>
      </w:r>
      <w:r w:rsidR="003611E0">
        <w:t xml:space="preserve"> of</w:t>
      </w:r>
      <w:r w:rsidRPr="0069399F">
        <w:t xml:space="preserve"> </w:t>
      </w:r>
      <w:r w:rsidR="00F7437D">
        <w:t xml:space="preserve">these </w:t>
      </w:r>
      <w:r w:rsidRPr="0069399F">
        <w:t>parliamentary</w:t>
      </w:r>
      <w:r w:rsidR="0090710C">
        <w:t xml:space="preserve"> speeches</w:t>
      </w:r>
      <w:r w:rsidRPr="0069399F">
        <w:rPr>
          <w:color w:val="000000"/>
        </w:rPr>
        <w:t>. The quantitative part that follows</w:t>
      </w:r>
      <w:r w:rsidR="004A4BFD">
        <w:rPr>
          <w:color w:val="000000"/>
        </w:rPr>
        <w:t xml:space="preserve"> codes these claims after which they will be analysed using t</w:t>
      </w:r>
      <w:r w:rsidRPr="0069399F">
        <w:rPr>
          <w:color w:val="000000"/>
        </w:rPr>
        <w:t xml:space="preserve">he statistical program SPSS. In the next chapter the analysis will be performed and the results will be discussed in order to answer the research question. </w:t>
      </w:r>
    </w:p>
    <w:p w14:paraId="728460CD" w14:textId="77777777" w:rsidR="0069399F" w:rsidRPr="0069399F" w:rsidRDefault="0069399F" w:rsidP="008158E1">
      <w:pPr>
        <w:pStyle w:val="Geenafstand"/>
        <w:spacing w:line="360" w:lineRule="auto"/>
        <w:jc w:val="both"/>
        <w:rPr>
          <w:b/>
        </w:rPr>
      </w:pPr>
      <w:r w:rsidRPr="0069399F">
        <w:rPr>
          <w:b/>
        </w:rPr>
        <w:br w:type="page"/>
      </w:r>
    </w:p>
    <w:p w14:paraId="61654FF5" w14:textId="653AEB08" w:rsidR="0069399F" w:rsidRPr="0069399F" w:rsidRDefault="0069399F" w:rsidP="0069399F">
      <w:pPr>
        <w:pStyle w:val="Kop1"/>
        <w:rPr>
          <w:lang w:val="en-GB"/>
        </w:rPr>
      </w:pPr>
      <w:bookmarkStart w:id="83" w:name="_Toc72852997"/>
      <w:bookmarkStart w:id="84" w:name="_Toc74583803"/>
      <w:bookmarkStart w:id="85" w:name="_Toc75384072"/>
      <w:r w:rsidRPr="0069399F">
        <w:rPr>
          <w:lang w:val="en-GB"/>
        </w:rPr>
        <w:lastRenderedPageBreak/>
        <w:t xml:space="preserve">Chapter </w:t>
      </w:r>
      <w:r w:rsidR="0013013F">
        <w:rPr>
          <w:lang w:val="en-GB"/>
        </w:rPr>
        <w:t>4</w:t>
      </w:r>
      <w:r w:rsidRPr="0069399F">
        <w:rPr>
          <w:lang w:val="en-GB"/>
        </w:rPr>
        <w:t>: Analysis</w:t>
      </w:r>
      <w:bookmarkEnd w:id="83"/>
      <w:bookmarkEnd w:id="84"/>
      <w:bookmarkEnd w:id="85"/>
    </w:p>
    <w:p w14:paraId="1E8649AA" w14:textId="5874BDAC" w:rsidR="00FA5B57" w:rsidRDefault="0069399F" w:rsidP="00254389">
      <w:pPr>
        <w:pStyle w:val="Geenafstand"/>
        <w:spacing w:line="360" w:lineRule="auto"/>
        <w:ind w:firstLine="708"/>
        <w:jc w:val="both"/>
      </w:pPr>
      <w:r w:rsidRPr="0069399F">
        <w:t>The analysis</w:t>
      </w:r>
      <w:r w:rsidR="00695891">
        <w:t xml:space="preserve"> of this dissertation</w:t>
      </w:r>
      <w:r w:rsidRPr="0069399F">
        <w:t xml:space="preserve"> is split up into two parts. The first part consists of a contextual overview of Aotearoa New Zealand’s history regarding M</w:t>
      </w:r>
      <w:r w:rsidRPr="0069399F">
        <w:rPr>
          <w:color w:val="000000"/>
          <w:highlight w:val="white"/>
        </w:rPr>
        <w:t xml:space="preserve">āori representation. This part explains the emergence of Aotearoa New Zealand as a settler colonial state and how this influenced the relationship between </w:t>
      </w:r>
      <w:r w:rsidRPr="0069399F">
        <w:t>M</w:t>
      </w:r>
      <w:r w:rsidRPr="0069399F">
        <w:rPr>
          <w:color w:val="000000"/>
          <w:highlight w:val="white"/>
        </w:rPr>
        <w:t>āori people and the state. The second part consists of a statistical analysis of the claims made in parliament on behalf of Māori people. The goal of the claim</w:t>
      </w:r>
      <w:r w:rsidR="007B2F31">
        <w:rPr>
          <w:color w:val="000000"/>
          <w:highlight w:val="white"/>
        </w:rPr>
        <w:t>s</w:t>
      </w:r>
      <w:r w:rsidRPr="0069399F">
        <w:rPr>
          <w:color w:val="000000"/>
          <w:highlight w:val="white"/>
        </w:rPr>
        <w:t xml:space="preserve">-making analysis is to determine whether a </w:t>
      </w:r>
      <w:r w:rsidR="00695891">
        <w:rPr>
          <w:color w:val="000000"/>
          <w:highlight w:val="white"/>
        </w:rPr>
        <w:t>l</w:t>
      </w:r>
      <w:r w:rsidRPr="0069399F">
        <w:rPr>
          <w:color w:val="000000"/>
          <w:highlight w:val="white"/>
        </w:rPr>
        <w:t xml:space="preserve">ink </w:t>
      </w:r>
      <w:r w:rsidR="00EB2BC8">
        <w:rPr>
          <w:color w:val="000000"/>
          <w:highlight w:val="white"/>
        </w:rPr>
        <w:t xml:space="preserve">is present </w:t>
      </w:r>
      <w:r w:rsidRPr="0069399F">
        <w:rPr>
          <w:color w:val="000000"/>
          <w:highlight w:val="white"/>
        </w:rPr>
        <w:t xml:space="preserve">between descriptive </w:t>
      </w:r>
      <w:r w:rsidR="009D5328">
        <w:rPr>
          <w:color w:val="000000"/>
          <w:highlight w:val="white"/>
        </w:rPr>
        <w:t>representation and substantive claims made on behalf of</w:t>
      </w:r>
      <w:r w:rsidRPr="0069399F">
        <w:rPr>
          <w:color w:val="000000"/>
          <w:highlight w:val="white"/>
        </w:rPr>
        <w:t xml:space="preserve"> Māori people. </w:t>
      </w:r>
      <w:r w:rsidR="00695891">
        <w:rPr>
          <w:color w:val="000000"/>
          <w:highlight w:val="white"/>
        </w:rPr>
        <w:t>T</w:t>
      </w:r>
      <w:r w:rsidRPr="0069399F">
        <w:rPr>
          <w:color w:val="000000"/>
          <w:highlight w:val="white"/>
        </w:rPr>
        <w:t>his chapter</w:t>
      </w:r>
      <w:r w:rsidR="00695891">
        <w:rPr>
          <w:color w:val="000000"/>
          <w:highlight w:val="white"/>
        </w:rPr>
        <w:t xml:space="preserve"> also </w:t>
      </w:r>
      <w:r w:rsidRPr="0069399F">
        <w:rPr>
          <w:color w:val="000000"/>
          <w:highlight w:val="white"/>
        </w:rPr>
        <w:t>explores the nature of the claims being made</w:t>
      </w:r>
      <w:r w:rsidR="004F00DE">
        <w:rPr>
          <w:color w:val="000000"/>
          <w:highlight w:val="white"/>
        </w:rPr>
        <w:t>,</w:t>
      </w:r>
      <w:r w:rsidRPr="0069399F">
        <w:rPr>
          <w:color w:val="000000"/>
          <w:highlight w:val="white"/>
        </w:rPr>
        <w:t xml:space="preserve"> among other things, the claimant,</w:t>
      </w:r>
      <w:r w:rsidR="007717F5">
        <w:rPr>
          <w:color w:val="000000"/>
          <w:highlight w:val="white"/>
        </w:rPr>
        <w:t xml:space="preserve"> the </w:t>
      </w:r>
      <w:r w:rsidRPr="0069399F">
        <w:rPr>
          <w:color w:val="000000"/>
          <w:highlight w:val="white"/>
        </w:rPr>
        <w:t xml:space="preserve">issues, </w:t>
      </w:r>
      <w:r w:rsidR="007717F5">
        <w:rPr>
          <w:color w:val="000000"/>
          <w:highlight w:val="white"/>
        </w:rPr>
        <w:t xml:space="preserve">the </w:t>
      </w:r>
      <w:r w:rsidR="003430A4">
        <w:rPr>
          <w:color w:val="000000"/>
          <w:highlight w:val="white"/>
        </w:rPr>
        <w:t>addressees,</w:t>
      </w:r>
      <w:r w:rsidRPr="0069399F">
        <w:rPr>
          <w:color w:val="000000"/>
          <w:highlight w:val="white"/>
        </w:rPr>
        <w:t xml:space="preserve"> and </w:t>
      </w:r>
      <w:r w:rsidR="00E61764">
        <w:rPr>
          <w:color w:val="000000"/>
          <w:highlight w:val="white"/>
        </w:rPr>
        <w:t xml:space="preserve">the </w:t>
      </w:r>
      <w:r w:rsidR="007717F5">
        <w:rPr>
          <w:color w:val="000000"/>
          <w:highlight w:val="white"/>
        </w:rPr>
        <w:t>justifications</w:t>
      </w:r>
      <w:r w:rsidRPr="0069399F">
        <w:rPr>
          <w:color w:val="000000"/>
          <w:highlight w:val="white"/>
        </w:rPr>
        <w:t xml:space="preserve">. </w:t>
      </w:r>
      <w:r w:rsidR="006D4A7A">
        <w:rPr>
          <w:color w:val="000000"/>
          <w:highlight w:val="white"/>
        </w:rPr>
        <w:t xml:space="preserve">In total 245 speeches </w:t>
      </w:r>
      <w:r w:rsidR="00695891">
        <w:rPr>
          <w:color w:val="000000"/>
          <w:highlight w:val="white"/>
        </w:rPr>
        <w:t xml:space="preserve">were </w:t>
      </w:r>
      <w:r w:rsidR="006D4A7A">
        <w:rPr>
          <w:color w:val="000000"/>
          <w:highlight w:val="white"/>
        </w:rPr>
        <w:t>analysed, which resulted in 230 clai</w:t>
      </w:r>
      <w:r w:rsidR="00D27C59">
        <w:rPr>
          <w:color w:val="000000"/>
          <w:highlight w:val="white"/>
        </w:rPr>
        <w:t>ms</w:t>
      </w:r>
      <w:r w:rsidR="006D4A7A">
        <w:rPr>
          <w:color w:val="000000"/>
          <w:highlight w:val="white"/>
        </w:rPr>
        <w:t xml:space="preserve">. </w:t>
      </w:r>
      <w:r w:rsidRPr="0069399F">
        <w:rPr>
          <w:color w:val="000000"/>
        </w:rPr>
        <w:t xml:space="preserve">The findings reveal </w:t>
      </w:r>
      <w:r w:rsidR="000606EF">
        <w:rPr>
          <w:color w:val="000000"/>
        </w:rPr>
        <w:t>that</w:t>
      </w:r>
      <w:r w:rsidRPr="0069399F">
        <w:rPr>
          <w:color w:val="000000"/>
        </w:rPr>
        <w:t xml:space="preserve"> M</w:t>
      </w:r>
      <w:r w:rsidRPr="0069399F">
        <w:rPr>
          <w:color w:val="000000"/>
          <w:highlight w:val="white"/>
        </w:rPr>
        <w:t>ā</w:t>
      </w:r>
      <w:r w:rsidRPr="0069399F">
        <w:rPr>
          <w:color w:val="000000"/>
        </w:rPr>
        <w:t>ori MPs are more likely to make claims on behalf of M</w:t>
      </w:r>
      <w:r w:rsidRPr="0069399F">
        <w:rPr>
          <w:color w:val="000000"/>
          <w:highlight w:val="white"/>
        </w:rPr>
        <w:t>ā</w:t>
      </w:r>
      <w:r w:rsidRPr="0069399F">
        <w:rPr>
          <w:color w:val="000000"/>
        </w:rPr>
        <w:t>ori people in comparison with non-M</w:t>
      </w:r>
      <w:r w:rsidRPr="0069399F">
        <w:rPr>
          <w:color w:val="000000"/>
          <w:highlight w:val="white"/>
        </w:rPr>
        <w:t>ā</w:t>
      </w:r>
      <w:r w:rsidRPr="0069399F">
        <w:rPr>
          <w:color w:val="000000"/>
        </w:rPr>
        <w:t>ori MPs. The Labour Party and M</w:t>
      </w:r>
      <w:r w:rsidRPr="0069399F">
        <w:rPr>
          <w:color w:val="000000"/>
          <w:highlight w:val="white"/>
        </w:rPr>
        <w:t>ā</w:t>
      </w:r>
      <w:r w:rsidRPr="0069399F">
        <w:rPr>
          <w:color w:val="000000"/>
        </w:rPr>
        <w:t>ori Party take a crucial role in the representation of M</w:t>
      </w:r>
      <w:r w:rsidRPr="0069399F">
        <w:rPr>
          <w:color w:val="000000"/>
          <w:highlight w:val="white"/>
        </w:rPr>
        <w:t>ā</w:t>
      </w:r>
      <w:r w:rsidRPr="0069399F">
        <w:rPr>
          <w:color w:val="000000"/>
        </w:rPr>
        <w:t xml:space="preserve">ori people. The issues mainly addressed are the </w:t>
      </w:r>
      <w:r w:rsidRPr="0069399F">
        <w:t>Treaty of Waitangi/crown-</w:t>
      </w:r>
      <w:r w:rsidRPr="0069399F">
        <w:rPr>
          <w:color w:val="000000"/>
        </w:rPr>
        <w:t>Māori relation’</w:t>
      </w:r>
      <w:r w:rsidRPr="0069399F">
        <w:t xml:space="preserve"> and ‘governance, autonomy and self-determination’. </w:t>
      </w:r>
      <w:r w:rsidR="00117E7B">
        <w:t>Overall, the results demonstrate that descriptive representation may lead to more substantive representative claims.</w:t>
      </w:r>
      <w:bookmarkStart w:id="86" w:name="_Toc72852998"/>
      <w:bookmarkStart w:id="87" w:name="_Toc74583804"/>
    </w:p>
    <w:p w14:paraId="348C1E41" w14:textId="77777777" w:rsidR="00FA5B57" w:rsidRDefault="00FA5B57" w:rsidP="00FA5B57">
      <w:pPr>
        <w:pStyle w:val="Geenafstand"/>
        <w:spacing w:line="360" w:lineRule="auto"/>
        <w:jc w:val="both"/>
      </w:pPr>
    </w:p>
    <w:p w14:paraId="10E78A8C" w14:textId="20C4AF77" w:rsidR="0069399F" w:rsidRPr="001208D7" w:rsidRDefault="0069399F" w:rsidP="00FA5B57">
      <w:pPr>
        <w:pStyle w:val="Kop2"/>
        <w:rPr>
          <w:lang w:val="en-GB"/>
        </w:rPr>
      </w:pPr>
      <w:bookmarkStart w:id="88" w:name="_Toc75384073"/>
      <w:r w:rsidRPr="001208D7">
        <w:rPr>
          <w:lang w:val="en-GB"/>
        </w:rPr>
        <w:t>4.1 The relationship between Māori and the state</w:t>
      </w:r>
      <w:bookmarkEnd w:id="86"/>
      <w:bookmarkEnd w:id="87"/>
      <w:bookmarkEnd w:id="88"/>
    </w:p>
    <w:p w14:paraId="5C408D76" w14:textId="632BF5AA" w:rsidR="003C76EC" w:rsidRDefault="0069399F" w:rsidP="00FA5B57">
      <w:pPr>
        <w:pStyle w:val="Geenafstand"/>
        <w:spacing w:line="360" w:lineRule="auto"/>
        <w:ind w:firstLine="708"/>
        <w:jc w:val="both"/>
        <w:rPr>
          <w:color w:val="000000"/>
        </w:rPr>
      </w:pPr>
      <w:r w:rsidRPr="0069399F">
        <w:t xml:space="preserve">Aotearoa New Zealand is a settler colonial state. </w:t>
      </w:r>
      <w:r w:rsidR="003721D0">
        <w:t>Figure 1 shows that t</w:t>
      </w:r>
      <w:r w:rsidRPr="0069399F">
        <w:t xml:space="preserve">he arrival of </w:t>
      </w:r>
      <w:r w:rsidR="00F4123F" w:rsidRPr="0069399F">
        <w:rPr>
          <w:color w:val="000000"/>
        </w:rPr>
        <w:t xml:space="preserve">Pākehā </w:t>
      </w:r>
      <w:r w:rsidRPr="0069399F">
        <w:t xml:space="preserve">people started off slowly, but </w:t>
      </w:r>
      <w:r w:rsidR="003B6B66">
        <w:t>it increased</w:t>
      </w:r>
      <w:r w:rsidR="003721D0">
        <w:t xml:space="preserve"> dramatically</w:t>
      </w:r>
      <w:r w:rsidR="008D426E">
        <w:t xml:space="preserve"> after 1840</w:t>
      </w:r>
      <w:r w:rsidR="003721D0">
        <w:t>. This is due to</w:t>
      </w:r>
      <w:r w:rsidRPr="0069399F">
        <w:t xml:space="preserve"> </w:t>
      </w:r>
      <w:r w:rsidR="00C63503">
        <w:t>the Treaty of Waitangi</w:t>
      </w:r>
      <w:r w:rsidR="0072020A">
        <w:t>,</w:t>
      </w:r>
      <w:r w:rsidRPr="0069399F">
        <w:t xml:space="preserve"> </w:t>
      </w:r>
      <w:r w:rsidR="003721D0">
        <w:t xml:space="preserve">which </w:t>
      </w:r>
      <w:r w:rsidR="008E3EE2">
        <w:t>contained</w:t>
      </w:r>
      <w:r w:rsidR="003721D0">
        <w:t xml:space="preserve"> an agreement </w:t>
      </w:r>
      <w:r w:rsidRPr="0069399F">
        <w:t xml:space="preserve">between </w:t>
      </w:r>
      <w:r w:rsidRPr="0069399F">
        <w:rPr>
          <w:color w:val="000000"/>
        </w:rPr>
        <w:t>Māori</w:t>
      </w:r>
      <w:r w:rsidRPr="0069399F">
        <w:t xml:space="preserve"> and P</w:t>
      </w:r>
      <w:r w:rsidRPr="0069399F">
        <w:rPr>
          <w:color w:val="000000"/>
        </w:rPr>
        <w:t>ākehā</w:t>
      </w:r>
      <w:r w:rsidR="003E5356">
        <w:rPr>
          <w:rStyle w:val="Voetnootmarkering"/>
          <w:color w:val="000000"/>
        </w:rPr>
        <w:footnoteReference w:id="15"/>
      </w:r>
      <w:r w:rsidRPr="0069399F">
        <w:rPr>
          <w:color w:val="000000"/>
        </w:rPr>
        <w:t xml:space="preserve"> people</w:t>
      </w:r>
      <w:r w:rsidR="00515826">
        <w:rPr>
          <w:color w:val="000000"/>
        </w:rPr>
        <w:t xml:space="preserve"> in 1840</w:t>
      </w:r>
      <w:r w:rsidR="003721D0">
        <w:rPr>
          <w:color w:val="000000"/>
        </w:rPr>
        <w:t xml:space="preserve"> (Terruhn</w:t>
      </w:r>
      <w:r w:rsidRPr="0069399F">
        <w:rPr>
          <w:color w:val="000000"/>
        </w:rPr>
        <w:t>, 2019).</w:t>
      </w:r>
      <w:r w:rsidR="00D24C94">
        <w:rPr>
          <w:color w:val="000000"/>
        </w:rPr>
        <w:t xml:space="preserve"> </w:t>
      </w:r>
      <w:r w:rsidRPr="0069399F">
        <w:rPr>
          <w:color w:val="000000"/>
        </w:rPr>
        <w:t>The colonizers tried to take as much land as possible from Māori people to create a country that was a ‘Better Britain’ (Terruhn, 2019).</w:t>
      </w:r>
      <w:r w:rsidR="00C53FD8">
        <w:rPr>
          <w:color w:val="000000"/>
        </w:rPr>
        <w:t xml:space="preserve"> </w:t>
      </w:r>
      <w:r w:rsidRPr="0069399F">
        <w:rPr>
          <w:color w:val="000000"/>
        </w:rPr>
        <w:t>In 1853</w:t>
      </w:r>
      <w:r w:rsidR="00695891">
        <w:rPr>
          <w:color w:val="000000"/>
        </w:rPr>
        <w:t>,</w:t>
      </w:r>
      <w:r w:rsidRPr="0069399F">
        <w:rPr>
          <w:color w:val="000000"/>
        </w:rPr>
        <w:t xml:space="preserve"> the first </w:t>
      </w:r>
      <w:r w:rsidR="00064428">
        <w:rPr>
          <w:color w:val="000000"/>
        </w:rPr>
        <w:t>governmental elections were</w:t>
      </w:r>
      <w:r w:rsidRPr="0069399F">
        <w:rPr>
          <w:color w:val="000000"/>
        </w:rPr>
        <w:t xml:space="preserve"> held (Terruhn, 2019). Figure 1 shows the rapid increase of the Pākehā population a few years after.</w:t>
      </w:r>
      <w:r w:rsidR="000E2827">
        <w:rPr>
          <w:color w:val="000000"/>
        </w:rPr>
        <w:t xml:space="preserve"> </w:t>
      </w:r>
      <w:r w:rsidR="00AA2198">
        <w:rPr>
          <w:color w:val="000000"/>
        </w:rPr>
        <w:t>This was around 1960 when many Europeans came to Aotearoa New Zealand to search for gold.</w:t>
      </w:r>
      <w:r w:rsidR="00AA2198">
        <w:rPr>
          <w:rStyle w:val="Voetnootmarkering"/>
          <w:color w:val="000000"/>
        </w:rPr>
        <w:footnoteReference w:id="16"/>
      </w:r>
    </w:p>
    <w:p w14:paraId="2D03150A" w14:textId="77777777" w:rsidR="00EC49DB" w:rsidRDefault="00EC49DB" w:rsidP="00EC49DB">
      <w:pPr>
        <w:keepNext/>
        <w:spacing w:line="360" w:lineRule="auto"/>
        <w:jc w:val="center"/>
      </w:pPr>
      <w:r>
        <w:rPr>
          <w:noProof/>
        </w:rPr>
        <w:lastRenderedPageBreak/>
        <w:drawing>
          <wp:inline distT="0" distB="0" distL="0" distR="0" wp14:anchorId="58163589" wp14:editId="6710AA53">
            <wp:extent cx="3587750" cy="3048000"/>
            <wp:effectExtent l="0" t="0" r="0" b="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3631481" cy="3085152"/>
                    </a:xfrm>
                    <a:prstGeom prst="rect">
                      <a:avLst/>
                    </a:prstGeom>
                    <a:ln/>
                  </pic:spPr>
                </pic:pic>
              </a:graphicData>
            </a:graphic>
          </wp:inline>
        </w:drawing>
      </w:r>
    </w:p>
    <w:p w14:paraId="664981BD" w14:textId="1DCF1FB8" w:rsidR="00EC49DB" w:rsidRDefault="00EC49DB" w:rsidP="00BB6C14">
      <w:pPr>
        <w:pStyle w:val="Kop3"/>
        <w:jc w:val="center"/>
        <w:rPr>
          <w:sz w:val="20"/>
          <w:szCs w:val="20"/>
          <w:vertAlign w:val="superscript"/>
        </w:rPr>
      </w:pPr>
      <w:bookmarkStart w:id="89" w:name="_Toc74503466"/>
      <w:bookmarkStart w:id="90" w:name="_Toc74583597"/>
      <w:bookmarkStart w:id="91" w:name="_Toc74583805"/>
      <w:bookmarkStart w:id="92" w:name="_Toc75384074"/>
      <w:r w:rsidRPr="005D2BE9">
        <w:rPr>
          <w:sz w:val="20"/>
          <w:szCs w:val="20"/>
        </w:rPr>
        <w:t>Figure 4.</w:t>
      </w:r>
      <w:r w:rsidRPr="00D7697E">
        <w:rPr>
          <w:sz w:val="20"/>
          <w:szCs w:val="20"/>
        </w:rPr>
        <w:t xml:space="preserve">1 </w:t>
      </w:r>
      <w:r w:rsidR="00D7697E" w:rsidRPr="00D7697E">
        <w:rPr>
          <w:sz w:val="20"/>
          <w:szCs w:val="20"/>
        </w:rPr>
        <w:t xml:space="preserve">Māori </w:t>
      </w:r>
      <w:r w:rsidRPr="00D7697E">
        <w:rPr>
          <w:sz w:val="20"/>
          <w:szCs w:val="20"/>
        </w:rPr>
        <w:t>and</w:t>
      </w:r>
      <w:r w:rsidRPr="005D2BE9">
        <w:rPr>
          <w:sz w:val="20"/>
          <w:szCs w:val="20"/>
        </w:rPr>
        <w:t xml:space="preserve"> European population number, 1838-1901.</w:t>
      </w:r>
      <w:bookmarkEnd w:id="89"/>
      <w:bookmarkEnd w:id="90"/>
      <w:bookmarkEnd w:id="91"/>
      <w:r>
        <w:rPr>
          <w:sz w:val="20"/>
          <w:szCs w:val="20"/>
          <w:vertAlign w:val="superscript"/>
        </w:rPr>
        <w:t>16</w:t>
      </w:r>
      <w:bookmarkEnd w:id="92"/>
    </w:p>
    <w:p w14:paraId="2E00A651" w14:textId="77777777" w:rsidR="00BB6C14" w:rsidRPr="00BB6C14" w:rsidRDefault="00BB6C14" w:rsidP="00BB6C14">
      <w:pPr>
        <w:rPr>
          <w:lang w:val="en-GB" w:eastAsia="en-GB"/>
        </w:rPr>
      </w:pPr>
    </w:p>
    <w:p w14:paraId="63C6F1EC" w14:textId="36B276B5" w:rsidR="0069399F" w:rsidRPr="00EC49DB" w:rsidRDefault="0069399F" w:rsidP="00094EAA">
      <w:pPr>
        <w:pStyle w:val="Geenafstand"/>
        <w:spacing w:line="360" w:lineRule="auto"/>
        <w:ind w:firstLine="708"/>
        <w:jc w:val="both"/>
      </w:pPr>
      <w:r w:rsidRPr="0069399F">
        <w:t>The new state</w:t>
      </w:r>
      <w:r w:rsidR="00177A32">
        <w:t xml:space="preserve"> of Aotearoa New Zealand</w:t>
      </w:r>
      <w:r w:rsidRPr="0069399F">
        <w:t xml:space="preserve"> benefitted the colonizers at the expense of the Māori population. Where once the culture and language of Māori people represented the culture and language of the country, </w:t>
      </w:r>
      <w:r w:rsidR="00F917AD">
        <w:t>it now</w:t>
      </w:r>
      <w:r w:rsidRPr="0069399F">
        <w:t xml:space="preserve"> was only a small part of Aotearoa New Zealand (Terruhn, 2019). Besides the </w:t>
      </w:r>
      <w:r w:rsidR="00F917AD">
        <w:t>reduced</w:t>
      </w:r>
      <w:r w:rsidRPr="0069399F">
        <w:t xml:space="preserve"> presence of the Māori culture, </w:t>
      </w:r>
      <w:r w:rsidR="00AF2B38">
        <w:t>many</w:t>
      </w:r>
      <w:r w:rsidRPr="0069399F">
        <w:t xml:space="preserve"> conflicts over land arose.</w:t>
      </w:r>
      <w:r>
        <w:rPr>
          <w:rStyle w:val="Voetnootmarkering"/>
          <w:color w:val="000000"/>
        </w:rPr>
        <w:footnoteReference w:id="17"/>
      </w:r>
      <w:r w:rsidRPr="0069399F">
        <w:t xml:space="preserve"> The history is important in understanding the relationship between Māori people and the state today. The British colonizers believed in Western universalism (Bell, 2008). By taking away land and dishonouring the culture of Māori people, the colonizers created an overwhelming gap between them and the Māori population. The legacy the colonial settlers</w:t>
      </w:r>
      <w:r w:rsidR="00B905EF">
        <w:t xml:space="preserve"> have</w:t>
      </w:r>
      <w:r w:rsidRPr="0069399F">
        <w:t xml:space="preserve"> left, makes it difficult to establish a respectful coexistence due to the remaining cultural differences (Bell, 2008). </w:t>
      </w:r>
    </w:p>
    <w:p w14:paraId="3A15A746" w14:textId="46CA1CEF" w:rsidR="000423C0" w:rsidRDefault="0069399F" w:rsidP="00BB341B">
      <w:pPr>
        <w:pStyle w:val="Geenafstand"/>
        <w:spacing w:line="360" w:lineRule="auto"/>
        <w:jc w:val="both"/>
      </w:pPr>
      <w:r w:rsidRPr="0069399F">
        <w:tab/>
        <w:t xml:space="preserve">In the </w:t>
      </w:r>
      <w:r w:rsidR="005B61A6">
        <w:t>next section</w:t>
      </w:r>
      <w:r w:rsidRPr="0069399F">
        <w:t xml:space="preserve">, the Treaty of Waitangi will be discussed. After this, the origin and the developments of the Māori seats are described. This first part ends with a description of the recent developments regarding </w:t>
      </w:r>
      <w:r w:rsidRPr="0069399F">
        <w:rPr>
          <w:highlight w:val="white"/>
        </w:rPr>
        <w:t xml:space="preserve">Māori people and their representation. </w:t>
      </w:r>
      <w:bookmarkStart w:id="93" w:name="_Toc72853000"/>
      <w:bookmarkStart w:id="94" w:name="_Toc74583806"/>
    </w:p>
    <w:p w14:paraId="528FB4BC" w14:textId="77777777" w:rsidR="000423C0" w:rsidRDefault="000423C0" w:rsidP="000423C0">
      <w:pPr>
        <w:pStyle w:val="Geenafstand"/>
        <w:spacing w:line="360" w:lineRule="auto"/>
        <w:jc w:val="both"/>
      </w:pPr>
    </w:p>
    <w:p w14:paraId="347B37FF" w14:textId="419A2BD0" w:rsidR="0069399F" w:rsidRPr="000423C0" w:rsidRDefault="0069399F" w:rsidP="000423C0">
      <w:pPr>
        <w:pStyle w:val="Kop3"/>
      </w:pPr>
      <w:bookmarkStart w:id="95" w:name="_Toc75384075"/>
      <w:r>
        <w:t>4.1.1 Treaty of Waitangi</w:t>
      </w:r>
      <w:bookmarkEnd w:id="93"/>
      <w:bookmarkEnd w:id="94"/>
      <w:bookmarkEnd w:id="95"/>
    </w:p>
    <w:p w14:paraId="761FFAC4" w14:textId="69F94E69" w:rsidR="0069399F" w:rsidRPr="0069399F" w:rsidRDefault="0069399F" w:rsidP="000423C0">
      <w:pPr>
        <w:pStyle w:val="Geenafstand"/>
        <w:spacing w:line="360" w:lineRule="auto"/>
        <w:ind w:firstLine="708"/>
        <w:jc w:val="both"/>
      </w:pPr>
      <w:r w:rsidRPr="0069399F">
        <w:t xml:space="preserve">On </w:t>
      </w:r>
      <w:r w:rsidR="006E3D1D">
        <w:t xml:space="preserve">6 </w:t>
      </w:r>
      <w:r w:rsidRPr="0069399F">
        <w:t>February</w:t>
      </w:r>
      <w:r w:rsidR="00A37EE4">
        <w:t xml:space="preserve"> </w:t>
      </w:r>
      <w:r w:rsidRPr="0069399F">
        <w:t>1840</w:t>
      </w:r>
      <w:r w:rsidR="00B905EF">
        <w:t>,</w:t>
      </w:r>
      <w:r w:rsidRPr="0069399F">
        <w:t xml:space="preserve"> the Treaty of Waitangi is signed by the British Crown and several Māori chiefs (Stokes, 1992). It is also known as the nation’s founding document and thereby marks a key date in Aotearoa New Zealand’s history (Stokes, 1992).</w:t>
      </w:r>
      <w:r w:rsidR="00D646AA" w:rsidRPr="0069399F">
        <w:t xml:space="preserve"> </w:t>
      </w:r>
      <w:r w:rsidRPr="0069399F">
        <w:t xml:space="preserve">It was created because Great Britain claimed Aotearoa New Zealand as </w:t>
      </w:r>
      <w:r w:rsidR="00B0619F">
        <w:t xml:space="preserve">a </w:t>
      </w:r>
      <w:r w:rsidRPr="0069399F">
        <w:t xml:space="preserve">colony (Stokes, 1992). </w:t>
      </w:r>
      <w:r w:rsidR="000360EC" w:rsidRPr="000360EC">
        <w:t xml:space="preserve">Both parties saw enough opportunities for </w:t>
      </w:r>
      <w:r w:rsidR="000360EC" w:rsidRPr="000360EC">
        <w:lastRenderedPageBreak/>
        <w:t>themselves within the Treaty to agree on it.</w:t>
      </w:r>
      <w:r w:rsidR="000360EC">
        <w:t xml:space="preserve"> </w:t>
      </w:r>
      <w:r w:rsidR="00DB4FD2" w:rsidRPr="00DB4FD2">
        <w:t>The British colonizers were content with the expansion of their land</w:t>
      </w:r>
      <w:r w:rsidR="00DB4FD2">
        <w:t>.</w:t>
      </w:r>
      <w:r w:rsidRPr="0069399F">
        <w:t xml:space="preserve"> The Māori people signed the Treaty for economic reasons (Orange, 2020). Besides, Māori chiefs were hoping for a more peaceful relation</w:t>
      </w:r>
      <w:r w:rsidR="003715FF">
        <w:t>ship</w:t>
      </w:r>
      <w:r w:rsidRPr="0069399F">
        <w:t xml:space="preserve"> between the Māori tribes. However, for Māori people</w:t>
      </w:r>
      <w:r w:rsidR="003D1BF2">
        <w:t>,</w:t>
      </w:r>
      <w:r w:rsidRPr="0069399F">
        <w:t xml:space="preserve"> the Treaty turned out to be a delusion (Stokes, 1992). Where there was meant to be only one Treaty; two understandings arose, because </w:t>
      </w:r>
      <w:r w:rsidR="004F6EB0">
        <w:t>two versions were create</w:t>
      </w:r>
      <w:r w:rsidR="005A0C2B">
        <w:t>d</w:t>
      </w:r>
      <w:r w:rsidR="004F6EB0">
        <w:t xml:space="preserve">; </w:t>
      </w:r>
      <w:r w:rsidR="00FB3364">
        <w:t xml:space="preserve">one </w:t>
      </w:r>
      <w:r w:rsidRPr="0069399F">
        <w:t>English and one in Māori (Stokes, 1992). These versions differed in wording, resulting in two different Treaties. For example, where the English version talks about sovereignty over Māori land, the Māori version only states governorship (Stokes, 1992). This started a tense and unfair relationship between Māori</w:t>
      </w:r>
      <w:r w:rsidR="00B07F92">
        <w:t xml:space="preserve"> people</w:t>
      </w:r>
      <w:r w:rsidRPr="0069399F">
        <w:t xml:space="preserve"> and the British colonial settlers. </w:t>
      </w:r>
    </w:p>
    <w:p w14:paraId="43E415D5" w14:textId="4911744A" w:rsidR="0069399F" w:rsidRPr="0069399F" w:rsidRDefault="0069399F" w:rsidP="0069399F">
      <w:pPr>
        <w:spacing w:after="0" w:line="360" w:lineRule="auto"/>
        <w:ind w:firstLine="720"/>
        <w:jc w:val="both"/>
        <w:rPr>
          <w:lang w:val="en-GB"/>
        </w:rPr>
      </w:pPr>
      <w:r w:rsidRPr="0069399F">
        <w:rPr>
          <w:color w:val="000000"/>
          <w:lang w:val="en-GB"/>
        </w:rPr>
        <w:t>In 1852 the British colonizers created a parliamentary system that excluded most Māori people from voting</w:t>
      </w:r>
      <w:r w:rsidR="00116151">
        <w:rPr>
          <w:color w:val="000000"/>
          <w:lang w:val="en-GB"/>
        </w:rPr>
        <w:t>.</w:t>
      </w:r>
      <w:r w:rsidR="00116151">
        <w:rPr>
          <w:rStyle w:val="Voetnootmarkering"/>
          <w:color w:val="000000"/>
          <w:lang w:val="en-GB"/>
        </w:rPr>
        <w:footnoteReference w:id="18"/>
      </w:r>
      <w:r w:rsidRPr="0069399F">
        <w:rPr>
          <w:color w:val="000000"/>
          <w:lang w:val="en-GB"/>
        </w:rPr>
        <w:t xml:space="preserve"> Later on</w:t>
      </w:r>
      <w:r w:rsidR="00BD1A4C">
        <w:rPr>
          <w:color w:val="000000"/>
          <w:lang w:val="en-GB"/>
        </w:rPr>
        <w:t>,</w:t>
      </w:r>
      <w:r w:rsidRPr="0069399F">
        <w:rPr>
          <w:color w:val="000000"/>
          <w:lang w:val="en-GB"/>
        </w:rPr>
        <w:t xml:space="preserve"> several conflicts emerged, which are mostly referred to as the New Zealand Wars.</w:t>
      </w:r>
      <w:r w:rsidR="00AA5B40" w:rsidRPr="00AA5B40">
        <w:rPr>
          <w:color w:val="000000"/>
          <w:vertAlign w:val="superscript"/>
          <w:lang w:val="en-GB"/>
        </w:rPr>
        <w:t>16</w:t>
      </w:r>
      <w:r w:rsidRPr="0069399F">
        <w:rPr>
          <w:color w:val="000000"/>
          <w:lang w:val="en-GB"/>
        </w:rPr>
        <w:t xml:space="preserve"> Although the tensions remained for decades, Māori people still received the Treaty as a special agreement with the Crown (Stokes, 1992). Māori people addressed the arrangements that the Crown had </w:t>
      </w:r>
      <w:r w:rsidR="00621058" w:rsidRPr="0069399F">
        <w:rPr>
          <w:color w:val="000000"/>
          <w:lang w:val="en-GB"/>
        </w:rPr>
        <w:t>entered</w:t>
      </w:r>
      <w:r w:rsidRPr="0069399F">
        <w:rPr>
          <w:color w:val="000000"/>
          <w:lang w:val="en-GB"/>
        </w:rPr>
        <w:t xml:space="preserve"> by signing the Treaty of Waitangi. However, the Crown did not act upon the Treaty in ensuring the rights of Māori people (Stokes, 1992). From 1970 on a new, post-colonial, path </w:t>
      </w:r>
      <w:r w:rsidRPr="0069399F">
        <w:rPr>
          <w:lang w:val="en-GB"/>
        </w:rPr>
        <w:t>was taken</w:t>
      </w:r>
      <w:r w:rsidRPr="0069399F">
        <w:rPr>
          <w:color w:val="000000"/>
          <w:lang w:val="en-GB"/>
        </w:rPr>
        <w:t xml:space="preserve"> (Renwick, 1991). More public pressure arose </w:t>
      </w:r>
      <w:r w:rsidR="0005256B">
        <w:rPr>
          <w:color w:val="000000"/>
          <w:lang w:val="en-GB"/>
        </w:rPr>
        <w:t>demanding</w:t>
      </w:r>
      <w:r w:rsidRPr="0069399F">
        <w:rPr>
          <w:color w:val="000000"/>
          <w:lang w:val="en-GB"/>
        </w:rPr>
        <w:t xml:space="preserve"> recognition of the Treaty of Waitangi (Stokes, 1992). This became clear during the Land March Protest in 1975 (Stokes, 1992). Māori </w:t>
      </w:r>
      <w:r w:rsidR="001D5B3C">
        <w:rPr>
          <w:color w:val="000000"/>
          <w:lang w:val="en-GB"/>
        </w:rPr>
        <w:t>and</w:t>
      </w:r>
      <w:r w:rsidRPr="0069399F">
        <w:rPr>
          <w:color w:val="000000"/>
          <w:lang w:val="en-GB"/>
        </w:rPr>
        <w:t xml:space="preserve"> Pākehā people gathered and </w:t>
      </w:r>
      <w:r w:rsidR="00621058" w:rsidRPr="0069399F">
        <w:rPr>
          <w:color w:val="000000"/>
          <w:lang w:val="en-GB"/>
        </w:rPr>
        <w:t>protested</w:t>
      </w:r>
      <w:r w:rsidRPr="0069399F">
        <w:rPr>
          <w:color w:val="000000"/>
          <w:lang w:val="en-GB"/>
        </w:rPr>
        <w:t xml:space="preserve"> the continuing loss of land from Māori people. After more than a century</w:t>
      </w:r>
      <w:r w:rsidR="00542124">
        <w:rPr>
          <w:color w:val="000000"/>
          <w:lang w:val="en-GB"/>
        </w:rPr>
        <w:t>,</w:t>
      </w:r>
      <w:r w:rsidRPr="0069399F">
        <w:rPr>
          <w:color w:val="000000"/>
          <w:lang w:val="en-GB"/>
        </w:rPr>
        <w:t xml:space="preserve"> Māori people were no longer alone in their battle against the state for recognition</w:t>
      </w:r>
      <w:r w:rsidR="00854915">
        <w:rPr>
          <w:color w:val="000000"/>
          <w:lang w:val="en-GB"/>
        </w:rPr>
        <w:t xml:space="preserve"> </w:t>
      </w:r>
      <w:r w:rsidR="00235E9D">
        <w:rPr>
          <w:color w:val="000000"/>
          <w:lang w:val="en-GB"/>
        </w:rPr>
        <w:t>through the accession</w:t>
      </w:r>
      <w:r w:rsidR="00854915">
        <w:rPr>
          <w:color w:val="000000"/>
          <w:lang w:val="en-GB"/>
        </w:rPr>
        <w:t xml:space="preserve"> of</w:t>
      </w:r>
      <w:r w:rsidRPr="0069399F">
        <w:rPr>
          <w:color w:val="000000"/>
          <w:lang w:val="en-GB"/>
        </w:rPr>
        <w:t xml:space="preserve"> </w:t>
      </w:r>
      <w:r w:rsidR="005F6093">
        <w:rPr>
          <w:color w:val="000000"/>
          <w:lang w:val="en-GB"/>
        </w:rPr>
        <w:t>s</w:t>
      </w:r>
      <w:r w:rsidR="00081A90">
        <w:rPr>
          <w:color w:val="000000"/>
          <w:lang w:val="en-GB"/>
        </w:rPr>
        <w:t xml:space="preserve">everal </w:t>
      </w:r>
      <w:r w:rsidRPr="0069399F">
        <w:rPr>
          <w:color w:val="000000"/>
          <w:lang w:val="en-GB"/>
        </w:rPr>
        <w:t>Pākehā</w:t>
      </w:r>
      <w:r w:rsidR="00081A90">
        <w:rPr>
          <w:color w:val="000000"/>
          <w:lang w:val="en-GB"/>
        </w:rPr>
        <w:t xml:space="preserve"> </w:t>
      </w:r>
      <w:r w:rsidR="008A3429">
        <w:rPr>
          <w:color w:val="000000"/>
          <w:lang w:val="en-GB"/>
        </w:rPr>
        <w:t>people</w:t>
      </w:r>
      <w:r w:rsidRPr="0069399F">
        <w:rPr>
          <w:color w:val="000000"/>
          <w:lang w:val="en-GB"/>
        </w:rPr>
        <w:t xml:space="preserve"> (Stokes, 1992).</w:t>
      </w:r>
      <w:r w:rsidRPr="0069399F">
        <w:rPr>
          <w:lang w:val="en-GB"/>
        </w:rPr>
        <w:t xml:space="preserve"> </w:t>
      </w:r>
    </w:p>
    <w:p w14:paraId="2026641F" w14:textId="71CA0D62" w:rsidR="0069399F" w:rsidRPr="0069399F" w:rsidRDefault="0069399F" w:rsidP="0069399F">
      <w:pPr>
        <w:spacing w:after="0" w:line="360" w:lineRule="auto"/>
        <w:ind w:firstLine="720"/>
        <w:jc w:val="both"/>
        <w:rPr>
          <w:color w:val="000000"/>
          <w:highlight w:val="white"/>
          <w:lang w:val="en-GB"/>
        </w:rPr>
      </w:pPr>
      <w:r w:rsidRPr="0069399F">
        <w:rPr>
          <w:lang w:val="en-GB"/>
        </w:rPr>
        <w:t>In 1975, the Waitangi Tribunal</w:t>
      </w:r>
      <w:r w:rsidRPr="0069399F">
        <w:rPr>
          <w:color w:val="000000"/>
          <w:highlight w:val="white"/>
          <w:lang w:val="en-GB"/>
        </w:rPr>
        <w:t xml:space="preserve"> was created.</w:t>
      </w:r>
      <w:r>
        <w:rPr>
          <w:rStyle w:val="Voetnootmarkering"/>
          <w:color w:val="000000"/>
          <w:highlight w:val="white"/>
        </w:rPr>
        <w:footnoteReference w:id="19"/>
      </w:r>
      <w:r w:rsidRPr="0069399F">
        <w:rPr>
          <w:color w:val="000000"/>
          <w:highlight w:val="white"/>
          <w:lang w:val="en-GB"/>
        </w:rPr>
        <w:t xml:space="preserve"> T</w:t>
      </w:r>
      <w:r w:rsidR="00CC1B87">
        <w:rPr>
          <w:color w:val="000000"/>
          <w:highlight w:val="white"/>
          <w:lang w:val="en-GB"/>
        </w:rPr>
        <w:t>his</w:t>
      </w:r>
      <w:r w:rsidRPr="0069399F">
        <w:rPr>
          <w:color w:val="000000"/>
          <w:highlight w:val="white"/>
          <w:lang w:val="en-GB"/>
        </w:rPr>
        <w:t xml:space="preserve"> is </w:t>
      </w:r>
      <w:r w:rsidR="00BD1A4C">
        <w:rPr>
          <w:color w:val="000000"/>
          <w:highlight w:val="white"/>
          <w:lang w:val="en-GB"/>
        </w:rPr>
        <w:t>“</w:t>
      </w:r>
      <w:r w:rsidRPr="0069399F">
        <w:rPr>
          <w:color w:val="000000"/>
          <w:highlight w:val="white"/>
          <w:lang w:val="en-GB"/>
        </w:rPr>
        <w:t>a permanent commission of inquiry that makes recommendations on claims brought by Māori relating to Crown actions which breach the promises made in the Treaty of Waitangi”</w:t>
      </w:r>
      <w:r w:rsidR="00CA5E7E">
        <w:rPr>
          <w:color w:val="000000"/>
          <w:highlight w:val="white"/>
          <w:lang w:val="en-GB"/>
        </w:rPr>
        <w:t>.</w:t>
      </w:r>
      <w:r w:rsidR="00CA5E7E">
        <w:rPr>
          <w:color w:val="000000"/>
          <w:highlight w:val="white"/>
          <w:vertAlign w:val="superscript"/>
          <w:lang w:val="en-GB"/>
        </w:rPr>
        <w:t>18</w:t>
      </w:r>
      <w:r w:rsidRPr="0069399F">
        <w:rPr>
          <w:color w:val="000000"/>
          <w:highlight w:val="white"/>
          <w:lang w:val="en-GB"/>
        </w:rPr>
        <w:t xml:space="preserve"> I</w:t>
      </w:r>
      <w:r w:rsidR="00B758E5">
        <w:rPr>
          <w:color w:val="000000"/>
          <w:highlight w:val="white"/>
          <w:lang w:val="en-GB"/>
        </w:rPr>
        <w:t>t tries to</w:t>
      </w:r>
      <w:r w:rsidR="00AF287E">
        <w:rPr>
          <w:color w:val="000000"/>
          <w:highlight w:val="white"/>
          <w:lang w:val="en-GB"/>
        </w:rPr>
        <w:t xml:space="preserve"> </w:t>
      </w:r>
      <w:r w:rsidRPr="0069399F">
        <w:rPr>
          <w:color w:val="000000"/>
          <w:highlight w:val="white"/>
          <w:lang w:val="en-GB"/>
        </w:rPr>
        <w:t xml:space="preserve">ensure the practical application of the Treaty of Waitangi (Stokes, 1992). Tawhai and Gray-Sharp (2011) study the degree to which the state of </w:t>
      </w:r>
      <w:r w:rsidRPr="0069399F">
        <w:rPr>
          <w:lang w:val="en-GB"/>
        </w:rPr>
        <w:t>Aotearoa</w:t>
      </w:r>
      <w:r w:rsidRPr="0069399F">
        <w:rPr>
          <w:color w:val="000000"/>
          <w:highlight w:val="white"/>
          <w:lang w:val="en-GB"/>
        </w:rPr>
        <w:t xml:space="preserve"> New Zealand lives up to the Treaty of Waitangi in their policies. </w:t>
      </w:r>
      <w:r w:rsidR="001B5422">
        <w:rPr>
          <w:color w:val="000000"/>
          <w:highlight w:val="white"/>
          <w:lang w:val="en-GB"/>
        </w:rPr>
        <w:t>T</w:t>
      </w:r>
      <w:r w:rsidRPr="0069399F">
        <w:rPr>
          <w:color w:val="000000"/>
          <w:highlight w:val="white"/>
          <w:lang w:val="en-GB"/>
        </w:rPr>
        <w:t xml:space="preserve">hey state that the importance of the Treaty of Waitangi lies not in </w:t>
      </w:r>
      <w:r w:rsidR="00D60E9D">
        <w:rPr>
          <w:color w:val="000000"/>
          <w:highlight w:val="white"/>
          <w:lang w:val="en-GB"/>
        </w:rPr>
        <w:t>its</w:t>
      </w:r>
      <w:r w:rsidRPr="0069399F">
        <w:rPr>
          <w:color w:val="000000"/>
          <w:highlight w:val="white"/>
          <w:lang w:val="en-GB"/>
        </w:rPr>
        <w:t xml:space="preserve"> history, but i</w:t>
      </w:r>
      <w:r w:rsidR="003E280D">
        <w:rPr>
          <w:color w:val="000000"/>
          <w:highlight w:val="white"/>
          <w:lang w:val="en-GB"/>
        </w:rPr>
        <w:t>ts</w:t>
      </w:r>
      <w:r w:rsidRPr="0069399F">
        <w:rPr>
          <w:color w:val="000000"/>
          <w:highlight w:val="white"/>
          <w:lang w:val="en-GB"/>
        </w:rPr>
        <w:t xml:space="preserve"> application in contemporary times. Rather than </w:t>
      </w:r>
      <w:r w:rsidRPr="0069399F">
        <w:rPr>
          <w:highlight w:val="white"/>
          <w:lang w:val="en-GB"/>
        </w:rPr>
        <w:t>persisting with the</w:t>
      </w:r>
      <w:r w:rsidRPr="0069399F">
        <w:rPr>
          <w:color w:val="000000"/>
          <w:highlight w:val="white"/>
          <w:lang w:val="en-GB"/>
        </w:rPr>
        <w:t xml:space="preserve"> past, the focus of the Treaty is about creating a democratic future where the Māori rights, views and leadership are incorporated (Tawhai and Gray-Sharp, 2011). </w:t>
      </w:r>
    </w:p>
    <w:p w14:paraId="7BDBC7A2" w14:textId="634F71C4" w:rsidR="0069399F" w:rsidRPr="0069399F" w:rsidRDefault="0069399F" w:rsidP="0069399F">
      <w:pPr>
        <w:spacing w:after="0" w:line="360" w:lineRule="auto"/>
        <w:ind w:firstLine="720"/>
        <w:jc w:val="both"/>
        <w:rPr>
          <w:color w:val="000000"/>
          <w:highlight w:val="white"/>
          <w:lang w:val="en-GB"/>
        </w:rPr>
      </w:pPr>
      <w:r w:rsidRPr="0069399F">
        <w:rPr>
          <w:color w:val="000000"/>
          <w:highlight w:val="white"/>
          <w:lang w:val="en-GB"/>
        </w:rPr>
        <w:t xml:space="preserve">Although improvement is needed in many areas, Tawhai and Gray-Sharp (2011) state that much progress has been made. </w:t>
      </w:r>
      <w:r w:rsidR="00542124">
        <w:rPr>
          <w:color w:val="000000"/>
          <w:highlight w:val="white"/>
          <w:lang w:val="en-GB"/>
        </w:rPr>
        <w:t xml:space="preserve">The voice of </w:t>
      </w:r>
      <w:r w:rsidR="00212105" w:rsidRPr="00444A93">
        <w:rPr>
          <w:lang w:val="en-GB"/>
        </w:rPr>
        <w:t>Māori</w:t>
      </w:r>
      <w:r w:rsidR="00212105">
        <w:rPr>
          <w:color w:val="000000"/>
          <w:highlight w:val="white"/>
          <w:lang w:val="en-GB"/>
        </w:rPr>
        <w:t xml:space="preserve"> </w:t>
      </w:r>
      <w:r w:rsidR="00542124">
        <w:rPr>
          <w:color w:val="000000"/>
          <w:highlight w:val="white"/>
          <w:lang w:val="en-GB"/>
        </w:rPr>
        <w:t xml:space="preserve">people </w:t>
      </w:r>
      <w:r w:rsidR="00DE3C18">
        <w:rPr>
          <w:color w:val="000000"/>
          <w:highlight w:val="white"/>
          <w:lang w:val="en-GB"/>
        </w:rPr>
        <w:t>is needed</w:t>
      </w:r>
      <w:r w:rsidRPr="0069399F">
        <w:rPr>
          <w:color w:val="000000"/>
          <w:highlight w:val="white"/>
          <w:lang w:val="en-GB"/>
        </w:rPr>
        <w:t xml:space="preserve"> to create policies according to the Treaty of Waitangi </w:t>
      </w:r>
      <w:r w:rsidR="00EF7498">
        <w:rPr>
          <w:color w:val="000000"/>
          <w:highlight w:val="white"/>
          <w:lang w:val="en-GB"/>
        </w:rPr>
        <w:t>(Tawhai and Gray-Sharp, 2011)</w:t>
      </w:r>
      <w:r w:rsidR="00EF7498" w:rsidRPr="0069399F">
        <w:rPr>
          <w:color w:val="000000"/>
          <w:highlight w:val="white"/>
          <w:lang w:val="en-GB"/>
        </w:rPr>
        <w:t>.</w:t>
      </w:r>
      <w:r w:rsidR="00EF7498">
        <w:rPr>
          <w:color w:val="000000"/>
          <w:highlight w:val="white"/>
          <w:lang w:val="en-GB"/>
        </w:rPr>
        <w:t xml:space="preserve"> This</w:t>
      </w:r>
      <w:r w:rsidRPr="0069399F">
        <w:rPr>
          <w:color w:val="000000"/>
          <w:highlight w:val="white"/>
          <w:lang w:val="en-GB"/>
        </w:rPr>
        <w:t xml:space="preserve"> is good for all peoples of Aotearoa New</w:t>
      </w:r>
      <w:r w:rsidR="006F667E">
        <w:rPr>
          <w:color w:val="000000"/>
          <w:highlight w:val="white"/>
          <w:lang w:val="en-GB"/>
        </w:rPr>
        <w:t xml:space="preserve"> Zealand.</w:t>
      </w:r>
      <w:r w:rsidRPr="0069399F">
        <w:rPr>
          <w:color w:val="000000"/>
          <w:highlight w:val="white"/>
          <w:lang w:val="en-GB"/>
        </w:rPr>
        <w:t xml:space="preserve"> This implies the importance of Māori MPs. They can speak up on behalf of the Māori </w:t>
      </w:r>
      <w:r w:rsidRPr="0069399F">
        <w:rPr>
          <w:color w:val="000000"/>
          <w:highlight w:val="white"/>
          <w:lang w:val="en-GB"/>
        </w:rPr>
        <w:lastRenderedPageBreak/>
        <w:t>population to ensure the Treaty of Waitangi in the policy-making process. The Māori Party</w:t>
      </w:r>
      <w:r w:rsidR="00064DF5">
        <w:rPr>
          <w:color w:val="000000"/>
          <w:highlight w:val="white"/>
          <w:lang w:val="en-GB"/>
        </w:rPr>
        <w:t xml:space="preserve"> has</w:t>
      </w:r>
      <w:r w:rsidRPr="0069399F">
        <w:rPr>
          <w:color w:val="000000"/>
          <w:highlight w:val="white"/>
          <w:lang w:val="en-GB"/>
        </w:rPr>
        <w:t xml:space="preserve"> explicitly dedicated its policies to the Treaty of </w:t>
      </w:r>
      <w:r w:rsidR="003430A4" w:rsidRPr="0069399F">
        <w:rPr>
          <w:color w:val="000000"/>
          <w:highlight w:val="white"/>
          <w:lang w:val="en-GB"/>
        </w:rPr>
        <w:t>Waitangi because</w:t>
      </w:r>
      <w:r w:rsidRPr="0069399F">
        <w:rPr>
          <w:color w:val="000000"/>
          <w:highlight w:val="white"/>
          <w:lang w:val="en-GB"/>
        </w:rPr>
        <w:t xml:space="preserve"> th</w:t>
      </w:r>
      <w:r w:rsidR="00EF61B8">
        <w:rPr>
          <w:color w:val="000000"/>
          <w:highlight w:val="white"/>
          <w:lang w:val="en-GB"/>
        </w:rPr>
        <w:t>is could provide t</w:t>
      </w:r>
      <w:r w:rsidRPr="0069399F">
        <w:rPr>
          <w:color w:val="000000"/>
          <w:highlight w:val="white"/>
          <w:lang w:val="en-GB"/>
        </w:rPr>
        <w:t xml:space="preserve">he base for constitutional change, reaching for shared governance (Geddis, 2006). In the case of </w:t>
      </w:r>
      <w:r w:rsidRPr="0069399F">
        <w:rPr>
          <w:lang w:val="en-GB"/>
        </w:rPr>
        <w:t>Aotearoa</w:t>
      </w:r>
      <w:r w:rsidRPr="0069399F">
        <w:rPr>
          <w:color w:val="000000"/>
          <w:highlight w:val="white"/>
          <w:lang w:val="en-GB"/>
        </w:rPr>
        <w:t xml:space="preserve"> New Zealand, the Treaty of Waitangi moves the level of representation from the symbolic to the substantive level. </w:t>
      </w:r>
      <w:r w:rsidR="00303972">
        <w:rPr>
          <w:color w:val="000000"/>
          <w:highlight w:val="white"/>
          <w:lang w:val="en-GB"/>
        </w:rPr>
        <w:t>The Treaty is used as</w:t>
      </w:r>
      <w:r w:rsidR="007D7D0D">
        <w:rPr>
          <w:color w:val="000000"/>
          <w:highlight w:val="white"/>
          <w:lang w:val="en-GB"/>
        </w:rPr>
        <w:t xml:space="preserve"> a</w:t>
      </w:r>
      <w:r w:rsidR="00303972">
        <w:rPr>
          <w:color w:val="000000"/>
          <w:highlight w:val="white"/>
          <w:lang w:val="en-GB"/>
        </w:rPr>
        <w:t xml:space="preserve"> fundament in ensuring </w:t>
      </w:r>
      <w:r w:rsidR="00303972" w:rsidRPr="0069399F">
        <w:rPr>
          <w:color w:val="000000"/>
          <w:highlight w:val="white"/>
          <w:lang w:val="en-GB"/>
        </w:rPr>
        <w:t>Māori</w:t>
      </w:r>
      <w:r w:rsidR="00303972">
        <w:rPr>
          <w:color w:val="000000"/>
          <w:highlight w:val="white"/>
          <w:lang w:val="en-GB"/>
        </w:rPr>
        <w:t xml:space="preserve"> rights </w:t>
      </w:r>
      <w:r w:rsidR="006F5B7E">
        <w:rPr>
          <w:color w:val="000000"/>
          <w:highlight w:val="white"/>
          <w:lang w:val="en-GB"/>
        </w:rPr>
        <w:t xml:space="preserve">in </w:t>
      </w:r>
      <w:r w:rsidR="00676F0C">
        <w:rPr>
          <w:color w:val="000000"/>
          <w:highlight w:val="white"/>
          <w:lang w:val="en-GB"/>
        </w:rPr>
        <w:t>the policy-making process</w:t>
      </w:r>
      <w:r w:rsidR="006F5B7E">
        <w:rPr>
          <w:color w:val="000000"/>
          <w:highlight w:val="white"/>
          <w:lang w:val="en-GB"/>
        </w:rPr>
        <w:t>.</w:t>
      </w:r>
      <w:r w:rsidR="00303972">
        <w:rPr>
          <w:color w:val="000000"/>
          <w:highlight w:val="white"/>
          <w:lang w:val="en-GB"/>
        </w:rPr>
        <w:t xml:space="preserve"> </w:t>
      </w:r>
      <w:r w:rsidRPr="0069399F">
        <w:rPr>
          <w:color w:val="000000"/>
          <w:highlight w:val="white"/>
          <w:lang w:val="en-GB"/>
        </w:rPr>
        <w:t xml:space="preserve">Although the Treaty has no legally enforceable power, it has become a moral and political authority that stimulates change (Morris, 2014). The principles of the Treaty are converted into legal change. This makes the principles that recognise the Māori population not only symbolic but also substantive. </w:t>
      </w:r>
    </w:p>
    <w:p w14:paraId="3B1D1204" w14:textId="0D12BF16" w:rsidR="00693548" w:rsidRDefault="0069399F" w:rsidP="00693548">
      <w:pPr>
        <w:spacing w:after="0" w:line="360" w:lineRule="auto"/>
        <w:ind w:firstLine="720"/>
        <w:jc w:val="both"/>
        <w:rPr>
          <w:color w:val="000000"/>
          <w:lang w:val="en-GB"/>
        </w:rPr>
      </w:pPr>
      <w:r w:rsidRPr="0069399F">
        <w:rPr>
          <w:color w:val="000000"/>
          <w:highlight w:val="white"/>
          <w:lang w:val="en-GB"/>
        </w:rPr>
        <w:t xml:space="preserve">In sum, the Treaty of Waitangi is the basis on which the constitutional government of </w:t>
      </w:r>
      <w:r w:rsidRPr="0069399F">
        <w:rPr>
          <w:lang w:val="en-GB"/>
        </w:rPr>
        <w:t>Aotearoa</w:t>
      </w:r>
      <w:r w:rsidRPr="0069399F">
        <w:rPr>
          <w:color w:val="000000"/>
          <w:highlight w:val="white"/>
          <w:lang w:val="en-GB"/>
        </w:rPr>
        <w:t xml:space="preserve"> New Zealand developed. Where once the Treaty resulted in the exclusion of Māori people, nowadays the Treaty is the checkpoint for the inclusion of Māori rights of the created policies. The next section describes the progress in history towards the creation of Māori seats. </w:t>
      </w:r>
      <w:bookmarkStart w:id="96" w:name="_Toc72853001"/>
      <w:bookmarkStart w:id="97" w:name="_Toc74583807"/>
    </w:p>
    <w:p w14:paraId="23395967" w14:textId="77777777" w:rsidR="00693548" w:rsidRDefault="00693548" w:rsidP="00854009">
      <w:pPr>
        <w:spacing w:after="0" w:line="360" w:lineRule="auto"/>
        <w:jc w:val="both"/>
        <w:rPr>
          <w:color w:val="000000"/>
          <w:lang w:val="en-GB"/>
        </w:rPr>
      </w:pPr>
    </w:p>
    <w:p w14:paraId="3C399BF5" w14:textId="0CE703F2" w:rsidR="0069399F" w:rsidRPr="006B543C" w:rsidRDefault="0069399F" w:rsidP="006B543C">
      <w:pPr>
        <w:pStyle w:val="Kop3"/>
        <w:rPr>
          <w:color w:val="000000"/>
          <w:highlight w:val="white"/>
        </w:rPr>
      </w:pPr>
      <w:bookmarkStart w:id="98" w:name="_Toc75384076"/>
      <w:r>
        <w:t>4.1.2 Māori seats</w:t>
      </w:r>
      <w:bookmarkEnd w:id="96"/>
      <w:bookmarkEnd w:id="97"/>
      <w:bookmarkEnd w:id="98"/>
      <w:r>
        <w:t xml:space="preserve"> </w:t>
      </w:r>
    </w:p>
    <w:p w14:paraId="0920CF5D" w14:textId="50B9A519" w:rsidR="0069399F" w:rsidRPr="0069399F" w:rsidRDefault="0069399F" w:rsidP="00D40F7E">
      <w:pPr>
        <w:pStyle w:val="Geenafstand"/>
        <w:spacing w:line="360" w:lineRule="auto"/>
        <w:ind w:firstLine="708"/>
        <w:jc w:val="both"/>
      </w:pPr>
      <w:r w:rsidRPr="0069399F">
        <w:t>In 1867 the Māori Representation Act created four seats for Māori people in Parliament (Dahlberg, 1996). At first glance, this</w:t>
      </w:r>
      <w:r w:rsidR="00A917A8">
        <w:t xml:space="preserve"> seems </w:t>
      </w:r>
      <w:r w:rsidRPr="0069399F">
        <w:t>like a genuine gesture trying to take Māori interests into account. However, this creation of Māori seats “involved no high intentions or moral principles” (Dahlberg 1996, p.63). Rather, parliamentary seats were installed as a reaction to Māori people seeking autonomy (Wilson, 2009; Taonui, 2017). The aim was to content Māori rebels and reward loyal Māori’s while simultaneously ensuring critics in Britain that the colonists were looking after Māori interests (Wilson, 2009). In 1996, Aotearoa New Zealand adopted a new system; a mixed-member proportional representation</w:t>
      </w:r>
      <w:r w:rsidR="00630F6F">
        <w:t xml:space="preserve"> </w:t>
      </w:r>
      <w:r w:rsidRPr="0069399F">
        <w:t>parliament (MMP).</w:t>
      </w:r>
      <w:r>
        <w:rPr>
          <w:rStyle w:val="Voetnootmarkering"/>
          <w:color w:val="000000"/>
        </w:rPr>
        <w:footnoteReference w:id="20"/>
      </w:r>
      <w:r w:rsidR="00146880">
        <w:t xml:space="preserve"> </w:t>
      </w:r>
      <w:r w:rsidRPr="0069399F">
        <w:t xml:space="preserve">Although a proportional system already enhances the representation of minorities, the dedicated seats remained. </w:t>
      </w:r>
    </w:p>
    <w:p w14:paraId="4ABFCF98" w14:textId="6C9F8D8D" w:rsidR="0069399F" w:rsidRPr="0069399F" w:rsidRDefault="0069399F" w:rsidP="00D40F7E">
      <w:pPr>
        <w:pStyle w:val="Geenafstand"/>
        <w:spacing w:line="360" w:lineRule="auto"/>
        <w:ind w:firstLine="708"/>
        <w:jc w:val="both"/>
        <w:rPr>
          <w:highlight w:val="white"/>
        </w:rPr>
      </w:pPr>
      <w:r w:rsidRPr="0069399F">
        <w:t>Figure 2</w:t>
      </w:r>
      <w:r w:rsidR="007A678A">
        <w:t xml:space="preserve"> </w:t>
      </w:r>
      <w:r w:rsidRPr="0069399F">
        <w:t xml:space="preserve">reveals the impact the MMP system has on </w:t>
      </w:r>
      <w:r w:rsidRPr="0069399F">
        <w:rPr>
          <w:highlight w:val="white"/>
        </w:rPr>
        <w:t>Māori representation in Parliament</w:t>
      </w:r>
      <w:r w:rsidR="005E074A">
        <w:rPr>
          <w:highlight w:val="white"/>
        </w:rPr>
        <w:t xml:space="preserve">; the number of </w:t>
      </w:r>
      <w:r w:rsidR="005E074A" w:rsidRPr="0069399F">
        <w:t>Māori</w:t>
      </w:r>
      <w:r w:rsidR="005E074A">
        <w:t xml:space="preserve"> MPs increased</w:t>
      </w:r>
      <w:r w:rsidR="000E49B5">
        <w:t xml:space="preserve"> from less than 10%</w:t>
      </w:r>
      <w:r w:rsidR="00C43D68">
        <w:t xml:space="preserve"> in the majority system in 1993</w:t>
      </w:r>
      <w:r w:rsidR="000E49B5">
        <w:t xml:space="preserve"> to 22,5%</w:t>
      </w:r>
      <w:r w:rsidR="00E90437">
        <w:t xml:space="preserve"> in the past government period.</w:t>
      </w:r>
      <w:r w:rsidRPr="0069399F">
        <w:rPr>
          <w:highlight w:val="white"/>
        </w:rPr>
        <w:t xml:space="preserve"> </w:t>
      </w:r>
      <w:r w:rsidR="006070B4">
        <w:rPr>
          <w:highlight w:val="white"/>
        </w:rPr>
        <w:t xml:space="preserve">The figure shows that </w:t>
      </w:r>
      <w:r w:rsidR="006070B4">
        <w:t>t</w:t>
      </w:r>
      <w:r w:rsidRPr="0069399F">
        <w:t>here is an upward trend</w:t>
      </w:r>
      <w:r w:rsidR="006070B4">
        <w:t xml:space="preserve"> in MPs identifying themselves as </w:t>
      </w:r>
      <w:r w:rsidR="006070B4" w:rsidRPr="0069399F">
        <w:t>Māor</w:t>
      </w:r>
      <w:r w:rsidR="006070B4">
        <w:t>i’s</w:t>
      </w:r>
      <w:r w:rsidRPr="0069399F">
        <w:t xml:space="preserve">. </w:t>
      </w:r>
      <w:r w:rsidR="00366AE1">
        <w:t>Although the 2020 election resulted in the most diverse Parliament in Aotearoa New Zealand’s history</w:t>
      </w:r>
      <w:r w:rsidR="00BE6905">
        <w:t xml:space="preserve"> (Reuters, 2020)</w:t>
      </w:r>
      <w:r w:rsidRPr="0069399F">
        <w:t xml:space="preserve">, </w:t>
      </w:r>
      <w:r w:rsidR="00A66202">
        <w:t>t</w:t>
      </w:r>
      <w:r w:rsidRPr="0069399F">
        <w:t xml:space="preserve">here </w:t>
      </w:r>
      <w:r w:rsidR="006070B4">
        <w:t>was</w:t>
      </w:r>
      <w:r w:rsidRPr="0069399F">
        <w:t xml:space="preserve"> a decrease in the number of MPs from Māori </w:t>
      </w:r>
      <w:r w:rsidR="00BB2C93">
        <w:t>descent</w:t>
      </w:r>
      <w:r w:rsidRPr="0069399F">
        <w:t xml:space="preserve"> in comparison with the election of 2017</w:t>
      </w:r>
      <w:r w:rsidR="007E2AA7">
        <w:t xml:space="preserve"> (see table </w:t>
      </w:r>
      <w:r w:rsidR="00DA085F">
        <w:t>A</w:t>
      </w:r>
      <w:r w:rsidR="007E2AA7">
        <w:t xml:space="preserve">.2 and </w:t>
      </w:r>
      <w:r w:rsidR="00DA085F">
        <w:t>A</w:t>
      </w:r>
      <w:r w:rsidR="007E2AA7">
        <w:t>.3</w:t>
      </w:r>
      <w:r w:rsidR="00693548">
        <w:t>,</w:t>
      </w:r>
      <w:r w:rsidR="007E2AA7">
        <w:t xml:space="preserve"> Appendix </w:t>
      </w:r>
      <w:r w:rsidR="00DA085F">
        <w:t>A</w:t>
      </w:r>
      <w:r w:rsidR="007E2AA7">
        <w:t>).</w:t>
      </w:r>
      <w:r w:rsidRPr="0069399F">
        <w:t xml:space="preserve"> </w:t>
      </w:r>
      <w:r w:rsidR="006070B4">
        <w:t xml:space="preserve"> </w:t>
      </w:r>
    </w:p>
    <w:p w14:paraId="4600245C" w14:textId="77777777" w:rsidR="00B312AD" w:rsidRDefault="0069399F" w:rsidP="00B312AD">
      <w:pPr>
        <w:keepNext/>
        <w:spacing w:line="360" w:lineRule="auto"/>
        <w:jc w:val="center"/>
      </w:pPr>
      <w:r>
        <w:rPr>
          <w:noProof/>
        </w:rPr>
        <w:lastRenderedPageBreak/>
        <w:drawing>
          <wp:inline distT="0" distB="0" distL="0" distR="0" wp14:anchorId="696C8CAF" wp14:editId="045E0CA4">
            <wp:extent cx="4102100" cy="1545590"/>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103255" cy="1546025"/>
                    </a:xfrm>
                    <a:prstGeom prst="rect">
                      <a:avLst/>
                    </a:prstGeom>
                    <a:ln/>
                  </pic:spPr>
                </pic:pic>
              </a:graphicData>
            </a:graphic>
          </wp:inline>
        </w:drawing>
      </w:r>
    </w:p>
    <w:p w14:paraId="3B8BC586" w14:textId="4FB507CE" w:rsidR="0069399F" w:rsidRPr="005D2BE9" w:rsidRDefault="00B312AD" w:rsidP="005D2BE9">
      <w:pPr>
        <w:pStyle w:val="Kop3"/>
        <w:jc w:val="center"/>
        <w:rPr>
          <w:i/>
          <w:color w:val="44546A" w:themeColor="text2"/>
          <w:sz w:val="20"/>
          <w:szCs w:val="20"/>
        </w:rPr>
      </w:pPr>
      <w:bookmarkStart w:id="99" w:name="_Toc74503469"/>
      <w:bookmarkStart w:id="100" w:name="_Toc74583600"/>
      <w:bookmarkStart w:id="101" w:name="_Toc74583808"/>
      <w:bookmarkStart w:id="102" w:name="_Toc75384077"/>
      <w:r w:rsidRPr="005D2BE9">
        <w:rPr>
          <w:sz w:val="20"/>
          <w:szCs w:val="20"/>
        </w:rPr>
        <w:t xml:space="preserve">Figure 4.2. Percentage of MPs identifying </w:t>
      </w:r>
      <w:r w:rsidRPr="00D7697E">
        <w:rPr>
          <w:sz w:val="20"/>
          <w:szCs w:val="20"/>
        </w:rPr>
        <w:t xml:space="preserve">as </w:t>
      </w:r>
      <w:r w:rsidR="00D7697E" w:rsidRPr="00D7697E">
        <w:rPr>
          <w:sz w:val="20"/>
          <w:szCs w:val="20"/>
        </w:rPr>
        <w:t>Māori</w:t>
      </w:r>
      <w:r w:rsidRPr="00D7697E">
        <w:rPr>
          <w:sz w:val="20"/>
          <w:szCs w:val="20"/>
        </w:rPr>
        <w:t>. Source</w:t>
      </w:r>
      <w:r w:rsidRPr="005D2BE9">
        <w:rPr>
          <w:sz w:val="20"/>
          <w:szCs w:val="20"/>
        </w:rPr>
        <w:t>: NZ Parliamentary Library, 2017.</w:t>
      </w:r>
      <w:bookmarkEnd w:id="99"/>
      <w:bookmarkEnd w:id="100"/>
      <w:bookmarkEnd w:id="101"/>
      <w:bookmarkEnd w:id="102"/>
    </w:p>
    <w:p w14:paraId="36A8DFB8" w14:textId="77777777" w:rsidR="00E51C7F" w:rsidRDefault="00E51C7F" w:rsidP="00E51C7F">
      <w:pPr>
        <w:spacing w:line="360" w:lineRule="auto"/>
        <w:ind w:firstLine="708"/>
        <w:jc w:val="both"/>
        <w:rPr>
          <w:iCs/>
          <w:color w:val="2F5496"/>
          <w:sz w:val="18"/>
          <w:szCs w:val="18"/>
          <w:lang w:val="en-GB"/>
        </w:rPr>
      </w:pPr>
    </w:p>
    <w:p w14:paraId="4301E0DD" w14:textId="3DC147B5" w:rsidR="0069399F" w:rsidRPr="0069399F" w:rsidRDefault="0069399F" w:rsidP="00D40F7E">
      <w:pPr>
        <w:pStyle w:val="Geenafstand"/>
        <w:spacing w:line="360" w:lineRule="auto"/>
        <w:ind w:firstLine="708"/>
        <w:jc w:val="both"/>
      </w:pPr>
      <w:r w:rsidRPr="0069399F">
        <w:t>The number of Māori seats is determined by the share of people that subscribe themselves to the Māori roll. Under the MMP system</w:t>
      </w:r>
      <w:r w:rsidR="006E547B">
        <w:t>,</w:t>
      </w:r>
      <w:r w:rsidRPr="0069399F">
        <w:t xml:space="preserve"> this started with five and </w:t>
      </w:r>
      <w:r w:rsidR="004532E6">
        <w:t xml:space="preserve">eventually </w:t>
      </w:r>
      <w:r w:rsidRPr="0069399F">
        <w:t>grew</w:t>
      </w:r>
      <w:r w:rsidR="004532E6">
        <w:t xml:space="preserve"> to seven in </w:t>
      </w:r>
      <w:r w:rsidRPr="0069399F">
        <w:t>2002 (Geddis, 2006). However, as mentioned in the previous chapter; Māori MPs can also be chosen via the general roll or via the party list. In the current Parliament</w:t>
      </w:r>
      <w:r w:rsidR="006070B4">
        <w:t>,</w:t>
      </w:r>
      <w:r w:rsidRPr="0069399F">
        <w:t xml:space="preserve"> Māori people are overrepresented</w:t>
      </w:r>
      <w:r w:rsidR="006070B4">
        <w:t>. Indeed, only</w:t>
      </w:r>
      <w:r w:rsidRPr="0069399F">
        <w:t xml:space="preserve"> 16,9% of Aotearoa New Zealand’s population is Māori (Stats NZ, 2020), while 19,2% of the MPs identifies as Māori. </w:t>
      </w:r>
    </w:p>
    <w:p w14:paraId="3A1C50A2" w14:textId="32612EE0" w:rsidR="0069399F" w:rsidRPr="0069399F" w:rsidRDefault="0069399F" w:rsidP="007322B6">
      <w:pPr>
        <w:pStyle w:val="Geenafstand"/>
        <w:spacing w:line="360" w:lineRule="auto"/>
        <w:ind w:firstLine="708"/>
        <w:jc w:val="both"/>
      </w:pPr>
      <w:r w:rsidRPr="0069399F">
        <w:t xml:space="preserve">In sum, Aotearoa New Zealand has seven dedicated seats for </w:t>
      </w:r>
      <w:r w:rsidRPr="0069399F">
        <w:rPr>
          <w:highlight w:val="white"/>
        </w:rPr>
        <w:t xml:space="preserve">Māori people. </w:t>
      </w:r>
      <w:r w:rsidRPr="0069399F">
        <w:t xml:space="preserve">This secures the descriptive representation of Māori people. But does this </w:t>
      </w:r>
      <w:r w:rsidR="00406620">
        <w:t>relatively high number</w:t>
      </w:r>
      <w:r w:rsidR="008E4FFE">
        <w:t xml:space="preserve"> </w:t>
      </w:r>
      <w:r w:rsidRPr="0069399F">
        <w:t xml:space="preserve">of </w:t>
      </w:r>
      <w:r w:rsidRPr="0069399F">
        <w:rPr>
          <w:highlight w:val="white"/>
        </w:rPr>
        <w:t xml:space="preserve">Māori MPs lead to an increase of substantive </w:t>
      </w:r>
      <w:r w:rsidR="00BC61EB">
        <w:rPr>
          <w:highlight w:val="white"/>
        </w:rPr>
        <w:t>claims made on their behalf</w:t>
      </w:r>
      <w:r w:rsidRPr="0069399F">
        <w:rPr>
          <w:highlight w:val="white"/>
        </w:rPr>
        <w:t xml:space="preserve">? In the second part of this chapter this question will be answered via </w:t>
      </w:r>
      <w:r w:rsidR="00C07F8C">
        <w:rPr>
          <w:highlight w:val="white"/>
        </w:rPr>
        <w:t>a</w:t>
      </w:r>
      <w:r w:rsidRPr="0069399F">
        <w:rPr>
          <w:highlight w:val="white"/>
        </w:rPr>
        <w:t xml:space="preserve"> claim</w:t>
      </w:r>
      <w:r w:rsidR="0095200D">
        <w:rPr>
          <w:highlight w:val="white"/>
        </w:rPr>
        <w:t>s-</w:t>
      </w:r>
      <w:r w:rsidRPr="0069399F">
        <w:rPr>
          <w:highlight w:val="white"/>
        </w:rPr>
        <w:t xml:space="preserve">making analysis. </w:t>
      </w:r>
      <w:r w:rsidR="00E017AE">
        <w:rPr>
          <w:highlight w:val="white"/>
        </w:rPr>
        <w:t>But first</w:t>
      </w:r>
      <w:r w:rsidRPr="0069399F">
        <w:rPr>
          <w:highlight w:val="white"/>
        </w:rPr>
        <w:t xml:space="preserve">, some recent developments around the political representation of </w:t>
      </w:r>
      <w:r w:rsidRPr="0069399F">
        <w:t xml:space="preserve">Māori people will be explained. </w:t>
      </w:r>
    </w:p>
    <w:p w14:paraId="397688C0" w14:textId="77777777" w:rsidR="00854009" w:rsidRDefault="00854009" w:rsidP="00854009">
      <w:pPr>
        <w:pStyle w:val="Geenafstand"/>
        <w:spacing w:line="360" w:lineRule="auto"/>
        <w:jc w:val="both"/>
        <w:rPr>
          <w:highlight w:val="white"/>
        </w:rPr>
      </w:pPr>
      <w:bookmarkStart w:id="103" w:name="_Toc72853002"/>
      <w:bookmarkStart w:id="104" w:name="_Toc74583809"/>
    </w:p>
    <w:p w14:paraId="6B4E223A" w14:textId="65DF1005" w:rsidR="0069399F" w:rsidRDefault="0069399F" w:rsidP="00854009">
      <w:pPr>
        <w:pStyle w:val="Kop3"/>
      </w:pPr>
      <w:bookmarkStart w:id="105" w:name="_Toc75384078"/>
      <w:r>
        <w:rPr>
          <w:highlight w:val="white"/>
        </w:rPr>
        <w:t xml:space="preserve">4.1.3 Current representation </w:t>
      </w:r>
      <w:r>
        <w:t>of Māori people</w:t>
      </w:r>
      <w:bookmarkEnd w:id="103"/>
      <w:bookmarkEnd w:id="104"/>
      <w:bookmarkEnd w:id="105"/>
    </w:p>
    <w:p w14:paraId="2F8400EF" w14:textId="482A8570" w:rsidR="0069399F" w:rsidRPr="0069399F" w:rsidRDefault="0069399F" w:rsidP="00854009">
      <w:pPr>
        <w:pStyle w:val="Geenafstand"/>
        <w:spacing w:line="360" w:lineRule="auto"/>
        <w:jc w:val="both"/>
      </w:pPr>
      <w:r w:rsidRPr="0069399F">
        <w:tab/>
        <w:t>Since the installation of the MMP system, the political representation of Māori people has improved significantly (Joseph, 2008). Between 1943 and the installation of MMP, the Labour Party held all Māori seats. Currently, the Labour Party is leading in the number of Māori people in Parliament. The Labour Party actively claims commitment to Māori people in their policies to improve the wellbeing of Māori people</w:t>
      </w:r>
      <w:r w:rsidR="00FD419E">
        <w:t>.</w:t>
      </w:r>
      <w:r w:rsidR="00FD419E">
        <w:rPr>
          <w:rStyle w:val="Voetnootmarkering"/>
          <w:color w:val="000000"/>
        </w:rPr>
        <w:footnoteReference w:id="21"/>
      </w:r>
      <w:r w:rsidRPr="0069399F">
        <w:t xml:space="preserve"> </w:t>
      </w:r>
      <w:r w:rsidR="00877709">
        <w:t>With 65 out of 120 seats, t</w:t>
      </w:r>
      <w:r w:rsidRPr="0069399F">
        <w:t>he Labour Party lead</w:t>
      </w:r>
      <w:r w:rsidR="00393E3A">
        <w:t>s</w:t>
      </w:r>
      <w:r w:rsidRPr="0069399F">
        <w:t xml:space="preserve"> the current government</w:t>
      </w:r>
      <w:r w:rsidR="00E06866">
        <w:t>,</w:t>
      </w:r>
      <w:r w:rsidRPr="0069399F">
        <w:t xml:space="preserve"> </w:t>
      </w:r>
      <w:r w:rsidR="00423F62">
        <w:t xml:space="preserve">together with </w:t>
      </w:r>
      <w:r w:rsidRPr="0069399F">
        <w:t>the Green Party (New Zealand Parliament, 2020</w:t>
      </w:r>
      <w:r w:rsidR="00C41FA0">
        <w:t>a</w:t>
      </w:r>
      <w:r w:rsidRPr="0069399F">
        <w:t xml:space="preserve">). </w:t>
      </w:r>
      <w:r w:rsidR="002A1AA8">
        <w:t>In</w:t>
      </w:r>
      <w:r w:rsidRPr="0069399F">
        <w:t xml:space="preserve"> the previous government period, the Labour Party formed</w:t>
      </w:r>
      <w:r w:rsidR="00211FAB">
        <w:t xml:space="preserve"> </w:t>
      </w:r>
      <w:r w:rsidRPr="0069399F">
        <w:t xml:space="preserve">a minority government with NZ First and the Green Party (New Zealand Parliament, 2020a). </w:t>
      </w:r>
    </w:p>
    <w:p w14:paraId="266551E1" w14:textId="3C51AEBC" w:rsidR="0069399F" w:rsidRPr="0069399F" w:rsidRDefault="0069399F" w:rsidP="00022FD2">
      <w:pPr>
        <w:spacing w:line="360" w:lineRule="auto"/>
        <w:ind w:firstLine="708"/>
        <w:jc w:val="both"/>
        <w:rPr>
          <w:color w:val="000000"/>
          <w:lang w:val="en-GB"/>
        </w:rPr>
      </w:pPr>
      <w:r w:rsidRPr="0069399F">
        <w:rPr>
          <w:color w:val="000000"/>
          <w:lang w:val="en-GB"/>
        </w:rPr>
        <w:t>Figure 3 gives an overview of the seats of the Labour Party, National Party</w:t>
      </w:r>
      <w:r w:rsidR="003430A4">
        <w:rPr>
          <w:color w:val="000000"/>
          <w:lang w:val="en-GB"/>
        </w:rPr>
        <w:t>,</w:t>
      </w:r>
      <w:r w:rsidRPr="0069399F">
        <w:rPr>
          <w:color w:val="000000"/>
          <w:lang w:val="en-GB"/>
        </w:rPr>
        <w:t xml:space="preserve"> and other parties over time. </w:t>
      </w:r>
      <w:r w:rsidR="00FF24FB">
        <w:rPr>
          <w:color w:val="000000"/>
          <w:lang w:val="en-GB"/>
        </w:rPr>
        <w:t>In 1996</w:t>
      </w:r>
      <w:r w:rsidR="009326A5">
        <w:rPr>
          <w:color w:val="000000"/>
          <w:lang w:val="en-GB"/>
        </w:rPr>
        <w:t>,</w:t>
      </w:r>
      <w:r w:rsidR="00FF24FB">
        <w:rPr>
          <w:color w:val="000000"/>
          <w:lang w:val="en-GB"/>
        </w:rPr>
        <w:t xml:space="preserve"> the first election under the MMP system was held. </w:t>
      </w:r>
      <w:r w:rsidR="00460ECE">
        <w:rPr>
          <w:color w:val="000000"/>
          <w:lang w:val="en-GB"/>
        </w:rPr>
        <w:t>Since then</w:t>
      </w:r>
      <w:r w:rsidR="009326A5">
        <w:rPr>
          <w:color w:val="000000"/>
          <w:lang w:val="en-GB"/>
        </w:rPr>
        <w:t>,</w:t>
      </w:r>
      <w:r w:rsidRPr="0069399F">
        <w:rPr>
          <w:color w:val="000000"/>
          <w:lang w:val="en-GB"/>
        </w:rPr>
        <w:t xml:space="preserve"> the National Party and the Labour Party have been the two biggest parties. Besides these two main parties, there are a </w:t>
      </w:r>
      <w:r w:rsidRPr="0069399F">
        <w:rPr>
          <w:color w:val="000000"/>
          <w:lang w:val="en-GB"/>
        </w:rPr>
        <w:lastRenderedPageBreak/>
        <w:t xml:space="preserve">few other parties that are combined into </w:t>
      </w:r>
      <w:r w:rsidR="00B40CAD">
        <w:rPr>
          <w:color w:val="000000"/>
          <w:lang w:val="en-GB"/>
        </w:rPr>
        <w:t>the green</w:t>
      </w:r>
      <w:r w:rsidRPr="0069399F">
        <w:rPr>
          <w:color w:val="000000"/>
          <w:lang w:val="en-GB"/>
        </w:rPr>
        <w:t xml:space="preserve"> line in figure 3 because they have relatively few </w:t>
      </w:r>
      <w:r w:rsidR="00263AC7" w:rsidRPr="0069399F">
        <w:rPr>
          <w:color w:val="000000"/>
          <w:lang w:val="en-GB"/>
        </w:rPr>
        <w:t xml:space="preserve">seats. Between the 2008 and the 2017 election the proportion of Labour and National </w:t>
      </w:r>
      <w:r w:rsidR="0054651F">
        <w:rPr>
          <w:color w:val="000000"/>
          <w:lang w:val="en-GB"/>
        </w:rPr>
        <w:t>has been</w:t>
      </w:r>
      <w:r w:rsidR="00263AC7" w:rsidRPr="0069399F">
        <w:rPr>
          <w:color w:val="000000"/>
          <w:lang w:val="en-GB"/>
        </w:rPr>
        <w:t xml:space="preserve"> quite stable. </w:t>
      </w:r>
      <w:r w:rsidR="00387616" w:rsidRPr="00387616">
        <w:rPr>
          <w:lang w:val="en-GB"/>
        </w:rPr>
        <w:t xml:space="preserve">Only in </w:t>
      </w:r>
      <w:r w:rsidR="00387616">
        <w:rPr>
          <w:lang w:val="en-GB"/>
        </w:rPr>
        <w:t xml:space="preserve">the </w:t>
      </w:r>
      <w:r w:rsidR="00387616" w:rsidRPr="00387616">
        <w:rPr>
          <w:lang w:val="en-GB"/>
        </w:rPr>
        <w:t>recent election this has changed with the Labour Party currently occupying 3</w:t>
      </w:r>
      <w:r w:rsidR="00400A30">
        <w:rPr>
          <w:lang w:val="en-GB"/>
        </w:rPr>
        <w:t>2</w:t>
      </w:r>
      <w:r w:rsidR="00387616" w:rsidRPr="00387616">
        <w:rPr>
          <w:lang w:val="en-GB"/>
        </w:rPr>
        <w:t xml:space="preserve"> more </w:t>
      </w:r>
      <w:r w:rsidR="00022FD2">
        <w:rPr>
          <w:noProof/>
        </w:rPr>
        <w:drawing>
          <wp:anchor distT="0" distB="0" distL="114300" distR="114300" simplePos="0" relativeHeight="251668480" behindDoc="0" locked="0" layoutInCell="1" hidden="0" allowOverlap="1" wp14:anchorId="7B06C647" wp14:editId="47CA70AE">
            <wp:simplePos x="0" y="0"/>
            <wp:positionH relativeFrom="column">
              <wp:posOffset>641350</wp:posOffset>
            </wp:positionH>
            <wp:positionV relativeFrom="paragraph">
              <wp:posOffset>1207135</wp:posOffset>
            </wp:positionV>
            <wp:extent cx="4572000" cy="2743200"/>
            <wp:effectExtent l="0" t="0" r="0" b="0"/>
            <wp:wrapTopAndBottom/>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87616" w:rsidRPr="00387616">
        <w:rPr>
          <w:lang w:val="en-GB"/>
        </w:rPr>
        <w:t>seats than the National Party</w:t>
      </w:r>
      <w:r w:rsidR="002A1AA8">
        <w:rPr>
          <w:lang w:val="en-GB"/>
        </w:rPr>
        <w:t xml:space="preserve">. </w:t>
      </w:r>
    </w:p>
    <w:p w14:paraId="1668710D" w14:textId="77777777" w:rsidR="00263AC7" w:rsidRPr="00D43ABF" w:rsidRDefault="00263AC7" w:rsidP="00263AC7">
      <w:pPr>
        <w:pStyle w:val="Kop3"/>
        <w:jc w:val="center"/>
        <w:rPr>
          <w:sz w:val="20"/>
          <w:szCs w:val="20"/>
        </w:rPr>
      </w:pPr>
      <w:bookmarkStart w:id="106" w:name="_Toc72853003"/>
      <w:bookmarkStart w:id="107" w:name="_Toc74503471"/>
      <w:bookmarkStart w:id="108" w:name="_Toc74583602"/>
      <w:bookmarkStart w:id="109" w:name="_Toc74583810"/>
      <w:bookmarkStart w:id="110" w:name="_Toc75384079"/>
      <w:r w:rsidRPr="00D43ABF">
        <w:rPr>
          <w:sz w:val="20"/>
          <w:szCs w:val="20"/>
        </w:rPr>
        <w:t>Figure 4.3. Seat distribution in Parliament.</w:t>
      </w:r>
      <w:bookmarkEnd w:id="106"/>
      <w:r w:rsidRPr="00D43ABF">
        <w:rPr>
          <w:rStyle w:val="Voetnootmarkering"/>
          <w:sz w:val="20"/>
          <w:szCs w:val="20"/>
        </w:rPr>
        <w:footnoteReference w:id="22"/>
      </w:r>
      <w:bookmarkEnd w:id="107"/>
      <w:bookmarkEnd w:id="108"/>
      <w:bookmarkEnd w:id="109"/>
      <w:bookmarkEnd w:id="110"/>
    </w:p>
    <w:p w14:paraId="79A6FDED" w14:textId="77777777" w:rsidR="00263AC7" w:rsidRDefault="00263AC7" w:rsidP="00263AC7">
      <w:pPr>
        <w:spacing w:line="360" w:lineRule="auto"/>
        <w:jc w:val="both"/>
        <w:rPr>
          <w:color w:val="000000"/>
          <w:lang w:val="en-GB"/>
        </w:rPr>
      </w:pPr>
    </w:p>
    <w:p w14:paraId="0C7927A7" w14:textId="7F2373E2" w:rsidR="00263AC7" w:rsidRPr="0069399F" w:rsidRDefault="0069399F" w:rsidP="007322B6">
      <w:pPr>
        <w:pStyle w:val="Geenafstand"/>
        <w:spacing w:line="360" w:lineRule="auto"/>
        <w:ind w:firstLine="708"/>
        <w:jc w:val="both"/>
      </w:pPr>
      <w:r w:rsidRPr="0069399F">
        <w:t xml:space="preserve">The combination of the MMP system, the dedicated seats and the presence of the Māori Party ensures the voice of Māori people in Parliament and political life in general (Xanthaki and O’Sullivan, 2009). The Māori Party, founded in 2004, strives to empower Māori people and has the </w:t>
      </w:r>
      <w:r w:rsidR="00CA6C46" w:rsidRPr="0069399F">
        <w:t>goal</w:t>
      </w:r>
      <w:r w:rsidRPr="0069399F">
        <w:t xml:space="preserve"> to achieve self-determination for all indigenous peoples in Aotearoa New Zealand.</w:t>
      </w:r>
      <w:r w:rsidR="00C41145">
        <w:rPr>
          <w:rStyle w:val="Voetnootmarkering"/>
          <w:color w:val="000000"/>
        </w:rPr>
        <w:footnoteReference w:id="23"/>
      </w:r>
      <w:r w:rsidRPr="0069399F">
        <w:t xml:space="preserve"> Except for the government period of 2017-2020, the Māori Party have been in Parliament since their foundation in 2004. </w:t>
      </w:r>
    </w:p>
    <w:p w14:paraId="41F972F6" w14:textId="27DB3102" w:rsidR="0069399F" w:rsidRDefault="0069399F" w:rsidP="00DA5708">
      <w:pPr>
        <w:pStyle w:val="Geenafstand"/>
        <w:spacing w:line="360" w:lineRule="auto"/>
        <w:jc w:val="both"/>
      </w:pPr>
      <w:r w:rsidRPr="0069399F">
        <w:t>In 2007</w:t>
      </w:r>
      <w:r w:rsidR="008412AC">
        <w:t>,</w:t>
      </w:r>
      <w:r w:rsidRPr="0069399F">
        <w:t xml:space="preserve"> the U</w:t>
      </w:r>
      <w:r w:rsidR="00E849F1">
        <w:t>N</w:t>
      </w:r>
      <w:r w:rsidRPr="0069399F">
        <w:t xml:space="preserve"> Declaration on the </w:t>
      </w:r>
      <w:r w:rsidR="00AA1D1A">
        <w:t>R</w:t>
      </w:r>
      <w:r w:rsidRPr="0069399F">
        <w:t xml:space="preserve">ights of </w:t>
      </w:r>
      <w:r w:rsidR="00AA1D1A">
        <w:t>I</w:t>
      </w:r>
      <w:r w:rsidRPr="0069399F">
        <w:t xml:space="preserve">ndigenous </w:t>
      </w:r>
      <w:r w:rsidR="00AA1D1A">
        <w:t>P</w:t>
      </w:r>
      <w:r w:rsidRPr="0069399F">
        <w:t>eoples</w:t>
      </w:r>
      <w:r w:rsidR="005B1A3A">
        <w:t xml:space="preserve"> (UNDRIP)</w:t>
      </w:r>
      <w:r w:rsidRPr="0069399F">
        <w:t xml:space="preserve"> got adopted. </w:t>
      </w:r>
      <w:r w:rsidR="00BB0F69">
        <w:t>This</w:t>
      </w:r>
      <w:r w:rsidR="00185DE3" w:rsidRPr="0069399F">
        <w:t xml:space="preserve"> is an agreement among governments of how </w:t>
      </w:r>
      <w:r w:rsidR="00185DE3">
        <w:t>states should</w:t>
      </w:r>
      <w:r w:rsidR="00185DE3" w:rsidRPr="0069399F">
        <w:t xml:space="preserve"> treat indigenous peoples and respect their rights. </w:t>
      </w:r>
      <w:r w:rsidRPr="0069399F">
        <w:t>However, the government of Aotearoa New Zealand</w:t>
      </w:r>
      <w:r w:rsidR="002A3081">
        <w:t xml:space="preserve">, led by the Labour Party </w:t>
      </w:r>
      <w:r w:rsidR="002A3081" w:rsidRPr="0069399F">
        <w:t>(New Zealand Parliament, 2020a)</w:t>
      </w:r>
      <w:r w:rsidR="002A3081">
        <w:t xml:space="preserve">, </w:t>
      </w:r>
      <w:r w:rsidRPr="0069399F">
        <w:t xml:space="preserve">voted against </w:t>
      </w:r>
      <w:r w:rsidR="002D50A4">
        <w:t xml:space="preserve">it </w:t>
      </w:r>
      <w:r w:rsidRPr="0069399F">
        <w:t xml:space="preserve">at that time. After the </w:t>
      </w:r>
      <w:r w:rsidR="003430A4" w:rsidRPr="0069399F">
        <w:t>election</w:t>
      </w:r>
      <w:r w:rsidR="003430A4">
        <w:t>s</w:t>
      </w:r>
      <w:r w:rsidR="003430A4" w:rsidRPr="0069399F">
        <w:t xml:space="preserve"> of 2008,</w:t>
      </w:r>
      <w:r w:rsidRPr="0069399F">
        <w:t xml:space="preserve"> a new government was formed</w:t>
      </w:r>
      <w:r w:rsidR="00185DE3">
        <w:t>,</w:t>
      </w:r>
      <w:r w:rsidRPr="0069399F">
        <w:t xml:space="preserve"> led by the National Party (New Zealand Parliament, 2020a). This was a minority government supported by among others the Māori Party (New Zealand Parliament, 2020a). This government signed the UN Declaration in 2010 (Mutu, 2018). The delayed signature</w:t>
      </w:r>
      <w:r w:rsidR="00597AD4">
        <w:t xml:space="preserve"> of Aotearoa New Z</w:t>
      </w:r>
      <w:r w:rsidR="0079368F">
        <w:t>e</w:t>
      </w:r>
      <w:r w:rsidR="00597AD4">
        <w:t>aland</w:t>
      </w:r>
      <w:r w:rsidRPr="0069399F">
        <w:t xml:space="preserve"> does not coincide with the</w:t>
      </w:r>
      <w:r w:rsidR="001A5802">
        <w:t>ir</w:t>
      </w:r>
      <w:r w:rsidRPr="0069399F">
        <w:t xml:space="preserve"> progressive picture </w:t>
      </w:r>
      <w:r w:rsidR="00050221">
        <w:t>regarding</w:t>
      </w:r>
      <w:r w:rsidRPr="0069399F">
        <w:t xml:space="preserve"> Māori people. Aotearoa New Zealand is mostly seen </w:t>
      </w:r>
      <w:r w:rsidRPr="0069399F">
        <w:lastRenderedPageBreak/>
        <w:t xml:space="preserve">as a state with a respectful relationship with </w:t>
      </w:r>
      <w:r w:rsidR="00FD0C8F">
        <w:t>its</w:t>
      </w:r>
      <w:r w:rsidRPr="0069399F">
        <w:t xml:space="preserve"> indigenous peoples (Morris, 2014). Th</w:t>
      </w:r>
      <w:r w:rsidR="00DB4F41">
        <w:t>e</w:t>
      </w:r>
      <w:r w:rsidRPr="0069399F">
        <w:t xml:space="preserve"> delayed signature sends a signal of ignorance and disrespect. Even when Aotearoa New Zealand signed the declaration in 2010, Mutu (2018) argues that this is still not fulfilling the rights and needs of Māori people. In the speech, given by</w:t>
      </w:r>
      <w:r w:rsidR="00BF0756">
        <w:t xml:space="preserve"> </w:t>
      </w:r>
      <w:r w:rsidR="00BF0756" w:rsidRPr="0069399F">
        <w:t>Nanaia Mahuta</w:t>
      </w:r>
      <w:r w:rsidR="00BF0756">
        <w:t>,</w:t>
      </w:r>
      <w:r w:rsidR="003306A4">
        <w:t xml:space="preserve"> </w:t>
      </w:r>
      <w:r w:rsidRPr="0069399F">
        <w:t xml:space="preserve">MP of the Labour Party, the previous government regretted that they were unable to sign the declaration (New Zealand Parliament, 2010). “Unable” because the declaration did not match the constitution of Aotearoa New Zealand. When </w:t>
      </w:r>
      <w:r w:rsidR="00C17895">
        <w:t>they</w:t>
      </w:r>
      <w:r w:rsidRPr="0069399F">
        <w:t xml:space="preserve"> signed the declaration, they strongly linked their speech, given by the Minister of Justice Simon Power</w:t>
      </w:r>
      <w:r w:rsidR="009A5907">
        <w:t xml:space="preserve"> (2010)</w:t>
      </w:r>
      <w:r w:rsidRPr="0069399F">
        <w:t xml:space="preserve">, to the Treaty of Waitangi: </w:t>
      </w:r>
    </w:p>
    <w:p w14:paraId="4DA12616" w14:textId="77777777" w:rsidR="00DA5708" w:rsidRPr="0069399F" w:rsidRDefault="00DA5708" w:rsidP="00DA5708">
      <w:pPr>
        <w:pStyle w:val="Geenafstand"/>
        <w:spacing w:line="360" w:lineRule="auto"/>
        <w:jc w:val="both"/>
      </w:pPr>
    </w:p>
    <w:p w14:paraId="19BC1991" w14:textId="3A3F00A5" w:rsidR="0069399F" w:rsidRDefault="0069399F" w:rsidP="00DA5708">
      <w:pPr>
        <w:pStyle w:val="Geenafstand"/>
        <w:spacing w:line="360" w:lineRule="auto"/>
        <w:jc w:val="center"/>
        <w:rPr>
          <w:highlight w:val="white"/>
        </w:rPr>
      </w:pPr>
      <w:r w:rsidRPr="0069399F">
        <w:rPr>
          <w:highlight w:val="white"/>
        </w:rPr>
        <w:t>“The Declaration contains principles that are consistent with the duties and principles inherent in the Treaty, such as operating in the spirit of partnership and mutual respect. We affirm this objective, and affirm the Government’s commitment to build and maintain constructive relationships with Māori to achieve better results for Māori, which will benefit New Zealand as a whole.”</w:t>
      </w:r>
    </w:p>
    <w:p w14:paraId="1E088DF0" w14:textId="77777777" w:rsidR="00DA5708" w:rsidRPr="0069399F" w:rsidRDefault="00DA5708" w:rsidP="00DA5708">
      <w:pPr>
        <w:pStyle w:val="Geenafstand"/>
        <w:spacing w:line="360" w:lineRule="auto"/>
        <w:jc w:val="center"/>
        <w:rPr>
          <w:highlight w:val="white"/>
        </w:rPr>
      </w:pPr>
    </w:p>
    <w:p w14:paraId="602D8D1E" w14:textId="4C5FF796" w:rsidR="0069399F" w:rsidRPr="0069399F" w:rsidRDefault="0069399F" w:rsidP="00DA5708">
      <w:pPr>
        <w:pStyle w:val="Geenafstand"/>
        <w:spacing w:line="360" w:lineRule="auto"/>
        <w:ind w:firstLine="708"/>
        <w:jc w:val="both"/>
        <w:rPr>
          <w:highlight w:val="white"/>
        </w:rPr>
      </w:pPr>
      <w:r w:rsidRPr="0069399F">
        <w:t>According to Xanthaki and O’Sullivan (2009) Aotearoa New Zealand</w:t>
      </w:r>
      <w:r w:rsidRPr="00A51BEA">
        <w:t xml:space="preserve"> provides </w:t>
      </w:r>
      <w:r w:rsidR="00A51BEA" w:rsidRPr="00A51BEA">
        <w:t>an example of how to successfully implement international norms on the national level</w:t>
      </w:r>
      <w:r w:rsidRPr="00A51BEA">
        <w:t>.</w:t>
      </w:r>
      <w:r w:rsidRPr="0069399F">
        <w:t xml:space="preserve"> The principles of the </w:t>
      </w:r>
      <w:r w:rsidR="000D1DB9">
        <w:t xml:space="preserve">UN </w:t>
      </w:r>
      <w:r w:rsidR="00064080">
        <w:rPr>
          <w:highlight w:val="white"/>
        </w:rPr>
        <w:t>D</w:t>
      </w:r>
      <w:r w:rsidRPr="0069399F">
        <w:rPr>
          <w:highlight w:val="white"/>
        </w:rPr>
        <w:t xml:space="preserve">eclaration are directly applied in the Māori seats of </w:t>
      </w:r>
      <w:r w:rsidRPr="0069399F">
        <w:t>Aotearoa</w:t>
      </w:r>
      <w:r w:rsidRPr="0069399F">
        <w:rPr>
          <w:highlight w:val="white"/>
        </w:rPr>
        <w:t xml:space="preserve"> New Zealand’s MMP system (Xanthaki and O’Sullivan, 2009). Besides, the declaration recognises the distinctive position of indigenous peoples in society by emphasizing the need for separate rights. However</w:t>
      </w:r>
      <w:r w:rsidR="009E282C">
        <w:rPr>
          <w:highlight w:val="white"/>
        </w:rPr>
        <w:t>,</w:t>
      </w:r>
      <w:r w:rsidRPr="0069399F">
        <w:rPr>
          <w:highlight w:val="white"/>
        </w:rPr>
        <w:t xml:space="preserve"> not all scholars agree with the viewpoint of Xanthaki and O’Sullivan</w:t>
      </w:r>
      <w:r w:rsidR="00AF08E9">
        <w:rPr>
          <w:highlight w:val="white"/>
        </w:rPr>
        <w:t xml:space="preserve"> (2009)</w:t>
      </w:r>
      <w:r w:rsidRPr="0069399F">
        <w:rPr>
          <w:highlight w:val="white"/>
        </w:rPr>
        <w:t xml:space="preserve">. Adamson (2012) warns of the purely symbolic function of the declaration, resulting from the non-binding nature. This is exactly what is going on according to Mutu (2018). Despite the signature, </w:t>
      </w:r>
      <w:r w:rsidRPr="0069399F">
        <w:t>Aotearoa</w:t>
      </w:r>
      <w:r w:rsidRPr="0069399F">
        <w:rPr>
          <w:highlight w:val="white"/>
        </w:rPr>
        <w:t xml:space="preserve"> New Zealand still violates the rights of Māori people and the</w:t>
      </w:r>
      <w:r w:rsidR="00EB533A">
        <w:rPr>
          <w:highlight w:val="white"/>
        </w:rPr>
        <w:t xml:space="preserve"> principles of the</w:t>
      </w:r>
      <w:r w:rsidRPr="0069399F">
        <w:rPr>
          <w:highlight w:val="white"/>
        </w:rPr>
        <w:t xml:space="preserve"> Treaty of Waitangi. Reconciliation and justice for Māori people is impossible within the current constitutional system (Mutu, 2018). An equal position for Māori requires change on the legal level. During the last twenty years the </w:t>
      </w:r>
      <w:r w:rsidRPr="0069399F">
        <w:t>Aotearoa</w:t>
      </w:r>
      <w:r w:rsidRPr="0069399F">
        <w:rPr>
          <w:highlight w:val="white"/>
        </w:rPr>
        <w:t xml:space="preserve"> New Zealand government has been creating settlement bills for justice and reconciliation for Māori people. The government claims the great success of these settlements, while the Māori population does not receive them as such (Mutu, 2018). For them, the settlements are far from complete and fair. This reveals a complex situation; what might be proposed as an improvement, might not be the case in practice.</w:t>
      </w:r>
    </w:p>
    <w:p w14:paraId="4E8B8FA4" w14:textId="0EF86C0B" w:rsidR="0069399F" w:rsidRPr="0069399F" w:rsidRDefault="00E057BA" w:rsidP="00DA5708">
      <w:pPr>
        <w:pStyle w:val="Geenafstand"/>
        <w:spacing w:line="360" w:lineRule="auto"/>
        <w:ind w:firstLine="708"/>
        <w:jc w:val="both"/>
        <w:rPr>
          <w:highlight w:val="white"/>
        </w:rPr>
      </w:pPr>
      <w:r>
        <w:rPr>
          <w:highlight w:val="white"/>
        </w:rPr>
        <w:t>T</w:t>
      </w:r>
      <w:r w:rsidR="0069399F" w:rsidRPr="0069399F">
        <w:rPr>
          <w:highlight w:val="white"/>
        </w:rPr>
        <w:t xml:space="preserve">he UN made </w:t>
      </w:r>
      <w:r>
        <w:rPr>
          <w:highlight w:val="white"/>
        </w:rPr>
        <w:t xml:space="preserve">several </w:t>
      </w:r>
      <w:r w:rsidR="0069399F" w:rsidRPr="0069399F">
        <w:rPr>
          <w:highlight w:val="white"/>
        </w:rPr>
        <w:t>recommendations to the state of Aotearoa New Zealand to improve the position and wellbeing of Māori people (United Nations General Assembly, 2014; United Nations Committee on the Elimination of Racial Discrimination</w:t>
      </w:r>
      <w:r w:rsidR="0069399F" w:rsidRPr="0069399F">
        <w:t>, 2017; United Nations Committee on Economic, Social and Cultural Rights, 2018</w:t>
      </w:r>
      <w:r w:rsidR="0069399F" w:rsidRPr="0069399F">
        <w:rPr>
          <w:highlight w:val="white"/>
        </w:rPr>
        <w:t>). For instance, the UN Committee on the Elimination of Racial Discrimination reported that the state of Aotearoa New Zealand in 2017 did not live up to the international standards for indigenous peoples.</w:t>
      </w:r>
      <w:r w:rsidR="000969E6">
        <w:rPr>
          <w:highlight w:val="white"/>
        </w:rPr>
        <w:t xml:space="preserve"> C</w:t>
      </w:r>
      <w:r w:rsidR="0069399F" w:rsidRPr="0069399F">
        <w:rPr>
          <w:highlight w:val="white"/>
        </w:rPr>
        <w:t xml:space="preserve">riticisms resulting from this report stated that the </w:t>
      </w:r>
      <w:r w:rsidR="0069399F" w:rsidRPr="0069399F">
        <w:rPr>
          <w:highlight w:val="white"/>
        </w:rPr>
        <w:lastRenderedPageBreak/>
        <w:t>state</w:t>
      </w:r>
      <w:r>
        <w:rPr>
          <w:highlight w:val="white"/>
        </w:rPr>
        <w:t>’</w:t>
      </w:r>
      <w:r w:rsidR="0069399F" w:rsidRPr="0069399F">
        <w:rPr>
          <w:highlight w:val="white"/>
        </w:rPr>
        <w:t xml:space="preserve">s actions were not in line with the Treaty of Waitangi and the state does not recognize the right for self-determination </w:t>
      </w:r>
      <w:r>
        <w:rPr>
          <w:highlight w:val="white"/>
        </w:rPr>
        <w:t>to</w:t>
      </w:r>
      <w:r w:rsidR="0069399F" w:rsidRPr="0069399F">
        <w:rPr>
          <w:highlight w:val="white"/>
        </w:rPr>
        <w:t xml:space="preserve"> Māori people. </w:t>
      </w:r>
    </w:p>
    <w:p w14:paraId="5B1254F4" w14:textId="7705A586" w:rsidR="0069399F" w:rsidRPr="0069399F" w:rsidRDefault="0069399F" w:rsidP="008102A9">
      <w:pPr>
        <w:pStyle w:val="Geenafstand"/>
        <w:spacing w:line="360" w:lineRule="auto"/>
        <w:ind w:firstLine="708"/>
        <w:jc w:val="both"/>
        <w:rPr>
          <w:highlight w:val="white"/>
        </w:rPr>
      </w:pPr>
      <w:r w:rsidRPr="0069399F">
        <w:rPr>
          <w:highlight w:val="white"/>
        </w:rPr>
        <w:t>In sum, the MMP in combination with the Māori seats led to a</w:t>
      </w:r>
      <w:r w:rsidR="009836A9">
        <w:rPr>
          <w:highlight w:val="white"/>
        </w:rPr>
        <w:t xml:space="preserve">n increase </w:t>
      </w:r>
      <w:r w:rsidRPr="0069399F">
        <w:rPr>
          <w:highlight w:val="white"/>
        </w:rPr>
        <w:t xml:space="preserve">in MPs </w:t>
      </w:r>
      <w:r w:rsidR="00AB6599">
        <w:rPr>
          <w:highlight w:val="white"/>
        </w:rPr>
        <w:t>from</w:t>
      </w:r>
      <w:r w:rsidRPr="0069399F">
        <w:rPr>
          <w:highlight w:val="white"/>
        </w:rPr>
        <w:t xml:space="preserve"> Māori </w:t>
      </w:r>
      <w:r w:rsidR="00AB6599">
        <w:rPr>
          <w:highlight w:val="white"/>
        </w:rPr>
        <w:t>descent</w:t>
      </w:r>
      <w:r w:rsidRPr="0069399F">
        <w:rPr>
          <w:highlight w:val="white"/>
        </w:rPr>
        <w:t>. In both the current and the previous government</w:t>
      </w:r>
      <w:r w:rsidR="004F00DE">
        <w:rPr>
          <w:highlight w:val="white"/>
        </w:rPr>
        <w:t>,</w:t>
      </w:r>
      <w:r w:rsidRPr="0069399F">
        <w:rPr>
          <w:highlight w:val="white"/>
        </w:rPr>
        <w:t xml:space="preserve"> the Labour Party is the leading party. The Māori Party returned to Parliament after the 2020 election. In combination with the Māori seats and the MMP system, this ensures the voice of Māori people in Parliament.</w:t>
      </w:r>
      <w:r w:rsidRPr="0069399F">
        <w:t xml:space="preserve"> But </w:t>
      </w:r>
      <w:r w:rsidRPr="0069399F">
        <w:rPr>
          <w:highlight w:val="white"/>
        </w:rPr>
        <w:t xml:space="preserve">although </w:t>
      </w:r>
      <w:r w:rsidRPr="0069399F">
        <w:t>Aotearoa</w:t>
      </w:r>
      <w:r w:rsidRPr="0069399F">
        <w:rPr>
          <w:highlight w:val="white"/>
        </w:rPr>
        <w:t xml:space="preserve"> New Zealand eventually signed the UNDRIP the position of Māori people remains disputed. In the next section the claims made in the parliamentary speeches will be analysed. </w:t>
      </w:r>
    </w:p>
    <w:p w14:paraId="1421314D" w14:textId="77777777" w:rsidR="00D2181E" w:rsidRDefault="00D2181E" w:rsidP="00D2181E">
      <w:pPr>
        <w:pStyle w:val="Geenafstand"/>
        <w:spacing w:line="360" w:lineRule="auto"/>
        <w:jc w:val="both"/>
      </w:pPr>
      <w:bookmarkStart w:id="111" w:name="_Toc72853004"/>
      <w:bookmarkStart w:id="112" w:name="_Toc74583811"/>
    </w:p>
    <w:p w14:paraId="6951EE54" w14:textId="1660A185" w:rsidR="0069399F" w:rsidRPr="001208D7" w:rsidRDefault="0069399F" w:rsidP="00D2181E">
      <w:pPr>
        <w:pStyle w:val="Kop2"/>
        <w:rPr>
          <w:lang w:val="en-GB"/>
        </w:rPr>
      </w:pPr>
      <w:bookmarkStart w:id="113" w:name="_Toc75384080"/>
      <w:r w:rsidRPr="001208D7">
        <w:rPr>
          <w:lang w:val="en-GB"/>
        </w:rPr>
        <w:t>4.2 Claim</w:t>
      </w:r>
      <w:r w:rsidR="007B2F31" w:rsidRPr="001208D7">
        <w:rPr>
          <w:lang w:val="en-GB"/>
        </w:rPr>
        <w:t>s</w:t>
      </w:r>
      <w:r w:rsidRPr="001208D7">
        <w:rPr>
          <w:lang w:val="en-GB"/>
        </w:rPr>
        <w:t>-making analysis</w:t>
      </w:r>
      <w:bookmarkEnd w:id="111"/>
      <w:bookmarkEnd w:id="112"/>
      <w:bookmarkEnd w:id="113"/>
    </w:p>
    <w:p w14:paraId="0730F69E" w14:textId="6640D34C" w:rsidR="0069399F" w:rsidRPr="0069399F" w:rsidRDefault="0069399F" w:rsidP="00963E0D">
      <w:pPr>
        <w:pStyle w:val="Geenafstand"/>
        <w:spacing w:line="360" w:lineRule="auto"/>
        <w:jc w:val="both"/>
      </w:pPr>
      <w:r w:rsidRPr="0069399F">
        <w:tab/>
        <w:t>The goal of the claim</w:t>
      </w:r>
      <w:r w:rsidR="007B2F31">
        <w:t>s</w:t>
      </w:r>
      <w:r w:rsidRPr="0069399F">
        <w:t>-making analysis is to see whether Māori MPs are more likely to make claims on behalf of Māori people than non-Māori MPs. Furthermore, the claim</w:t>
      </w:r>
      <w:r w:rsidR="007B2F31">
        <w:t>s</w:t>
      </w:r>
      <w:r w:rsidRPr="0069399F">
        <w:t>-making analysis tests whether the claims are symbolic or substantive and what the main characteristics of the claim</w:t>
      </w:r>
      <w:r w:rsidR="00481972">
        <w:t>s</w:t>
      </w:r>
      <w:r w:rsidRPr="0069399F">
        <w:t xml:space="preserve"> are.</w:t>
      </w:r>
    </w:p>
    <w:p w14:paraId="10171EDC" w14:textId="77777777" w:rsidR="00963E0D" w:rsidRDefault="00963E0D" w:rsidP="00963E0D">
      <w:pPr>
        <w:pStyle w:val="Geenafstand"/>
        <w:spacing w:line="360" w:lineRule="auto"/>
        <w:jc w:val="both"/>
      </w:pPr>
      <w:bookmarkStart w:id="114" w:name="_Toc72853006"/>
      <w:bookmarkStart w:id="115" w:name="_Toc74583812"/>
    </w:p>
    <w:p w14:paraId="7C71C6AA" w14:textId="36FFD83B" w:rsidR="0069399F" w:rsidRDefault="0069399F" w:rsidP="00963E0D">
      <w:pPr>
        <w:pStyle w:val="Kop3"/>
      </w:pPr>
      <w:bookmarkStart w:id="116" w:name="_Toc75384081"/>
      <w:r>
        <w:t>4.2.1 Answering the research question</w:t>
      </w:r>
      <w:bookmarkEnd w:id="114"/>
      <w:bookmarkEnd w:id="115"/>
      <w:bookmarkEnd w:id="116"/>
    </w:p>
    <w:p w14:paraId="33DF5B99" w14:textId="647FE947" w:rsidR="0069399F" w:rsidRDefault="0069399F" w:rsidP="00963E0D">
      <w:pPr>
        <w:pStyle w:val="Geenafstand"/>
        <w:spacing w:line="360" w:lineRule="auto"/>
        <w:jc w:val="both"/>
        <w:rPr>
          <w:color w:val="000000"/>
        </w:rPr>
      </w:pPr>
      <w:r w:rsidRPr="0069399F">
        <w:tab/>
        <w:t>T</w:t>
      </w:r>
      <w:r w:rsidR="00392DAC">
        <w:t>able 4.1 shows that t</w:t>
      </w:r>
      <w:r w:rsidRPr="0069399F">
        <w:t xml:space="preserve">he </w:t>
      </w:r>
      <w:r w:rsidR="00392DAC">
        <w:t>coding of the speeches</w:t>
      </w:r>
      <w:r w:rsidRPr="0069399F">
        <w:t xml:space="preserve"> resulted in 230 claims, of which 103 claims in the previous government period (52</w:t>
      </w:r>
      <w:r w:rsidRPr="0069399F">
        <w:rPr>
          <w:vertAlign w:val="superscript"/>
        </w:rPr>
        <w:t>nd</w:t>
      </w:r>
      <w:r w:rsidRPr="0069399F">
        <w:t>) and 127 claims in the current government period (53</w:t>
      </w:r>
      <w:r w:rsidRPr="0069399F">
        <w:rPr>
          <w:vertAlign w:val="superscript"/>
        </w:rPr>
        <w:t>rd</w:t>
      </w:r>
      <w:r w:rsidRPr="0069399F">
        <w:t>)</w:t>
      </w:r>
      <w:r w:rsidR="00392DAC">
        <w:t>.</w:t>
      </w:r>
      <w:r w:rsidRPr="0069399F">
        <w:t xml:space="preserve"> In the following sections the data resulting from the coded claims will be analysed. Out of the 230 claims, 108 claims were made by </w:t>
      </w:r>
      <w:r w:rsidRPr="0069399F">
        <w:rPr>
          <w:color w:val="000000"/>
        </w:rPr>
        <w:t xml:space="preserve">Māori MPs. In table 4.1 we can see that 47% of the claims were made by Māori people, while we see in table 4.2 that they only make up around 20% of the MPs in both government periods. </w:t>
      </w:r>
    </w:p>
    <w:p w14:paraId="1A253D75" w14:textId="77777777" w:rsidR="00212663" w:rsidRDefault="00212663" w:rsidP="00963E0D">
      <w:pPr>
        <w:pStyle w:val="Geenafstand"/>
        <w:spacing w:line="360" w:lineRule="auto"/>
        <w:jc w:val="both"/>
        <w:rPr>
          <w:color w:val="000000"/>
        </w:rPr>
      </w:pPr>
    </w:p>
    <w:p w14:paraId="2C3283ED" w14:textId="2BD729EA" w:rsidR="00D43ABF" w:rsidRPr="00D43ABF" w:rsidRDefault="00D43ABF" w:rsidP="00D43ABF">
      <w:pPr>
        <w:pStyle w:val="Kop3"/>
        <w:rPr>
          <w:rFonts w:ascii="Calibri" w:eastAsia="Calibri" w:hAnsi="Calibri" w:cs="Calibri"/>
          <w:color w:val="000000"/>
          <w:sz w:val="20"/>
          <w:szCs w:val="20"/>
        </w:rPr>
      </w:pPr>
      <w:bookmarkStart w:id="117" w:name="_Toc74503474"/>
      <w:bookmarkStart w:id="118" w:name="_Toc74583605"/>
      <w:bookmarkStart w:id="119" w:name="_Toc74583813"/>
      <w:bookmarkStart w:id="120" w:name="_Toc75384082"/>
      <w:bookmarkStart w:id="121" w:name="_Toc72853005"/>
      <w:r w:rsidRPr="00D43ABF">
        <w:rPr>
          <w:sz w:val="20"/>
          <w:szCs w:val="20"/>
        </w:rPr>
        <w:t>Table 4.1. Number of claims made by</w:t>
      </w:r>
      <w:r w:rsidR="00763E12">
        <w:rPr>
          <w:sz w:val="20"/>
          <w:szCs w:val="20"/>
        </w:rPr>
        <w:t xml:space="preserve"> (</w:t>
      </w:r>
      <w:r w:rsidRPr="00D43ABF">
        <w:rPr>
          <w:sz w:val="20"/>
          <w:szCs w:val="20"/>
        </w:rPr>
        <w:t>non-</w:t>
      </w:r>
      <w:r w:rsidR="00763E12">
        <w:rPr>
          <w:sz w:val="20"/>
          <w:szCs w:val="20"/>
        </w:rPr>
        <w:t>)</w:t>
      </w:r>
      <w:r w:rsidRPr="00D43ABF">
        <w:rPr>
          <w:sz w:val="20"/>
          <w:szCs w:val="20"/>
        </w:rPr>
        <w:t>Māori MPs.</w:t>
      </w:r>
      <w:bookmarkEnd w:id="117"/>
      <w:bookmarkEnd w:id="118"/>
      <w:bookmarkEnd w:id="119"/>
      <w:bookmarkEnd w:id="120"/>
      <w:r w:rsidRPr="00D43ABF">
        <w:rPr>
          <w:sz w:val="20"/>
          <w:szCs w:val="20"/>
        </w:rPr>
        <w:t xml:space="preserve"> </w:t>
      </w:r>
      <w:bookmarkEnd w:id="121"/>
    </w:p>
    <w:tbl>
      <w:tblPr>
        <w:tblStyle w:val="Onopgemaaktetabel3"/>
        <w:tblW w:w="9062" w:type="dxa"/>
        <w:tblLayout w:type="fixed"/>
        <w:tblLook w:val="0600" w:firstRow="0" w:lastRow="0" w:firstColumn="0" w:lastColumn="0" w:noHBand="1" w:noVBand="1"/>
      </w:tblPr>
      <w:tblGrid>
        <w:gridCol w:w="1701"/>
        <w:gridCol w:w="2552"/>
        <w:gridCol w:w="2410"/>
        <w:gridCol w:w="2399"/>
      </w:tblGrid>
      <w:tr w:rsidR="0069399F" w14:paraId="76146AEB" w14:textId="77777777" w:rsidTr="00F35595">
        <w:tc>
          <w:tcPr>
            <w:tcW w:w="1701" w:type="dxa"/>
            <w:tcBorders>
              <w:bottom w:val="single" w:sz="4" w:space="0" w:color="auto"/>
            </w:tcBorders>
          </w:tcPr>
          <w:p w14:paraId="1AC9CF88" w14:textId="77777777" w:rsidR="0069399F" w:rsidRDefault="0069399F" w:rsidP="00F35595">
            <w:r>
              <w:t xml:space="preserve"> </w:t>
            </w:r>
          </w:p>
        </w:tc>
        <w:tc>
          <w:tcPr>
            <w:tcW w:w="2552" w:type="dxa"/>
            <w:tcBorders>
              <w:bottom w:val="single" w:sz="4" w:space="0" w:color="auto"/>
            </w:tcBorders>
          </w:tcPr>
          <w:p w14:paraId="4B2B4ACE" w14:textId="77777777" w:rsidR="0069399F" w:rsidRDefault="0069399F" w:rsidP="00F35595">
            <w:r>
              <w:t>52</w:t>
            </w:r>
            <w:r>
              <w:rPr>
                <w:vertAlign w:val="superscript"/>
              </w:rPr>
              <w:t>nd</w:t>
            </w:r>
            <w:r>
              <w:t xml:space="preserve"> and 53</w:t>
            </w:r>
            <w:r>
              <w:rPr>
                <w:vertAlign w:val="superscript"/>
              </w:rPr>
              <w:t xml:space="preserve">rd </w:t>
            </w:r>
            <w:r>
              <w:t>government period</w:t>
            </w:r>
            <w:r>
              <w:rPr>
                <w:vertAlign w:val="superscript"/>
              </w:rPr>
              <w:t xml:space="preserve"> </w:t>
            </w:r>
          </w:p>
        </w:tc>
        <w:tc>
          <w:tcPr>
            <w:tcW w:w="2410" w:type="dxa"/>
            <w:tcBorders>
              <w:bottom w:val="single" w:sz="4" w:space="0" w:color="auto"/>
            </w:tcBorders>
          </w:tcPr>
          <w:p w14:paraId="56E195BB" w14:textId="77777777" w:rsidR="0069399F" w:rsidRDefault="0069399F" w:rsidP="00F35595">
            <w:r>
              <w:t>52</w:t>
            </w:r>
            <w:r>
              <w:rPr>
                <w:vertAlign w:val="superscript"/>
              </w:rPr>
              <w:t>nd</w:t>
            </w:r>
            <w:r>
              <w:t xml:space="preserve"> government period</w:t>
            </w:r>
          </w:p>
        </w:tc>
        <w:tc>
          <w:tcPr>
            <w:tcW w:w="2399" w:type="dxa"/>
            <w:tcBorders>
              <w:bottom w:val="single" w:sz="4" w:space="0" w:color="auto"/>
            </w:tcBorders>
          </w:tcPr>
          <w:p w14:paraId="2739F90F" w14:textId="77777777" w:rsidR="0069399F" w:rsidRDefault="0069399F" w:rsidP="00F35595">
            <w:r>
              <w:t>53</w:t>
            </w:r>
            <w:r>
              <w:rPr>
                <w:vertAlign w:val="superscript"/>
              </w:rPr>
              <w:t>rd</w:t>
            </w:r>
            <w:r>
              <w:t xml:space="preserve"> government period</w:t>
            </w:r>
          </w:p>
        </w:tc>
      </w:tr>
      <w:tr w:rsidR="0069399F" w14:paraId="513B6315" w14:textId="77777777" w:rsidTr="00F35595">
        <w:tc>
          <w:tcPr>
            <w:tcW w:w="1701" w:type="dxa"/>
            <w:tcBorders>
              <w:top w:val="single" w:sz="4" w:space="0" w:color="auto"/>
            </w:tcBorders>
          </w:tcPr>
          <w:p w14:paraId="0856BB9A" w14:textId="77777777" w:rsidR="0069399F" w:rsidRDefault="0069399F" w:rsidP="00F35595">
            <w:r>
              <w:rPr>
                <w:color w:val="000000"/>
              </w:rPr>
              <w:t>Māori MPs</w:t>
            </w:r>
          </w:p>
        </w:tc>
        <w:tc>
          <w:tcPr>
            <w:tcW w:w="2552" w:type="dxa"/>
            <w:tcBorders>
              <w:top w:val="single" w:sz="4" w:space="0" w:color="auto"/>
            </w:tcBorders>
          </w:tcPr>
          <w:p w14:paraId="0267AABC" w14:textId="77777777" w:rsidR="0069399F" w:rsidRDefault="0069399F" w:rsidP="00F35595">
            <w:r>
              <w:t>108 (47,0%)</w:t>
            </w:r>
          </w:p>
        </w:tc>
        <w:tc>
          <w:tcPr>
            <w:tcW w:w="2410" w:type="dxa"/>
            <w:tcBorders>
              <w:top w:val="single" w:sz="4" w:space="0" w:color="auto"/>
            </w:tcBorders>
          </w:tcPr>
          <w:p w14:paraId="5E0DB314" w14:textId="77777777" w:rsidR="0069399F" w:rsidRDefault="0069399F" w:rsidP="00F35595">
            <w:r>
              <w:t>46 (44,7%)</w:t>
            </w:r>
          </w:p>
        </w:tc>
        <w:tc>
          <w:tcPr>
            <w:tcW w:w="2399" w:type="dxa"/>
            <w:tcBorders>
              <w:top w:val="single" w:sz="4" w:space="0" w:color="auto"/>
            </w:tcBorders>
          </w:tcPr>
          <w:p w14:paraId="4E9BFCBB" w14:textId="77777777" w:rsidR="0069399F" w:rsidRDefault="0069399F" w:rsidP="00F35595">
            <w:r>
              <w:t>62 (48,8%)</w:t>
            </w:r>
          </w:p>
        </w:tc>
      </w:tr>
      <w:tr w:rsidR="0069399F" w14:paraId="5B083C0D" w14:textId="77777777" w:rsidTr="00F35595">
        <w:tc>
          <w:tcPr>
            <w:tcW w:w="1701" w:type="dxa"/>
            <w:tcBorders>
              <w:bottom w:val="single" w:sz="4" w:space="0" w:color="auto"/>
            </w:tcBorders>
          </w:tcPr>
          <w:p w14:paraId="6E54EB9A" w14:textId="77777777" w:rsidR="0069399F" w:rsidRDefault="0069399F" w:rsidP="00F35595">
            <w:r>
              <w:rPr>
                <w:color w:val="000000"/>
              </w:rPr>
              <w:t>Non-Māori MPs</w:t>
            </w:r>
          </w:p>
        </w:tc>
        <w:tc>
          <w:tcPr>
            <w:tcW w:w="2552" w:type="dxa"/>
            <w:tcBorders>
              <w:bottom w:val="single" w:sz="4" w:space="0" w:color="auto"/>
            </w:tcBorders>
          </w:tcPr>
          <w:p w14:paraId="4ADF5E04" w14:textId="77777777" w:rsidR="0069399F" w:rsidRDefault="0069399F" w:rsidP="00F35595">
            <w:r>
              <w:t>122 (53,0%)</w:t>
            </w:r>
          </w:p>
        </w:tc>
        <w:tc>
          <w:tcPr>
            <w:tcW w:w="2410" w:type="dxa"/>
            <w:tcBorders>
              <w:bottom w:val="single" w:sz="4" w:space="0" w:color="auto"/>
            </w:tcBorders>
          </w:tcPr>
          <w:p w14:paraId="7626AF05" w14:textId="77777777" w:rsidR="0069399F" w:rsidRDefault="0069399F" w:rsidP="00F35595">
            <w:r>
              <w:t>57 (55,3)</w:t>
            </w:r>
          </w:p>
        </w:tc>
        <w:tc>
          <w:tcPr>
            <w:tcW w:w="2399" w:type="dxa"/>
            <w:tcBorders>
              <w:bottom w:val="single" w:sz="4" w:space="0" w:color="auto"/>
            </w:tcBorders>
          </w:tcPr>
          <w:p w14:paraId="45153E6A" w14:textId="77777777" w:rsidR="0069399F" w:rsidRDefault="0069399F" w:rsidP="00F35595">
            <w:r>
              <w:t>65 (51,2%)</w:t>
            </w:r>
          </w:p>
        </w:tc>
      </w:tr>
      <w:tr w:rsidR="0069399F" w14:paraId="24AAC943" w14:textId="77777777" w:rsidTr="00F35595">
        <w:tc>
          <w:tcPr>
            <w:tcW w:w="1701" w:type="dxa"/>
            <w:tcBorders>
              <w:top w:val="single" w:sz="4" w:space="0" w:color="auto"/>
            </w:tcBorders>
          </w:tcPr>
          <w:p w14:paraId="65F4ACDE" w14:textId="77777777" w:rsidR="0069399F" w:rsidRDefault="0069399F" w:rsidP="00F35595">
            <w:r>
              <w:rPr>
                <w:color w:val="000000"/>
              </w:rPr>
              <w:t>Total</w:t>
            </w:r>
          </w:p>
        </w:tc>
        <w:tc>
          <w:tcPr>
            <w:tcW w:w="2552" w:type="dxa"/>
            <w:tcBorders>
              <w:top w:val="single" w:sz="4" w:space="0" w:color="auto"/>
            </w:tcBorders>
          </w:tcPr>
          <w:p w14:paraId="76989AEF" w14:textId="77777777" w:rsidR="0069399F" w:rsidRDefault="0069399F" w:rsidP="00F35595">
            <w:r>
              <w:t>230 (100%)</w:t>
            </w:r>
          </w:p>
        </w:tc>
        <w:tc>
          <w:tcPr>
            <w:tcW w:w="2410" w:type="dxa"/>
            <w:tcBorders>
              <w:top w:val="single" w:sz="4" w:space="0" w:color="auto"/>
            </w:tcBorders>
          </w:tcPr>
          <w:p w14:paraId="577CBE4E" w14:textId="77777777" w:rsidR="0069399F" w:rsidRDefault="0069399F" w:rsidP="00F35595">
            <w:r>
              <w:t>103 (100%)</w:t>
            </w:r>
          </w:p>
        </w:tc>
        <w:tc>
          <w:tcPr>
            <w:tcW w:w="2399" w:type="dxa"/>
            <w:tcBorders>
              <w:top w:val="single" w:sz="4" w:space="0" w:color="auto"/>
            </w:tcBorders>
          </w:tcPr>
          <w:p w14:paraId="679D9D5C" w14:textId="77777777" w:rsidR="0069399F" w:rsidRDefault="0069399F" w:rsidP="00F35595">
            <w:r>
              <w:t>127 (100%)</w:t>
            </w:r>
          </w:p>
        </w:tc>
      </w:tr>
    </w:tbl>
    <w:p w14:paraId="3214551A" w14:textId="77777777" w:rsidR="00D43ABF" w:rsidRDefault="00D43ABF" w:rsidP="00D43ABF">
      <w:pPr>
        <w:pStyle w:val="Kop3"/>
        <w:rPr>
          <w:sz w:val="20"/>
          <w:szCs w:val="20"/>
        </w:rPr>
      </w:pPr>
      <w:bookmarkStart w:id="122" w:name="_Toc72853007"/>
    </w:p>
    <w:p w14:paraId="7EE46CEC" w14:textId="77777777" w:rsidR="00212663" w:rsidRDefault="00212663" w:rsidP="00D43ABF">
      <w:pPr>
        <w:pStyle w:val="Kop3"/>
        <w:rPr>
          <w:sz w:val="20"/>
          <w:szCs w:val="20"/>
        </w:rPr>
      </w:pPr>
      <w:bookmarkStart w:id="123" w:name="_Toc74503475"/>
      <w:bookmarkStart w:id="124" w:name="_Toc74583606"/>
      <w:bookmarkStart w:id="125" w:name="_Toc74583814"/>
    </w:p>
    <w:p w14:paraId="2A72582B" w14:textId="21B3843A" w:rsidR="0069399F" w:rsidRPr="00D43ABF" w:rsidRDefault="00D43ABF" w:rsidP="00D43ABF">
      <w:pPr>
        <w:pStyle w:val="Kop3"/>
        <w:rPr>
          <w:color w:val="000000"/>
          <w:sz w:val="20"/>
          <w:szCs w:val="20"/>
        </w:rPr>
      </w:pPr>
      <w:bookmarkStart w:id="126" w:name="_Toc75384083"/>
      <w:r w:rsidRPr="00D43ABF">
        <w:rPr>
          <w:sz w:val="20"/>
          <w:szCs w:val="20"/>
        </w:rPr>
        <w:t xml:space="preserve">Table 4.2. Number of </w:t>
      </w:r>
      <w:r w:rsidR="00C24492">
        <w:rPr>
          <w:sz w:val="20"/>
          <w:szCs w:val="20"/>
        </w:rPr>
        <w:t>(</w:t>
      </w:r>
      <w:r w:rsidRPr="00D43ABF">
        <w:rPr>
          <w:sz w:val="20"/>
          <w:szCs w:val="20"/>
        </w:rPr>
        <w:t>non-</w:t>
      </w:r>
      <w:r w:rsidR="00C24492">
        <w:rPr>
          <w:sz w:val="20"/>
          <w:szCs w:val="20"/>
        </w:rPr>
        <w:t>)</w:t>
      </w:r>
      <w:r w:rsidRPr="00D43ABF">
        <w:rPr>
          <w:sz w:val="20"/>
          <w:szCs w:val="20"/>
        </w:rPr>
        <w:t>Māori MPs.</w:t>
      </w:r>
      <w:bookmarkEnd w:id="122"/>
      <w:bookmarkEnd w:id="123"/>
      <w:bookmarkEnd w:id="124"/>
      <w:bookmarkEnd w:id="125"/>
      <w:bookmarkEnd w:id="126"/>
    </w:p>
    <w:tbl>
      <w:tblPr>
        <w:tblStyle w:val="Onopgemaaktetabel3"/>
        <w:tblW w:w="9062" w:type="dxa"/>
        <w:tblLayout w:type="fixed"/>
        <w:tblLook w:val="0600" w:firstRow="0" w:lastRow="0" w:firstColumn="0" w:lastColumn="0" w:noHBand="1" w:noVBand="1"/>
      </w:tblPr>
      <w:tblGrid>
        <w:gridCol w:w="3020"/>
        <w:gridCol w:w="3021"/>
        <w:gridCol w:w="3021"/>
      </w:tblGrid>
      <w:tr w:rsidR="0069399F" w14:paraId="5FA7864E" w14:textId="77777777" w:rsidTr="00F35595">
        <w:tc>
          <w:tcPr>
            <w:tcW w:w="3020" w:type="dxa"/>
            <w:tcBorders>
              <w:bottom w:val="single" w:sz="4" w:space="0" w:color="auto"/>
            </w:tcBorders>
          </w:tcPr>
          <w:p w14:paraId="7FAD2F60" w14:textId="77777777" w:rsidR="0069399F" w:rsidRDefault="0069399F" w:rsidP="00F35595">
            <w:pPr>
              <w:jc w:val="both"/>
            </w:pPr>
          </w:p>
        </w:tc>
        <w:tc>
          <w:tcPr>
            <w:tcW w:w="3021" w:type="dxa"/>
            <w:tcBorders>
              <w:bottom w:val="single" w:sz="4" w:space="0" w:color="auto"/>
            </w:tcBorders>
          </w:tcPr>
          <w:p w14:paraId="31FF7A33" w14:textId="77777777" w:rsidR="0069399F" w:rsidRDefault="0069399F" w:rsidP="00F35595">
            <w:pPr>
              <w:jc w:val="both"/>
            </w:pPr>
            <w:r>
              <w:t>52</w:t>
            </w:r>
            <w:r>
              <w:rPr>
                <w:vertAlign w:val="superscript"/>
              </w:rPr>
              <w:t>nd</w:t>
            </w:r>
            <w:r>
              <w:t xml:space="preserve"> government period</w:t>
            </w:r>
          </w:p>
        </w:tc>
        <w:tc>
          <w:tcPr>
            <w:tcW w:w="3021" w:type="dxa"/>
            <w:tcBorders>
              <w:bottom w:val="single" w:sz="4" w:space="0" w:color="auto"/>
            </w:tcBorders>
          </w:tcPr>
          <w:p w14:paraId="30FFC7FA" w14:textId="77777777" w:rsidR="0069399F" w:rsidRPr="00113D91" w:rsidRDefault="0069399F" w:rsidP="00F35595">
            <w:pPr>
              <w:jc w:val="both"/>
            </w:pPr>
            <w:r>
              <w:t>53</w:t>
            </w:r>
            <w:r>
              <w:rPr>
                <w:vertAlign w:val="superscript"/>
              </w:rPr>
              <w:t xml:space="preserve">rd </w:t>
            </w:r>
            <w:r>
              <w:t>government period</w:t>
            </w:r>
          </w:p>
        </w:tc>
      </w:tr>
      <w:tr w:rsidR="0069399F" w14:paraId="685B9E81" w14:textId="77777777" w:rsidTr="00F35595">
        <w:tc>
          <w:tcPr>
            <w:tcW w:w="3020" w:type="dxa"/>
            <w:tcBorders>
              <w:top w:val="single" w:sz="4" w:space="0" w:color="auto"/>
            </w:tcBorders>
          </w:tcPr>
          <w:p w14:paraId="38D838ED" w14:textId="77777777" w:rsidR="0069399F" w:rsidRDefault="0069399F" w:rsidP="00F35595">
            <w:pPr>
              <w:jc w:val="both"/>
            </w:pPr>
            <w:r>
              <w:rPr>
                <w:color w:val="000000"/>
              </w:rPr>
              <w:t>Number of Māori MPs</w:t>
            </w:r>
          </w:p>
        </w:tc>
        <w:tc>
          <w:tcPr>
            <w:tcW w:w="3021" w:type="dxa"/>
            <w:tcBorders>
              <w:top w:val="single" w:sz="4" w:space="0" w:color="auto"/>
            </w:tcBorders>
          </w:tcPr>
          <w:p w14:paraId="5A0CA6BA" w14:textId="77777777" w:rsidR="0069399F" w:rsidRDefault="0069399F" w:rsidP="00F35595">
            <w:pPr>
              <w:jc w:val="both"/>
            </w:pPr>
            <w:r>
              <w:t>27 (22,5%)</w:t>
            </w:r>
          </w:p>
        </w:tc>
        <w:tc>
          <w:tcPr>
            <w:tcW w:w="3021" w:type="dxa"/>
            <w:tcBorders>
              <w:top w:val="single" w:sz="4" w:space="0" w:color="auto"/>
            </w:tcBorders>
          </w:tcPr>
          <w:p w14:paraId="3265041D" w14:textId="77777777" w:rsidR="0069399F" w:rsidRDefault="0069399F" w:rsidP="00F35595">
            <w:pPr>
              <w:jc w:val="both"/>
            </w:pPr>
            <w:r>
              <w:t>23 (19,2%)</w:t>
            </w:r>
          </w:p>
        </w:tc>
      </w:tr>
      <w:tr w:rsidR="0069399F" w14:paraId="771F6D53" w14:textId="77777777" w:rsidTr="00F35595">
        <w:tc>
          <w:tcPr>
            <w:tcW w:w="3020" w:type="dxa"/>
            <w:tcBorders>
              <w:bottom w:val="single" w:sz="4" w:space="0" w:color="auto"/>
            </w:tcBorders>
          </w:tcPr>
          <w:p w14:paraId="1DDCB021" w14:textId="77777777" w:rsidR="0069399F" w:rsidRDefault="0069399F" w:rsidP="00F35595">
            <w:pPr>
              <w:jc w:val="both"/>
            </w:pPr>
            <w:r>
              <w:t>Number of Non-</w:t>
            </w:r>
            <w:r>
              <w:rPr>
                <w:color w:val="000000"/>
              </w:rPr>
              <w:t>Māori MPs</w:t>
            </w:r>
          </w:p>
        </w:tc>
        <w:tc>
          <w:tcPr>
            <w:tcW w:w="3021" w:type="dxa"/>
            <w:tcBorders>
              <w:bottom w:val="single" w:sz="4" w:space="0" w:color="auto"/>
            </w:tcBorders>
          </w:tcPr>
          <w:p w14:paraId="365D9FBB" w14:textId="77777777" w:rsidR="0069399F" w:rsidRDefault="0069399F" w:rsidP="00F35595">
            <w:pPr>
              <w:jc w:val="both"/>
            </w:pPr>
            <w:r>
              <w:t>93 (77,5%)</w:t>
            </w:r>
          </w:p>
        </w:tc>
        <w:tc>
          <w:tcPr>
            <w:tcW w:w="3021" w:type="dxa"/>
            <w:tcBorders>
              <w:bottom w:val="single" w:sz="4" w:space="0" w:color="auto"/>
            </w:tcBorders>
          </w:tcPr>
          <w:p w14:paraId="40C5962F" w14:textId="77777777" w:rsidR="0069399F" w:rsidRDefault="0069399F" w:rsidP="00F35595">
            <w:pPr>
              <w:jc w:val="both"/>
            </w:pPr>
            <w:r>
              <w:t>97 (80,8%)</w:t>
            </w:r>
          </w:p>
        </w:tc>
      </w:tr>
      <w:tr w:rsidR="0069399F" w14:paraId="4B9B8FEB" w14:textId="77777777" w:rsidTr="00F35595">
        <w:tc>
          <w:tcPr>
            <w:tcW w:w="3020" w:type="dxa"/>
            <w:tcBorders>
              <w:top w:val="single" w:sz="4" w:space="0" w:color="auto"/>
            </w:tcBorders>
          </w:tcPr>
          <w:p w14:paraId="0BB20AB5" w14:textId="77777777" w:rsidR="0069399F" w:rsidRDefault="0069399F" w:rsidP="00F35595">
            <w:pPr>
              <w:jc w:val="both"/>
            </w:pPr>
            <w:r>
              <w:t>Total</w:t>
            </w:r>
          </w:p>
        </w:tc>
        <w:tc>
          <w:tcPr>
            <w:tcW w:w="3021" w:type="dxa"/>
            <w:tcBorders>
              <w:top w:val="single" w:sz="4" w:space="0" w:color="auto"/>
            </w:tcBorders>
          </w:tcPr>
          <w:p w14:paraId="4851777A" w14:textId="77777777" w:rsidR="0069399F" w:rsidRDefault="0069399F" w:rsidP="00F35595">
            <w:pPr>
              <w:jc w:val="both"/>
            </w:pPr>
            <w:r>
              <w:t>120 (100%)</w:t>
            </w:r>
          </w:p>
        </w:tc>
        <w:tc>
          <w:tcPr>
            <w:tcW w:w="3021" w:type="dxa"/>
            <w:tcBorders>
              <w:top w:val="single" w:sz="4" w:space="0" w:color="auto"/>
            </w:tcBorders>
          </w:tcPr>
          <w:p w14:paraId="78616639" w14:textId="77777777" w:rsidR="0069399F" w:rsidRDefault="0069399F" w:rsidP="00F35595">
            <w:pPr>
              <w:jc w:val="both"/>
            </w:pPr>
            <w:r>
              <w:t>120 (100%)</w:t>
            </w:r>
          </w:p>
        </w:tc>
      </w:tr>
    </w:tbl>
    <w:p w14:paraId="29ED03E9" w14:textId="0F3E7C25" w:rsidR="0069399F" w:rsidRPr="007F5144" w:rsidRDefault="0069399F" w:rsidP="0069399F">
      <w:pPr>
        <w:pStyle w:val="Kop4"/>
        <w:rPr>
          <w:sz w:val="20"/>
          <w:szCs w:val="20"/>
        </w:rPr>
      </w:pPr>
    </w:p>
    <w:p w14:paraId="03C1F136" w14:textId="788249FB" w:rsidR="00212663" w:rsidRDefault="0069399F" w:rsidP="0088041C">
      <w:pPr>
        <w:pStyle w:val="Geenafstand"/>
        <w:spacing w:line="360" w:lineRule="auto"/>
        <w:ind w:firstLine="708"/>
        <w:jc w:val="both"/>
      </w:pPr>
      <w:r w:rsidRPr="0069399F">
        <w:t xml:space="preserve">A </w:t>
      </w:r>
      <w:r w:rsidR="005D1BB6">
        <w:t>c</w:t>
      </w:r>
      <w:r w:rsidRPr="0069399F">
        <w:t>hi-</w:t>
      </w:r>
      <w:r w:rsidR="005D1BB6">
        <w:t>s</w:t>
      </w:r>
      <w:r w:rsidRPr="0069399F">
        <w:t>quare test</w:t>
      </w:r>
      <w:r w:rsidR="005554B8">
        <w:rPr>
          <w:vertAlign w:val="superscript"/>
        </w:rPr>
        <w:t>7</w:t>
      </w:r>
      <w:r w:rsidRPr="0069399F">
        <w:t xml:space="preserve"> is used to compare the expected number of Māori claims with the observed number of Māori claims. Table 4.3 shows that the chi-square tests are significant in both government periods. Meaning that Māori MPs are more likely to make claims on behalf of Māori people than non-</w:t>
      </w:r>
      <w:r w:rsidRPr="0069399F">
        <w:lastRenderedPageBreak/>
        <w:t xml:space="preserve">Māori MPs. This confirms the main hypothesis of this thesis: </w:t>
      </w:r>
      <w:r w:rsidRPr="00212663">
        <w:rPr>
          <w:i/>
          <w:iCs/>
        </w:rPr>
        <w:t>Descriptive representation of indigenous peoples enhances the substantive claims made on their behalf.</w:t>
      </w:r>
      <w:r w:rsidRPr="0069399F">
        <w:t xml:space="preserve"> </w:t>
      </w:r>
    </w:p>
    <w:p w14:paraId="395D0803" w14:textId="77777777" w:rsidR="00212663" w:rsidRPr="00212663" w:rsidRDefault="00212663" w:rsidP="00212663">
      <w:pPr>
        <w:pStyle w:val="Geenafstand"/>
        <w:spacing w:line="360" w:lineRule="auto"/>
        <w:jc w:val="both"/>
      </w:pPr>
    </w:p>
    <w:p w14:paraId="46693FD8" w14:textId="28FDA9D2" w:rsidR="0069399F" w:rsidRPr="00212663" w:rsidRDefault="002B21E0" w:rsidP="00212663">
      <w:pPr>
        <w:pStyle w:val="Kop3"/>
        <w:rPr>
          <w:sz w:val="20"/>
          <w:szCs w:val="20"/>
        </w:rPr>
      </w:pPr>
      <w:bookmarkStart w:id="127" w:name="_Toc72853008"/>
      <w:bookmarkStart w:id="128" w:name="_Toc74503476"/>
      <w:bookmarkStart w:id="129" w:name="_Toc74583607"/>
      <w:bookmarkStart w:id="130" w:name="_Toc74583815"/>
      <w:bookmarkStart w:id="131" w:name="_Toc75384084"/>
      <w:r w:rsidRPr="00212663">
        <w:rPr>
          <w:sz w:val="20"/>
          <w:szCs w:val="20"/>
        </w:rPr>
        <w:t>Table 4.3. Chi-Square tests</w:t>
      </w:r>
      <w:r w:rsidR="00F9117F" w:rsidRPr="00212663">
        <w:rPr>
          <w:sz w:val="20"/>
          <w:szCs w:val="20"/>
        </w:rPr>
        <w:t xml:space="preserve"> (non-)</w:t>
      </w:r>
      <w:bookmarkEnd w:id="127"/>
      <w:bookmarkEnd w:id="128"/>
      <w:bookmarkEnd w:id="129"/>
      <w:bookmarkEnd w:id="130"/>
      <w:r w:rsidR="00F9117F" w:rsidRPr="00212663">
        <w:rPr>
          <w:sz w:val="20"/>
          <w:szCs w:val="20"/>
        </w:rPr>
        <w:t>Māori MPs.</w:t>
      </w:r>
      <w:bookmarkEnd w:id="131"/>
    </w:p>
    <w:tbl>
      <w:tblPr>
        <w:tblStyle w:val="Onopgemaaktetabel3"/>
        <w:tblW w:w="9236" w:type="dxa"/>
        <w:tblLayout w:type="fixed"/>
        <w:tblLook w:val="0600" w:firstRow="0" w:lastRow="0" w:firstColumn="0" w:lastColumn="0" w:noHBand="1" w:noVBand="1"/>
      </w:tblPr>
      <w:tblGrid>
        <w:gridCol w:w="1633"/>
        <w:gridCol w:w="1068"/>
        <w:gridCol w:w="1410"/>
        <w:gridCol w:w="1418"/>
        <w:gridCol w:w="1275"/>
        <w:gridCol w:w="709"/>
        <w:gridCol w:w="1723"/>
      </w:tblGrid>
      <w:tr w:rsidR="0069399F" w14:paraId="53DECBE3" w14:textId="77777777" w:rsidTr="00F35595">
        <w:trPr>
          <w:trHeight w:val="305"/>
        </w:trPr>
        <w:tc>
          <w:tcPr>
            <w:tcW w:w="1633" w:type="dxa"/>
            <w:tcBorders>
              <w:bottom w:val="single" w:sz="4" w:space="0" w:color="auto"/>
            </w:tcBorders>
          </w:tcPr>
          <w:p w14:paraId="4EC31B4F" w14:textId="77777777" w:rsidR="0069399F" w:rsidRPr="007863E9" w:rsidRDefault="0069399F" w:rsidP="007863E9">
            <w:pPr>
              <w:pStyle w:val="Geenafstand"/>
            </w:pPr>
            <w:r w:rsidRPr="007863E9">
              <w:t>Government period</w:t>
            </w:r>
          </w:p>
        </w:tc>
        <w:tc>
          <w:tcPr>
            <w:tcW w:w="1068" w:type="dxa"/>
            <w:tcBorders>
              <w:bottom w:val="single" w:sz="4" w:space="0" w:color="auto"/>
            </w:tcBorders>
          </w:tcPr>
          <w:p w14:paraId="2DFB775F" w14:textId="77777777" w:rsidR="0069399F" w:rsidRPr="007863E9" w:rsidRDefault="0069399F" w:rsidP="007863E9">
            <w:pPr>
              <w:pStyle w:val="Geenafstand"/>
            </w:pPr>
            <w:r w:rsidRPr="007863E9">
              <w:t>MPs</w:t>
            </w:r>
          </w:p>
        </w:tc>
        <w:tc>
          <w:tcPr>
            <w:tcW w:w="1410" w:type="dxa"/>
            <w:tcBorders>
              <w:bottom w:val="single" w:sz="4" w:space="0" w:color="auto"/>
            </w:tcBorders>
          </w:tcPr>
          <w:p w14:paraId="231F50E7" w14:textId="77777777" w:rsidR="0069399F" w:rsidRPr="007863E9" w:rsidRDefault="0069399F" w:rsidP="007863E9">
            <w:pPr>
              <w:pStyle w:val="Geenafstand"/>
            </w:pPr>
            <w:r w:rsidRPr="007863E9">
              <w:t>Expected number of claims</w:t>
            </w:r>
          </w:p>
        </w:tc>
        <w:tc>
          <w:tcPr>
            <w:tcW w:w="1418" w:type="dxa"/>
            <w:tcBorders>
              <w:bottom w:val="single" w:sz="4" w:space="0" w:color="auto"/>
            </w:tcBorders>
          </w:tcPr>
          <w:p w14:paraId="036F7C26" w14:textId="77777777" w:rsidR="0069399F" w:rsidRPr="007863E9" w:rsidRDefault="0069399F" w:rsidP="007863E9">
            <w:pPr>
              <w:pStyle w:val="Geenafstand"/>
            </w:pPr>
            <w:r w:rsidRPr="007863E9">
              <w:t>Observed number of claims</w:t>
            </w:r>
          </w:p>
        </w:tc>
        <w:tc>
          <w:tcPr>
            <w:tcW w:w="1275" w:type="dxa"/>
            <w:tcBorders>
              <w:bottom w:val="single" w:sz="4" w:space="0" w:color="auto"/>
            </w:tcBorders>
          </w:tcPr>
          <w:p w14:paraId="66FA6331" w14:textId="77777777" w:rsidR="0069399F" w:rsidRPr="007863E9" w:rsidRDefault="0069399F" w:rsidP="007863E9">
            <w:pPr>
              <w:pStyle w:val="Geenafstand"/>
            </w:pPr>
            <w:r w:rsidRPr="007863E9">
              <w:t>Chi-Square</w:t>
            </w:r>
          </w:p>
        </w:tc>
        <w:tc>
          <w:tcPr>
            <w:tcW w:w="709" w:type="dxa"/>
            <w:tcBorders>
              <w:bottom w:val="single" w:sz="4" w:space="0" w:color="auto"/>
            </w:tcBorders>
          </w:tcPr>
          <w:p w14:paraId="2EBC4125" w14:textId="77777777" w:rsidR="0069399F" w:rsidRPr="007863E9" w:rsidRDefault="0069399F" w:rsidP="007863E9">
            <w:pPr>
              <w:pStyle w:val="Geenafstand"/>
            </w:pPr>
            <w:r w:rsidRPr="007863E9">
              <w:t>Df</w:t>
            </w:r>
          </w:p>
        </w:tc>
        <w:tc>
          <w:tcPr>
            <w:tcW w:w="1723" w:type="dxa"/>
            <w:tcBorders>
              <w:bottom w:val="single" w:sz="4" w:space="0" w:color="auto"/>
            </w:tcBorders>
          </w:tcPr>
          <w:p w14:paraId="071BE2F7" w14:textId="77777777" w:rsidR="0069399F" w:rsidRPr="007863E9" w:rsidRDefault="0069399F" w:rsidP="007863E9">
            <w:pPr>
              <w:pStyle w:val="Geenafstand"/>
            </w:pPr>
            <w:r w:rsidRPr="007863E9">
              <w:t>Significance</w:t>
            </w:r>
          </w:p>
        </w:tc>
      </w:tr>
      <w:tr w:rsidR="0069399F" w14:paraId="125A531D" w14:textId="77777777" w:rsidTr="00F35595">
        <w:trPr>
          <w:trHeight w:val="305"/>
        </w:trPr>
        <w:tc>
          <w:tcPr>
            <w:tcW w:w="1633" w:type="dxa"/>
            <w:tcBorders>
              <w:top w:val="single" w:sz="4" w:space="0" w:color="auto"/>
            </w:tcBorders>
          </w:tcPr>
          <w:p w14:paraId="2540991C" w14:textId="77777777" w:rsidR="0069399F" w:rsidRPr="007863E9" w:rsidRDefault="0069399F" w:rsidP="007863E9">
            <w:pPr>
              <w:pStyle w:val="Geenafstand"/>
            </w:pPr>
            <w:r w:rsidRPr="007863E9">
              <w:t>52</w:t>
            </w:r>
          </w:p>
        </w:tc>
        <w:tc>
          <w:tcPr>
            <w:tcW w:w="1068" w:type="dxa"/>
            <w:tcBorders>
              <w:top w:val="single" w:sz="4" w:space="0" w:color="auto"/>
            </w:tcBorders>
          </w:tcPr>
          <w:p w14:paraId="3A3E9240" w14:textId="77777777" w:rsidR="0069399F" w:rsidRPr="007863E9" w:rsidRDefault="0069399F" w:rsidP="007863E9">
            <w:pPr>
              <w:pStyle w:val="Geenafstand"/>
            </w:pPr>
            <w:r w:rsidRPr="007863E9">
              <w:t>Māori</w:t>
            </w:r>
          </w:p>
        </w:tc>
        <w:tc>
          <w:tcPr>
            <w:tcW w:w="1410" w:type="dxa"/>
            <w:tcBorders>
              <w:top w:val="single" w:sz="4" w:space="0" w:color="auto"/>
            </w:tcBorders>
          </w:tcPr>
          <w:p w14:paraId="0D7D7B3E" w14:textId="77777777" w:rsidR="0069399F" w:rsidRPr="007863E9" w:rsidRDefault="0069399F" w:rsidP="007863E9">
            <w:pPr>
              <w:pStyle w:val="Geenafstand"/>
            </w:pPr>
            <w:r w:rsidRPr="007863E9">
              <w:t>23,175</w:t>
            </w:r>
          </w:p>
        </w:tc>
        <w:tc>
          <w:tcPr>
            <w:tcW w:w="1418" w:type="dxa"/>
            <w:tcBorders>
              <w:top w:val="single" w:sz="4" w:space="0" w:color="auto"/>
            </w:tcBorders>
          </w:tcPr>
          <w:p w14:paraId="21EDB2C5" w14:textId="77777777" w:rsidR="0069399F" w:rsidRPr="007863E9" w:rsidRDefault="0069399F" w:rsidP="007863E9">
            <w:pPr>
              <w:pStyle w:val="Geenafstand"/>
            </w:pPr>
            <w:r w:rsidRPr="007863E9">
              <w:t>46</w:t>
            </w:r>
          </w:p>
        </w:tc>
        <w:tc>
          <w:tcPr>
            <w:tcW w:w="1275" w:type="dxa"/>
            <w:tcBorders>
              <w:top w:val="single" w:sz="4" w:space="0" w:color="auto"/>
            </w:tcBorders>
          </w:tcPr>
          <w:p w14:paraId="36F000B7" w14:textId="77777777" w:rsidR="0069399F" w:rsidRPr="007863E9" w:rsidRDefault="0069399F" w:rsidP="007863E9">
            <w:pPr>
              <w:pStyle w:val="Geenafstand"/>
            </w:pPr>
            <w:r w:rsidRPr="007863E9">
              <w:t>64,711</w:t>
            </w:r>
          </w:p>
        </w:tc>
        <w:tc>
          <w:tcPr>
            <w:tcW w:w="709" w:type="dxa"/>
            <w:tcBorders>
              <w:top w:val="single" w:sz="4" w:space="0" w:color="auto"/>
            </w:tcBorders>
          </w:tcPr>
          <w:p w14:paraId="30583B75" w14:textId="77777777" w:rsidR="0069399F" w:rsidRPr="007863E9" w:rsidRDefault="0069399F" w:rsidP="007863E9">
            <w:pPr>
              <w:pStyle w:val="Geenafstand"/>
            </w:pPr>
            <w:r w:rsidRPr="007863E9">
              <w:t>1</w:t>
            </w:r>
          </w:p>
        </w:tc>
        <w:tc>
          <w:tcPr>
            <w:tcW w:w="1723" w:type="dxa"/>
            <w:tcBorders>
              <w:top w:val="single" w:sz="4" w:space="0" w:color="auto"/>
            </w:tcBorders>
          </w:tcPr>
          <w:p w14:paraId="43EDBC37" w14:textId="77777777" w:rsidR="0069399F" w:rsidRPr="007863E9" w:rsidRDefault="0069399F" w:rsidP="007863E9">
            <w:pPr>
              <w:pStyle w:val="Geenafstand"/>
            </w:pPr>
            <w:r w:rsidRPr="007863E9">
              <w:t>0,000</w:t>
            </w:r>
          </w:p>
        </w:tc>
      </w:tr>
      <w:tr w:rsidR="0069399F" w14:paraId="2CD365F3" w14:textId="77777777" w:rsidTr="00F35595">
        <w:trPr>
          <w:trHeight w:val="305"/>
        </w:trPr>
        <w:tc>
          <w:tcPr>
            <w:tcW w:w="1633" w:type="dxa"/>
          </w:tcPr>
          <w:p w14:paraId="2E333DCD" w14:textId="77777777" w:rsidR="0069399F" w:rsidRPr="007863E9" w:rsidRDefault="0069399F" w:rsidP="007863E9">
            <w:pPr>
              <w:pStyle w:val="Geenafstand"/>
            </w:pPr>
          </w:p>
        </w:tc>
        <w:tc>
          <w:tcPr>
            <w:tcW w:w="1068" w:type="dxa"/>
          </w:tcPr>
          <w:p w14:paraId="7ED6B923" w14:textId="77777777" w:rsidR="0069399F" w:rsidRPr="007863E9" w:rsidRDefault="0069399F" w:rsidP="007863E9">
            <w:pPr>
              <w:pStyle w:val="Geenafstand"/>
            </w:pPr>
            <w:r w:rsidRPr="007863E9">
              <w:t>Non- Māori</w:t>
            </w:r>
          </w:p>
        </w:tc>
        <w:tc>
          <w:tcPr>
            <w:tcW w:w="1410" w:type="dxa"/>
          </w:tcPr>
          <w:p w14:paraId="0E89617D" w14:textId="77777777" w:rsidR="0069399F" w:rsidRPr="007863E9" w:rsidRDefault="0069399F" w:rsidP="007863E9">
            <w:pPr>
              <w:pStyle w:val="Geenafstand"/>
            </w:pPr>
            <w:r w:rsidRPr="007863E9">
              <w:t>79,825</w:t>
            </w:r>
          </w:p>
        </w:tc>
        <w:tc>
          <w:tcPr>
            <w:tcW w:w="1418" w:type="dxa"/>
          </w:tcPr>
          <w:p w14:paraId="476DAFEF" w14:textId="77777777" w:rsidR="0069399F" w:rsidRPr="007863E9" w:rsidRDefault="0069399F" w:rsidP="007863E9">
            <w:pPr>
              <w:pStyle w:val="Geenafstand"/>
            </w:pPr>
            <w:r w:rsidRPr="007863E9">
              <w:t>57</w:t>
            </w:r>
          </w:p>
        </w:tc>
        <w:tc>
          <w:tcPr>
            <w:tcW w:w="1275" w:type="dxa"/>
          </w:tcPr>
          <w:p w14:paraId="56032E27" w14:textId="77777777" w:rsidR="0069399F" w:rsidRPr="007863E9" w:rsidRDefault="0069399F" w:rsidP="007863E9">
            <w:pPr>
              <w:pStyle w:val="Geenafstand"/>
            </w:pPr>
          </w:p>
        </w:tc>
        <w:tc>
          <w:tcPr>
            <w:tcW w:w="709" w:type="dxa"/>
          </w:tcPr>
          <w:p w14:paraId="530E6F33" w14:textId="77777777" w:rsidR="0069399F" w:rsidRPr="007863E9" w:rsidRDefault="0069399F" w:rsidP="007863E9">
            <w:pPr>
              <w:pStyle w:val="Geenafstand"/>
            </w:pPr>
          </w:p>
        </w:tc>
        <w:tc>
          <w:tcPr>
            <w:tcW w:w="1723" w:type="dxa"/>
          </w:tcPr>
          <w:p w14:paraId="6BCCD9FB" w14:textId="77777777" w:rsidR="0069399F" w:rsidRPr="007863E9" w:rsidRDefault="0069399F" w:rsidP="007863E9">
            <w:pPr>
              <w:pStyle w:val="Geenafstand"/>
            </w:pPr>
          </w:p>
        </w:tc>
      </w:tr>
      <w:tr w:rsidR="0069399F" w14:paraId="47C6E72B" w14:textId="77777777" w:rsidTr="00F35595">
        <w:trPr>
          <w:trHeight w:val="305"/>
        </w:trPr>
        <w:tc>
          <w:tcPr>
            <w:tcW w:w="1633" w:type="dxa"/>
          </w:tcPr>
          <w:p w14:paraId="44FAE72E" w14:textId="77777777" w:rsidR="0069399F" w:rsidRPr="007863E9" w:rsidRDefault="0069399F" w:rsidP="007863E9">
            <w:pPr>
              <w:pStyle w:val="Geenafstand"/>
            </w:pPr>
          </w:p>
        </w:tc>
        <w:tc>
          <w:tcPr>
            <w:tcW w:w="1068" w:type="dxa"/>
          </w:tcPr>
          <w:p w14:paraId="6883A99F" w14:textId="77777777" w:rsidR="0069399F" w:rsidRPr="007863E9" w:rsidRDefault="0069399F" w:rsidP="007863E9">
            <w:pPr>
              <w:pStyle w:val="Geenafstand"/>
            </w:pPr>
            <w:r w:rsidRPr="007863E9">
              <w:t>Total</w:t>
            </w:r>
          </w:p>
        </w:tc>
        <w:tc>
          <w:tcPr>
            <w:tcW w:w="1410" w:type="dxa"/>
          </w:tcPr>
          <w:p w14:paraId="1E0F37C4" w14:textId="77777777" w:rsidR="0069399F" w:rsidRPr="007863E9" w:rsidRDefault="0069399F" w:rsidP="007863E9">
            <w:pPr>
              <w:pStyle w:val="Geenafstand"/>
            </w:pPr>
            <w:r w:rsidRPr="007863E9">
              <w:t>103</w:t>
            </w:r>
          </w:p>
        </w:tc>
        <w:tc>
          <w:tcPr>
            <w:tcW w:w="1418" w:type="dxa"/>
          </w:tcPr>
          <w:p w14:paraId="48DB2F79" w14:textId="77777777" w:rsidR="0069399F" w:rsidRPr="007863E9" w:rsidRDefault="0069399F" w:rsidP="007863E9">
            <w:pPr>
              <w:pStyle w:val="Geenafstand"/>
            </w:pPr>
            <w:r w:rsidRPr="007863E9">
              <w:t>103</w:t>
            </w:r>
          </w:p>
        </w:tc>
        <w:tc>
          <w:tcPr>
            <w:tcW w:w="1275" w:type="dxa"/>
          </w:tcPr>
          <w:p w14:paraId="1BB9038F" w14:textId="77777777" w:rsidR="0069399F" w:rsidRPr="007863E9" w:rsidRDefault="0069399F" w:rsidP="007863E9">
            <w:pPr>
              <w:pStyle w:val="Geenafstand"/>
            </w:pPr>
          </w:p>
        </w:tc>
        <w:tc>
          <w:tcPr>
            <w:tcW w:w="709" w:type="dxa"/>
          </w:tcPr>
          <w:p w14:paraId="23CA4D2F" w14:textId="77777777" w:rsidR="0069399F" w:rsidRPr="007863E9" w:rsidRDefault="0069399F" w:rsidP="007863E9">
            <w:pPr>
              <w:pStyle w:val="Geenafstand"/>
            </w:pPr>
          </w:p>
        </w:tc>
        <w:tc>
          <w:tcPr>
            <w:tcW w:w="1723" w:type="dxa"/>
          </w:tcPr>
          <w:p w14:paraId="22FFBB73" w14:textId="77777777" w:rsidR="0069399F" w:rsidRPr="007863E9" w:rsidRDefault="0069399F" w:rsidP="007863E9">
            <w:pPr>
              <w:pStyle w:val="Geenafstand"/>
            </w:pPr>
          </w:p>
        </w:tc>
      </w:tr>
      <w:tr w:rsidR="0069399F" w14:paraId="546B353E" w14:textId="77777777" w:rsidTr="00F35595">
        <w:trPr>
          <w:trHeight w:val="305"/>
        </w:trPr>
        <w:tc>
          <w:tcPr>
            <w:tcW w:w="1633" w:type="dxa"/>
          </w:tcPr>
          <w:p w14:paraId="349F45E5" w14:textId="77777777" w:rsidR="0069399F" w:rsidRPr="007863E9" w:rsidRDefault="0069399F" w:rsidP="007863E9">
            <w:pPr>
              <w:pStyle w:val="Geenafstand"/>
            </w:pPr>
            <w:r w:rsidRPr="007863E9">
              <w:t>53</w:t>
            </w:r>
          </w:p>
        </w:tc>
        <w:tc>
          <w:tcPr>
            <w:tcW w:w="1068" w:type="dxa"/>
          </w:tcPr>
          <w:p w14:paraId="5D4943E5" w14:textId="77777777" w:rsidR="0069399F" w:rsidRPr="007863E9" w:rsidRDefault="0069399F" w:rsidP="007863E9">
            <w:pPr>
              <w:pStyle w:val="Geenafstand"/>
            </w:pPr>
            <w:r w:rsidRPr="007863E9">
              <w:t>Māori</w:t>
            </w:r>
          </w:p>
        </w:tc>
        <w:tc>
          <w:tcPr>
            <w:tcW w:w="1410" w:type="dxa"/>
          </w:tcPr>
          <w:p w14:paraId="5EBEA2FF" w14:textId="77777777" w:rsidR="0069399F" w:rsidRPr="007863E9" w:rsidRDefault="0069399F" w:rsidP="007863E9">
            <w:pPr>
              <w:pStyle w:val="Geenafstand"/>
            </w:pPr>
            <w:r w:rsidRPr="007863E9">
              <w:t>24,34167</w:t>
            </w:r>
          </w:p>
        </w:tc>
        <w:tc>
          <w:tcPr>
            <w:tcW w:w="1418" w:type="dxa"/>
          </w:tcPr>
          <w:p w14:paraId="528005AD" w14:textId="77777777" w:rsidR="0069399F" w:rsidRPr="007863E9" w:rsidRDefault="0069399F" w:rsidP="007863E9">
            <w:pPr>
              <w:pStyle w:val="Geenafstand"/>
            </w:pPr>
            <w:r w:rsidRPr="007863E9">
              <w:t>62</w:t>
            </w:r>
          </w:p>
        </w:tc>
        <w:tc>
          <w:tcPr>
            <w:tcW w:w="1275" w:type="dxa"/>
          </w:tcPr>
          <w:p w14:paraId="14668D0D" w14:textId="77777777" w:rsidR="0069399F" w:rsidRPr="007863E9" w:rsidRDefault="0069399F" w:rsidP="007863E9">
            <w:pPr>
              <w:pStyle w:val="Geenafstand"/>
            </w:pPr>
            <w:r w:rsidRPr="007863E9">
              <w:t>86,362</w:t>
            </w:r>
          </w:p>
        </w:tc>
        <w:tc>
          <w:tcPr>
            <w:tcW w:w="709" w:type="dxa"/>
          </w:tcPr>
          <w:p w14:paraId="3D3DDEF9" w14:textId="77777777" w:rsidR="0069399F" w:rsidRPr="007863E9" w:rsidRDefault="0069399F" w:rsidP="007863E9">
            <w:pPr>
              <w:pStyle w:val="Geenafstand"/>
            </w:pPr>
            <w:r w:rsidRPr="007863E9">
              <w:t>1</w:t>
            </w:r>
          </w:p>
        </w:tc>
        <w:tc>
          <w:tcPr>
            <w:tcW w:w="1723" w:type="dxa"/>
          </w:tcPr>
          <w:p w14:paraId="099FD997" w14:textId="77777777" w:rsidR="0069399F" w:rsidRPr="007863E9" w:rsidRDefault="0069399F" w:rsidP="007863E9">
            <w:pPr>
              <w:pStyle w:val="Geenafstand"/>
            </w:pPr>
            <w:r w:rsidRPr="007863E9">
              <w:t>0,000</w:t>
            </w:r>
          </w:p>
        </w:tc>
      </w:tr>
      <w:tr w:rsidR="0069399F" w14:paraId="3B8F34BD" w14:textId="77777777" w:rsidTr="00F35595">
        <w:trPr>
          <w:trHeight w:val="305"/>
        </w:trPr>
        <w:tc>
          <w:tcPr>
            <w:tcW w:w="1633" w:type="dxa"/>
            <w:tcBorders>
              <w:bottom w:val="single" w:sz="4" w:space="0" w:color="auto"/>
            </w:tcBorders>
          </w:tcPr>
          <w:p w14:paraId="2FE67EFD" w14:textId="77777777" w:rsidR="0069399F" w:rsidRPr="007863E9" w:rsidRDefault="0069399F" w:rsidP="007863E9">
            <w:pPr>
              <w:pStyle w:val="Geenafstand"/>
            </w:pPr>
          </w:p>
        </w:tc>
        <w:tc>
          <w:tcPr>
            <w:tcW w:w="1068" w:type="dxa"/>
            <w:tcBorders>
              <w:bottom w:val="single" w:sz="4" w:space="0" w:color="auto"/>
            </w:tcBorders>
          </w:tcPr>
          <w:p w14:paraId="38A2863A" w14:textId="77777777" w:rsidR="0069399F" w:rsidRPr="007863E9" w:rsidRDefault="0069399F" w:rsidP="007863E9">
            <w:pPr>
              <w:pStyle w:val="Geenafstand"/>
            </w:pPr>
            <w:r w:rsidRPr="007863E9">
              <w:t>Non- Māori</w:t>
            </w:r>
          </w:p>
        </w:tc>
        <w:tc>
          <w:tcPr>
            <w:tcW w:w="1410" w:type="dxa"/>
            <w:tcBorders>
              <w:bottom w:val="single" w:sz="4" w:space="0" w:color="auto"/>
            </w:tcBorders>
          </w:tcPr>
          <w:p w14:paraId="4E044280" w14:textId="77777777" w:rsidR="0069399F" w:rsidRPr="007863E9" w:rsidRDefault="0069399F" w:rsidP="007863E9">
            <w:pPr>
              <w:pStyle w:val="Geenafstand"/>
            </w:pPr>
            <w:r w:rsidRPr="007863E9">
              <w:t>102,6583</w:t>
            </w:r>
          </w:p>
        </w:tc>
        <w:tc>
          <w:tcPr>
            <w:tcW w:w="1418" w:type="dxa"/>
            <w:tcBorders>
              <w:bottom w:val="single" w:sz="4" w:space="0" w:color="auto"/>
            </w:tcBorders>
          </w:tcPr>
          <w:p w14:paraId="147803C4" w14:textId="77777777" w:rsidR="0069399F" w:rsidRPr="007863E9" w:rsidRDefault="0069399F" w:rsidP="007863E9">
            <w:pPr>
              <w:pStyle w:val="Geenafstand"/>
            </w:pPr>
            <w:r w:rsidRPr="007863E9">
              <w:t>65</w:t>
            </w:r>
          </w:p>
        </w:tc>
        <w:tc>
          <w:tcPr>
            <w:tcW w:w="1275" w:type="dxa"/>
            <w:tcBorders>
              <w:bottom w:val="single" w:sz="4" w:space="0" w:color="auto"/>
            </w:tcBorders>
          </w:tcPr>
          <w:p w14:paraId="5B3532D2" w14:textId="77777777" w:rsidR="0069399F" w:rsidRPr="007863E9" w:rsidRDefault="0069399F" w:rsidP="007863E9">
            <w:pPr>
              <w:pStyle w:val="Geenafstand"/>
            </w:pPr>
          </w:p>
        </w:tc>
        <w:tc>
          <w:tcPr>
            <w:tcW w:w="709" w:type="dxa"/>
            <w:tcBorders>
              <w:bottom w:val="single" w:sz="4" w:space="0" w:color="auto"/>
            </w:tcBorders>
          </w:tcPr>
          <w:p w14:paraId="22EB7A1B" w14:textId="77777777" w:rsidR="0069399F" w:rsidRPr="007863E9" w:rsidRDefault="0069399F" w:rsidP="007863E9">
            <w:pPr>
              <w:pStyle w:val="Geenafstand"/>
            </w:pPr>
          </w:p>
        </w:tc>
        <w:tc>
          <w:tcPr>
            <w:tcW w:w="1723" w:type="dxa"/>
            <w:tcBorders>
              <w:bottom w:val="single" w:sz="4" w:space="0" w:color="auto"/>
            </w:tcBorders>
          </w:tcPr>
          <w:p w14:paraId="3EB83327" w14:textId="77777777" w:rsidR="0069399F" w:rsidRPr="007863E9" w:rsidRDefault="0069399F" w:rsidP="007863E9">
            <w:pPr>
              <w:pStyle w:val="Geenafstand"/>
            </w:pPr>
          </w:p>
        </w:tc>
      </w:tr>
      <w:tr w:rsidR="0069399F" w14:paraId="5E3A2434" w14:textId="77777777" w:rsidTr="007863E9">
        <w:trPr>
          <w:trHeight w:val="50"/>
        </w:trPr>
        <w:tc>
          <w:tcPr>
            <w:tcW w:w="1633" w:type="dxa"/>
            <w:tcBorders>
              <w:top w:val="single" w:sz="4" w:space="0" w:color="auto"/>
            </w:tcBorders>
          </w:tcPr>
          <w:p w14:paraId="7FE6FAC4" w14:textId="77777777" w:rsidR="0069399F" w:rsidRPr="007863E9" w:rsidRDefault="0069399F" w:rsidP="007863E9">
            <w:pPr>
              <w:pStyle w:val="Geenafstand"/>
            </w:pPr>
          </w:p>
        </w:tc>
        <w:tc>
          <w:tcPr>
            <w:tcW w:w="1068" w:type="dxa"/>
            <w:tcBorders>
              <w:top w:val="single" w:sz="4" w:space="0" w:color="auto"/>
            </w:tcBorders>
          </w:tcPr>
          <w:p w14:paraId="5B2F35AD" w14:textId="77777777" w:rsidR="0069399F" w:rsidRPr="007863E9" w:rsidRDefault="0069399F" w:rsidP="007863E9">
            <w:pPr>
              <w:pStyle w:val="Geenafstand"/>
            </w:pPr>
            <w:r w:rsidRPr="007863E9">
              <w:t>Total</w:t>
            </w:r>
          </w:p>
        </w:tc>
        <w:tc>
          <w:tcPr>
            <w:tcW w:w="1410" w:type="dxa"/>
            <w:tcBorders>
              <w:top w:val="single" w:sz="4" w:space="0" w:color="auto"/>
            </w:tcBorders>
          </w:tcPr>
          <w:p w14:paraId="3D2B0D15" w14:textId="77777777" w:rsidR="0069399F" w:rsidRPr="007863E9" w:rsidRDefault="0069399F" w:rsidP="007863E9">
            <w:pPr>
              <w:pStyle w:val="Geenafstand"/>
            </w:pPr>
            <w:r w:rsidRPr="007863E9">
              <w:t>127</w:t>
            </w:r>
          </w:p>
        </w:tc>
        <w:tc>
          <w:tcPr>
            <w:tcW w:w="1418" w:type="dxa"/>
            <w:tcBorders>
              <w:top w:val="single" w:sz="4" w:space="0" w:color="auto"/>
            </w:tcBorders>
          </w:tcPr>
          <w:p w14:paraId="37A1B34C" w14:textId="77777777" w:rsidR="0069399F" w:rsidRPr="007863E9" w:rsidRDefault="0069399F" w:rsidP="007863E9">
            <w:pPr>
              <w:pStyle w:val="Geenafstand"/>
            </w:pPr>
            <w:r w:rsidRPr="007863E9">
              <w:t>127</w:t>
            </w:r>
          </w:p>
        </w:tc>
        <w:tc>
          <w:tcPr>
            <w:tcW w:w="1275" w:type="dxa"/>
            <w:tcBorders>
              <w:top w:val="single" w:sz="4" w:space="0" w:color="auto"/>
            </w:tcBorders>
          </w:tcPr>
          <w:p w14:paraId="51684E30" w14:textId="77777777" w:rsidR="0069399F" w:rsidRPr="007863E9" w:rsidRDefault="0069399F" w:rsidP="007863E9">
            <w:pPr>
              <w:pStyle w:val="Geenafstand"/>
            </w:pPr>
          </w:p>
        </w:tc>
        <w:tc>
          <w:tcPr>
            <w:tcW w:w="709" w:type="dxa"/>
            <w:tcBorders>
              <w:top w:val="single" w:sz="4" w:space="0" w:color="auto"/>
            </w:tcBorders>
          </w:tcPr>
          <w:p w14:paraId="298C70A3" w14:textId="77777777" w:rsidR="0069399F" w:rsidRPr="007863E9" w:rsidRDefault="0069399F" w:rsidP="007863E9">
            <w:pPr>
              <w:pStyle w:val="Geenafstand"/>
            </w:pPr>
          </w:p>
        </w:tc>
        <w:tc>
          <w:tcPr>
            <w:tcW w:w="1723" w:type="dxa"/>
            <w:tcBorders>
              <w:top w:val="single" w:sz="4" w:space="0" w:color="auto"/>
            </w:tcBorders>
          </w:tcPr>
          <w:p w14:paraId="0BC9F7F5" w14:textId="77777777" w:rsidR="0069399F" w:rsidRPr="007863E9" w:rsidRDefault="0069399F" w:rsidP="007863E9">
            <w:pPr>
              <w:pStyle w:val="Geenafstand"/>
            </w:pPr>
          </w:p>
        </w:tc>
      </w:tr>
    </w:tbl>
    <w:p w14:paraId="4A3FC14E" w14:textId="77777777" w:rsidR="0069399F" w:rsidRDefault="0069399F" w:rsidP="0069399F"/>
    <w:p w14:paraId="0AE7BB8F" w14:textId="4D710D83" w:rsidR="0069399F" w:rsidRDefault="00AA2A4F" w:rsidP="002A27DC">
      <w:pPr>
        <w:pStyle w:val="Geenafstand"/>
        <w:spacing w:line="360" w:lineRule="auto"/>
        <w:ind w:firstLine="708"/>
        <w:jc w:val="both"/>
      </w:pPr>
      <w:r>
        <w:t>In the next section th</w:t>
      </w:r>
      <w:r w:rsidR="006B4370">
        <w:t>e</w:t>
      </w:r>
      <w:r w:rsidR="0069399F" w:rsidRPr="0069399F">
        <w:t xml:space="preserve"> differences between the two time periods will be explained.</w:t>
      </w:r>
    </w:p>
    <w:p w14:paraId="05203495" w14:textId="77777777" w:rsidR="002A27DC" w:rsidRPr="0069399F" w:rsidRDefault="002A27DC" w:rsidP="002A27DC">
      <w:pPr>
        <w:pStyle w:val="Geenafstand"/>
        <w:spacing w:line="360" w:lineRule="auto"/>
        <w:jc w:val="both"/>
      </w:pPr>
    </w:p>
    <w:p w14:paraId="771317D7" w14:textId="77777777" w:rsidR="0069399F" w:rsidRDefault="0069399F" w:rsidP="002A27DC">
      <w:pPr>
        <w:pStyle w:val="Kop3"/>
      </w:pPr>
      <w:bookmarkStart w:id="132" w:name="_Toc72853009"/>
      <w:bookmarkStart w:id="133" w:name="_Toc74583816"/>
      <w:bookmarkStart w:id="134" w:name="_Toc75384085"/>
      <w:r>
        <w:t>4.2.2 Time-periods</w:t>
      </w:r>
      <w:bookmarkEnd w:id="132"/>
      <w:bookmarkEnd w:id="133"/>
      <w:bookmarkEnd w:id="134"/>
      <w:r>
        <w:t xml:space="preserve"> </w:t>
      </w:r>
    </w:p>
    <w:p w14:paraId="32868A78" w14:textId="452EBF9D" w:rsidR="0069399F" w:rsidRPr="0069399F" w:rsidRDefault="0069399F" w:rsidP="002A27DC">
      <w:pPr>
        <w:pStyle w:val="Geenafstand"/>
        <w:spacing w:line="360" w:lineRule="auto"/>
        <w:jc w:val="both"/>
      </w:pPr>
      <w:r w:rsidRPr="0069399F">
        <w:tab/>
        <w:t xml:space="preserve">The speeches analysed in this thesis </w:t>
      </w:r>
      <w:r w:rsidR="00790B5E">
        <w:t>are</w:t>
      </w:r>
      <w:r w:rsidRPr="0069399F">
        <w:t xml:space="preserve"> between </w:t>
      </w:r>
      <w:r w:rsidR="008B437F">
        <w:t xml:space="preserve">23 </w:t>
      </w:r>
      <w:r w:rsidRPr="0069399F">
        <w:t xml:space="preserve">July 2019 and </w:t>
      </w:r>
      <w:r w:rsidR="008B437F">
        <w:t xml:space="preserve">17 </w:t>
      </w:r>
      <w:r w:rsidRPr="0069399F">
        <w:t>February</w:t>
      </w:r>
      <w:r w:rsidR="000D49B1">
        <w:t xml:space="preserve"> </w:t>
      </w:r>
      <w:r w:rsidRPr="0069399F">
        <w:t xml:space="preserve">2021. </w:t>
      </w:r>
      <w:r w:rsidR="00780840">
        <w:t xml:space="preserve">This </w:t>
      </w:r>
      <w:r w:rsidRPr="0069399F">
        <w:t>period can be split up in</w:t>
      </w:r>
      <w:r w:rsidR="00F7639A">
        <w:t>to</w:t>
      </w:r>
      <w:r w:rsidRPr="0069399F">
        <w:t xml:space="preserve"> two parts. First, the 52</w:t>
      </w:r>
      <w:r w:rsidRPr="0069399F">
        <w:rPr>
          <w:vertAlign w:val="superscript"/>
        </w:rPr>
        <w:t>nd</w:t>
      </w:r>
      <w:r w:rsidRPr="0069399F">
        <w:t xml:space="preserve"> government period, ranging from 23 July 2019 until 16 October 2020. Second, the 53</w:t>
      </w:r>
      <w:r w:rsidRPr="0069399F">
        <w:rPr>
          <w:vertAlign w:val="superscript"/>
        </w:rPr>
        <w:t>rd</w:t>
      </w:r>
      <w:r w:rsidRPr="0069399F">
        <w:t xml:space="preserve"> government period, ranging from </w:t>
      </w:r>
      <w:r w:rsidR="008B437F">
        <w:t xml:space="preserve">17 </w:t>
      </w:r>
      <w:r w:rsidRPr="0069399F">
        <w:t>October</w:t>
      </w:r>
      <w:r w:rsidR="0016260D">
        <w:t xml:space="preserve"> </w:t>
      </w:r>
      <w:r w:rsidRPr="0069399F">
        <w:t xml:space="preserve">2020 until </w:t>
      </w:r>
      <w:r w:rsidR="008B437F">
        <w:t xml:space="preserve">17 </w:t>
      </w:r>
      <w:r w:rsidRPr="0069399F">
        <w:t>February</w:t>
      </w:r>
      <w:r w:rsidR="008B437F">
        <w:t xml:space="preserve"> </w:t>
      </w:r>
      <w:r w:rsidRPr="0069399F">
        <w:t xml:space="preserve">2021. Both government periods were under Labour leadership (New Zealand Parliament, 2020a). The starting date, </w:t>
      </w:r>
      <w:r w:rsidR="002B0CCE">
        <w:t xml:space="preserve">23 </w:t>
      </w:r>
      <w:r w:rsidRPr="0069399F">
        <w:t>July</w:t>
      </w:r>
      <w:r w:rsidR="0016260D">
        <w:t xml:space="preserve"> </w:t>
      </w:r>
      <w:r w:rsidRPr="0069399F">
        <w:t xml:space="preserve">2019, is linked to the Māori protest </w:t>
      </w:r>
      <w:r w:rsidR="00A86FF1">
        <w:t>of</w:t>
      </w:r>
      <w:r w:rsidRPr="0069399F">
        <w:t xml:space="preserve"> the stolen children. During the coding </w:t>
      </w:r>
      <w:r w:rsidR="004B17C7">
        <w:t xml:space="preserve">process </w:t>
      </w:r>
      <w:r w:rsidRPr="0069399F">
        <w:t xml:space="preserve">no speeches were linked to this. This can be </w:t>
      </w:r>
      <w:r w:rsidR="00E908AD">
        <w:t xml:space="preserve">a </w:t>
      </w:r>
      <w:r w:rsidRPr="0069399F">
        <w:t xml:space="preserve">coincidence since the speeches are selected randomly. Thus, there might be speeches where the MPs talked about the protest, </w:t>
      </w:r>
      <w:r w:rsidR="005D0063">
        <w:t>which were</w:t>
      </w:r>
      <w:r w:rsidRPr="0069399F">
        <w:t xml:space="preserve"> just not selected in this thesis to analyse. Meanwhile, the end date of</w:t>
      </w:r>
      <w:r w:rsidR="0016260D">
        <w:t xml:space="preserve"> </w:t>
      </w:r>
      <w:r w:rsidR="002B0CCE">
        <w:t xml:space="preserve">17 </w:t>
      </w:r>
      <w:r w:rsidRPr="0069399F">
        <w:t>February 2021 is linked to the disagreement around the clothing of MPs. Rawiri Waititi was wearing a hei-tiki instead of the, at that time mandatory, tie. In the coded speeches one speech covers this incident</w:t>
      </w:r>
      <w:r>
        <w:rPr>
          <w:rStyle w:val="Voetnootmarkering"/>
          <w:color w:val="000000"/>
        </w:rPr>
        <w:footnoteReference w:id="24"/>
      </w:r>
      <w:r w:rsidR="001C7C31">
        <w:t>.</w:t>
      </w:r>
    </w:p>
    <w:p w14:paraId="4AA38C63" w14:textId="10FEC4EE" w:rsidR="001778BF" w:rsidRPr="00AF1FF6" w:rsidRDefault="0069399F" w:rsidP="0069399F">
      <w:pPr>
        <w:spacing w:line="360" w:lineRule="auto"/>
        <w:jc w:val="both"/>
        <w:rPr>
          <w:color w:val="000000"/>
          <w:lang w:val="en-GB"/>
        </w:rPr>
      </w:pPr>
      <w:r w:rsidRPr="0069399F">
        <w:rPr>
          <w:color w:val="000000"/>
          <w:lang w:val="en-GB"/>
        </w:rPr>
        <w:tab/>
        <w:t>Figure 4.4 shows the number of speeches that were coded over time. A clear difference is visible between the 52</w:t>
      </w:r>
      <w:r w:rsidRPr="0069399F">
        <w:rPr>
          <w:color w:val="000000"/>
          <w:vertAlign w:val="superscript"/>
          <w:lang w:val="en-GB"/>
        </w:rPr>
        <w:t>nd</w:t>
      </w:r>
      <w:r w:rsidRPr="0069399F">
        <w:rPr>
          <w:color w:val="000000"/>
          <w:lang w:val="en-GB"/>
        </w:rPr>
        <w:t xml:space="preserve"> and the 53</w:t>
      </w:r>
      <w:r w:rsidRPr="0069399F">
        <w:rPr>
          <w:color w:val="000000"/>
          <w:vertAlign w:val="superscript"/>
          <w:lang w:val="en-GB"/>
        </w:rPr>
        <w:t>rd</w:t>
      </w:r>
      <w:r w:rsidRPr="0069399F">
        <w:rPr>
          <w:color w:val="000000"/>
          <w:lang w:val="en-GB"/>
        </w:rPr>
        <w:t xml:space="preserve"> government period. During the transition from 2020 to 2021 many speeches were coded in comparison with the other months. This is due to the installation of the new Parliament. 50 out of the 127 speeches are titled ‘Address in Reply Debate’. From the</w:t>
      </w:r>
      <w:r w:rsidR="00AD67AC">
        <w:rPr>
          <w:color w:val="000000"/>
          <w:lang w:val="en-GB"/>
        </w:rPr>
        <w:t>se 50</w:t>
      </w:r>
      <w:r w:rsidRPr="0069399F">
        <w:rPr>
          <w:color w:val="000000"/>
          <w:lang w:val="en-GB"/>
        </w:rPr>
        <w:t xml:space="preserve"> speeches, 47 were in the period December until February. The Address in Reply Debate is a special debate that opens the period of a new Parliament (New Zealand Parliament, 2020b). During this </w:t>
      </w:r>
      <w:r w:rsidRPr="0069399F">
        <w:rPr>
          <w:color w:val="000000"/>
          <w:lang w:val="en-GB"/>
        </w:rPr>
        <w:lastRenderedPageBreak/>
        <w:t xml:space="preserve">debate, most MPs are holding their maiden speech. </w:t>
      </w:r>
      <w:r w:rsidR="00CA39D7">
        <w:rPr>
          <w:color w:val="000000"/>
          <w:lang w:val="en-GB"/>
        </w:rPr>
        <w:t>Maiden speeches are deeply personal</w:t>
      </w:r>
      <w:r w:rsidR="00903C0C">
        <w:rPr>
          <w:color w:val="000000"/>
          <w:lang w:val="en-GB"/>
        </w:rPr>
        <w:t xml:space="preserve">; </w:t>
      </w:r>
      <w:r w:rsidR="00CA39D7">
        <w:rPr>
          <w:color w:val="000000"/>
          <w:lang w:val="en-GB"/>
        </w:rPr>
        <w:t>MPs talk</w:t>
      </w:r>
      <w:r w:rsidR="008C4A75">
        <w:rPr>
          <w:color w:val="000000"/>
          <w:lang w:val="en-GB"/>
        </w:rPr>
        <w:t xml:space="preserve"> </w:t>
      </w:r>
      <w:r w:rsidR="00FB6375">
        <w:rPr>
          <w:color w:val="000000"/>
          <w:lang w:val="en-GB"/>
        </w:rPr>
        <w:t xml:space="preserve">about their upbringing, </w:t>
      </w:r>
      <w:r w:rsidR="003430A4">
        <w:rPr>
          <w:color w:val="000000"/>
          <w:lang w:val="en-GB"/>
        </w:rPr>
        <w:t>values,</w:t>
      </w:r>
      <w:r w:rsidR="00FB6375">
        <w:rPr>
          <w:color w:val="000000"/>
          <w:lang w:val="en-GB"/>
        </w:rPr>
        <w:t xml:space="preserve"> and the community they represent</w:t>
      </w:r>
      <w:r w:rsidR="00CA39D7" w:rsidRPr="0069399F">
        <w:rPr>
          <w:color w:val="000000"/>
          <w:lang w:val="en-GB"/>
        </w:rPr>
        <w:t>.</w:t>
      </w:r>
      <w:r w:rsidR="006A4F27">
        <w:rPr>
          <w:rStyle w:val="Voetnootmarkering"/>
          <w:color w:val="000000"/>
          <w:lang w:val="en-GB"/>
        </w:rPr>
        <w:footnoteReference w:id="25"/>
      </w:r>
      <w:r w:rsidR="00CA39D7" w:rsidRPr="0069399F">
        <w:rPr>
          <w:color w:val="000000"/>
          <w:lang w:val="en-GB"/>
        </w:rPr>
        <w:t xml:space="preserve"> </w:t>
      </w:r>
      <w:r w:rsidRPr="0069399F">
        <w:rPr>
          <w:color w:val="000000"/>
          <w:lang w:val="en-GB"/>
        </w:rPr>
        <w:t>This explains the relatively high number of speeches in December 2020 and January 2021</w:t>
      </w:r>
      <w:r w:rsidR="00C02997">
        <w:rPr>
          <w:color w:val="000000"/>
          <w:lang w:val="en-GB"/>
        </w:rPr>
        <w:t xml:space="preserve"> that addresses the </w:t>
      </w:r>
      <w:r w:rsidR="00C02997" w:rsidRPr="00C02997">
        <w:rPr>
          <w:color w:val="000000"/>
          <w:lang w:val="en-GB"/>
        </w:rPr>
        <w:t xml:space="preserve">Māori </w:t>
      </w:r>
      <w:r w:rsidR="00C02997">
        <w:rPr>
          <w:color w:val="000000"/>
          <w:lang w:val="en-GB"/>
        </w:rPr>
        <w:t>populati</w:t>
      </w:r>
      <w:r w:rsidR="001277F2">
        <w:rPr>
          <w:color w:val="000000"/>
          <w:lang w:val="en-GB"/>
        </w:rPr>
        <w:t>on</w:t>
      </w:r>
      <w:r w:rsidR="00CA39D7">
        <w:rPr>
          <w:color w:val="000000"/>
          <w:lang w:val="en-GB"/>
        </w:rPr>
        <w:t xml:space="preserve">. </w:t>
      </w:r>
      <w:r w:rsidR="00AA2A4F" w:rsidRPr="0069399F">
        <w:rPr>
          <w:color w:val="000000"/>
          <w:lang w:val="en-GB"/>
        </w:rPr>
        <w:t>In the following sections all different aspects of the claims will be analysed</w:t>
      </w:r>
      <w:r w:rsidR="004F00DE">
        <w:rPr>
          <w:color w:val="000000"/>
          <w:lang w:val="en-GB"/>
        </w:rPr>
        <w:t xml:space="preserve">: </w:t>
      </w:r>
      <w:r w:rsidR="00AA2A4F" w:rsidRPr="0069399F">
        <w:rPr>
          <w:color w:val="000000"/>
          <w:lang w:val="en-GB"/>
        </w:rPr>
        <w:t xml:space="preserve">claimant, issue, object, addressee, evaluation, unification, and justification. </w:t>
      </w:r>
      <w:r w:rsidR="00AA2A4F">
        <w:rPr>
          <w:color w:val="000000"/>
          <w:lang w:val="en-GB"/>
        </w:rPr>
        <w:t>Starting the</w:t>
      </w:r>
      <w:r w:rsidRPr="0069399F">
        <w:rPr>
          <w:color w:val="000000"/>
          <w:lang w:val="en-GB"/>
        </w:rPr>
        <w:t xml:space="preserve"> next section</w:t>
      </w:r>
      <w:r w:rsidR="00AA2A4F">
        <w:rPr>
          <w:color w:val="000000"/>
          <w:lang w:val="en-GB"/>
        </w:rPr>
        <w:t xml:space="preserve"> with</w:t>
      </w:r>
      <w:r w:rsidRPr="0069399F">
        <w:rPr>
          <w:color w:val="000000"/>
          <w:lang w:val="en-GB"/>
        </w:rPr>
        <w:t xml:space="preserve"> the results of the analysis of the claimant</w:t>
      </w:r>
      <w:r w:rsidR="00AA2A4F">
        <w:rPr>
          <w:color w:val="000000"/>
          <w:lang w:val="en-GB"/>
        </w:rPr>
        <w:t xml:space="preserve">. </w:t>
      </w:r>
      <w:r w:rsidRPr="0069399F">
        <w:rPr>
          <w:color w:val="000000"/>
          <w:lang w:val="en-GB"/>
        </w:rPr>
        <w:t xml:space="preserve"> </w:t>
      </w:r>
    </w:p>
    <w:p w14:paraId="7ABE99AC" w14:textId="77777777" w:rsidR="0069399F" w:rsidRDefault="0069399F" w:rsidP="0069399F">
      <w:pPr>
        <w:jc w:val="center"/>
      </w:pPr>
      <w:r>
        <w:rPr>
          <w:noProof/>
        </w:rPr>
        <w:drawing>
          <wp:inline distT="0" distB="0" distL="0" distR="0" wp14:anchorId="21ADE7C0" wp14:editId="27A08426">
            <wp:extent cx="4248150" cy="3454400"/>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248818" cy="3454943"/>
                    </a:xfrm>
                    <a:prstGeom prst="rect">
                      <a:avLst/>
                    </a:prstGeom>
                    <a:ln/>
                  </pic:spPr>
                </pic:pic>
              </a:graphicData>
            </a:graphic>
          </wp:inline>
        </w:drawing>
      </w:r>
    </w:p>
    <w:p w14:paraId="7D1A461B" w14:textId="77777777" w:rsidR="0069399F" w:rsidRPr="00642F5D" w:rsidRDefault="0069399F" w:rsidP="00642F5D">
      <w:pPr>
        <w:pStyle w:val="Kop3"/>
        <w:jc w:val="center"/>
        <w:rPr>
          <w:sz w:val="20"/>
          <w:szCs w:val="20"/>
        </w:rPr>
      </w:pPr>
      <w:bookmarkStart w:id="135" w:name="_Toc72853010"/>
      <w:bookmarkStart w:id="136" w:name="_Toc74583609"/>
      <w:bookmarkStart w:id="137" w:name="_Toc74583817"/>
      <w:bookmarkStart w:id="138" w:name="_Toc75384086"/>
      <w:r w:rsidRPr="00642F5D">
        <w:rPr>
          <w:sz w:val="20"/>
          <w:szCs w:val="20"/>
        </w:rPr>
        <w:t>Figure 4.4. Number of claims over time.</w:t>
      </w:r>
      <w:bookmarkEnd w:id="135"/>
      <w:bookmarkEnd w:id="136"/>
      <w:bookmarkEnd w:id="137"/>
      <w:bookmarkEnd w:id="138"/>
    </w:p>
    <w:p w14:paraId="740065ED" w14:textId="77777777" w:rsidR="0069399F" w:rsidRPr="0069399F" w:rsidRDefault="0069399F" w:rsidP="0069399F">
      <w:pPr>
        <w:rPr>
          <w:lang w:val="en-GB"/>
        </w:rPr>
      </w:pPr>
    </w:p>
    <w:p w14:paraId="4E53397F" w14:textId="54F62219" w:rsidR="0069399F" w:rsidRDefault="0069399F" w:rsidP="0069399F">
      <w:pPr>
        <w:pStyle w:val="Kop3"/>
      </w:pPr>
      <w:bookmarkStart w:id="139" w:name="_Toc72853011"/>
      <w:bookmarkStart w:id="140" w:name="_Toc74583818"/>
      <w:bookmarkStart w:id="141" w:name="_Toc75384087"/>
      <w:r>
        <w:t>4.2.</w:t>
      </w:r>
      <w:r w:rsidR="002A1062">
        <w:t>3</w:t>
      </w:r>
      <w:r>
        <w:t xml:space="preserve"> Analysing the claimant</w:t>
      </w:r>
      <w:bookmarkEnd w:id="139"/>
      <w:bookmarkEnd w:id="140"/>
      <w:bookmarkEnd w:id="141"/>
    </w:p>
    <w:p w14:paraId="3E613772" w14:textId="08270695" w:rsidR="00E97E6B" w:rsidRDefault="0069399F" w:rsidP="002359B2">
      <w:pPr>
        <w:pStyle w:val="Geenafstand"/>
        <w:spacing w:line="360" w:lineRule="auto"/>
        <w:ind w:firstLine="708"/>
        <w:jc w:val="both"/>
      </w:pPr>
      <w:r w:rsidRPr="0069399F">
        <w:t>As we have seen in table 4.3, Māori MPs are more likely to make claims on behalf of Māori people than non-Māori MPs. Interesting differences can be seen between the two government periods. In the 52</w:t>
      </w:r>
      <w:r w:rsidRPr="0069399F">
        <w:rPr>
          <w:vertAlign w:val="superscript"/>
        </w:rPr>
        <w:t>nd</w:t>
      </w:r>
      <w:r w:rsidRPr="0069399F">
        <w:t xml:space="preserve"> government period </w:t>
      </w:r>
      <w:r w:rsidR="00715A6B">
        <w:t>27</w:t>
      </w:r>
      <w:r w:rsidRPr="0069399F">
        <w:t xml:space="preserve"> Māori MPs were in Parliament</w:t>
      </w:r>
      <w:r w:rsidR="00715A6B">
        <w:t xml:space="preserve">, while </w:t>
      </w:r>
      <w:r w:rsidR="00DC4580">
        <w:t>there</w:t>
      </w:r>
      <w:r w:rsidR="00715A6B">
        <w:t xml:space="preserve"> were only 23 </w:t>
      </w:r>
      <w:r w:rsidRPr="0069399F">
        <w:t>in the 53</w:t>
      </w:r>
      <w:r w:rsidRPr="0069399F">
        <w:rPr>
          <w:vertAlign w:val="superscript"/>
        </w:rPr>
        <w:t>rd</w:t>
      </w:r>
      <w:r w:rsidRPr="0069399F">
        <w:t xml:space="preserve"> government period. Therefore, it is remarkable that in the 53</w:t>
      </w:r>
      <w:r w:rsidRPr="0069399F">
        <w:rPr>
          <w:vertAlign w:val="superscript"/>
        </w:rPr>
        <w:t>rd</w:t>
      </w:r>
      <w:r w:rsidRPr="0069399F">
        <w:t xml:space="preserve"> government period more claims were made by Māori MPs, namely 48,8%, than in the 52</w:t>
      </w:r>
      <w:r w:rsidRPr="0069399F">
        <w:rPr>
          <w:vertAlign w:val="superscript"/>
        </w:rPr>
        <w:t>nd</w:t>
      </w:r>
      <w:r w:rsidRPr="0069399F">
        <w:t xml:space="preserve"> government period, namely 44,7%. It is not a big difference, but it goes against the expectation of the hypothesis. According to the hypothesis, more Māori MPs would lead to an increase in Māori claims. The increase in claims while having a decrease in Māori MPs could be due to the fact that the Māori Party returned to Parliament in the 53</w:t>
      </w:r>
      <w:r w:rsidRPr="0069399F">
        <w:rPr>
          <w:vertAlign w:val="superscript"/>
        </w:rPr>
        <w:t xml:space="preserve">rd </w:t>
      </w:r>
      <w:r w:rsidRPr="0069399F">
        <w:t xml:space="preserve">government period. </w:t>
      </w:r>
    </w:p>
    <w:p w14:paraId="54B3A440" w14:textId="201BA435" w:rsidR="00282A4B" w:rsidRDefault="009A1E68" w:rsidP="00A32440">
      <w:pPr>
        <w:pStyle w:val="Geenafstand"/>
        <w:spacing w:line="360" w:lineRule="auto"/>
        <w:ind w:firstLine="708"/>
        <w:jc w:val="both"/>
      </w:pPr>
      <w:r>
        <w:lastRenderedPageBreak/>
        <w:t>F</w:t>
      </w:r>
      <w:r w:rsidR="0069399F" w:rsidRPr="0069399F">
        <w:t xml:space="preserve">igure 4.5 </w:t>
      </w:r>
      <w:r>
        <w:t xml:space="preserve">presents </w:t>
      </w:r>
      <w:r w:rsidR="0069399F" w:rsidRPr="0069399F">
        <w:t>the number of claims per party</w:t>
      </w:r>
      <w:r w:rsidR="00D902A2">
        <w:t xml:space="preserve"> in the previous government period</w:t>
      </w:r>
      <w:r>
        <w:t>.</w:t>
      </w:r>
      <w:r w:rsidR="0069399F" w:rsidRPr="0069399F">
        <w:t xml:space="preserve"> </w:t>
      </w:r>
      <w:r w:rsidR="008A7991">
        <w:t>T</w:t>
      </w:r>
      <w:r w:rsidR="00282A4B" w:rsidRPr="0069399F">
        <w:t xml:space="preserve">he Labour Party made the most claims </w:t>
      </w:r>
      <w:r w:rsidR="00957FCD">
        <w:t>followed by the National Party.</w:t>
      </w:r>
      <w:r w:rsidR="008165AA">
        <w:t xml:space="preserve"> Although the National Party was the biggest party in Parliament with 56 seats, they made </w:t>
      </w:r>
      <w:r w:rsidR="00AC02D4">
        <w:t>fewer</w:t>
      </w:r>
      <w:r w:rsidR="008165AA">
        <w:t xml:space="preserve"> claims than the Labour Party with 46 seats</w:t>
      </w:r>
      <w:r w:rsidR="009152B9">
        <w:t xml:space="preserve"> (Electoral Commission, 2017).</w:t>
      </w:r>
      <w:r w:rsidR="008165AA">
        <w:t xml:space="preserve"> </w:t>
      </w:r>
      <w:r w:rsidR="00A23943">
        <w:t>However, the Labour Party was in lead of the government</w:t>
      </w:r>
      <w:r w:rsidR="0055582D">
        <w:t xml:space="preserve"> </w:t>
      </w:r>
      <w:r w:rsidR="0055582D" w:rsidRPr="0069399F">
        <w:t>(New Zealand Parliament, 2020a).</w:t>
      </w:r>
    </w:p>
    <w:p w14:paraId="0DA7020B" w14:textId="77777777" w:rsidR="00134826" w:rsidRDefault="00134826" w:rsidP="00752417">
      <w:pPr>
        <w:spacing w:after="0" w:line="240" w:lineRule="auto"/>
        <w:jc w:val="center"/>
        <w:rPr>
          <w:rFonts w:ascii="Times New Roman" w:eastAsia="Times New Roman" w:hAnsi="Times New Roman" w:cs="Times New Roman"/>
          <w:sz w:val="24"/>
          <w:szCs w:val="24"/>
        </w:rPr>
      </w:pPr>
    </w:p>
    <w:p w14:paraId="46CC01D8" w14:textId="26D67DDB" w:rsidR="00752417" w:rsidRDefault="00752417" w:rsidP="00752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62AB31" wp14:editId="5D4E53A3">
            <wp:extent cx="4324350" cy="2190750"/>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5"/>
                    <a:srcRect t="5480"/>
                    <a:stretch/>
                  </pic:blipFill>
                  <pic:spPr bwMode="auto">
                    <a:xfrm>
                      <a:off x="0" y="0"/>
                      <a:ext cx="4324350" cy="2190750"/>
                    </a:xfrm>
                    <a:prstGeom prst="rect">
                      <a:avLst/>
                    </a:prstGeom>
                    <a:ln>
                      <a:noFill/>
                    </a:ln>
                    <a:extLst>
                      <a:ext uri="{53640926-AAD7-44D8-BBD7-CCE9431645EC}">
                        <a14:shadowObscured xmlns:a14="http://schemas.microsoft.com/office/drawing/2010/main"/>
                      </a:ext>
                    </a:extLst>
                  </pic:spPr>
                </pic:pic>
              </a:graphicData>
            </a:graphic>
          </wp:inline>
        </w:drawing>
      </w:r>
    </w:p>
    <w:p w14:paraId="1B6F874C" w14:textId="061416B8" w:rsidR="00752417" w:rsidRDefault="00752417" w:rsidP="00752417">
      <w:pPr>
        <w:pStyle w:val="Kop3"/>
        <w:jc w:val="center"/>
        <w:rPr>
          <w:sz w:val="20"/>
          <w:szCs w:val="20"/>
        </w:rPr>
      </w:pPr>
      <w:bookmarkStart w:id="142" w:name="_Toc74503480"/>
      <w:bookmarkStart w:id="143" w:name="_Toc74583612"/>
      <w:bookmarkStart w:id="144" w:name="_Toc74583820"/>
      <w:bookmarkStart w:id="145" w:name="_Toc75384088"/>
      <w:r w:rsidRPr="008C43A8">
        <w:rPr>
          <w:sz w:val="20"/>
          <w:szCs w:val="20"/>
        </w:rPr>
        <w:t>Figure 4.5. Claims made per party</w:t>
      </w:r>
      <w:r w:rsidR="00A8254B">
        <w:rPr>
          <w:sz w:val="20"/>
          <w:szCs w:val="20"/>
        </w:rPr>
        <w:t xml:space="preserve"> in the </w:t>
      </w:r>
      <w:r w:rsidRPr="008C43A8">
        <w:rPr>
          <w:sz w:val="20"/>
          <w:szCs w:val="20"/>
        </w:rPr>
        <w:t>52</w:t>
      </w:r>
      <w:r w:rsidRPr="008C43A8">
        <w:rPr>
          <w:sz w:val="20"/>
          <w:szCs w:val="20"/>
          <w:vertAlign w:val="superscript"/>
        </w:rPr>
        <w:t>nd</w:t>
      </w:r>
      <w:r w:rsidRPr="008C43A8">
        <w:rPr>
          <w:sz w:val="20"/>
          <w:szCs w:val="20"/>
        </w:rPr>
        <w:t xml:space="preserve"> government period.</w:t>
      </w:r>
      <w:bookmarkEnd w:id="142"/>
      <w:bookmarkEnd w:id="143"/>
      <w:bookmarkEnd w:id="144"/>
      <w:bookmarkEnd w:id="145"/>
    </w:p>
    <w:p w14:paraId="3007EFDE" w14:textId="77777777" w:rsidR="00F7638F" w:rsidRPr="00F7638F" w:rsidRDefault="00F7638F" w:rsidP="00F7638F">
      <w:pPr>
        <w:rPr>
          <w:lang w:val="en-GB" w:eastAsia="en-GB"/>
        </w:rPr>
      </w:pPr>
    </w:p>
    <w:p w14:paraId="707DC059" w14:textId="7BA0DAF0" w:rsidR="0094159A" w:rsidRDefault="0094159A" w:rsidP="00A32440">
      <w:pPr>
        <w:pStyle w:val="Geenafstand"/>
        <w:spacing w:line="360" w:lineRule="auto"/>
        <w:ind w:firstLine="708"/>
        <w:jc w:val="both"/>
      </w:pPr>
      <w:r>
        <w:t xml:space="preserve">Figure 4.6 presents the number of claims per party for the current government period. Again, the Labour Party made the most claims. </w:t>
      </w:r>
      <w:r w:rsidRPr="0069399F">
        <w:t>This is not surprising since the Labour Party is the biggest party in Parliament</w:t>
      </w:r>
      <w:r>
        <w:t>.</w:t>
      </w:r>
      <w:r>
        <w:rPr>
          <w:rStyle w:val="Voetnootmarkering"/>
          <w:color w:val="000000"/>
        </w:rPr>
        <w:footnoteReference w:id="26"/>
      </w:r>
      <w:r>
        <w:t xml:space="preserve"> Also</w:t>
      </w:r>
      <w:r w:rsidRPr="0069399F">
        <w:t>, the Labour Party has clear policy standpoints about Māori people</w:t>
      </w:r>
      <w:r w:rsidR="00197EEB" w:rsidRPr="004C09D4">
        <w:rPr>
          <w:vertAlign w:val="superscript"/>
        </w:rPr>
        <w:t>19</w:t>
      </w:r>
      <w:r w:rsidRPr="0069399F">
        <w:t xml:space="preserve"> and is aiming to include Māori in society while simultaneously acknowledging the fundamental differences that arose between Māori people and the state (Humpage, 2006). Thereby they acknowledge the special status that </w:t>
      </w:r>
      <w:r w:rsidR="000C475D">
        <w:t xml:space="preserve">the </w:t>
      </w:r>
      <w:r w:rsidRPr="0069399F">
        <w:t>Māori have by the virtue of being first-nation people. The difference in the number of claims between the Labour Party and the other parties is far greater in the 53</w:t>
      </w:r>
      <w:r w:rsidRPr="0069399F">
        <w:rPr>
          <w:vertAlign w:val="superscript"/>
        </w:rPr>
        <w:t xml:space="preserve">rd </w:t>
      </w:r>
      <w:r w:rsidRPr="0069399F">
        <w:t>government period than in the 52</w:t>
      </w:r>
      <w:r w:rsidRPr="0069399F">
        <w:rPr>
          <w:vertAlign w:val="superscript"/>
        </w:rPr>
        <w:t>nd</w:t>
      </w:r>
      <w:r w:rsidRPr="0069399F">
        <w:t>. This can be partly explained by the increase of seats of the Labour Party from 46 in the 52</w:t>
      </w:r>
      <w:r w:rsidRPr="0069399F">
        <w:rPr>
          <w:vertAlign w:val="superscript"/>
        </w:rPr>
        <w:t>nd</w:t>
      </w:r>
      <w:r w:rsidRPr="0069399F">
        <w:t xml:space="preserve"> government period</w:t>
      </w:r>
      <w:r>
        <w:rPr>
          <w:rStyle w:val="Voetnootmarkering"/>
          <w:color w:val="000000"/>
        </w:rPr>
        <w:footnoteReference w:id="27"/>
      </w:r>
      <w:r w:rsidRPr="0069399F">
        <w:t xml:space="preserve"> to 65 in the 53</w:t>
      </w:r>
      <w:r w:rsidRPr="0069399F">
        <w:rPr>
          <w:vertAlign w:val="superscript"/>
        </w:rPr>
        <w:t>rd</w:t>
      </w:r>
      <w:r w:rsidRPr="0069399F">
        <w:t xml:space="preserve"> government period (Electoral Commission, 2020). </w:t>
      </w:r>
    </w:p>
    <w:p w14:paraId="20A6418F" w14:textId="0BAEFF31" w:rsidR="00752417" w:rsidRPr="00752417" w:rsidRDefault="00752417" w:rsidP="00801B14">
      <w:pPr>
        <w:pStyle w:val="Geenafstand"/>
        <w:spacing w:line="360" w:lineRule="auto"/>
        <w:ind w:firstLine="708"/>
        <w:jc w:val="both"/>
        <w:rPr>
          <w:lang w:eastAsia="en-US"/>
        </w:rPr>
      </w:pPr>
      <w:r w:rsidRPr="0069399F">
        <w:t>Out of figure 4.6 becomes</w:t>
      </w:r>
      <w:r w:rsidR="00FC21B7">
        <w:t xml:space="preserve"> also</w:t>
      </w:r>
      <w:r w:rsidRPr="0069399F">
        <w:t xml:space="preserve"> clear that the Māori Party made 20 out of the 127 claims in total</w:t>
      </w:r>
      <w:r w:rsidR="00CB4FD8">
        <w:t xml:space="preserve"> in the 53</w:t>
      </w:r>
      <w:r w:rsidR="00CB4FD8" w:rsidRPr="00CB4FD8">
        <w:rPr>
          <w:vertAlign w:val="superscript"/>
        </w:rPr>
        <w:t>rd</w:t>
      </w:r>
      <w:r w:rsidR="00CB4FD8">
        <w:t xml:space="preserve"> government period</w:t>
      </w:r>
      <w:r w:rsidRPr="0069399F">
        <w:t>. This is a share of 15,7%. Thereby they made the second most claims of the five parties</w:t>
      </w:r>
      <w:r w:rsidR="00011ECC">
        <w:t xml:space="preserve">. </w:t>
      </w:r>
      <w:r w:rsidRPr="0069399F">
        <w:t xml:space="preserve">However, </w:t>
      </w:r>
      <w:r w:rsidR="009D29B9" w:rsidRPr="009D29B9">
        <w:t>the differences with the three following parties were not significant</w:t>
      </w:r>
      <w:r w:rsidRPr="0069399F">
        <w:t xml:space="preserve"> (National Party, Green Party, ACT). </w:t>
      </w:r>
    </w:p>
    <w:p w14:paraId="252DC159" w14:textId="77777777" w:rsidR="00752417" w:rsidRDefault="00752417" w:rsidP="00752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0EB7014" wp14:editId="03377D45">
            <wp:extent cx="4311650" cy="244475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6"/>
                    <a:srcRect t="6098"/>
                    <a:stretch/>
                  </pic:blipFill>
                  <pic:spPr bwMode="auto">
                    <a:xfrm>
                      <a:off x="0" y="0"/>
                      <a:ext cx="4312203" cy="2445064"/>
                    </a:xfrm>
                    <a:prstGeom prst="rect">
                      <a:avLst/>
                    </a:prstGeom>
                    <a:ln>
                      <a:noFill/>
                    </a:ln>
                    <a:extLst>
                      <a:ext uri="{53640926-AAD7-44D8-BBD7-CCE9431645EC}">
                        <a14:shadowObscured xmlns:a14="http://schemas.microsoft.com/office/drawing/2010/main"/>
                      </a:ext>
                    </a:extLst>
                  </pic:spPr>
                </pic:pic>
              </a:graphicData>
            </a:graphic>
          </wp:inline>
        </w:drawing>
      </w:r>
    </w:p>
    <w:p w14:paraId="675F4839" w14:textId="0791D2A6" w:rsidR="00752417" w:rsidRPr="008C43A8" w:rsidRDefault="00752417" w:rsidP="00752417">
      <w:pPr>
        <w:pStyle w:val="Kop3"/>
        <w:jc w:val="center"/>
        <w:rPr>
          <w:sz w:val="20"/>
          <w:szCs w:val="20"/>
        </w:rPr>
      </w:pPr>
      <w:bookmarkStart w:id="146" w:name="_Toc74503481"/>
      <w:bookmarkStart w:id="147" w:name="_Toc74583613"/>
      <w:bookmarkStart w:id="148" w:name="_Toc74583821"/>
      <w:bookmarkStart w:id="149" w:name="_Toc75384089"/>
      <w:r w:rsidRPr="008C43A8">
        <w:rPr>
          <w:sz w:val="20"/>
          <w:szCs w:val="20"/>
        </w:rPr>
        <w:t>Figure 4.6. Claims made per party</w:t>
      </w:r>
      <w:r w:rsidR="00B70F36">
        <w:rPr>
          <w:sz w:val="20"/>
          <w:szCs w:val="20"/>
        </w:rPr>
        <w:t xml:space="preserve"> in the</w:t>
      </w:r>
      <w:r w:rsidRPr="008C43A8">
        <w:rPr>
          <w:sz w:val="20"/>
          <w:szCs w:val="20"/>
        </w:rPr>
        <w:t xml:space="preserve"> 53</w:t>
      </w:r>
      <w:r w:rsidRPr="008C43A8">
        <w:rPr>
          <w:sz w:val="20"/>
          <w:szCs w:val="20"/>
          <w:vertAlign w:val="superscript"/>
        </w:rPr>
        <w:t>rd</w:t>
      </w:r>
      <w:r w:rsidRPr="008C43A8">
        <w:rPr>
          <w:sz w:val="20"/>
          <w:szCs w:val="20"/>
        </w:rPr>
        <w:t xml:space="preserve"> government period.</w:t>
      </w:r>
      <w:bookmarkEnd w:id="146"/>
      <w:bookmarkEnd w:id="147"/>
      <w:bookmarkEnd w:id="148"/>
      <w:bookmarkEnd w:id="149"/>
    </w:p>
    <w:p w14:paraId="2893BD25" w14:textId="2B062402" w:rsidR="00752417" w:rsidRDefault="00752417" w:rsidP="00752417">
      <w:pPr>
        <w:spacing w:line="360" w:lineRule="auto"/>
        <w:ind w:firstLine="708"/>
        <w:jc w:val="both"/>
        <w:rPr>
          <w:color w:val="000000"/>
          <w:lang w:val="en-GB"/>
        </w:rPr>
      </w:pPr>
    </w:p>
    <w:p w14:paraId="28604915" w14:textId="5DA16B02" w:rsidR="0069399F" w:rsidRDefault="007363F7" w:rsidP="002F3936">
      <w:pPr>
        <w:pStyle w:val="Geenafstand"/>
        <w:spacing w:line="360" w:lineRule="auto"/>
        <w:ind w:firstLine="708"/>
        <w:jc w:val="both"/>
      </w:pPr>
      <w:r>
        <w:t>W</w:t>
      </w:r>
      <w:r w:rsidRPr="0069399F">
        <w:t xml:space="preserve">hen the mean number of claims from the Māori Party </w:t>
      </w:r>
      <w:r w:rsidR="009D29B9">
        <w:t>is</w:t>
      </w:r>
      <w:r w:rsidRPr="0069399F">
        <w:t xml:space="preserve"> compared with other Māori MPs and non-Māori MPs, a significant difference becomes visible.</w:t>
      </w:r>
      <w:r w:rsidR="00916033">
        <w:t xml:space="preserve"> </w:t>
      </w:r>
      <w:r w:rsidR="009E3B1D">
        <w:t xml:space="preserve">The </w:t>
      </w:r>
      <w:r w:rsidR="009E3B1D" w:rsidRPr="0069399F">
        <w:t xml:space="preserve">Māori </w:t>
      </w:r>
      <w:r w:rsidR="009E3B1D">
        <w:t xml:space="preserve">Party has only two </w:t>
      </w:r>
      <w:r w:rsidR="001F2F69">
        <w:t xml:space="preserve">seats. </w:t>
      </w:r>
      <w:r w:rsidR="00916033">
        <w:t>With</w:t>
      </w:r>
      <w:r w:rsidR="0069399F" w:rsidRPr="0069399F">
        <w:t xml:space="preserve"> two MPs they make 15,7% of the claims. The average number of claims for every MP is 1,1 (127 claims divided through 120 MPs). In table 4.4 the average number of claims for different MP</w:t>
      </w:r>
      <w:r w:rsidR="00845E26">
        <w:t xml:space="preserve"> groups</w:t>
      </w:r>
      <w:r w:rsidR="0069399F" w:rsidRPr="0069399F">
        <w:t xml:space="preserve"> become visible. As we can see</w:t>
      </w:r>
      <w:r w:rsidR="009A6F51" w:rsidRPr="009A6F51">
        <w:t xml:space="preserve"> the average number of claims for Māori MPs is, with a value of 2,5, higher than the overall average of 1,1</w:t>
      </w:r>
      <w:r w:rsidR="0069399F" w:rsidRPr="0069399F">
        <w:t>. But the average number of claims for a</w:t>
      </w:r>
      <w:r w:rsidR="008E2648">
        <w:t>n</w:t>
      </w:r>
      <w:r w:rsidR="0069399F" w:rsidRPr="0069399F">
        <w:t xml:space="preserve"> MP of the Māori Party is 10. This is quite extreme in comparison with the other averages of the number of claims from the other (Māori) MPs. Therefore</w:t>
      </w:r>
      <w:r w:rsidR="00E97E6B">
        <w:t>,</w:t>
      </w:r>
      <w:r w:rsidR="0069399F" w:rsidRPr="0069399F">
        <w:t xml:space="preserve"> it is not surprising that the differences between these MPs are significant (see table 4.4). </w:t>
      </w:r>
      <w:r w:rsidR="0069399F" w:rsidRPr="00272497">
        <w:t xml:space="preserve"> </w:t>
      </w:r>
    </w:p>
    <w:p w14:paraId="149302B9" w14:textId="77777777" w:rsidR="008F41ED" w:rsidRPr="00272497" w:rsidRDefault="008F41ED" w:rsidP="008F41ED">
      <w:pPr>
        <w:pStyle w:val="Geenafstand"/>
        <w:spacing w:line="360" w:lineRule="auto"/>
        <w:jc w:val="both"/>
      </w:pPr>
    </w:p>
    <w:p w14:paraId="1C14B13D" w14:textId="12716CD0" w:rsidR="00791410" w:rsidRPr="008F41ED" w:rsidRDefault="00791410" w:rsidP="008F41ED">
      <w:pPr>
        <w:pStyle w:val="Kop3"/>
        <w:rPr>
          <w:color w:val="2F5496" w:themeColor="accent1" w:themeShade="BF"/>
          <w:sz w:val="20"/>
          <w:szCs w:val="20"/>
        </w:rPr>
      </w:pPr>
      <w:bookmarkStart w:id="150" w:name="_Toc72853012"/>
      <w:bookmarkStart w:id="151" w:name="_Toc74503479"/>
      <w:bookmarkStart w:id="152" w:name="_Toc74583611"/>
      <w:bookmarkStart w:id="153" w:name="_Toc74583819"/>
      <w:bookmarkStart w:id="154" w:name="_Toc75384090"/>
      <w:r w:rsidRPr="008F41ED">
        <w:rPr>
          <w:sz w:val="20"/>
          <w:szCs w:val="20"/>
        </w:rPr>
        <w:t>Table 4.4. Average number of claims made in the 53</w:t>
      </w:r>
      <w:r w:rsidRPr="008F41ED">
        <w:rPr>
          <w:sz w:val="20"/>
          <w:szCs w:val="20"/>
          <w:vertAlign w:val="superscript"/>
        </w:rPr>
        <w:t>rd</w:t>
      </w:r>
      <w:r w:rsidRPr="008F41ED">
        <w:rPr>
          <w:sz w:val="20"/>
          <w:szCs w:val="20"/>
        </w:rPr>
        <w:t xml:space="preserve"> government period.</w:t>
      </w:r>
      <w:bookmarkEnd w:id="150"/>
      <w:bookmarkEnd w:id="151"/>
      <w:bookmarkEnd w:id="152"/>
      <w:bookmarkEnd w:id="153"/>
      <w:bookmarkEnd w:id="154"/>
    </w:p>
    <w:tbl>
      <w:tblPr>
        <w:tblStyle w:val="Onopgemaaktetabel3"/>
        <w:tblW w:w="8945" w:type="dxa"/>
        <w:tblLayout w:type="fixed"/>
        <w:tblLook w:val="0600" w:firstRow="0" w:lastRow="0" w:firstColumn="0" w:lastColumn="0" w:noHBand="1" w:noVBand="1"/>
      </w:tblPr>
      <w:tblGrid>
        <w:gridCol w:w="1789"/>
        <w:gridCol w:w="1789"/>
        <w:gridCol w:w="1789"/>
        <w:gridCol w:w="1789"/>
        <w:gridCol w:w="1789"/>
      </w:tblGrid>
      <w:tr w:rsidR="0069399F" w14:paraId="5F7F3373" w14:textId="77777777" w:rsidTr="00F35595">
        <w:trPr>
          <w:trHeight w:val="640"/>
        </w:trPr>
        <w:tc>
          <w:tcPr>
            <w:tcW w:w="1789" w:type="dxa"/>
            <w:tcBorders>
              <w:bottom w:val="single" w:sz="4" w:space="0" w:color="auto"/>
            </w:tcBorders>
          </w:tcPr>
          <w:p w14:paraId="10E0635A" w14:textId="77777777" w:rsidR="0069399F" w:rsidRDefault="0069399F" w:rsidP="008F41ED">
            <w:pPr>
              <w:pStyle w:val="Geenafstand"/>
            </w:pPr>
          </w:p>
        </w:tc>
        <w:tc>
          <w:tcPr>
            <w:tcW w:w="1789" w:type="dxa"/>
            <w:tcBorders>
              <w:bottom w:val="single" w:sz="4" w:space="0" w:color="auto"/>
            </w:tcBorders>
          </w:tcPr>
          <w:p w14:paraId="0B503A6E" w14:textId="77777777" w:rsidR="0069399F" w:rsidRDefault="0069399F" w:rsidP="008F41ED">
            <w:pPr>
              <w:pStyle w:val="Geenafstand"/>
            </w:pPr>
            <w:r>
              <w:t>Number of MPs</w:t>
            </w:r>
          </w:p>
        </w:tc>
        <w:tc>
          <w:tcPr>
            <w:tcW w:w="1789" w:type="dxa"/>
            <w:tcBorders>
              <w:bottom w:val="single" w:sz="4" w:space="0" w:color="auto"/>
            </w:tcBorders>
          </w:tcPr>
          <w:p w14:paraId="1FDE536C" w14:textId="77777777" w:rsidR="0069399F" w:rsidRDefault="0069399F" w:rsidP="008F41ED">
            <w:pPr>
              <w:pStyle w:val="Geenafstand"/>
            </w:pPr>
            <w:r>
              <w:t>Number of claims</w:t>
            </w:r>
          </w:p>
        </w:tc>
        <w:tc>
          <w:tcPr>
            <w:tcW w:w="1789" w:type="dxa"/>
            <w:tcBorders>
              <w:bottom w:val="single" w:sz="4" w:space="0" w:color="auto"/>
            </w:tcBorders>
          </w:tcPr>
          <w:p w14:paraId="2F331853" w14:textId="77777777" w:rsidR="0069399F" w:rsidRDefault="0069399F" w:rsidP="008F41ED">
            <w:pPr>
              <w:pStyle w:val="Geenafstand"/>
            </w:pPr>
            <w:r>
              <w:t>Average number of claims</w:t>
            </w:r>
          </w:p>
        </w:tc>
        <w:tc>
          <w:tcPr>
            <w:tcW w:w="1789" w:type="dxa"/>
            <w:tcBorders>
              <w:bottom w:val="single" w:sz="4" w:space="0" w:color="auto"/>
            </w:tcBorders>
          </w:tcPr>
          <w:p w14:paraId="5638E392" w14:textId="77777777" w:rsidR="0069399F" w:rsidRDefault="0069399F" w:rsidP="008F41ED">
            <w:pPr>
              <w:pStyle w:val="Geenafstand"/>
            </w:pPr>
            <w:r>
              <w:t>P value</w:t>
            </w:r>
          </w:p>
        </w:tc>
      </w:tr>
      <w:tr w:rsidR="0069399F" w14:paraId="265E88D5" w14:textId="77777777" w:rsidTr="00F35595">
        <w:trPr>
          <w:trHeight w:val="315"/>
        </w:trPr>
        <w:tc>
          <w:tcPr>
            <w:tcW w:w="1789" w:type="dxa"/>
            <w:tcBorders>
              <w:top w:val="single" w:sz="4" w:space="0" w:color="auto"/>
            </w:tcBorders>
          </w:tcPr>
          <w:p w14:paraId="2DE5B3B2" w14:textId="77777777" w:rsidR="0069399F" w:rsidRDefault="0069399F" w:rsidP="008F41ED">
            <w:pPr>
              <w:pStyle w:val="Geenafstand"/>
            </w:pPr>
            <w:r>
              <w:rPr>
                <w:color w:val="000000"/>
              </w:rPr>
              <w:t>Non- Māori MPs</w:t>
            </w:r>
          </w:p>
        </w:tc>
        <w:tc>
          <w:tcPr>
            <w:tcW w:w="1789" w:type="dxa"/>
            <w:tcBorders>
              <w:top w:val="single" w:sz="4" w:space="0" w:color="auto"/>
            </w:tcBorders>
          </w:tcPr>
          <w:p w14:paraId="602B833C" w14:textId="77777777" w:rsidR="0069399F" w:rsidRDefault="0069399F" w:rsidP="008F41ED">
            <w:pPr>
              <w:pStyle w:val="Geenafstand"/>
            </w:pPr>
            <w:r>
              <w:rPr>
                <w:color w:val="000000"/>
              </w:rPr>
              <w:t>97</w:t>
            </w:r>
          </w:p>
        </w:tc>
        <w:tc>
          <w:tcPr>
            <w:tcW w:w="1789" w:type="dxa"/>
            <w:tcBorders>
              <w:top w:val="single" w:sz="4" w:space="0" w:color="auto"/>
            </w:tcBorders>
          </w:tcPr>
          <w:p w14:paraId="00569142" w14:textId="77777777" w:rsidR="0069399F" w:rsidRDefault="0069399F" w:rsidP="008F41ED">
            <w:pPr>
              <w:pStyle w:val="Geenafstand"/>
            </w:pPr>
            <w:r>
              <w:rPr>
                <w:color w:val="000000"/>
              </w:rPr>
              <w:t>65</w:t>
            </w:r>
          </w:p>
        </w:tc>
        <w:tc>
          <w:tcPr>
            <w:tcW w:w="1789" w:type="dxa"/>
            <w:tcBorders>
              <w:top w:val="single" w:sz="4" w:space="0" w:color="auto"/>
            </w:tcBorders>
          </w:tcPr>
          <w:p w14:paraId="140F3924" w14:textId="77777777" w:rsidR="0069399F" w:rsidRDefault="0069399F" w:rsidP="008F41ED">
            <w:pPr>
              <w:pStyle w:val="Geenafstand"/>
            </w:pPr>
            <w:r>
              <w:rPr>
                <w:color w:val="000000"/>
              </w:rPr>
              <w:t>0,7</w:t>
            </w:r>
          </w:p>
        </w:tc>
        <w:tc>
          <w:tcPr>
            <w:tcW w:w="1789" w:type="dxa"/>
            <w:tcBorders>
              <w:top w:val="single" w:sz="4" w:space="0" w:color="auto"/>
            </w:tcBorders>
          </w:tcPr>
          <w:p w14:paraId="270FDB58" w14:textId="77777777" w:rsidR="0069399F" w:rsidRDefault="0069399F" w:rsidP="008F41ED">
            <w:pPr>
              <w:pStyle w:val="Geenafstand"/>
            </w:pPr>
            <w:r>
              <w:rPr>
                <w:color w:val="000000"/>
              </w:rPr>
              <w:t>1,71834E-16</w:t>
            </w:r>
          </w:p>
        </w:tc>
      </w:tr>
      <w:tr w:rsidR="0069399F" w14:paraId="69D3A43F" w14:textId="77777777" w:rsidTr="00F35595">
        <w:trPr>
          <w:trHeight w:val="315"/>
        </w:trPr>
        <w:tc>
          <w:tcPr>
            <w:tcW w:w="1789" w:type="dxa"/>
          </w:tcPr>
          <w:p w14:paraId="13B41279" w14:textId="77777777" w:rsidR="0069399F" w:rsidRDefault="0069399F" w:rsidP="008F41ED">
            <w:pPr>
              <w:pStyle w:val="Geenafstand"/>
            </w:pPr>
            <w:r>
              <w:rPr>
                <w:color w:val="000000"/>
              </w:rPr>
              <w:t xml:space="preserve">Māori MPs </w:t>
            </w:r>
          </w:p>
        </w:tc>
        <w:tc>
          <w:tcPr>
            <w:tcW w:w="1789" w:type="dxa"/>
          </w:tcPr>
          <w:p w14:paraId="7E355D2E" w14:textId="77777777" w:rsidR="0069399F" w:rsidRDefault="0069399F" w:rsidP="008F41ED">
            <w:pPr>
              <w:pStyle w:val="Geenafstand"/>
            </w:pPr>
            <w:r>
              <w:rPr>
                <w:color w:val="000000"/>
              </w:rPr>
              <w:t>23</w:t>
            </w:r>
          </w:p>
        </w:tc>
        <w:tc>
          <w:tcPr>
            <w:tcW w:w="1789" w:type="dxa"/>
          </w:tcPr>
          <w:p w14:paraId="6044BAE0" w14:textId="77777777" w:rsidR="0069399F" w:rsidRDefault="0069399F" w:rsidP="008F41ED">
            <w:pPr>
              <w:pStyle w:val="Geenafstand"/>
            </w:pPr>
            <w:r>
              <w:rPr>
                <w:color w:val="000000"/>
              </w:rPr>
              <w:t>57</w:t>
            </w:r>
          </w:p>
        </w:tc>
        <w:tc>
          <w:tcPr>
            <w:tcW w:w="1789" w:type="dxa"/>
          </w:tcPr>
          <w:p w14:paraId="47C2054E" w14:textId="77777777" w:rsidR="0069399F" w:rsidRDefault="0069399F" w:rsidP="008F41ED">
            <w:pPr>
              <w:pStyle w:val="Geenafstand"/>
            </w:pPr>
            <w:r>
              <w:rPr>
                <w:color w:val="000000"/>
              </w:rPr>
              <w:t>2,5</w:t>
            </w:r>
          </w:p>
        </w:tc>
        <w:tc>
          <w:tcPr>
            <w:tcW w:w="1789" w:type="dxa"/>
          </w:tcPr>
          <w:p w14:paraId="79526AAF" w14:textId="77777777" w:rsidR="0069399F" w:rsidRDefault="0069399F" w:rsidP="008F41ED">
            <w:pPr>
              <w:pStyle w:val="Geenafstand"/>
            </w:pPr>
          </w:p>
        </w:tc>
      </w:tr>
      <w:tr w:rsidR="0069399F" w14:paraId="6BAE0AF9" w14:textId="77777777" w:rsidTr="00F35595">
        <w:trPr>
          <w:trHeight w:val="640"/>
        </w:trPr>
        <w:tc>
          <w:tcPr>
            <w:tcW w:w="1789" w:type="dxa"/>
          </w:tcPr>
          <w:p w14:paraId="7750FBA5" w14:textId="77777777" w:rsidR="0069399F" w:rsidRDefault="0069399F" w:rsidP="008F41ED">
            <w:pPr>
              <w:pStyle w:val="Geenafstand"/>
            </w:pPr>
            <w:r>
              <w:rPr>
                <w:color w:val="000000"/>
              </w:rPr>
              <w:t xml:space="preserve">MPs of the Māori Party </w:t>
            </w:r>
          </w:p>
        </w:tc>
        <w:tc>
          <w:tcPr>
            <w:tcW w:w="1789" w:type="dxa"/>
          </w:tcPr>
          <w:p w14:paraId="78D2E552" w14:textId="77777777" w:rsidR="0069399F" w:rsidRDefault="0069399F" w:rsidP="008F41ED">
            <w:pPr>
              <w:pStyle w:val="Geenafstand"/>
            </w:pPr>
            <w:r>
              <w:rPr>
                <w:color w:val="000000"/>
              </w:rPr>
              <w:t>2</w:t>
            </w:r>
          </w:p>
        </w:tc>
        <w:tc>
          <w:tcPr>
            <w:tcW w:w="1789" w:type="dxa"/>
          </w:tcPr>
          <w:p w14:paraId="4DB468B5" w14:textId="77777777" w:rsidR="0069399F" w:rsidRDefault="0069399F" w:rsidP="008F41ED">
            <w:pPr>
              <w:pStyle w:val="Geenafstand"/>
            </w:pPr>
            <w:r>
              <w:rPr>
                <w:color w:val="000000"/>
              </w:rPr>
              <w:t>20</w:t>
            </w:r>
          </w:p>
        </w:tc>
        <w:tc>
          <w:tcPr>
            <w:tcW w:w="1789" w:type="dxa"/>
          </w:tcPr>
          <w:p w14:paraId="1D21D394" w14:textId="77777777" w:rsidR="0069399F" w:rsidRDefault="0069399F" w:rsidP="008F41ED">
            <w:pPr>
              <w:pStyle w:val="Geenafstand"/>
            </w:pPr>
            <w:r>
              <w:rPr>
                <w:color w:val="000000"/>
              </w:rPr>
              <w:t>10</w:t>
            </w:r>
          </w:p>
        </w:tc>
        <w:tc>
          <w:tcPr>
            <w:tcW w:w="1789" w:type="dxa"/>
          </w:tcPr>
          <w:p w14:paraId="35BE96DA" w14:textId="77777777" w:rsidR="0069399F" w:rsidRDefault="0069399F" w:rsidP="008F41ED">
            <w:pPr>
              <w:pStyle w:val="Geenafstand"/>
            </w:pPr>
          </w:p>
        </w:tc>
      </w:tr>
      <w:tr w:rsidR="0069399F" w14:paraId="251A0848" w14:textId="77777777" w:rsidTr="00F35595">
        <w:trPr>
          <w:trHeight w:val="636"/>
        </w:trPr>
        <w:tc>
          <w:tcPr>
            <w:tcW w:w="1789" w:type="dxa"/>
            <w:tcBorders>
              <w:bottom w:val="single" w:sz="4" w:space="0" w:color="auto"/>
            </w:tcBorders>
          </w:tcPr>
          <w:p w14:paraId="0EE7F43C" w14:textId="77777777" w:rsidR="0069399F" w:rsidRDefault="0069399F" w:rsidP="008F41ED">
            <w:pPr>
              <w:pStyle w:val="Geenafstand"/>
            </w:pPr>
            <w:r>
              <w:rPr>
                <w:color w:val="000000"/>
              </w:rPr>
              <w:t xml:space="preserve">Māori MPs from other parties </w:t>
            </w:r>
          </w:p>
        </w:tc>
        <w:tc>
          <w:tcPr>
            <w:tcW w:w="1789" w:type="dxa"/>
            <w:tcBorders>
              <w:bottom w:val="single" w:sz="4" w:space="0" w:color="auto"/>
            </w:tcBorders>
          </w:tcPr>
          <w:p w14:paraId="73916C59" w14:textId="77777777" w:rsidR="0069399F" w:rsidRDefault="0069399F" w:rsidP="008F41ED">
            <w:pPr>
              <w:pStyle w:val="Geenafstand"/>
            </w:pPr>
            <w:r>
              <w:rPr>
                <w:color w:val="000000"/>
              </w:rPr>
              <w:t>21</w:t>
            </w:r>
          </w:p>
        </w:tc>
        <w:tc>
          <w:tcPr>
            <w:tcW w:w="1789" w:type="dxa"/>
            <w:tcBorders>
              <w:bottom w:val="single" w:sz="4" w:space="0" w:color="auto"/>
            </w:tcBorders>
          </w:tcPr>
          <w:p w14:paraId="2CF68845" w14:textId="77777777" w:rsidR="0069399F" w:rsidRDefault="0069399F" w:rsidP="008F41ED">
            <w:pPr>
              <w:pStyle w:val="Geenafstand"/>
            </w:pPr>
            <w:r>
              <w:rPr>
                <w:color w:val="000000"/>
              </w:rPr>
              <w:t>37</w:t>
            </w:r>
          </w:p>
        </w:tc>
        <w:tc>
          <w:tcPr>
            <w:tcW w:w="1789" w:type="dxa"/>
            <w:tcBorders>
              <w:bottom w:val="single" w:sz="4" w:space="0" w:color="auto"/>
            </w:tcBorders>
          </w:tcPr>
          <w:p w14:paraId="08D69550" w14:textId="77777777" w:rsidR="0069399F" w:rsidRDefault="0069399F" w:rsidP="008F41ED">
            <w:pPr>
              <w:pStyle w:val="Geenafstand"/>
            </w:pPr>
            <w:r>
              <w:rPr>
                <w:color w:val="000000"/>
              </w:rPr>
              <w:t>1,8</w:t>
            </w:r>
          </w:p>
        </w:tc>
        <w:tc>
          <w:tcPr>
            <w:tcW w:w="1789" w:type="dxa"/>
            <w:tcBorders>
              <w:bottom w:val="single" w:sz="4" w:space="0" w:color="auto"/>
            </w:tcBorders>
          </w:tcPr>
          <w:p w14:paraId="2B2AD42A" w14:textId="77777777" w:rsidR="0069399F" w:rsidRDefault="0069399F" w:rsidP="008F41ED">
            <w:pPr>
              <w:pStyle w:val="Geenafstand"/>
            </w:pPr>
          </w:p>
        </w:tc>
      </w:tr>
    </w:tbl>
    <w:p w14:paraId="1F133E82" w14:textId="77777777" w:rsidR="0069399F" w:rsidRPr="0069399F" w:rsidRDefault="0069399F" w:rsidP="008F41ED">
      <w:pPr>
        <w:pStyle w:val="Geenafstand"/>
      </w:pPr>
    </w:p>
    <w:p w14:paraId="338F88B3" w14:textId="77777777" w:rsidR="003D12D1" w:rsidRDefault="003D12D1" w:rsidP="00282A4B">
      <w:pPr>
        <w:spacing w:line="360" w:lineRule="auto"/>
        <w:ind w:firstLine="708"/>
        <w:jc w:val="both"/>
        <w:rPr>
          <w:color w:val="000000"/>
          <w:lang w:val="en-GB"/>
        </w:rPr>
      </w:pPr>
    </w:p>
    <w:p w14:paraId="161BE9A5" w14:textId="1089769F" w:rsidR="00271A07" w:rsidRDefault="0069399F" w:rsidP="002F3936">
      <w:pPr>
        <w:pStyle w:val="Geenafstand"/>
        <w:spacing w:line="360" w:lineRule="auto"/>
        <w:ind w:firstLine="708"/>
        <w:jc w:val="both"/>
      </w:pPr>
      <w:r w:rsidRPr="0069399F">
        <w:t xml:space="preserve">Another aspect that is important </w:t>
      </w:r>
      <w:r w:rsidR="00D02CBD">
        <w:t>concern</w:t>
      </w:r>
      <w:r w:rsidR="0029716F">
        <w:t>s</w:t>
      </w:r>
      <w:r w:rsidRPr="0069399F">
        <w:t xml:space="preserve"> </w:t>
      </w:r>
      <w:r w:rsidR="007A285F">
        <w:t>how</w:t>
      </w:r>
      <w:r w:rsidRPr="0069399F">
        <w:t xml:space="preserve"> a</w:t>
      </w:r>
      <w:r w:rsidR="008E2648">
        <w:t>n</w:t>
      </w:r>
      <w:r w:rsidRPr="0069399F">
        <w:t xml:space="preserve"> MP is chosen. The MPs chosen on the Māori roll can be expected to make more claims on behalf of Māori people than other (Māori) MPs. This expectation is confirmed with a significant chi-square value show</w:t>
      </w:r>
      <w:r w:rsidR="00977700">
        <w:t>n</w:t>
      </w:r>
      <w:r w:rsidRPr="0069399F">
        <w:t xml:space="preserve"> in table 4.5.  </w:t>
      </w:r>
    </w:p>
    <w:p w14:paraId="04985C40" w14:textId="77777777" w:rsidR="001A306B" w:rsidRDefault="001A306B" w:rsidP="001A306B">
      <w:pPr>
        <w:pStyle w:val="Geenafstand"/>
        <w:spacing w:line="360" w:lineRule="auto"/>
        <w:jc w:val="both"/>
      </w:pPr>
    </w:p>
    <w:p w14:paraId="0AF6B62A" w14:textId="263F35B5" w:rsidR="008C43A8" w:rsidRPr="009E1A5B" w:rsidRDefault="008C43A8" w:rsidP="009E1A5B">
      <w:pPr>
        <w:pStyle w:val="Kop3"/>
        <w:rPr>
          <w:sz w:val="20"/>
          <w:szCs w:val="20"/>
        </w:rPr>
      </w:pPr>
      <w:bookmarkStart w:id="155" w:name="_Toc72853013"/>
      <w:bookmarkStart w:id="156" w:name="_Toc74503482"/>
      <w:bookmarkStart w:id="157" w:name="_Toc74583614"/>
      <w:bookmarkStart w:id="158" w:name="_Toc74583822"/>
      <w:bookmarkStart w:id="159" w:name="_Toc75384091"/>
      <w:r w:rsidRPr="009E1A5B">
        <w:rPr>
          <w:sz w:val="20"/>
          <w:szCs w:val="20"/>
        </w:rPr>
        <w:lastRenderedPageBreak/>
        <w:t>Table 4.5. Chi-square test claimant</w:t>
      </w:r>
      <w:r w:rsidR="00EE0E8F" w:rsidRPr="009E1A5B">
        <w:rPr>
          <w:sz w:val="20"/>
          <w:szCs w:val="20"/>
        </w:rPr>
        <w:t>s</w:t>
      </w:r>
      <w:r w:rsidRPr="009E1A5B">
        <w:rPr>
          <w:sz w:val="20"/>
          <w:szCs w:val="20"/>
        </w:rPr>
        <w:t>.</w:t>
      </w:r>
      <w:bookmarkEnd w:id="155"/>
      <w:bookmarkEnd w:id="156"/>
      <w:bookmarkEnd w:id="157"/>
      <w:bookmarkEnd w:id="158"/>
      <w:bookmarkEnd w:id="159"/>
    </w:p>
    <w:tbl>
      <w:tblPr>
        <w:tblStyle w:val="Onopgemaaktetabel3"/>
        <w:tblW w:w="7238" w:type="dxa"/>
        <w:tblBorders>
          <w:bottom w:val="single" w:sz="4" w:space="0" w:color="auto"/>
        </w:tblBorders>
        <w:tblLayout w:type="fixed"/>
        <w:tblLook w:val="0600" w:firstRow="0" w:lastRow="0" w:firstColumn="0" w:lastColumn="0" w:noHBand="1" w:noVBand="1"/>
      </w:tblPr>
      <w:tblGrid>
        <w:gridCol w:w="2193"/>
        <w:gridCol w:w="2483"/>
        <w:gridCol w:w="2562"/>
      </w:tblGrid>
      <w:tr w:rsidR="0069399F" w14:paraId="2779CECD" w14:textId="77777777" w:rsidTr="00F35595">
        <w:trPr>
          <w:trHeight w:val="346"/>
        </w:trPr>
        <w:tc>
          <w:tcPr>
            <w:tcW w:w="2193" w:type="dxa"/>
            <w:tcBorders>
              <w:bottom w:val="single" w:sz="4" w:space="0" w:color="auto"/>
            </w:tcBorders>
          </w:tcPr>
          <w:p w14:paraId="686E4552" w14:textId="77777777" w:rsidR="0069399F" w:rsidRPr="001A306B" w:rsidRDefault="0069399F" w:rsidP="001A306B">
            <w:pPr>
              <w:pStyle w:val="Geenafstand"/>
            </w:pPr>
          </w:p>
        </w:tc>
        <w:tc>
          <w:tcPr>
            <w:tcW w:w="2483" w:type="dxa"/>
            <w:tcBorders>
              <w:bottom w:val="single" w:sz="4" w:space="0" w:color="auto"/>
            </w:tcBorders>
          </w:tcPr>
          <w:p w14:paraId="696653CC" w14:textId="73ED68AA" w:rsidR="0069399F" w:rsidRPr="001A306B" w:rsidRDefault="0069399F" w:rsidP="001A306B">
            <w:pPr>
              <w:pStyle w:val="Geenafstand"/>
            </w:pPr>
            <w:r w:rsidRPr="001A306B">
              <w:t>52</w:t>
            </w:r>
            <w:r w:rsidR="001A306B" w:rsidRPr="001A306B">
              <w:rPr>
                <w:vertAlign w:val="superscript"/>
              </w:rPr>
              <w:t>nd</w:t>
            </w:r>
            <w:r w:rsidRPr="001A306B">
              <w:t xml:space="preserve"> government period</w:t>
            </w:r>
          </w:p>
        </w:tc>
        <w:tc>
          <w:tcPr>
            <w:tcW w:w="2562" w:type="dxa"/>
            <w:tcBorders>
              <w:bottom w:val="single" w:sz="4" w:space="0" w:color="auto"/>
            </w:tcBorders>
          </w:tcPr>
          <w:p w14:paraId="15A9A05D" w14:textId="10A290CC" w:rsidR="0069399F" w:rsidRPr="001A306B" w:rsidRDefault="0069399F" w:rsidP="001A306B">
            <w:pPr>
              <w:pStyle w:val="Geenafstand"/>
            </w:pPr>
            <w:r w:rsidRPr="001A306B">
              <w:t>53</w:t>
            </w:r>
            <w:r w:rsidR="001A306B" w:rsidRPr="001A306B">
              <w:rPr>
                <w:vertAlign w:val="superscript"/>
              </w:rPr>
              <w:t>rd</w:t>
            </w:r>
            <w:r w:rsidRPr="001A306B">
              <w:t xml:space="preserve"> government period</w:t>
            </w:r>
          </w:p>
        </w:tc>
      </w:tr>
      <w:tr w:rsidR="0069399F" w14:paraId="26EE3C39" w14:textId="77777777" w:rsidTr="00F35595">
        <w:trPr>
          <w:trHeight w:val="346"/>
        </w:trPr>
        <w:tc>
          <w:tcPr>
            <w:tcW w:w="2193" w:type="dxa"/>
            <w:tcBorders>
              <w:top w:val="single" w:sz="4" w:space="0" w:color="auto"/>
            </w:tcBorders>
          </w:tcPr>
          <w:p w14:paraId="06FF5F19" w14:textId="77777777" w:rsidR="0069399F" w:rsidRPr="001A306B" w:rsidRDefault="0069399F" w:rsidP="001A306B">
            <w:pPr>
              <w:pStyle w:val="Geenafstand"/>
            </w:pPr>
            <w:r w:rsidRPr="001A306B">
              <w:t>Chi-Square</w:t>
            </w:r>
          </w:p>
        </w:tc>
        <w:tc>
          <w:tcPr>
            <w:tcW w:w="2483" w:type="dxa"/>
            <w:tcBorders>
              <w:top w:val="single" w:sz="4" w:space="0" w:color="auto"/>
            </w:tcBorders>
          </w:tcPr>
          <w:p w14:paraId="0DF006A5" w14:textId="77777777" w:rsidR="0069399F" w:rsidRPr="001A306B" w:rsidRDefault="0069399F" w:rsidP="001A306B">
            <w:pPr>
              <w:pStyle w:val="Geenafstand"/>
            </w:pPr>
            <w:r w:rsidRPr="001A306B">
              <w:t>74.927</w:t>
            </w:r>
          </w:p>
        </w:tc>
        <w:tc>
          <w:tcPr>
            <w:tcW w:w="2562" w:type="dxa"/>
            <w:tcBorders>
              <w:top w:val="single" w:sz="4" w:space="0" w:color="auto"/>
            </w:tcBorders>
          </w:tcPr>
          <w:p w14:paraId="4C3BA322" w14:textId="77777777" w:rsidR="0069399F" w:rsidRPr="001A306B" w:rsidRDefault="0069399F" w:rsidP="001A306B">
            <w:pPr>
              <w:pStyle w:val="Geenafstand"/>
            </w:pPr>
            <w:r w:rsidRPr="001A306B">
              <w:t>29.613</w:t>
            </w:r>
          </w:p>
        </w:tc>
      </w:tr>
      <w:tr w:rsidR="0069399F" w14:paraId="258C566E" w14:textId="77777777" w:rsidTr="00F35595">
        <w:trPr>
          <w:trHeight w:val="356"/>
        </w:trPr>
        <w:tc>
          <w:tcPr>
            <w:tcW w:w="2193" w:type="dxa"/>
          </w:tcPr>
          <w:p w14:paraId="1C892DA0" w14:textId="77777777" w:rsidR="0069399F" w:rsidRPr="001A306B" w:rsidRDefault="0069399F" w:rsidP="001A306B">
            <w:pPr>
              <w:pStyle w:val="Geenafstand"/>
            </w:pPr>
            <w:r w:rsidRPr="001A306B">
              <w:t>Df</w:t>
            </w:r>
          </w:p>
        </w:tc>
        <w:tc>
          <w:tcPr>
            <w:tcW w:w="2483" w:type="dxa"/>
          </w:tcPr>
          <w:p w14:paraId="55A82193" w14:textId="77777777" w:rsidR="0069399F" w:rsidRPr="001A306B" w:rsidRDefault="0069399F" w:rsidP="001A306B">
            <w:pPr>
              <w:pStyle w:val="Geenafstand"/>
            </w:pPr>
            <w:r w:rsidRPr="001A306B">
              <w:t>2</w:t>
            </w:r>
          </w:p>
        </w:tc>
        <w:tc>
          <w:tcPr>
            <w:tcW w:w="2562" w:type="dxa"/>
          </w:tcPr>
          <w:p w14:paraId="2E1CE510" w14:textId="77777777" w:rsidR="0069399F" w:rsidRPr="001A306B" w:rsidRDefault="0069399F" w:rsidP="001A306B">
            <w:pPr>
              <w:pStyle w:val="Geenafstand"/>
            </w:pPr>
            <w:r w:rsidRPr="001A306B">
              <w:t>2</w:t>
            </w:r>
          </w:p>
        </w:tc>
      </w:tr>
      <w:tr w:rsidR="0069399F" w14:paraId="49C904E4" w14:textId="77777777" w:rsidTr="00F35595">
        <w:trPr>
          <w:trHeight w:val="346"/>
        </w:trPr>
        <w:tc>
          <w:tcPr>
            <w:tcW w:w="2193" w:type="dxa"/>
          </w:tcPr>
          <w:p w14:paraId="13DC759B" w14:textId="77777777" w:rsidR="0069399F" w:rsidRPr="001A306B" w:rsidRDefault="0069399F" w:rsidP="001A306B">
            <w:pPr>
              <w:pStyle w:val="Geenafstand"/>
            </w:pPr>
            <w:r w:rsidRPr="001A306B">
              <w:t>Significance</w:t>
            </w:r>
          </w:p>
        </w:tc>
        <w:tc>
          <w:tcPr>
            <w:tcW w:w="2483" w:type="dxa"/>
          </w:tcPr>
          <w:p w14:paraId="0B988544" w14:textId="77777777" w:rsidR="0069399F" w:rsidRPr="001A306B" w:rsidRDefault="0069399F" w:rsidP="001A306B">
            <w:pPr>
              <w:pStyle w:val="Geenafstand"/>
            </w:pPr>
            <w:r w:rsidRPr="001A306B">
              <w:t>0.000</w:t>
            </w:r>
          </w:p>
        </w:tc>
        <w:tc>
          <w:tcPr>
            <w:tcW w:w="2562" w:type="dxa"/>
          </w:tcPr>
          <w:p w14:paraId="753D3FE4" w14:textId="77777777" w:rsidR="0069399F" w:rsidRPr="001A306B" w:rsidRDefault="0069399F" w:rsidP="001A306B">
            <w:pPr>
              <w:pStyle w:val="Geenafstand"/>
            </w:pPr>
            <w:r w:rsidRPr="001A306B">
              <w:t>0.000</w:t>
            </w:r>
          </w:p>
        </w:tc>
      </w:tr>
    </w:tbl>
    <w:p w14:paraId="4678E25D" w14:textId="77777777" w:rsidR="0069399F" w:rsidRPr="0069399F" w:rsidRDefault="0069399F" w:rsidP="0069399F">
      <w:pPr>
        <w:spacing w:line="360" w:lineRule="auto"/>
        <w:ind w:firstLine="708"/>
        <w:jc w:val="both"/>
        <w:rPr>
          <w:color w:val="000000"/>
          <w:lang w:val="en-GB"/>
        </w:rPr>
      </w:pPr>
    </w:p>
    <w:p w14:paraId="2690F2E9" w14:textId="58FBC812" w:rsidR="0069399F" w:rsidRPr="008F43CD" w:rsidRDefault="0069399F" w:rsidP="0069399F">
      <w:pPr>
        <w:spacing w:line="360" w:lineRule="auto"/>
        <w:ind w:firstLine="708"/>
        <w:jc w:val="both"/>
        <w:rPr>
          <w:color w:val="000000"/>
          <w:lang w:val="en-GB"/>
        </w:rPr>
      </w:pPr>
      <w:r w:rsidRPr="0069399F">
        <w:rPr>
          <w:color w:val="000000"/>
          <w:lang w:val="en-GB"/>
        </w:rPr>
        <w:t>Besides</w:t>
      </w:r>
      <w:r w:rsidR="000358A2">
        <w:rPr>
          <w:color w:val="000000"/>
          <w:lang w:val="en-GB"/>
        </w:rPr>
        <w:t xml:space="preserve">, </w:t>
      </w:r>
      <w:r w:rsidRPr="0069399F">
        <w:rPr>
          <w:color w:val="000000"/>
          <w:lang w:val="en-GB"/>
        </w:rPr>
        <w:t>the gender of the claimant is coded. As becomes clear in figure 4.7</w:t>
      </w:r>
      <w:r w:rsidR="008F43CD">
        <w:rPr>
          <w:color w:val="000000"/>
          <w:lang w:val="en-GB"/>
        </w:rPr>
        <w:t>,</w:t>
      </w:r>
      <w:r w:rsidR="0082676B">
        <w:rPr>
          <w:color w:val="000000"/>
          <w:lang w:val="en-GB"/>
        </w:rPr>
        <w:t xml:space="preserve"> in</w:t>
      </w:r>
      <w:r w:rsidR="008F43CD">
        <w:rPr>
          <w:color w:val="000000"/>
          <w:lang w:val="en-GB"/>
        </w:rPr>
        <w:t xml:space="preserve"> the previous government period</w:t>
      </w:r>
      <w:r w:rsidRPr="0069399F">
        <w:rPr>
          <w:color w:val="000000"/>
          <w:lang w:val="en-GB"/>
        </w:rPr>
        <w:t xml:space="preserve"> men make slightly more claims than women do</w:t>
      </w:r>
      <w:r w:rsidR="008F43CD">
        <w:rPr>
          <w:color w:val="000000"/>
          <w:lang w:val="en-GB"/>
        </w:rPr>
        <w:t>.</w:t>
      </w:r>
      <w:r w:rsidRPr="0069399F">
        <w:rPr>
          <w:color w:val="000000"/>
          <w:lang w:val="en-GB"/>
        </w:rPr>
        <w:t xml:space="preserve"> </w:t>
      </w:r>
      <w:r w:rsidRPr="00491283">
        <w:rPr>
          <w:color w:val="000000"/>
          <w:lang w:val="en-GB"/>
        </w:rPr>
        <w:t>However, the</w:t>
      </w:r>
      <w:r w:rsidR="00C10BB5" w:rsidRPr="00491283">
        <w:rPr>
          <w:color w:val="000000"/>
          <w:lang w:val="en-GB"/>
        </w:rPr>
        <w:t>se</w:t>
      </w:r>
      <w:r w:rsidRPr="00491283">
        <w:rPr>
          <w:color w:val="000000"/>
          <w:lang w:val="en-GB"/>
        </w:rPr>
        <w:t xml:space="preserve"> differences are not significant.</w:t>
      </w:r>
      <w:r w:rsidRPr="008F43CD">
        <w:rPr>
          <w:color w:val="000000"/>
          <w:lang w:val="en-GB"/>
        </w:rPr>
        <w:t xml:space="preserve"> </w:t>
      </w:r>
    </w:p>
    <w:p w14:paraId="21C3A86B" w14:textId="77777777" w:rsidR="0069399F" w:rsidRDefault="0069399F" w:rsidP="006939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0AACD8" wp14:editId="3EFBF782">
            <wp:extent cx="3771900" cy="22288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srcRect t="6400"/>
                    <a:stretch/>
                  </pic:blipFill>
                  <pic:spPr bwMode="auto">
                    <a:xfrm>
                      <a:off x="0" y="0"/>
                      <a:ext cx="3772602" cy="2229265"/>
                    </a:xfrm>
                    <a:prstGeom prst="rect">
                      <a:avLst/>
                    </a:prstGeom>
                    <a:ln>
                      <a:noFill/>
                    </a:ln>
                    <a:extLst>
                      <a:ext uri="{53640926-AAD7-44D8-BBD7-CCE9431645EC}">
                        <a14:shadowObscured xmlns:a14="http://schemas.microsoft.com/office/drawing/2010/main"/>
                      </a:ext>
                    </a:extLst>
                  </pic:spPr>
                </pic:pic>
              </a:graphicData>
            </a:graphic>
          </wp:inline>
        </w:drawing>
      </w:r>
    </w:p>
    <w:p w14:paraId="6A20C731" w14:textId="04F5B3CE" w:rsidR="0069399F" w:rsidRPr="0069399F" w:rsidRDefault="0069399F" w:rsidP="0069399F">
      <w:pPr>
        <w:spacing w:after="0" w:line="240" w:lineRule="auto"/>
        <w:jc w:val="center"/>
        <w:rPr>
          <w:sz w:val="20"/>
          <w:szCs w:val="20"/>
          <w:lang w:val="en-GB"/>
        </w:rPr>
      </w:pPr>
      <w:bookmarkStart w:id="160" w:name="_Toc74503483"/>
      <w:bookmarkStart w:id="161" w:name="_Toc74583615"/>
      <w:bookmarkStart w:id="162" w:name="_Toc74583823"/>
      <w:bookmarkStart w:id="163" w:name="_Toc75384092"/>
      <w:r w:rsidRPr="0074071B">
        <w:rPr>
          <w:rStyle w:val="Kop3Char"/>
          <w:sz w:val="20"/>
          <w:szCs w:val="20"/>
        </w:rPr>
        <w:t>Figure 4.7. Gender of claimants in the 5</w:t>
      </w:r>
      <w:r w:rsidR="00895033">
        <w:rPr>
          <w:rStyle w:val="Kop3Char"/>
          <w:sz w:val="20"/>
          <w:szCs w:val="20"/>
        </w:rPr>
        <w:t>2</w:t>
      </w:r>
      <w:r w:rsidR="00895033" w:rsidRPr="00895033">
        <w:rPr>
          <w:rStyle w:val="Kop3Char"/>
          <w:sz w:val="20"/>
          <w:szCs w:val="20"/>
          <w:vertAlign w:val="superscript"/>
        </w:rPr>
        <w:t>nd</w:t>
      </w:r>
      <w:r w:rsidRPr="0074071B">
        <w:rPr>
          <w:rStyle w:val="Kop3Char"/>
          <w:sz w:val="20"/>
          <w:szCs w:val="20"/>
        </w:rPr>
        <w:t xml:space="preserve"> government period</w:t>
      </w:r>
      <w:bookmarkEnd w:id="160"/>
      <w:bookmarkEnd w:id="161"/>
      <w:bookmarkEnd w:id="162"/>
      <w:bookmarkEnd w:id="163"/>
      <w:r w:rsidRPr="00D7443D">
        <w:rPr>
          <w:rStyle w:val="Kop4Char"/>
          <w:sz w:val="20"/>
          <w:szCs w:val="20"/>
        </w:rPr>
        <w:t>.</w:t>
      </w:r>
      <w:r w:rsidRPr="0069399F">
        <w:rPr>
          <w:sz w:val="20"/>
          <w:szCs w:val="20"/>
          <w:lang w:val="en-GB"/>
        </w:rPr>
        <w:t xml:space="preserve">       </w:t>
      </w:r>
    </w:p>
    <w:p w14:paraId="38C31C9E" w14:textId="509CFE95" w:rsidR="00B53086" w:rsidRDefault="00B53086" w:rsidP="008F6E13">
      <w:pPr>
        <w:spacing w:after="0" w:line="360" w:lineRule="auto"/>
        <w:ind w:firstLine="708"/>
        <w:jc w:val="both"/>
        <w:rPr>
          <w:lang w:val="en-GB"/>
        </w:rPr>
      </w:pPr>
      <w:bookmarkStart w:id="164" w:name="_Toc72853014"/>
    </w:p>
    <w:p w14:paraId="45506960" w14:textId="77777777" w:rsidR="007F0B0B" w:rsidRDefault="007F0B0B" w:rsidP="007F0B0B">
      <w:pPr>
        <w:spacing w:after="0" w:line="360" w:lineRule="auto"/>
        <w:ind w:firstLine="708"/>
        <w:jc w:val="both"/>
        <w:rPr>
          <w:lang w:val="en-GB"/>
        </w:rPr>
      </w:pPr>
      <w:r w:rsidRPr="008F6E13">
        <w:rPr>
          <w:lang w:val="en-GB"/>
        </w:rPr>
        <w:t>Figure 4.8 shows a comparable picture for the current government period. Again, men make slightly more claims than women do, but not with a significant difference.</w:t>
      </w:r>
    </w:p>
    <w:p w14:paraId="745F2398" w14:textId="3F50BF87" w:rsidR="0069399F" w:rsidRPr="00566B09" w:rsidRDefault="00566B09" w:rsidP="00566B09">
      <w:pPr>
        <w:pStyle w:val="Kop3"/>
        <w:jc w:val="center"/>
        <w:rPr>
          <w:sz w:val="20"/>
          <w:szCs w:val="20"/>
        </w:rPr>
      </w:pPr>
      <w:bookmarkStart w:id="165" w:name="_Toc74503484"/>
      <w:bookmarkStart w:id="166" w:name="_Toc74583616"/>
      <w:bookmarkStart w:id="167" w:name="_Toc74583824"/>
      <w:bookmarkStart w:id="168" w:name="_Toc75384093"/>
      <w:bookmarkEnd w:id="164"/>
      <w:r w:rsidRPr="00566B09">
        <w:rPr>
          <w:sz w:val="20"/>
          <w:szCs w:val="20"/>
        </w:rPr>
        <w:t>Figure 4.8. Gender of claimants in the 53</w:t>
      </w:r>
      <w:r w:rsidRPr="00566B09">
        <w:rPr>
          <w:sz w:val="20"/>
          <w:szCs w:val="20"/>
          <w:vertAlign w:val="superscript"/>
        </w:rPr>
        <w:t>rd</w:t>
      </w:r>
      <w:r w:rsidRPr="00566B09">
        <w:rPr>
          <w:sz w:val="20"/>
          <w:szCs w:val="20"/>
        </w:rPr>
        <w:t xml:space="preserve"> government period.</w:t>
      </w:r>
      <w:bookmarkEnd w:id="165"/>
      <w:bookmarkEnd w:id="166"/>
      <w:bookmarkEnd w:id="167"/>
      <w:r w:rsidRPr="00566B09">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681C0D67" wp14:editId="197A8A19">
            <wp:simplePos x="0" y="0"/>
            <wp:positionH relativeFrom="column">
              <wp:posOffset>1056005</wp:posOffset>
            </wp:positionH>
            <wp:positionV relativeFrom="paragraph">
              <wp:posOffset>0</wp:posOffset>
            </wp:positionV>
            <wp:extent cx="3784600" cy="2425700"/>
            <wp:effectExtent l="0" t="0" r="6350" b="0"/>
            <wp:wrapTopAndBottom/>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8">
                      <a:extLst>
                        <a:ext uri="{28A0092B-C50C-407E-A947-70E740481C1C}">
                          <a14:useLocalDpi xmlns:a14="http://schemas.microsoft.com/office/drawing/2010/main" val="0"/>
                        </a:ext>
                      </a:extLst>
                    </a:blip>
                    <a:srcRect t="5211"/>
                    <a:stretch/>
                  </pic:blipFill>
                  <pic:spPr bwMode="auto">
                    <a:xfrm>
                      <a:off x="0" y="0"/>
                      <a:ext cx="3784600" cy="242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68"/>
    </w:p>
    <w:p w14:paraId="00E5810C" w14:textId="522B26D3" w:rsidR="0069399F" w:rsidRPr="0069399F" w:rsidRDefault="0069399F" w:rsidP="0069399F">
      <w:pPr>
        <w:spacing w:after="0" w:line="360" w:lineRule="auto"/>
        <w:jc w:val="both"/>
        <w:rPr>
          <w:lang w:val="en-GB"/>
        </w:rPr>
      </w:pPr>
    </w:p>
    <w:p w14:paraId="7F946287" w14:textId="0AE9EF7C" w:rsidR="0069399F" w:rsidRPr="0069399F" w:rsidRDefault="00884E44" w:rsidP="0069399F">
      <w:pPr>
        <w:spacing w:after="0" w:line="360" w:lineRule="auto"/>
        <w:ind w:firstLine="708"/>
        <w:jc w:val="both"/>
        <w:rPr>
          <w:color w:val="000000"/>
          <w:lang w:val="en-GB"/>
        </w:rPr>
      </w:pPr>
      <w:r>
        <w:rPr>
          <w:lang w:val="en-GB"/>
        </w:rPr>
        <w:t>To summarise</w:t>
      </w:r>
      <w:r w:rsidR="0069399F" w:rsidRPr="0069399F">
        <w:rPr>
          <w:lang w:val="en-GB"/>
        </w:rPr>
        <w:t xml:space="preserve">, claims on behalf of </w:t>
      </w:r>
      <w:r w:rsidR="0069399F" w:rsidRPr="0069399F">
        <w:rPr>
          <w:color w:val="000000"/>
          <w:lang w:val="en-GB"/>
        </w:rPr>
        <w:t xml:space="preserve">Māori people are more likely to be made by Māori MPs than non-Māori MPs. Even more when they are chosen on the Māori roll. Most claims are made by MPs of </w:t>
      </w:r>
      <w:r w:rsidR="0069399F" w:rsidRPr="0069399F">
        <w:rPr>
          <w:color w:val="000000"/>
          <w:lang w:val="en-GB"/>
        </w:rPr>
        <w:lastRenderedPageBreak/>
        <w:t xml:space="preserve">the Labour Party. But MPs of Māori Party make on average far more claims than any other party. The next sections will dive deeper into the content of the claims. To start with the issues around which the claims were made. </w:t>
      </w:r>
    </w:p>
    <w:p w14:paraId="7A94C595" w14:textId="1AE1B112" w:rsidR="0069399F" w:rsidRPr="0069399F" w:rsidRDefault="003B7F44" w:rsidP="003B7F44">
      <w:pPr>
        <w:tabs>
          <w:tab w:val="left" w:pos="240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14:paraId="386CEA21" w14:textId="31A37396" w:rsidR="0069399F" w:rsidRDefault="0069399F" w:rsidP="0069399F">
      <w:pPr>
        <w:pStyle w:val="Kop3"/>
      </w:pPr>
      <w:bookmarkStart w:id="169" w:name="_Toc72853015"/>
      <w:bookmarkStart w:id="170" w:name="_Toc74583825"/>
      <w:bookmarkStart w:id="171" w:name="_Toc75384094"/>
      <w:bookmarkStart w:id="172" w:name="_Hlk75205490"/>
      <w:r>
        <w:t>4.2.</w:t>
      </w:r>
      <w:r w:rsidR="002A1062">
        <w:t>4</w:t>
      </w:r>
      <w:r>
        <w:t xml:space="preserve"> Analysing issues</w:t>
      </w:r>
      <w:bookmarkEnd w:id="169"/>
      <w:bookmarkEnd w:id="170"/>
      <w:bookmarkEnd w:id="171"/>
    </w:p>
    <w:p w14:paraId="455EB759" w14:textId="3A1121C2" w:rsidR="0069399F" w:rsidRDefault="0069399F" w:rsidP="00174F1D">
      <w:pPr>
        <w:pStyle w:val="Geenafstand"/>
        <w:spacing w:line="360" w:lineRule="auto"/>
        <w:jc w:val="both"/>
      </w:pPr>
      <w:r w:rsidRPr="0069399F">
        <w:tab/>
      </w:r>
      <w:r w:rsidR="00BE370C">
        <w:t>For the analysis,</w:t>
      </w:r>
      <w:r w:rsidRPr="0069399F">
        <w:t xml:space="preserve"> two categories of issues were distinguished: indigenous-specific and universal issues</w:t>
      </w:r>
      <w:bookmarkStart w:id="173" w:name="_Hlk74236318"/>
      <w:r w:rsidRPr="0069399F">
        <w:t>. Indigenous-specific issues are solely directed at</w:t>
      </w:r>
      <w:r w:rsidR="009F7F94">
        <w:t xml:space="preserve"> </w:t>
      </w:r>
      <w:r w:rsidR="009F7F94" w:rsidRPr="0069399F">
        <w:rPr>
          <w:color w:val="000000"/>
        </w:rPr>
        <w:t>Māori</w:t>
      </w:r>
      <w:r w:rsidR="009F7F94">
        <w:rPr>
          <w:color w:val="000000"/>
        </w:rPr>
        <w:t xml:space="preserve"> people</w:t>
      </w:r>
      <w:r w:rsidRPr="0069399F">
        <w:t xml:space="preserve">, like the Treaty of Waitangi or </w:t>
      </w:r>
      <w:r w:rsidRPr="0069399F">
        <w:rPr>
          <w:color w:val="000000"/>
        </w:rPr>
        <w:t xml:space="preserve">Māori rights. Universal issues can be directed to a broader public, for example issues about health or education. </w:t>
      </w:r>
      <w:bookmarkEnd w:id="173"/>
      <w:r w:rsidRPr="0069399F">
        <w:rPr>
          <w:color w:val="000000"/>
        </w:rPr>
        <w:t>Table 4.6 shows that o</w:t>
      </w:r>
      <w:r w:rsidRPr="0069399F">
        <w:t>ut of the 230 claims, 106 claims mentioned universal issues.</w:t>
      </w:r>
      <w:r w:rsidR="00570AAF">
        <w:t xml:space="preserve"> </w:t>
      </w:r>
      <w:r w:rsidR="00BE3E06" w:rsidRPr="00202823">
        <w:rPr>
          <w:lang w:val="en-US"/>
        </w:rPr>
        <w:t>This comes down to 4</w:t>
      </w:r>
      <w:r w:rsidR="00BE3E06">
        <w:rPr>
          <w:lang w:val="en-US"/>
        </w:rPr>
        <w:t>6,1%, meaning that the majority of the claimants (53,9%) addressed an indigenous-specific issue.</w:t>
      </w:r>
      <w:r w:rsidRPr="0069399F">
        <w:t xml:space="preserve"> In the current government</w:t>
      </w:r>
      <w:r w:rsidR="007D42C0">
        <w:t xml:space="preserve"> period</w:t>
      </w:r>
      <w:r w:rsidR="00BE370C">
        <w:t>,</w:t>
      </w:r>
      <w:r w:rsidRPr="0069399F">
        <w:t xml:space="preserve"> the share of indigenous-specific issues is greater than in the previous government period.</w:t>
      </w:r>
    </w:p>
    <w:p w14:paraId="3E48F468" w14:textId="77777777" w:rsidR="00174F1D" w:rsidRDefault="00174F1D" w:rsidP="00174F1D">
      <w:pPr>
        <w:pStyle w:val="Geenafstand"/>
        <w:spacing w:line="360" w:lineRule="auto"/>
        <w:jc w:val="both"/>
      </w:pPr>
    </w:p>
    <w:p w14:paraId="31C36035" w14:textId="76153FC3" w:rsidR="0074071B" w:rsidRPr="00174F1D" w:rsidRDefault="0074071B" w:rsidP="00174F1D">
      <w:pPr>
        <w:pStyle w:val="Kop3"/>
        <w:rPr>
          <w:sz w:val="20"/>
          <w:szCs w:val="20"/>
        </w:rPr>
      </w:pPr>
      <w:bookmarkStart w:id="174" w:name="_Toc74503486"/>
      <w:bookmarkStart w:id="175" w:name="_Toc74583618"/>
      <w:bookmarkStart w:id="176" w:name="_Toc74583826"/>
      <w:bookmarkStart w:id="177" w:name="_Toc75384095"/>
      <w:r w:rsidRPr="00174F1D">
        <w:rPr>
          <w:sz w:val="20"/>
          <w:szCs w:val="20"/>
        </w:rPr>
        <w:t>Table 4.6. Issue-categories.</w:t>
      </w:r>
      <w:bookmarkEnd w:id="174"/>
      <w:bookmarkEnd w:id="175"/>
      <w:bookmarkEnd w:id="176"/>
      <w:bookmarkEnd w:id="177"/>
      <w:r w:rsidRPr="00174F1D">
        <w:rPr>
          <w:sz w:val="20"/>
          <w:szCs w:val="20"/>
        </w:rPr>
        <w:t xml:space="preserve"> </w:t>
      </w:r>
    </w:p>
    <w:tbl>
      <w:tblPr>
        <w:tblStyle w:val="Onopgemaaktetabel3"/>
        <w:tblW w:w="9072" w:type="dxa"/>
        <w:tblBorders>
          <w:bottom w:val="single" w:sz="4" w:space="0" w:color="auto"/>
        </w:tblBorders>
        <w:tblLayout w:type="fixed"/>
        <w:tblLook w:val="0600" w:firstRow="0" w:lastRow="0" w:firstColumn="0" w:lastColumn="0" w:noHBand="1" w:noVBand="1"/>
      </w:tblPr>
      <w:tblGrid>
        <w:gridCol w:w="2268"/>
        <w:gridCol w:w="2434"/>
        <w:gridCol w:w="2382"/>
        <w:gridCol w:w="1988"/>
      </w:tblGrid>
      <w:tr w:rsidR="0069399F" w:rsidRPr="008F3A1C" w14:paraId="1789CA6A" w14:textId="77777777" w:rsidTr="003B314B">
        <w:tc>
          <w:tcPr>
            <w:tcW w:w="2268" w:type="dxa"/>
            <w:tcBorders>
              <w:bottom w:val="single" w:sz="4" w:space="0" w:color="auto"/>
            </w:tcBorders>
          </w:tcPr>
          <w:p w14:paraId="5DACB67C" w14:textId="77777777" w:rsidR="0069399F" w:rsidRDefault="0069399F" w:rsidP="00174F1D">
            <w:pPr>
              <w:pStyle w:val="Geenafstand"/>
            </w:pPr>
          </w:p>
        </w:tc>
        <w:tc>
          <w:tcPr>
            <w:tcW w:w="2434" w:type="dxa"/>
            <w:tcBorders>
              <w:bottom w:val="single" w:sz="4" w:space="0" w:color="auto"/>
            </w:tcBorders>
          </w:tcPr>
          <w:p w14:paraId="45E19521" w14:textId="77777777" w:rsidR="0069399F" w:rsidRDefault="0069399F" w:rsidP="00174F1D">
            <w:pPr>
              <w:pStyle w:val="Geenafstand"/>
            </w:pPr>
            <w:r>
              <w:t>52</w:t>
            </w:r>
            <w:r>
              <w:rPr>
                <w:vertAlign w:val="superscript"/>
              </w:rPr>
              <w:t>nd</w:t>
            </w:r>
            <w:r>
              <w:t xml:space="preserve"> government period</w:t>
            </w:r>
          </w:p>
        </w:tc>
        <w:tc>
          <w:tcPr>
            <w:tcW w:w="2382" w:type="dxa"/>
            <w:tcBorders>
              <w:bottom w:val="single" w:sz="4" w:space="0" w:color="auto"/>
            </w:tcBorders>
          </w:tcPr>
          <w:p w14:paraId="7A22E3E8" w14:textId="77777777" w:rsidR="0069399F" w:rsidRDefault="0069399F" w:rsidP="00174F1D">
            <w:pPr>
              <w:pStyle w:val="Geenafstand"/>
            </w:pPr>
            <w:r>
              <w:t>53</w:t>
            </w:r>
            <w:r>
              <w:rPr>
                <w:vertAlign w:val="superscript"/>
              </w:rPr>
              <w:t>rd</w:t>
            </w:r>
            <w:r>
              <w:t xml:space="preserve"> government period</w:t>
            </w:r>
          </w:p>
        </w:tc>
        <w:tc>
          <w:tcPr>
            <w:tcW w:w="1988" w:type="dxa"/>
            <w:tcBorders>
              <w:bottom w:val="single" w:sz="4" w:space="0" w:color="auto"/>
            </w:tcBorders>
          </w:tcPr>
          <w:p w14:paraId="278E4214" w14:textId="77777777" w:rsidR="0069399F" w:rsidRDefault="0069399F" w:rsidP="00174F1D">
            <w:pPr>
              <w:pStyle w:val="Geenafstand"/>
            </w:pPr>
            <w:r>
              <w:t>52</w:t>
            </w:r>
            <w:r w:rsidRPr="008F3037">
              <w:rPr>
                <w:vertAlign w:val="superscript"/>
              </w:rPr>
              <w:t>nd</w:t>
            </w:r>
            <w:r>
              <w:t xml:space="preserve"> and 53</w:t>
            </w:r>
            <w:r>
              <w:rPr>
                <w:vertAlign w:val="superscript"/>
              </w:rPr>
              <w:t>rd</w:t>
            </w:r>
            <w:r>
              <w:t xml:space="preserve"> government period</w:t>
            </w:r>
          </w:p>
        </w:tc>
      </w:tr>
      <w:tr w:rsidR="0069399F" w14:paraId="67FFE7DA" w14:textId="77777777" w:rsidTr="003B314B">
        <w:tc>
          <w:tcPr>
            <w:tcW w:w="2268" w:type="dxa"/>
            <w:tcBorders>
              <w:top w:val="single" w:sz="4" w:space="0" w:color="auto"/>
              <w:bottom w:val="nil"/>
            </w:tcBorders>
          </w:tcPr>
          <w:p w14:paraId="1C27137C" w14:textId="77777777" w:rsidR="0069399F" w:rsidRDefault="0069399F" w:rsidP="00174F1D">
            <w:pPr>
              <w:pStyle w:val="Geenafstand"/>
            </w:pPr>
            <w:r>
              <w:t>Indigenous-specific</w:t>
            </w:r>
          </w:p>
        </w:tc>
        <w:tc>
          <w:tcPr>
            <w:tcW w:w="2434" w:type="dxa"/>
            <w:tcBorders>
              <w:top w:val="single" w:sz="4" w:space="0" w:color="auto"/>
              <w:bottom w:val="nil"/>
            </w:tcBorders>
          </w:tcPr>
          <w:p w14:paraId="222340C2" w14:textId="77777777" w:rsidR="0069399F" w:rsidRDefault="0069399F" w:rsidP="00174F1D">
            <w:pPr>
              <w:pStyle w:val="Geenafstand"/>
            </w:pPr>
            <w:r>
              <w:t>45 (43,7%)</w:t>
            </w:r>
          </w:p>
        </w:tc>
        <w:tc>
          <w:tcPr>
            <w:tcW w:w="2382" w:type="dxa"/>
            <w:tcBorders>
              <w:top w:val="single" w:sz="4" w:space="0" w:color="auto"/>
              <w:bottom w:val="nil"/>
            </w:tcBorders>
          </w:tcPr>
          <w:p w14:paraId="3D781B9B" w14:textId="77777777" w:rsidR="0069399F" w:rsidRDefault="0069399F" w:rsidP="00174F1D">
            <w:pPr>
              <w:pStyle w:val="Geenafstand"/>
            </w:pPr>
            <w:r>
              <w:t>79 (62,2%)</w:t>
            </w:r>
          </w:p>
        </w:tc>
        <w:tc>
          <w:tcPr>
            <w:tcW w:w="1988" w:type="dxa"/>
            <w:tcBorders>
              <w:top w:val="single" w:sz="4" w:space="0" w:color="auto"/>
              <w:bottom w:val="nil"/>
            </w:tcBorders>
          </w:tcPr>
          <w:p w14:paraId="43C7EDF0" w14:textId="77777777" w:rsidR="0069399F" w:rsidRDefault="0069399F" w:rsidP="00174F1D">
            <w:pPr>
              <w:pStyle w:val="Geenafstand"/>
            </w:pPr>
            <w:r>
              <w:t>124 (53,9%)</w:t>
            </w:r>
          </w:p>
        </w:tc>
      </w:tr>
      <w:tr w:rsidR="0069399F" w14:paraId="39512D33" w14:textId="77777777" w:rsidTr="003B314B">
        <w:tc>
          <w:tcPr>
            <w:tcW w:w="2268" w:type="dxa"/>
            <w:tcBorders>
              <w:bottom w:val="single" w:sz="4" w:space="0" w:color="auto"/>
            </w:tcBorders>
          </w:tcPr>
          <w:p w14:paraId="5F6E83F7" w14:textId="77777777" w:rsidR="0069399F" w:rsidRDefault="0069399F" w:rsidP="00174F1D">
            <w:pPr>
              <w:pStyle w:val="Geenafstand"/>
            </w:pPr>
            <w:r>
              <w:t>Universal</w:t>
            </w:r>
          </w:p>
        </w:tc>
        <w:tc>
          <w:tcPr>
            <w:tcW w:w="2434" w:type="dxa"/>
            <w:tcBorders>
              <w:bottom w:val="single" w:sz="4" w:space="0" w:color="auto"/>
            </w:tcBorders>
          </w:tcPr>
          <w:p w14:paraId="2DC9788B" w14:textId="77777777" w:rsidR="0069399F" w:rsidRDefault="0069399F" w:rsidP="00174F1D">
            <w:pPr>
              <w:pStyle w:val="Geenafstand"/>
            </w:pPr>
            <w:r>
              <w:t>58 (56,3%)</w:t>
            </w:r>
          </w:p>
        </w:tc>
        <w:tc>
          <w:tcPr>
            <w:tcW w:w="2382" w:type="dxa"/>
            <w:tcBorders>
              <w:bottom w:val="single" w:sz="4" w:space="0" w:color="auto"/>
            </w:tcBorders>
          </w:tcPr>
          <w:p w14:paraId="25222FDC" w14:textId="77777777" w:rsidR="0069399F" w:rsidRDefault="0069399F" w:rsidP="00174F1D">
            <w:pPr>
              <w:pStyle w:val="Geenafstand"/>
            </w:pPr>
            <w:r>
              <w:t>48 (37,8%)</w:t>
            </w:r>
          </w:p>
        </w:tc>
        <w:tc>
          <w:tcPr>
            <w:tcW w:w="1988" w:type="dxa"/>
            <w:tcBorders>
              <w:bottom w:val="single" w:sz="4" w:space="0" w:color="auto"/>
            </w:tcBorders>
          </w:tcPr>
          <w:p w14:paraId="2B92C9B7" w14:textId="77777777" w:rsidR="0069399F" w:rsidRDefault="0069399F" w:rsidP="00174F1D">
            <w:pPr>
              <w:pStyle w:val="Geenafstand"/>
            </w:pPr>
            <w:r>
              <w:t>106 (46,1%)</w:t>
            </w:r>
          </w:p>
        </w:tc>
      </w:tr>
      <w:tr w:rsidR="0069399F" w14:paraId="625F214A" w14:textId="77777777" w:rsidTr="003B314B">
        <w:tc>
          <w:tcPr>
            <w:tcW w:w="2268" w:type="dxa"/>
            <w:tcBorders>
              <w:top w:val="single" w:sz="4" w:space="0" w:color="auto"/>
              <w:bottom w:val="nil"/>
            </w:tcBorders>
          </w:tcPr>
          <w:p w14:paraId="7A3FCE72" w14:textId="77777777" w:rsidR="0069399F" w:rsidRDefault="0069399F" w:rsidP="00174F1D">
            <w:pPr>
              <w:pStyle w:val="Geenafstand"/>
            </w:pPr>
            <w:r>
              <w:t>Total</w:t>
            </w:r>
          </w:p>
        </w:tc>
        <w:tc>
          <w:tcPr>
            <w:tcW w:w="2434" w:type="dxa"/>
            <w:tcBorders>
              <w:top w:val="single" w:sz="4" w:space="0" w:color="auto"/>
              <w:bottom w:val="nil"/>
            </w:tcBorders>
          </w:tcPr>
          <w:p w14:paraId="7CDFF235" w14:textId="77777777" w:rsidR="0069399F" w:rsidRDefault="0069399F" w:rsidP="00174F1D">
            <w:pPr>
              <w:pStyle w:val="Geenafstand"/>
            </w:pPr>
            <w:r>
              <w:t>103 (100%)</w:t>
            </w:r>
          </w:p>
        </w:tc>
        <w:tc>
          <w:tcPr>
            <w:tcW w:w="2382" w:type="dxa"/>
            <w:tcBorders>
              <w:top w:val="single" w:sz="4" w:space="0" w:color="auto"/>
              <w:bottom w:val="nil"/>
            </w:tcBorders>
          </w:tcPr>
          <w:p w14:paraId="365BD2C4" w14:textId="77777777" w:rsidR="0069399F" w:rsidRDefault="0069399F" w:rsidP="00174F1D">
            <w:pPr>
              <w:pStyle w:val="Geenafstand"/>
            </w:pPr>
            <w:r>
              <w:t>127 (100%)</w:t>
            </w:r>
          </w:p>
        </w:tc>
        <w:tc>
          <w:tcPr>
            <w:tcW w:w="1988" w:type="dxa"/>
            <w:tcBorders>
              <w:top w:val="single" w:sz="4" w:space="0" w:color="auto"/>
              <w:bottom w:val="nil"/>
            </w:tcBorders>
          </w:tcPr>
          <w:p w14:paraId="7BB17840" w14:textId="77777777" w:rsidR="0069399F" w:rsidRDefault="0069399F" w:rsidP="00174F1D">
            <w:pPr>
              <w:pStyle w:val="Geenafstand"/>
            </w:pPr>
            <w:r>
              <w:t>230 (100%)</w:t>
            </w:r>
          </w:p>
        </w:tc>
      </w:tr>
    </w:tbl>
    <w:p w14:paraId="1A2F055C" w14:textId="77777777" w:rsidR="0069399F" w:rsidRDefault="0069399F" w:rsidP="0069399F">
      <w:pPr>
        <w:spacing w:line="360" w:lineRule="auto"/>
        <w:ind w:firstLine="720"/>
        <w:jc w:val="both"/>
      </w:pPr>
    </w:p>
    <w:p w14:paraId="18052383" w14:textId="00B3867F" w:rsidR="0043084D" w:rsidRDefault="0059727B" w:rsidP="0043084D">
      <w:pPr>
        <w:spacing w:line="360" w:lineRule="auto"/>
        <w:ind w:firstLine="720"/>
        <w:jc w:val="both"/>
        <w:rPr>
          <w:lang w:val="en-GB"/>
        </w:rPr>
      </w:pPr>
      <w:r>
        <w:rPr>
          <w:lang w:val="en-GB"/>
        </w:rPr>
        <w:t xml:space="preserve">Table 4.7 shows that </w:t>
      </w:r>
      <w:r w:rsidR="00B2506B" w:rsidRPr="00B2506B">
        <w:rPr>
          <w:color w:val="000000"/>
          <w:lang w:val="en-GB"/>
        </w:rPr>
        <w:t>Māori M</w:t>
      </w:r>
      <w:r w:rsidR="00B2506B">
        <w:rPr>
          <w:color w:val="000000"/>
          <w:lang w:val="en-GB"/>
        </w:rPr>
        <w:t xml:space="preserve">Ps </w:t>
      </w:r>
      <w:r w:rsidR="00E40112">
        <w:rPr>
          <w:color w:val="000000"/>
          <w:lang w:val="en-GB"/>
        </w:rPr>
        <w:t xml:space="preserve">in 64,8% of the claims </w:t>
      </w:r>
      <w:r w:rsidR="00B2506B">
        <w:rPr>
          <w:color w:val="000000"/>
          <w:lang w:val="en-GB"/>
        </w:rPr>
        <w:t>state an indigenous</w:t>
      </w:r>
      <w:r w:rsidR="00E40112">
        <w:rPr>
          <w:color w:val="000000"/>
          <w:lang w:val="en-GB"/>
        </w:rPr>
        <w:t>-</w:t>
      </w:r>
      <w:r w:rsidR="00B2506B">
        <w:rPr>
          <w:color w:val="000000"/>
          <w:lang w:val="en-GB"/>
        </w:rPr>
        <w:t>specific issue</w:t>
      </w:r>
      <w:r w:rsidR="00E40112">
        <w:rPr>
          <w:color w:val="000000"/>
          <w:lang w:val="en-GB"/>
        </w:rPr>
        <w:t>, while</w:t>
      </w:r>
      <w:r w:rsidR="00B2506B">
        <w:rPr>
          <w:color w:val="000000"/>
          <w:lang w:val="en-GB"/>
        </w:rPr>
        <w:t xml:space="preserve"> non-</w:t>
      </w:r>
      <w:r w:rsidR="00B2506B" w:rsidRPr="00B2506B">
        <w:rPr>
          <w:color w:val="000000"/>
          <w:lang w:val="en-GB"/>
        </w:rPr>
        <w:t xml:space="preserve">Māori </w:t>
      </w:r>
      <w:r w:rsidR="00B2506B">
        <w:rPr>
          <w:color w:val="000000"/>
          <w:lang w:val="en-GB"/>
        </w:rPr>
        <w:t>MPs</w:t>
      </w:r>
      <w:r w:rsidR="00E40112">
        <w:rPr>
          <w:color w:val="000000"/>
          <w:lang w:val="en-GB"/>
        </w:rPr>
        <w:t xml:space="preserve"> only state an indigenous-specific issue in 44,3% of the claims</w:t>
      </w:r>
      <w:r w:rsidR="00B2506B">
        <w:rPr>
          <w:color w:val="000000"/>
          <w:lang w:val="en-GB"/>
        </w:rPr>
        <w:t xml:space="preserve">. </w:t>
      </w:r>
      <w:r w:rsidR="001C5DB4">
        <w:rPr>
          <w:color w:val="000000"/>
          <w:lang w:val="en-GB"/>
        </w:rPr>
        <w:t xml:space="preserve">Thus, </w:t>
      </w:r>
      <w:r w:rsidR="001C5DB4" w:rsidRPr="0069399F">
        <w:rPr>
          <w:color w:val="000000"/>
          <w:lang w:val="en-GB"/>
        </w:rPr>
        <w:t>Māori</w:t>
      </w:r>
      <w:r w:rsidR="001C5DB4">
        <w:rPr>
          <w:color w:val="000000"/>
          <w:lang w:val="en-GB"/>
        </w:rPr>
        <w:t xml:space="preserve"> MPs seem to be important in the representation of issues that specifically address </w:t>
      </w:r>
      <w:r w:rsidR="001C5DB4" w:rsidRPr="0069399F">
        <w:rPr>
          <w:color w:val="000000"/>
          <w:lang w:val="en-GB"/>
        </w:rPr>
        <w:t>Māori</w:t>
      </w:r>
      <w:r w:rsidR="001C5DB4">
        <w:rPr>
          <w:color w:val="000000"/>
          <w:lang w:val="en-GB"/>
        </w:rPr>
        <w:t xml:space="preserve"> people.</w:t>
      </w:r>
    </w:p>
    <w:p w14:paraId="640AC368" w14:textId="0BF762DF" w:rsidR="0074071B" w:rsidRPr="0074071B" w:rsidRDefault="0074071B" w:rsidP="0074071B">
      <w:pPr>
        <w:pStyle w:val="Kop3"/>
        <w:rPr>
          <w:sz w:val="20"/>
          <w:szCs w:val="20"/>
        </w:rPr>
      </w:pPr>
      <w:bookmarkStart w:id="178" w:name="_Toc74503487"/>
      <w:bookmarkStart w:id="179" w:name="_Toc74583619"/>
      <w:bookmarkStart w:id="180" w:name="_Toc74583827"/>
      <w:bookmarkStart w:id="181" w:name="_Toc75384096"/>
      <w:r w:rsidRPr="0074071B">
        <w:rPr>
          <w:sz w:val="20"/>
          <w:szCs w:val="20"/>
        </w:rPr>
        <w:t>Table 4.7. Indigenous-specific/universal issues addressed by MPs during both government periods.</w:t>
      </w:r>
      <w:bookmarkEnd w:id="178"/>
      <w:bookmarkEnd w:id="179"/>
      <w:bookmarkEnd w:id="180"/>
      <w:bookmarkEnd w:id="181"/>
    </w:p>
    <w:tbl>
      <w:tblPr>
        <w:tblStyle w:val="Onopgemaaktetabel3"/>
        <w:tblW w:w="7084" w:type="dxa"/>
        <w:tblBorders>
          <w:bottom w:val="single" w:sz="4" w:space="0" w:color="auto"/>
        </w:tblBorders>
        <w:tblLayout w:type="fixed"/>
        <w:tblLook w:val="0600" w:firstRow="0" w:lastRow="0" w:firstColumn="0" w:lastColumn="0" w:noHBand="1" w:noVBand="1"/>
      </w:tblPr>
      <w:tblGrid>
        <w:gridCol w:w="2399"/>
        <w:gridCol w:w="2303"/>
        <w:gridCol w:w="2382"/>
      </w:tblGrid>
      <w:tr w:rsidR="0069399F" w14:paraId="323C6281" w14:textId="77777777" w:rsidTr="00F35595">
        <w:tc>
          <w:tcPr>
            <w:tcW w:w="2399" w:type="dxa"/>
            <w:tcBorders>
              <w:bottom w:val="single" w:sz="4" w:space="0" w:color="auto"/>
            </w:tcBorders>
          </w:tcPr>
          <w:p w14:paraId="668117CE" w14:textId="77777777" w:rsidR="0069399F" w:rsidRDefault="0069399F" w:rsidP="00F35595"/>
        </w:tc>
        <w:tc>
          <w:tcPr>
            <w:tcW w:w="2303" w:type="dxa"/>
            <w:tcBorders>
              <w:bottom w:val="single" w:sz="4" w:space="0" w:color="auto"/>
            </w:tcBorders>
          </w:tcPr>
          <w:p w14:paraId="017B309A" w14:textId="77777777" w:rsidR="0069399F" w:rsidRDefault="0069399F" w:rsidP="00F35595">
            <w:r>
              <w:rPr>
                <w:color w:val="000000"/>
              </w:rPr>
              <w:t>Māori MPs</w:t>
            </w:r>
          </w:p>
        </w:tc>
        <w:tc>
          <w:tcPr>
            <w:tcW w:w="2382" w:type="dxa"/>
            <w:tcBorders>
              <w:bottom w:val="single" w:sz="4" w:space="0" w:color="auto"/>
            </w:tcBorders>
          </w:tcPr>
          <w:p w14:paraId="6E043399" w14:textId="77777777" w:rsidR="0069399F" w:rsidRDefault="0069399F" w:rsidP="00F35595">
            <w:r>
              <w:t>Non-</w:t>
            </w:r>
            <w:r>
              <w:rPr>
                <w:color w:val="000000"/>
              </w:rPr>
              <w:t>Māori MPs</w:t>
            </w:r>
          </w:p>
        </w:tc>
      </w:tr>
      <w:tr w:rsidR="0069399F" w14:paraId="7A33CF30" w14:textId="77777777" w:rsidTr="002E41AD">
        <w:trPr>
          <w:trHeight w:val="378"/>
        </w:trPr>
        <w:tc>
          <w:tcPr>
            <w:tcW w:w="0" w:type="dxa"/>
            <w:tcBorders>
              <w:top w:val="single" w:sz="4" w:space="0" w:color="auto"/>
              <w:bottom w:val="nil"/>
            </w:tcBorders>
          </w:tcPr>
          <w:p w14:paraId="519BBFDC" w14:textId="77777777" w:rsidR="0069399F" w:rsidRDefault="0069399F" w:rsidP="00F35595">
            <w:r>
              <w:t>Indigenous-specific</w:t>
            </w:r>
          </w:p>
        </w:tc>
        <w:tc>
          <w:tcPr>
            <w:tcW w:w="0" w:type="dxa"/>
            <w:tcBorders>
              <w:top w:val="single" w:sz="4" w:space="0" w:color="auto"/>
              <w:bottom w:val="nil"/>
            </w:tcBorders>
          </w:tcPr>
          <w:p w14:paraId="5F1C4252" w14:textId="77777777" w:rsidR="0069399F" w:rsidRDefault="0069399F" w:rsidP="00F35595">
            <w:r>
              <w:t>70 (64,8%)</w:t>
            </w:r>
          </w:p>
        </w:tc>
        <w:tc>
          <w:tcPr>
            <w:tcW w:w="0" w:type="dxa"/>
            <w:tcBorders>
              <w:top w:val="single" w:sz="4" w:space="0" w:color="auto"/>
              <w:bottom w:val="nil"/>
            </w:tcBorders>
          </w:tcPr>
          <w:p w14:paraId="5A29371A" w14:textId="77777777" w:rsidR="0069399F" w:rsidRDefault="0069399F" w:rsidP="00F35595">
            <w:r>
              <w:t>54 (44,3%)</w:t>
            </w:r>
          </w:p>
        </w:tc>
      </w:tr>
      <w:tr w:rsidR="0069399F" w14:paraId="21B3E523" w14:textId="77777777" w:rsidTr="00F35595">
        <w:tc>
          <w:tcPr>
            <w:tcW w:w="2399" w:type="dxa"/>
            <w:tcBorders>
              <w:bottom w:val="single" w:sz="4" w:space="0" w:color="auto"/>
            </w:tcBorders>
          </w:tcPr>
          <w:p w14:paraId="30A0501C" w14:textId="77777777" w:rsidR="0069399F" w:rsidRDefault="0069399F" w:rsidP="00F35595">
            <w:r>
              <w:t>Universal</w:t>
            </w:r>
          </w:p>
        </w:tc>
        <w:tc>
          <w:tcPr>
            <w:tcW w:w="2303" w:type="dxa"/>
            <w:tcBorders>
              <w:bottom w:val="single" w:sz="4" w:space="0" w:color="auto"/>
            </w:tcBorders>
          </w:tcPr>
          <w:p w14:paraId="112E1CC3" w14:textId="77777777" w:rsidR="0069399F" w:rsidRDefault="0069399F" w:rsidP="00F35595">
            <w:r>
              <w:t>38 (35,2%)</w:t>
            </w:r>
          </w:p>
        </w:tc>
        <w:tc>
          <w:tcPr>
            <w:tcW w:w="2382" w:type="dxa"/>
            <w:tcBorders>
              <w:bottom w:val="single" w:sz="4" w:space="0" w:color="auto"/>
            </w:tcBorders>
          </w:tcPr>
          <w:p w14:paraId="31122F78" w14:textId="77777777" w:rsidR="0069399F" w:rsidRDefault="0069399F" w:rsidP="00F35595">
            <w:r>
              <w:t>68 (55,7%)</w:t>
            </w:r>
          </w:p>
        </w:tc>
      </w:tr>
      <w:tr w:rsidR="0069399F" w14:paraId="1074B616" w14:textId="77777777" w:rsidTr="00F35595">
        <w:trPr>
          <w:trHeight w:val="50"/>
        </w:trPr>
        <w:tc>
          <w:tcPr>
            <w:tcW w:w="2399" w:type="dxa"/>
            <w:tcBorders>
              <w:top w:val="single" w:sz="4" w:space="0" w:color="auto"/>
              <w:bottom w:val="nil"/>
            </w:tcBorders>
          </w:tcPr>
          <w:p w14:paraId="0D6A41B1" w14:textId="77777777" w:rsidR="0069399F" w:rsidRDefault="0069399F" w:rsidP="00F35595">
            <w:r>
              <w:t>Total</w:t>
            </w:r>
          </w:p>
        </w:tc>
        <w:tc>
          <w:tcPr>
            <w:tcW w:w="2303" w:type="dxa"/>
            <w:tcBorders>
              <w:top w:val="single" w:sz="4" w:space="0" w:color="auto"/>
              <w:bottom w:val="nil"/>
            </w:tcBorders>
          </w:tcPr>
          <w:p w14:paraId="4066CBD6" w14:textId="77777777" w:rsidR="0069399F" w:rsidRDefault="0069399F" w:rsidP="00F35595">
            <w:r>
              <w:t>108 (100%)</w:t>
            </w:r>
          </w:p>
        </w:tc>
        <w:tc>
          <w:tcPr>
            <w:tcW w:w="2382" w:type="dxa"/>
            <w:tcBorders>
              <w:top w:val="single" w:sz="4" w:space="0" w:color="auto"/>
              <w:bottom w:val="nil"/>
            </w:tcBorders>
          </w:tcPr>
          <w:p w14:paraId="42A6B4D9" w14:textId="77777777" w:rsidR="0069399F" w:rsidRDefault="0069399F" w:rsidP="00F35595">
            <w:r>
              <w:t>122 (100%)</w:t>
            </w:r>
          </w:p>
        </w:tc>
      </w:tr>
    </w:tbl>
    <w:p w14:paraId="687A27E1" w14:textId="5031CB86" w:rsidR="0069399F" w:rsidRDefault="0069399F" w:rsidP="0074071B">
      <w:pPr>
        <w:pStyle w:val="Kop3"/>
        <w:rPr>
          <w:sz w:val="20"/>
          <w:szCs w:val="20"/>
        </w:rPr>
      </w:pPr>
    </w:p>
    <w:p w14:paraId="2159C0DA" w14:textId="0FD4FE4D" w:rsidR="00F449BC" w:rsidRDefault="00F449BC" w:rsidP="002F3936">
      <w:pPr>
        <w:pStyle w:val="Geenafstand"/>
        <w:spacing w:line="360" w:lineRule="auto"/>
        <w:ind w:firstLine="708"/>
        <w:jc w:val="both"/>
      </w:pPr>
      <w:r w:rsidRPr="0069399F">
        <w:t>The relation between the categories of issues mentioned with the descent of a</w:t>
      </w:r>
      <w:r w:rsidR="008E2648">
        <w:t>n</w:t>
      </w:r>
      <w:r w:rsidRPr="0069399F">
        <w:t xml:space="preserve"> MP is measured using a Cramer’s V test.</w:t>
      </w:r>
      <w:r w:rsidRPr="00901B63">
        <w:rPr>
          <w:vertAlign w:val="superscript"/>
        </w:rPr>
        <w:t>8</w:t>
      </w:r>
      <w:r w:rsidRPr="0069399F">
        <w:t xml:space="preserve"> As revealed in table 4.8, there is a significant</w:t>
      </w:r>
      <w:r>
        <w:t>, although weak,</w:t>
      </w:r>
      <w:r w:rsidRPr="0069399F">
        <w:t xml:space="preserve"> relation</w:t>
      </w:r>
      <w:r>
        <w:t>.</w:t>
      </w:r>
    </w:p>
    <w:p w14:paraId="792C9308" w14:textId="77777777" w:rsidR="008A1DBA" w:rsidRPr="00F449BC" w:rsidRDefault="008A1DBA" w:rsidP="008A1DBA">
      <w:pPr>
        <w:pStyle w:val="Geenafstand"/>
        <w:spacing w:line="360" w:lineRule="auto"/>
        <w:jc w:val="both"/>
      </w:pPr>
    </w:p>
    <w:p w14:paraId="3158E44A" w14:textId="57A1C918" w:rsidR="0069399F" w:rsidRPr="008A1DBA" w:rsidRDefault="0074071B" w:rsidP="008A1DBA">
      <w:pPr>
        <w:pStyle w:val="Kop3"/>
        <w:rPr>
          <w:sz w:val="20"/>
          <w:szCs w:val="20"/>
        </w:rPr>
      </w:pPr>
      <w:bookmarkStart w:id="182" w:name="_Toc74503488"/>
      <w:bookmarkStart w:id="183" w:name="_Toc74583620"/>
      <w:bookmarkStart w:id="184" w:name="_Toc74583828"/>
      <w:bookmarkStart w:id="185" w:name="_Toc75384097"/>
      <w:r w:rsidRPr="008A1DBA">
        <w:rPr>
          <w:sz w:val="20"/>
          <w:szCs w:val="20"/>
        </w:rPr>
        <w:t>Table 4.8 Cramer’s V: MPs and issues.</w:t>
      </w:r>
      <w:bookmarkEnd w:id="182"/>
      <w:bookmarkEnd w:id="183"/>
      <w:bookmarkEnd w:id="184"/>
      <w:bookmarkEnd w:id="185"/>
    </w:p>
    <w:tbl>
      <w:tblPr>
        <w:tblStyle w:val="Onopgemaaktetabel3"/>
        <w:tblW w:w="5307" w:type="dxa"/>
        <w:tblBorders>
          <w:bottom w:val="single" w:sz="4" w:space="0" w:color="auto"/>
        </w:tblBorders>
        <w:tblLayout w:type="fixed"/>
        <w:tblLook w:val="0600" w:firstRow="0" w:lastRow="0" w:firstColumn="0" w:lastColumn="0" w:noHBand="1" w:noVBand="1"/>
      </w:tblPr>
      <w:tblGrid>
        <w:gridCol w:w="1817"/>
        <w:gridCol w:w="1745"/>
        <w:gridCol w:w="1745"/>
      </w:tblGrid>
      <w:tr w:rsidR="0069399F" w14:paraId="1323B13F" w14:textId="77777777" w:rsidTr="00F35595">
        <w:trPr>
          <w:trHeight w:val="256"/>
        </w:trPr>
        <w:tc>
          <w:tcPr>
            <w:tcW w:w="1817" w:type="dxa"/>
            <w:tcBorders>
              <w:bottom w:val="single" w:sz="4" w:space="0" w:color="auto"/>
            </w:tcBorders>
          </w:tcPr>
          <w:p w14:paraId="3A3AC6E5" w14:textId="77777777" w:rsidR="0069399F" w:rsidRDefault="0069399F" w:rsidP="008A1DBA">
            <w:pPr>
              <w:pStyle w:val="Geenafstand"/>
            </w:pPr>
          </w:p>
        </w:tc>
        <w:tc>
          <w:tcPr>
            <w:tcW w:w="1745" w:type="dxa"/>
            <w:tcBorders>
              <w:bottom w:val="single" w:sz="4" w:space="0" w:color="auto"/>
            </w:tcBorders>
          </w:tcPr>
          <w:p w14:paraId="7BED1B20" w14:textId="77777777" w:rsidR="0069399F" w:rsidRDefault="0069399F" w:rsidP="008A1DBA">
            <w:pPr>
              <w:pStyle w:val="Geenafstand"/>
            </w:pPr>
            <w:r>
              <w:t>Value</w:t>
            </w:r>
          </w:p>
        </w:tc>
        <w:tc>
          <w:tcPr>
            <w:tcW w:w="1745" w:type="dxa"/>
            <w:tcBorders>
              <w:bottom w:val="single" w:sz="4" w:space="0" w:color="auto"/>
            </w:tcBorders>
          </w:tcPr>
          <w:p w14:paraId="523695F5" w14:textId="77777777" w:rsidR="0069399F" w:rsidRDefault="0069399F" w:rsidP="008A1DBA">
            <w:pPr>
              <w:pStyle w:val="Geenafstand"/>
            </w:pPr>
            <w:r>
              <w:t>Significance</w:t>
            </w:r>
          </w:p>
        </w:tc>
      </w:tr>
      <w:tr w:rsidR="0069399F" w14:paraId="4EFFAD17" w14:textId="77777777" w:rsidTr="00F35595">
        <w:trPr>
          <w:trHeight w:val="256"/>
        </w:trPr>
        <w:tc>
          <w:tcPr>
            <w:tcW w:w="1817" w:type="dxa"/>
            <w:tcBorders>
              <w:top w:val="single" w:sz="4" w:space="0" w:color="auto"/>
              <w:bottom w:val="nil"/>
            </w:tcBorders>
          </w:tcPr>
          <w:p w14:paraId="5B537E2D" w14:textId="77777777" w:rsidR="0069399F" w:rsidRDefault="0069399F" w:rsidP="008A1DBA">
            <w:pPr>
              <w:pStyle w:val="Geenafstand"/>
            </w:pPr>
            <w:r>
              <w:t>Cramer’s V</w:t>
            </w:r>
          </w:p>
        </w:tc>
        <w:tc>
          <w:tcPr>
            <w:tcW w:w="1745" w:type="dxa"/>
            <w:tcBorders>
              <w:top w:val="single" w:sz="4" w:space="0" w:color="auto"/>
              <w:bottom w:val="nil"/>
            </w:tcBorders>
          </w:tcPr>
          <w:p w14:paraId="2D1C5858" w14:textId="77777777" w:rsidR="0069399F" w:rsidRDefault="0069399F" w:rsidP="008A1DBA">
            <w:pPr>
              <w:pStyle w:val="Geenafstand"/>
            </w:pPr>
            <w:r>
              <w:t>0,206</w:t>
            </w:r>
          </w:p>
        </w:tc>
        <w:tc>
          <w:tcPr>
            <w:tcW w:w="1745" w:type="dxa"/>
            <w:tcBorders>
              <w:top w:val="single" w:sz="4" w:space="0" w:color="auto"/>
              <w:bottom w:val="nil"/>
            </w:tcBorders>
          </w:tcPr>
          <w:p w14:paraId="3375F333" w14:textId="77777777" w:rsidR="0069399F" w:rsidRDefault="0069399F" w:rsidP="008A1DBA">
            <w:pPr>
              <w:pStyle w:val="Geenafstand"/>
            </w:pPr>
            <w:r>
              <w:t>0,002</w:t>
            </w:r>
          </w:p>
        </w:tc>
      </w:tr>
      <w:tr w:rsidR="0069399F" w14:paraId="4EBCAEE3" w14:textId="77777777" w:rsidTr="00F35595">
        <w:trPr>
          <w:trHeight w:val="256"/>
        </w:trPr>
        <w:tc>
          <w:tcPr>
            <w:tcW w:w="1817" w:type="dxa"/>
            <w:tcBorders>
              <w:bottom w:val="single" w:sz="4" w:space="0" w:color="auto"/>
            </w:tcBorders>
          </w:tcPr>
          <w:p w14:paraId="41A022B9" w14:textId="77777777" w:rsidR="0069399F" w:rsidRDefault="0069399F" w:rsidP="008A1DBA">
            <w:pPr>
              <w:pStyle w:val="Geenafstand"/>
            </w:pPr>
            <w:r>
              <w:t>N</w:t>
            </w:r>
          </w:p>
        </w:tc>
        <w:tc>
          <w:tcPr>
            <w:tcW w:w="1745" w:type="dxa"/>
            <w:tcBorders>
              <w:bottom w:val="single" w:sz="4" w:space="0" w:color="auto"/>
            </w:tcBorders>
          </w:tcPr>
          <w:p w14:paraId="3760E51B" w14:textId="77777777" w:rsidR="0069399F" w:rsidRDefault="0069399F" w:rsidP="008A1DBA">
            <w:pPr>
              <w:pStyle w:val="Geenafstand"/>
            </w:pPr>
            <w:r>
              <w:t>230</w:t>
            </w:r>
          </w:p>
        </w:tc>
        <w:tc>
          <w:tcPr>
            <w:tcW w:w="1745" w:type="dxa"/>
            <w:tcBorders>
              <w:bottom w:val="single" w:sz="4" w:space="0" w:color="auto"/>
            </w:tcBorders>
          </w:tcPr>
          <w:p w14:paraId="1B4204BE" w14:textId="77777777" w:rsidR="0069399F" w:rsidRDefault="0069399F" w:rsidP="008A1DBA">
            <w:pPr>
              <w:pStyle w:val="Geenafstand"/>
            </w:pPr>
          </w:p>
        </w:tc>
      </w:tr>
    </w:tbl>
    <w:p w14:paraId="5EBC7C61" w14:textId="77777777" w:rsidR="0069399F" w:rsidRPr="0069399F" w:rsidRDefault="0069399F" w:rsidP="0069399F">
      <w:pPr>
        <w:rPr>
          <w:lang w:val="en-GB"/>
        </w:rPr>
      </w:pPr>
    </w:p>
    <w:p w14:paraId="7A453059" w14:textId="26AAC1B4" w:rsidR="00981925" w:rsidRDefault="0069399F" w:rsidP="0069399F">
      <w:pPr>
        <w:spacing w:line="360" w:lineRule="auto"/>
        <w:ind w:firstLine="720"/>
        <w:jc w:val="both"/>
        <w:rPr>
          <w:color w:val="000000"/>
          <w:lang w:val="en-GB"/>
        </w:rPr>
      </w:pPr>
      <w:r w:rsidRPr="0069399F">
        <w:rPr>
          <w:lang w:val="en-GB"/>
        </w:rPr>
        <w:lastRenderedPageBreak/>
        <w:t>Figure 4.9 shows that the two main issues are</w:t>
      </w:r>
      <w:r w:rsidR="0073675E">
        <w:rPr>
          <w:lang w:val="en-GB"/>
        </w:rPr>
        <w:t xml:space="preserve"> </w:t>
      </w:r>
      <w:r w:rsidRPr="0069399F">
        <w:rPr>
          <w:lang w:val="en-GB"/>
        </w:rPr>
        <w:t>the ‘Treaty of Waitangi/crown-</w:t>
      </w:r>
      <w:r w:rsidRPr="0069399F">
        <w:rPr>
          <w:color w:val="000000"/>
          <w:lang w:val="en-GB"/>
        </w:rPr>
        <w:t>Māori relation’</w:t>
      </w:r>
      <w:r w:rsidRPr="0069399F">
        <w:rPr>
          <w:lang w:val="en-GB"/>
        </w:rPr>
        <w:t xml:space="preserve"> and ‘governance, autonomy and self-determination’</w:t>
      </w:r>
      <w:r w:rsidRPr="0069399F">
        <w:rPr>
          <w:color w:val="000000"/>
          <w:lang w:val="en-GB"/>
        </w:rPr>
        <w:t xml:space="preserve">. </w:t>
      </w:r>
    </w:p>
    <w:p w14:paraId="31C801E1" w14:textId="3EDC706E" w:rsidR="00981925" w:rsidRDefault="00981925" w:rsidP="00981925">
      <w:pPr>
        <w:spacing w:line="360" w:lineRule="auto"/>
        <w:ind w:firstLine="720"/>
        <w:jc w:val="center"/>
        <w:rPr>
          <w:color w:val="000000"/>
          <w:lang w:val="en-GB"/>
        </w:rPr>
      </w:pPr>
      <w:r>
        <w:rPr>
          <w:rFonts w:ascii="Times New Roman" w:eastAsia="Times New Roman" w:hAnsi="Times New Roman" w:cs="Times New Roman"/>
          <w:noProof/>
          <w:sz w:val="24"/>
          <w:szCs w:val="24"/>
        </w:rPr>
        <w:drawing>
          <wp:inline distT="0" distB="0" distL="0" distR="0" wp14:anchorId="612BA304" wp14:editId="35C36EBB">
            <wp:extent cx="4737100" cy="2743200"/>
            <wp:effectExtent l="0" t="0" r="635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737100" cy="2743200"/>
                    </a:xfrm>
                    <a:prstGeom prst="rect">
                      <a:avLst/>
                    </a:prstGeom>
                    <a:ln/>
                  </pic:spPr>
                </pic:pic>
              </a:graphicData>
            </a:graphic>
          </wp:inline>
        </w:drawing>
      </w:r>
    </w:p>
    <w:p w14:paraId="4E740F6B" w14:textId="5DD47C7B" w:rsidR="00981925" w:rsidRPr="0074071B" w:rsidRDefault="00981925" w:rsidP="00981925">
      <w:pPr>
        <w:pStyle w:val="Kop3"/>
        <w:jc w:val="center"/>
        <w:rPr>
          <w:sz w:val="20"/>
          <w:szCs w:val="20"/>
        </w:rPr>
      </w:pPr>
      <w:bookmarkStart w:id="186" w:name="_Toc72853017"/>
      <w:bookmarkStart w:id="187" w:name="_Toc74503489"/>
      <w:bookmarkStart w:id="188" w:name="_Toc74583621"/>
      <w:bookmarkStart w:id="189" w:name="_Toc74583829"/>
      <w:bookmarkStart w:id="190" w:name="_Toc75384098"/>
      <w:r w:rsidRPr="0074071B">
        <w:rPr>
          <w:sz w:val="20"/>
          <w:szCs w:val="20"/>
        </w:rPr>
        <w:t xml:space="preserve">Figure 4.9. Issues mentioned by MPs </w:t>
      </w:r>
      <w:r w:rsidR="00335A80">
        <w:rPr>
          <w:sz w:val="20"/>
          <w:szCs w:val="20"/>
        </w:rPr>
        <w:t>in both</w:t>
      </w:r>
      <w:r w:rsidRPr="0074071B">
        <w:rPr>
          <w:sz w:val="20"/>
          <w:szCs w:val="20"/>
        </w:rPr>
        <w:t xml:space="preserve"> government period</w:t>
      </w:r>
      <w:r w:rsidR="00335A80">
        <w:rPr>
          <w:sz w:val="20"/>
          <w:szCs w:val="20"/>
        </w:rPr>
        <w:t>s</w:t>
      </w:r>
      <w:r w:rsidRPr="0074071B">
        <w:rPr>
          <w:sz w:val="20"/>
          <w:szCs w:val="20"/>
        </w:rPr>
        <w:t>.</w:t>
      </w:r>
      <w:bookmarkEnd w:id="186"/>
      <w:bookmarkEnd w:id="187"/>
      <w:bookmarkEnd w:id="188"/>
      <w:bookmarkEnd w:id="189"/>
      <w:bookmarkEnd w:id="190"/>
    </w:p>
    <w:p w14:paraId="29D1F671" w14:textId="77777777" w:rsidR="00981925" w:rsidRDefault="00981925" w:rsidP="0069399F">
      <w:pPr>
        <w:spacing w:line="360" w:lineRule="auto"/>
        <w:ind w:firstLine="720"/>
        <w:jc w:val="both"/>
        <w:rPr>
          <w:color w:val="000000"/>
          <w:lang w:val="en-GB"/>
        </w:rPr>
      </w:pPr>
    </w:p>
    <w:p w14:paraId="41EC002C" w14:textId="5A3042DB" w:rsidR="0069399F" w:rsidRPr="001E047D" w:rsidRDefault="0069399F" w:rsidP="001E047D">
      <w:pPr>
        <w:spacing w:line="360" w:lineRule="auto"/>
        <w:ind w:firstLine="720"/>
        <w:jc w:val="both"/>
        <w:rPr>
          <w:color w:val="000000"/>
          <w:lang w:val="en-GB"/>
        </w:rPr>
      </w:pPr>
      <w:r w:rsidRPr="0069399F">
        <w:rPr>
          <w:color w:val="000000"/>
          <w:lang w:val="en-GB"/>
        </w:rPr>
        <w:t xml:space="preserve">When we </w:t>
      </w:r>
      <w:r w:rsidR="00621058" w:rsidRPr="0069399F">
        <w:rPr>
          <w:color w:val="000000"/>
          <w:lang w:val="en-GB"/>
        </w:rPr>
        <w:t>look</w:t>
      </w:r>
      <w:r w:rsidRPr="0069399F">
        <w:rPr>
          <w:color w:val="000000"/>
          <w:lang w:val="en-GB"/>
        </w:rPr>
        <w:t xml:space="preserve"> at table 4.9, we see that these two issues both</w:t>
      </w:r>
      <w:r w:rsidR="008A59C1">
        <w:rPr>
          <w:color w:val="000000"/>
          <w:lang w:val="en-GB"/>
        </w:rPr>
        <w:t xml:space="preserve"> </w:t>
      </w:r>
      <w:r w:rsidRPr="0069399F">
        <w:rPr>
          <w:color w:val="000000"/>
          <w:lang w:val="en-GB"/>
        </w:rPr>
        <w:t xml:space="preserve">take up around 20% of the share of the issues addressed during both government periods. </w:t>
      </w:r>
      <w:r w:rsidRPr="0069399F">
        <w:rPr>
          <w:lang w:val="en-GB"/>
        </w:rPr>
        <w:t>These findings are not surprising seen the history of Aotearoa New Zealand.</w:t>
      </w:r>
      <w:r w:rsidRPr="0069399F">
        <w:rPr>
          <w:color w:val="000000"/>
          <w:lang w:val="en-GB"/>
        </w:rPr>
        <w:t xml:space="preserve"> The Treaty of Waitangi forms the basis </w:t>
      </w:r>
      <w:r w:rsidR="00D1012C">
        <w:rPr>
          <w:color w:val="000000"/>
          <w:lang w:val="en-GB"/>
        </w:rPr>
        <w:t>ensuring</w:t>
      </w:r>
      <w:r w:rsidRPr="0069399F">
        <w:rPr>
          <w:color w:val="000000"/>
          <w:lang w:val="en-GB"/>
        </w:rPr>
        <w:t xml:space="preserve"> the rights of M</w:t>
      </w:r>
      <w:r w:rsidRPr="0069399F">
        <w:rPr>
          <w:color w:val="000000"/>
          <w:highlight w:val="white"/>
          <w:lang w:val="en-GB"/>
        </w:rPr>
        <w:t>āori people in policies (Stokes, 1992)</w:t>
      </w:r>
      <w:r w:rsidR="001E047D">
        <w:rPr>
          <w:color w:val="000000"/>
          <w:highlight w:val="white"/>
          <w:lang w:val="en-GB"/>
        </w:rPr>
        <w:t>.</w:t>
      </w:r>
      <w:r w:rsidRPr="0069399F">
        <w:rPr>
          <w:color w:val="000000"/>
          <w:highlight w:val="white"/>
          <w:lang w:val="en-GB"/>
        </w:rPr>
        <w:t xml:space="preserve"> </w:t>
      </w:r>
      <w:r w:rsidR="001E047D">
        <w:rPr>
          <w:color w:val="000000"/>
          <w:highlight w:val="white"/>
          <w:lang w:val="en-GB"/>
        </w:rPr>
        <w:t>C</w:t>
      </w:r>
      <w:r w:rsidRPr="0069399F">
        <w:rPr>
          <w:color w:val="000000"/>
          <w:highlight w:val="white"/>
          <w:lang w:val="en-GB"/>
        </w:rPr>
        <w:t xml:space="preserve">ausing a lot of claims that address this issue. </w:t>
      </w:r>
      <w:r w:rsidR="00C9543F" w:rsidRPr="0069399F">
        <w:rPr>
          <w:color w:val="000000"/>
          <w:highlight w:val="white"/>
          <w:lang w:val="en-GB"/>
        </w:rPr>
        <w:t xml:space="preserve">Reading the speeches, it became clear that the political position of </w:t>
      </w:r>
      <w:r w:rsidR="00C9543F" w:rsidRPr="0069399F">
        <w:rPr>
          <w:color w:val="000000"/>
          <w:lang w:val="en-GB"/>
        </w:rPr>
        <w:t>M</w:t>
      </w:r>
      <w:r w:rsidR="00C9543F" w:rsidRPr="0069399F">
        <w:rPr>
          <w:color w:val="000000"/>
          <w:highlight w:val="white"/>
          <w:lang w:val="en-GB"/>
        </w:rPr>
        <w:t>āori people, both at the local and national level</w:t>
      </w:r>
      <w:r w:rsidR="00C9543F" w:rsidRPr="0069399F">
        <w:rPr>
          <w:color w:val="000000"/>
          <w:lang w:val="en-GB"/>
        </w:rPr>
        <w:t>, remains a much discussed topic.</w:t>
      </w:r>
      <w:r w:rsidR="00C9543F">
        <w:rPr>
          <w:color w:val="000000"/>
          <w:lang w:val="en-GB"/>
        </w:rPr>
        <w:t xml:space="preserve"> </w:t>
      </w:r>
    </w:p>
    <w:p w14:paraId="15CF7ECA" w14:textId="2E24DE42" w:rsidR="0069399F" w:rsidRDefault="0069399F" w:rsidP="002F3936">
      <w:pPr>
        <w:pStyle w:val="Geenafstand"/>
        <w:spacing w:line="360" w:lineRule="auto"/>
        <w:ind w:firstLine="708"/>
        <w:jc w:val="both"/>
      </w:pPr>
      <w:r w:rsidRPr="0069399F">
        <w:t>Table 4.9 reveals that the Treaty of Waitangi is mainly mentioned in the 52</w:t>
      </w:r>
      <w:r w:rsidRPr="0069399F">
        <w:rPr>
          <w:vertAlign w:val="superscript"/>
        </w:rPr>
        <w:t>nd</w:t>
      </w:r>
      <w:r w:rsidRPr="0069399F">
        <w:t xml:space="preserve"> government period </w:t>
      </w:r>
      <w:r w:rsidR="003476C7">
        <w:t xml:space="preserve">(30,1%) </w:t>
      </w:r>
      <w:r w:rsidRPr="0069399F">
        <w:t>and the issue of governance in the 53</w:t>
      </w:r>
      <w:r w:rsidRPr="0069399F">
        <w:rPr>
          <w:vertAlign w:val="superscript"/>
        </w:rPr>
        <w:t>rd</w:t>
      </w:r>
      <w:r w:rsidRPr="0069399F">
        <w:t xml:space="preserve"> government period</w:t>
      </w:r>
      <w:r w:rsidR="003476C7">
        <w:t xml:space="preserve"> (32,3%)</w:t>
      </w:r>
      <w:r w:rsidRPr="0069399F">
        <w:t>. During the 52</w:t>
      </w:r>
      <w:r w:rsidRPr="0069399F">
        <w:rPr>
          <w:vertAlign w:val="superscript"/>
        </w:rPr>
        <w:t xml:space="preserve">nd </w:t>
      </w:r>
      <w:r w:rsidRPr="0069399F">
        <w:t>government period many Settlement Bills were discussed in Parliament. These bills recognise the wrongs of the state in the past by compensating M</w:t>
      </w:r>
      <w:r w:rsidRPr="0069399F">
        <w:rPr>
          <w:highlight w:val="white"/>
        </w:rPr>
        <w:t xml:space="preserve">āori people. The state deprived many </w:t>
      </w:r>
      <w:r w:rsidRPr="0069399F">
        <w:t>M</w:t>
      </w:r>
      <w:r w:rsidRPr="0069399F">
        <w:rPr>
          <w:highlight w:val="white"/>
        </w:rPr>
        <w:t xml:space="preserve">āori tribes from their land in the past and tries to make up for this </w:t>
      </w:r>
      <w:r w:rsidR="00721A4E">
        <w:rPr>
          <w:highlight w:val="white"/>
        </w:rPr>
        <w:t>by</w:t>
      </w:r>
      <w:r w:rsidRPr="0069399F">
        <w:rPr>
          <w:highlight w:val="white"/>
        </w:rPr>
        <w:t xml:space="preserve"> giving them land and</w:t>
      </w:r>
      <w:r w:rsidR="004C077A">
        <w:rPr>
          <w:highlight w:val="white"/>
        </w:rPr>
        <w:t>/or</w:t>
      </w:r>
      <w:r w:rsidRPr="0069399F">
        <w:rPr>
          <w:highlight w:val="white"/>
        </w:rPr>
        <w:t xml:space="preserve"> money. These Settlement Bills explain the high number of claims that were coded under the ‘Treaty of Waitangi/crown-</w:t>
      </w:r>
      <w:r w:rsidRPr="0069399F">
        <w:t>M</w:t>
      </w:r>
      <w:r w:rsidRPr="0069399F">
        <w:rPr>
          <w:highlight w:val="white"/>
        </w:rPr>
        <w:t>āori relation’. In the 53</w:t>
      </w:r>
      <w:r w:rsidRPr="0069399F">
        <w:rPr>
          <w:highlight w:val="white"/>
          <w:vertAlign w:val="superscript"/>
        </w:rPr>
        <w:t>rd</w:t>
      </w:r>
      <w:r w:rsidRPr="0069399F">
        <w:rPr>
          <w:highlight w:val="white"/>
        </w:rPr>
        <w:t xml:space="preserve"> government period</w:t>
      </w:r>
      <w:r w:rsidR="009E7B23">
        <w:rPr>
          <w:highlight w:val="white"/>
        </w:rPr>
        <w:t>,</w:t>
      </w:r>
      <w:r w:rsidRPr="0069399F">
        <w:rPr>
          <w:highlight w:val="white"/>
        </w:rPr>
        <w:t xml:space="preserve"> a new bill regarding </w:t>
      </w:r>
      <w:r w:rsidRPr="0069399F">
        <w:t>M</w:t>
      </w:r>
      <w:r w:rsidRPr="0069399F">
        <w:rPr>
          <w:highlight w:val="white"/>
        </w:rPr>
        <w:t xml:space="preserve">āori representation on the local level was heavily discussed. </w:t>
      </w:r>
      <w:r w:rsidR="00593D53">
        <w:rPr>
          <w:highlight w:val="white"/>
        </w:rPr>
        <w:t>On this bill t</w:t>
      </w:r>
      <w:r w:rsidRPr="0069399F">
        <w:rPr>
          <w:highlight w:val="white"/>
        </w:rPr>
        <w:t>here were many debates held in a short</w:t>
      </w:r>
      <w:r w:rsidR="00593D53">
        <w:rPr>
          <w:highlight w:val="white"/>
        </w:rPr>
        <w:t xml:space="preserve"> period of</w:t>
      </w:r>
      <w:r w:rsidRPr="0069399F">
        <w:rPr>
          <w:highlight w:val="white"/>
        </w:rPr>
        <w:t xml:space="preserve"> time </w:t>
      </w:r>
      <w:r w:rsidR="003430A4" w:rsidRPr="0069399F">
        <w:rPr>
          <w:highlight w:val="white"/>
        </w:rPr>
        <w:t>because</w:t>
      </w:r>
      <w:r w:rsidRPr="0069399F">
        <w:rPr>
          <w:highlight w:val="white"/>
        </w:rPr>
        <w:t xml:space="preserve"> many MPs wanted the bill to be executed in the near future. </w:t>
      </w:r>
      <w:r w:rsidRPr="0069399F">
        <w:t xml:space="preserve"> </w:t>
      </w:r>
    </w:p>
    <w:p w14:paraId="576F4505" w14:textId="49F67E75" w:rsidR="0009495B" w:rsidRDefault="0009495B" w:rsidP="0009495B">
      <w:pPr>
        <w:pStyle w:val="Geenafstand"/>
        <w:spacing w:line="360" w:lineRule="auto"/>
        <w:jc w:val="both"/>
      </w:pPr>
    </w:p>
    <w:p w14:paraId="105E34C9" w14:textId="77777777" w:rsidR="00B647A2" w:rsidRDefault="00B647A2" w:rsidP="0009495B">
      <w:pPr>
        <w:pStyle w:val="Geenafstand"/>
        <w:spacing w:line="360" w:lineRule="auto"/>
        <w:jc w:val="both"/>
      </w:pPr>
    </w:p>
    <w:p w14:paraId="1A1D67DF" w14:textId="046D4EDA" w:rsidR="0074071B" w:rsidRPr="0009495B" w:rsidRDefault="0074071B" w:rsidP="0009495B">
      <w:pPr>
        <w:pStyle w:val="Kop3"/>
        <w:rPr>
          <w:sz w:val="20"/>
          <w:szCs w:val="20"/>
        </w:rPr>
      </w:pPr>
      <w:bookmarkStart w:id="191" w:name="_Toc72853018"/>
      <w:bookmarkStart w:id="192" w:name="_Toc74503490"/>
      <w:bookmarkStart w:id="193" w:name="_Toc74583622"/>
      <w:bookmarkStart w:id="194" w:name="_Toc74583830"/>
      <w:bookmarkStart w:id="195" w:name="_Toc75384099"/>
      <w:r w:rsidRPr="0009495B">
        <w:rPr>
          <w:sz w:val="20"/>
          <w:szCs w:val="20"/>
        </w:rPr>
        <w:lastRenderedPageBreak/>
        <w:t>Table 4.9. Issues</w:t>
      </w:r>
      <w:bookmarkEnd w:id="191"/>
      <w:bookmarkEnd w:id="192"/>
      <w:bookmarkEnd w:id="193"/>
      <w:bookmarkEnd w:id="194"/>
      <w:r w:rsidR="004D0F44" w:rsidRPr="0009495B">
        <w:rPr>
          <w:sz w:val="20"/>
          <w:szCs w:val="20"/>
        </w:rPr>
        <w:t xml:space="preserve"> mentioned by MPs.</w:t>
      </w:r>
      <w:bookmarkEnd w:id="195"/>
    </w:p>
    <w:tbl>
      <w:tblPr>
        <w:tblStyle w:val="Onopgemaaktetabel3"/>
        <w:tblW w:w="9062" w:type="dxa"/>
        <w:tblLayout w:type="fixed"/>
        <w:tblLook w:val="0600" w:firstRow="0" w:lastRow="0" w:firstColumn="0" w:lastColumn="0" w:noHBand="1" w:noVBand="1"/>
      </w:tblPr>
      <w:tblGrid>
        <w:gridCol w:w="2515"/>
        <w:gridCol w:w="2160"/>
        <w:gridCol w:w="2160"/>
        <w:gridCol w:w="2227"/>
      </w:tblGrid>
      <w:tr w:rsidR="0069399F" w14:paraId="43848029" w14:textId="77777777" w:rsidTr="00F35595">
        <w:tc>
          <w:tcPr>
            <w:tcW w:w="2515" w:type="dxa"/>
            <w:tcBorders>
              <w:bottom w:val="single" w:sz="4" w:space="0" w:color="auto"/>
            </w:tcBorders>
          </w:tcPr>
          <w:p w14:paraId="543FC6F3" w14:textId="77777777" w:rsidR="0069399F" w:rsidRDefault="0069399F" w:rsidP="0009495B">
            <w:pPr>
              <w:pStyle w:val="Geenafstand"/>
            </w:pPr>
          </w:p>
        </w:tc>
        <w:tc>
          <w:tcPr>
            <w:tcW w:w="2160" w:type="dxa"/>
            <w:tcBorders>
              <w:bottom w:val="single" w:sz="4" w:space="0" w:color="auto"/>
            </w:tcBorders>
          </w:tcPr>
          <w:p w14:paraId="2DC041A1" w14:textId="77777777" w:rsidR="0069399F" w:rsidRDefault="0069399F" w:rsidP="0009495B">
            <w:pPr>
              <w:pStyle w:val="Geenafstand"/>
            </w:pPr>
            <w:r>
              <w:t>52</w:t>
            </w:r>
            <w:r>
              <w:rPr>
                <w:vertAlign w:val="superscript"/>
              </w:rPr>
              <w:t>nd</w:t>
            </w:r>
            <w:r>
              <w:t xml:space="preserve"> government period</w:t>
            </w:r>
          </w:p>
        </w:tc>
        <w:tc>
          <w:tcPr>
            <w:tcW w:w="2160" w:type="dxa"/>
            <w:tcBorders>
              <w:bottom w:val="single" w:sz="4" w:space="0" w:color="auto"/>
            </w:tcBorders>
          </w:tcPr>
          <w:p w14:paraId="43A27FCD" w14:textId="77777777" w:rsidR="0069399F" w:rsidRDefault="0069399F" w:rsidP="0009495B">
            <w:pPr>
              <w:pStyle w:val="Geenafstand"/>
            </w:pPr>
            <w:r>
              <w:t>53</w:t>
            </w:r>
            <w:r>
              <w:rPr>
                <w:vertAlign w:val="superscript"/>
              </w:rPr>
              <w:t>rd</w:t>
            </w:r>
            <w:r>
              <w:t xml:space="preserve"> government period</w:t>
            </w:r>
          </w:p>
        </w:tc>
        <w:tc>
          <w:tcPr>
            <w:tcW w:w="2227" w:type="dxa"/>
            <w:tcBorders>
              <w:bottom w:val="single" w:sz="4" w:space="0" w:color="auto"/>
            </w:tcBorders>
          </w:tcPr>
          <w:p w14:paraId="4C0DABCC" w14:textId="77777777" w:rsidR="0069399F" w:rsidRDefault="0069399F" w:rsidP="0009495B">
            <w:pPr>
              <w:pStyle w:val="Geenafstand"/>
            </w:pPr>
            <w:r>
              <w:t>Total</w:t>
            </w:r>
          </w:p>
        </w:tc>
      </w:tr>
      <w:tr w:rsidR="0069399F" w14:paraId="1FBF6972" w14:textId="77777777" w:rsidTr="00F35595">
        <w:tc>
          <w:tcPr>
            <w:tcW w:w="2515" w:type="dxa"/>
            <w:tcBorders>
              <w:top w:val="single" w:sz="4" w:space="0" w:color="auto"/>
            </w:tcBorders>
          </w:tcPr>
          <w:p w14:paraId="4D357092" w14:textId="77777777" w:rsidR="0069399F" w:rsidRDefault="0069399F" w:rsidP="0009495B">
            <w:pPr>
              <w:pStyle w:val="Geenafstand"/>
            </w:pPr>
            <w:r>
              <w:t>Social policy</w:t>
            </w:r>
          </w:p>
        </w:tc>
        <w:tc>
          <w:tcPr>
            <w:tcW w:w="2160" w:type="dxa"/>
            <w:tcBorders>
              <w:top w:val="single" w:sz="4" w:space="0" w:color="auto"/>
            </w:tcBorders>
          </w:tcPr>
          <w:p w14:paraId="162C7C6A" w14:textId="77777777" w:rsidR="0069399F" w:rsidRDefault="0069399F" w:rsidP="0009495B">
            <w:pPr>
              <w:pStyle w:val="Geenafstand"/>
            </w:pPr>
            <w:r>
              <w:t>9 (8,7%)</w:t>
            </w:r>
          </w:p>
        </w:tc>
        <w:tc>
          <w:tcPr>
            <w:tcW w:w="2160" w:type="dxa"/>
            <w:tcBorders>
              <w:top w:val="single" w:sz="4" w:space="0" w:color="auto"/>
            </w:tcBorders>
          </w:tcPr>
          <w:p w14:paraId="43ADAD26" w14:textId="77777777" w:rsidR="0069399F" w:rsidRDefault="0069399F" w:rsidP="0009495B">
            <w:pPr>
              <w:pStyle w:val="Geenafstand"/>
            </w:pPr>
            <w:r>
              <w:t>13 (10,2%)</w:t>
            </w:r>
          </w:p>
        </w:tc>
        <w:tc>
          <w:tcPr>
            <w:tcW w:w="2227" w:type="dxa"/>
            <w:tcBorders>
              <w:top w:val="single" w:sz="4" w:space="0" w:color="auto"/>
            </w:tcBorders>
          </w:tcPr>
          <w:p w14:paraId="78D85EF2" w14:textId="77777777" w:rsidR="0069399F" w:rsidRDefault="0069399F" w:rsidP="0009495B">
            <w:pPr>
              <w:pStyle w:val="Geenafstand"/>
            </w:pPr>
            <w:r>
              <w:t>22 (9,6%)</w:t>
            </w:r>
          </w:p>
        </w:tc>
      </w:tr>
      <w:tr w:rsidR="0069399F" w14:paraId="138F6F3B" w14:textId="77777777" w:rsidTr="00F35595">
        <w:tc>
          <w:tcPr>
            <w:tcW w:w="2515" w:type="dxa"/>
          </w:tcPr>
          <w:p w14:paraId="0D3CF3E3" w14:textId="77777777" w:rsidR="0069399F" w:rsidRDefault="0069399F" w:rsidP="0009495B">
            <w:pPr>
              <w:pStyle w:val="Geenafstand"/>
            </w:pPr>
            <w:r>
              <w:t>Health</w:t>
            </w:r>
          </w:p>
        </w:tc>
        <w:tc>
          <w:tcPr>
            <w:tcW w:w="2160" w:type="dxa"/>
          </w:tcPr>
          <w:p w14:paraId="76650B27" w14:textId="77777777" w:rsidR="0069399F" w:rsidRDefault="0069399F" w:rsidP="0009495B">
            <w:pPr>
              <w:pStyle w:val="Geenafstand"/>
            </w:pPr>
            <w:r>
              <w:t>15 (14,6%)</w:t>
            </w:r>
          </w:p>
        </w:tc>
        <w:tc>
          <w:tcPr>
            <w:tcW w:w="2160" w:type="dxa"/>
          </w:tcPr>
          <w:p w14:paraId="1D69C025" w14:textId="77777777" w:rsidR="0069399F" w:rsidRDefault="0069399F" w:rsidP="0009495B">
            <w:pPr>
              <w:pStyle w:val="Geenafstand"/>
            </w:pPr>
            <w:r>
              <w:t>11 (8,7%)</w:t>
            </w:r>
          </w:p>
        </w:tc>
        <w:tc>
          <w:tcPr>
            <w:tcW w:w="2227" w:type="dxa"/>
          </w:tcPr>
          <w:p w14:paraId="7CFD1159" w14:textId="77777777" w:rsidR="0069399F" w:rsidRDefault="0069399F" w:rsidP="0009495B">
            <w:pPr>
              <w:pStyle w:val="Geenafstand"/>
            </w:pPr>
            <w:r>
              <w:t>26 (11,3%)</w:t>
            </w:r>
          </w:p>
        </w:tc>
      </w:tr>
      <w:tr w:rsidR="0069399F" w14:paraId="6B664F67" w14:textId="77777777" w:rsidTr="00F35595">
        <w:tc>
          <w:tcPr>
            <w:tcW w:w="2515" w:type="dxa"/>
          </w:tcPr>
          <w:p w14:paraId="00AAF37E" w14:textId="77777777" w:rsidR="0069399F" w:rsidRDefault="0069399F" w:rsidP="0009495B">
            <w:pPr>
              <w:pStyle w:val="Geenafstand"/>
            </w:pPr>
            <w:r>
              <w:t>Education, art and language</w:t>
            </w:r>
          </w:p>
        </w:tc>
        <w:tc>
          <w:tcPr>
            <w:tcW w:w="2160" w:type="dxa"/>
          </w:tcPr>
          <w:p w14:paraId="394BE012" w14:textId="77777777" w:rsidR="0069399F" w:rsidRDefault="0069399F" w:rsidP="0009495B">
            <w:pPr>
              <w:pStyle w:val="Geenafstand"/>
            </w:pPr>
            <w:r>
              <w:t>10 (9,7%)</w:t>
            </w:r>
          </w:p>
        </w:tc>
        <w:tc>
          <w:tcPr>
            <w:tcW w:w="2160" w:type="dxa"/>
          </w:tcPr>
          <w:p w14:paraId="2EDFEE54" w14:textId="77777777" w:rsidR="0069399F" w:rsidRDefault="0069399F" w:rsidP="0009495B">
            <w:pPr>
              <w:pStyle w:val="Geenafstand"/>
            </w:pPr>
            <w:r>
              <w:t>8 (6,3%)</w:t>
            </w:r>
          </w:p>
        </w:tc>
        <w:tc>
          <w:tcPr>
            <w:tcW w:w="2227" w:type="dxa"/>
          </w:tcPr>
          <w:p w14:paraId="5FC6DF03" w14:textId="77777777" w:rsidR="0069399F" w:rsidRDefault="0069399F" w:rsidP="0009495B">
            <w:pPr>
              <w:pStyle w:val="Geenafstand"/>
            </w:pPr>
            <w:r>
              <w:t>18 (7,8%)</w:t>
            </w:r>
          </w:p>
        </w:tc>
      </w:tr>
      <w:tr w:rsidR="0069399F" w14:paraId="3810F7F1" w14:textId="77777777" w:rsidTr="00F35595">
        <w:tc>
          <w:tcPr>
            <w:tcW w:w="2515" w:type="dxa"/>
          </w:tcPr>
          <w:p w14:paraId="4F01100A" w14:textId="77777777" w:rsidR="0069399F" w:rsidRDefault="0069399F" w:rsidP="0009495B">
            <w:pPr>
              <w:pStyle w:val="Geenafstand"/>
            </w:pPr>
            <w:r>
              <w:t>Energy, resources and environment</w:t>
            </w:r>
          </w:p>
        </w:tc>
        <w:tc>
          <w:tcPr>
            <w:tcW w:w="2160" w:type="dxa"/>
          </w:tcPr>
          <w:p w14:paraId="76D11F94" w14:textId="77777777" w:rsidR="0069399F" w:rsidRDefault="0069399F" w:rsidP="0009495B">
            <w:pPr>
              <w:pStyle w:val="Geenafstand"/>
            </w:pPr>
            <w:r>
              <w:t>3 (2,9%)</w:t>
            </w:r>
          </w:p>
        </w:tc>
        <w:tc>
          <w:tcPr>
            <w:tcW w:w="2160" w:type="dxa"/>
          </w:tcPr>
          <w:p w14:paraId="4FB569B3" w14:textId="77777777" w:rsidR="0069399F" w:rsidRDefault="0069399F" w:rsidP="0009495B">
            <w:pPr>
              <w:pStyle w:val="Geenafstand"/>
            </w:pPr>
            <w:r>
              <w:t>4 (3,1%)</w:t>
            </w:r>
          </w:p>
        </w:tc>
        <w:tc>
          <w:tcPr>
            <w:tcW w:w="2227" w:type="dxa"/>
          </w:tcPr>
          <w:p w14:paraId="7DA4D875" w14:textId="77777777" w:rsidR="0069399F" w:rsidRDefault="0069399F" w:rsidP="0009495B">
            <w:pPr>
              <w:pStyle w:val="Geenafstand"/>
            </w:pPr>
            <w:r>
              <w:t>7 (3,0%)</w:t>
            </w:r>
          </w:p>
        </w:tc>
      </w:tr>
      <w:tr w:rsidR="0069399F" w14:paraId="04B6770A" w14:textId="77777777" w:rsidTr="00F35595">
        <w:tc>
          <w:tcPr>
            <w:tcW w:w="2515" w:type="dxa"/>
          </w:tcPr>
          <w:p w14:paraId="7E04A0B4" w14:textId="77777777" w:rsidR="0069399F" w:rsidRDefault="0069399F" w:rsidP="0009495B">
            <w:pPr>
              <w:pStyle w:val="Geenafstand"/>
            </w:pPr>
            <w:r>
              <w:t>Crime</w:t>
            </w:r>
          </w:p>
        </w:tc>
        <w:tc>
          <w:tcPr>
            <w:tcW w:w="2160" w:type="dxa"/>
          </w:tcPr>
          <w:p w14:paraId="12961686" w14:textId="77777777" w:rsidR="0069399F" w:rsidRDefault="0069399F" w:rsidP="0009495B">
            <w:pPr>
              <w:pStyle w:val="Geenafstand"/>
            </w:pPr>
            <w:r>
              <w:t>12 (11,7%)</w:t>
            </w:r>
          </w:p>
        </w:tc>
        <w:tc>
          <w:tcPr>
            <w:tcW w:w="2160" w:type="dxa"/>
          </w:tcPr>
          <w:p w14:paraId="22EAD358" w14:textId="77777777" w:rsidR="0069399F" w:rsidRDefault="0069399F" w:rsidP="0009495B">
            <w:pPr>
              <w:pStyle w:val="Geenafstand"/>
            </w:pPr>
            <w:r>
              <w:t>5 (3,9%)</w:t>
            </w:r>
          </w:p>
        </w:tc>
        <w:tc>
          <w:tcPr>
            <w:tcW w:w="2227" w:type="dxa"/>
          </w:tcPr>
          <w:p w14:paraId="25BAA772" w14:textId="77777777" w:rsidR="0069399F" w:rsidRDefault="0069399F" w:rsidP="0009495B">
            <w:pPr>
              <w:pStyle w:val="Geenafstand"/>
            </w:pPr>
            <w:r>
              <w:t>17 (7,4%)</w:t>
            </w:r>
          </w:p>
        </w:tc>
      </w:tr>
      <w:tr w:rsidR="0069399F" w14:paraId="411FA927" w14:textId="77777777" w:rsidTr="00F35595">
        <w:tc>
          <w:tcPr>
            <w:tcW w:w="2515" w:type="dxa"/>
          </w:tcPr>
          <w:p w14:paraId="67017E11" w14:textId="77777777" w:rsidR="0069399F" w:rsidRDefault="0069399F" w:rsidP="0009495B">
            <w:pPr>
              <w:pStyle w:val="Geenafstand"/>
            </w:pPr>
            <w:r>
              <w:t>Trade and Economy</w:t>
            </w:r>
          </w:p>
        </w:tc>
        <w:tc>
          <w:tcPr>
            <w:tcW w:w="2160" w:type="dxa"/>
          </w:tcPr>
          <w:p w14:paraId="3F4E3E4C" w14:textId="77777777" w:rsidR="0069399F" w:rsidRDefault="0069399F" w:rsidP="0009495B">
            <w:pPr>
              <w:pStyle w:val="Geenafstand"/>
            </w:pPr>
            <w:r>
              <w:t>1 (1,0%)</w:t>
            </w:r>
          </w:p>
        </w:tc>
        <w:tc>
          <w:tcPr>
            <w:tcW w:w="2160" w:type="dxa"/>
          </w:tcPr>
          <w:p w14:paraId="37B8C792" w14:textId="77777777" w:rsidR="0069399F" w:rsidRDefault="0069399F" w:rsidP="0009495B">
            <w:pPr>
              <w:pStyle w:val="Geenafstand"/>
            </w:pPr>
            <w:r>
              <w:t>6 (4,7%)</w:t>
            </w:r>
          </w:p>
        </w:tc>
        <w:tc>
          <w:tcPr>
            <w:tcW w:w="2227" w:type="dxa"/>
          </w:tcPr>
          <w:p w14:paraId="46CCFD56" w14:textId="77777777" w:rsidR="0069399F" w:rsidRDefault="0069399F" w:rsidP="0009495B">
            <w:pPr>
              <w:pStyle w:val="Geenafstand"/>
            </w:pPr>
            <w:r>
              <w:t>7 (3,0%)</w:t>
            </w:r>
          </w:p>
        </w:tc>
      </w:tr>
      <w:tr w:rsidR="0069399F" w14:paraId="11D3AD65" w14:textId="77777777" w:rsidTr="00F35595">
        <w:tc>
          <w:tcPr>
            <w:tcW w:w="2515" w:type="dxa"/>
          </w:tcPr>
          <w:p w14:paraId="76A91FFF" w14:textId="77777777" w:rsidR="0069399F" w:rsidRDefault="0069399F" w:rsidP="0009495B">
            <w:pPr>
              <w:pStyle w:val="Geenafstand"/>
            </w:pPr>
            <w:r>
              <w:t>Housing</w:t>
            </w:r>
          </w:p>
        </w:tc>
        <w:tc>
          <w:tcPr>
            <w:tcW w:w="2160" w:type="dxa"/>
          </w:tcPr>
          <w:p w14:paraId="513D69E1" w14:textId="77777777" w:rsidR="0069399F" w:rsidRDefault="0069399F" w:rsidP="0009495B">
            <w:pPr>
              <w:pStyle w:val="Geenafstand"/>
            </w:pPr>
            <w:r>
              <w:t>8 (7,8%)</w:t>
            </w:r>
          </w:p>
        </w:tc>
        <w:tc>
          <w:tcPr>
            <w:tcW w:w="2160" w:type="dxa"/>
          </w:tcPr>
          <w:p w14:paraId="3C13BA79" w14:textId="77777777" w:rsidR="0069399F" w:rsidRDefault="0069399F" w:rsidP="0009495B">
            <w:pPr>
              <w:pStyle w:val="Geenafstand"/>
            </w:pPr>
            <w:r>
              <w:t>1 (0,8%)</w:t>
            </w:r>
          </w:p>
        </w:tc>
        <w:tc>
          <w:tcPr>
            <w:tcW w:w="2227" w:type="dxa"/>
          </w:tcPr>
          <w:p w14:paraId="5BE596B6" w14:textId="77777777" w:rsidR="0069399F" w:rsidRDefault="0069399F" w:rsidP="0009495B">
            <w:pPr>
              <w:pStyle w:val="Geenafstand"/>
            </w:pPr>
            <w:r>
              <w:t>9 (3,9%)</w:t>
            </w:r>
          </w:p>
        </w:tc>
      </w:tr>
      <w:tr w:rsidR="0069399F" w14:paraId="1BCF9FA2" w14:textId="77777777" w:rsidTr="00F35595">
        <w:tc>
          <w:tcPr>
            <w:tcW w:w="2515" w:type="dxa"/>
          </w:tcPr>
          <w:p w14:paraId="00AFB70A" w14:textId="77777777" w:rsidR="0069399F" w:rsidRDefault="0069399F" w:rsidP="0009495B">
            <w:pPr>
              <w:pStyle w:val="Geenafstand"/>
            </w:pPr>
            <w:r>
              <w:rPr>
                <w:color w:val="000000"/>
              </w:rPr>
              <w:t>Māori rights</w:t>
            </w:r>
          </w:p>
        </w:tc>
        <w:tc>
          <w:tcPr>
            <w:tcW w:w="2160" w:type="dxa"/>
          </w:tcPr>
          <w:p w14:paraId="700DA8B6" w14:textId="77777777" w:rsidR="0069399F" w:rsidRDefault="0069399F" w:rsidP="0009495B">
            <w:pPr>
              <w:pStyle w:val="Geenafstand"/>
            </w:pPr>
            <w:r>
              <w:t>3 (2,9%)</w:t>
            </w:r>
          </w:p>
        </w:tc>
        <w:tc>
          <w:tcPr>
            <w:tcW w:w="2160" w:type="dxa"/>
          </w:tcPr>
          <w:p w14:paraId="570E4328" w14:textId="77777777" w:rsidR="0069399F" w:rsidRDefault="0069399F" w:rsidP="0009495B">
            <w:pPr>
              <w:pStyle w:val="Geenafstand"/>
            </w:pPr>
            <w:r>
              <w:t>6 (4,7%)</w:t>
            </w:r>
          </w:p>
        </w:tc>
        <w:tc>
          <w:tcPr>
            <w:tcW w:w="2227" w:type="dxa"/>
          </w:tcPr>
          <w:p w14:paraId="59333045" w14:textId="77777777" w:rsidR="0069399F" w:rsidRDefault="0069399F" w:rsidP="0009495B">
            <w:pPr>
              <w:pStyle w:val="Geenafstand"/>
            </w:pPr>
            <w:r>
              <w:t>9 (3,9%)</w:t>
            </w:r>
          </w:p>
        </w:tc>
      </w:tr>
      <w:tr w:rsidR="0069399F" w14:paraId="0DA3DA61" w14:textId="77777777" w:rsidTr="00F35595">
        <w:tc>
          <w:tcPr>
            <w:tcW w:w="2515" w:type="dxa"/>
          </w:tcPr>
          <w:p w14:paraId="072BD828" w14:textId="77777777" w:rsidR="0069399F" w:rsidRDefault="0069399F" w:rsidP="0009495B">
            <w:pPr>
              <w:pStyle w:val="Geenafstand"/>
            </w:pPr>
            <w:r>
              <w:rPr>
                <w:color w:val="000000"/>
              </w:rPr>
              <w:t>Treaty of Waitangi/ Māori-crown relation</w:t>
            </w:r>
          </w:p>
        </w:tc>
        <w:tc>
          <w:tcPr>
            <w:tcW w:w="2160" w:type="dxa"/>
          </w:tcPr>
          <w:p w14:paraId="381022E4" w14:textId="77777777" w:rsidR="0069399F" w:rsidRDefault="0069399F" w:rsidP="0009495B">
            <w:pPr>
              <w:pStyle w:val="Geenafstand"/>
            </w:pPr>
            <w:r>
              <w:t>31 (30,1%)</w:t>
            </w:r>
          </w:p>
        </w:tc>
        <w:tc>
          <w:tcPr>
            <w:tcW w:w="2160" w:type="dxa"/>
          </w:tcPr>
          <w:p w14:paraId="5E174CAF" w14:textId="77777777" w:rsidR="0069399F" w:rsidRDefault="0069399F" w:rsidP="0009495B">
            <w:pPr>
              <w:pStyle w:val="Geenafstand"/>
            </w:pPr>
            <w:r>
              <w:t>16 (12,6%)</w:t>
            </w:r>
          </w:p>
        </w:tc>
        <w:tc>
          <w:tcPr>
            <w:tcW w:w="2227" w:type="dxa"/>
          </w:tcPr>
          <w:p w14:paraId="3EE5B6D5" w14:textId="77777777" w:rsidR="0069399F" w:rsidRDefault="0069399F" w:rsidP="0009495B">
            <w:pPr>
              <w:pStyle w:val="Geenafstand"/>
            </w:pPr>
            <w:r>
              <w:t>47 (20,4%)</w:t>
            </w:r>
          </w:p>
        </w:tc>
      </w:tr>
      <w:tr w:rsidR="0069399F" w14:paraId="21DF98E4" w14:textId="77777777" w:rsidTr="00F35595">
        <w:tc>
          <w:tcPr>
            <w:tcW w:w="2515" w:type="dxa"/>
          </w:tcPr>
          <w:p w14:paraId="61FD7C46" w14:textId="77777777" w:rsidR="0069399F" w:rsidRDefault="0069399F" w:rsidP="0009495B">
            <w:pPr>
              <w:pStyle w:val="Geenafstand"/>
            </w:pPr>
            <w:r>
              <w:rPr>
                <w:color w:val="000000"/>
              </w:rPr>
              <w:t>Governance, autonomy and self-determination</w:t>
            </w:r>
          </w:p>
        </w:tc>
        <w:tc>
          <w:tcPr>
            <w:tcW w:w="2160" w:type="dxa"/>
          </w:tcPr>
          <w:p w14:paraId="54957CBE" w14:textId="77777777" w:rsidR="0069399F" w:rsidRDefault="0069399F" w:rsidP="0009495B">
            <w:pPr>
              <w:pStyle w:val="Geenafstand"/>
            </w:pPr>
            <w:r>
              <w:t>10 (9,7%)</w:t>
            </w:r>
          </w:p>
        </w:tc>
        <w:tc>
          <w:tcPr>
            <w:tcW w:w="2160" w:type="dxa"/>
          </w:tcPr>
          <w:p w14:paraId="05DF73C5" w14:textId="77777777" w:rsidR="0069399F" w:rsidRDefault="0069399F" w:rsidP="0009495B">
            <w:pPr>
              <w:pStyle w:val="Geenafstand"/>
            </w:pPr>
            <w:r>
              <w:t>41 32,3%)</w:t>
            </w:r>
          </w:p>
        </w:tc>
        <w:tc>
          <w:tcPr>
            <w:tcW w:w="2227" w:type="dxa"/>
          </w:tcPr>
          <w:p w14:paraId="686911DF" w14:textId="77777777" w:rsidR="0069399F" w:rsidRDefault="0069399F" w:rsidP="0009495B">
            <w:pPr>
              <w:pStyle w:val="Geenafstand"/>
            </w:pPr>
            <w:r>
              <w:t>51 (22,2%)</w:t>
            </w:r>
          </w:p>
        </w:tc>
      </w:tr>
      <w:tr w:rsidR="0069399F" w14:paraId="651E9E14" w14:textId="77777777" w:rsidTr="00F35595">
        <w:tc>
          <w:tcPr>
            <w:tcW w:w="2515" w:type="dxa"/>
            <w:tcBorders>
              <w:bottom w:val="single" w:sz="4" w:space="0" w:color="auto"/>
            </w:tcBorders>
          </w:tcPr>
          <w:p w14:paraId="19F9267E" w14:textId="77777777" w:rsidR="0069399F" w:rsidRDefault="0069399F" w:rsidP="0009495B">
            <w:pPr>
              <w:pStyle w:val="Geenafstand"/>
            </w:pPr>
            <w:r>
              <w:rPr>
                <w:color w:val="000000"/>
              </w:rPr>
              <w:t>Land, wildlife and fisheries</w:t>
            </w:r>
          </w:p>
        </w:tc>
        <w:tc>
          <w:tcPr>
            <w:tcW w:w="2160" w:type="dxa"/>
            <w:tcBorders>
              <w:bottom w:val="single" w:sz="4" w:space="0" w:color="auto"/>
            </w:tcBorders>
          </w:tcPr>
          <w:p w14:paraId="06466414" w14:textId="77777777" w:rsidR="0069399F" w:rsidRDefault="0069399F" w:rsidP="0009495B">
            <w:pPr>
              <w:pStyle w:val="Geenafstand"/>
            </w:pPr>
            <w:r>
              <w:t>1 (1,0%)</w:t>
            </w:r>
          </w:p>
        </w:tc>
        <w:tc>
          <w:tcPr>
            <w:tcW w:w="2160" w:type="dxa"/>
            <w:tcBorders>
              <w:bottom w:val="single" w:sz="4" w:space="0" w:color="auto"/>
            </w:tcBorders>
          </w:tcPr>
          <w:p w14:paraId="5579FE80" w14:textId="77777777" w:rsidR="0069399F" w:rsidRDefault="0069399F" w:rsidP="0009495B">
            <w:pPr>
              <w:pStyle w:val="Geenafstand"/>
            </w:pPr>
            <w:r>
              <w:t>16 (12,6%)</w:t>
            </w:r>
          </w:p>
        </w:tc>
        <w:tc>
          <w:tcPr>
            <w:tcW w:w="2227" w:type="dxa"/>
            <w:tcBorders>
              <w:bottom w:val="single" w:sz="4" w:space="0" w:color="auto"/>
            </w:tcBorders>
          </w:tcPr>
          <w:p w14:paraId="442546EC" w14:textId="77777777" w:rsidR="0069399F" w:rsidRDefault="0069399F" w:rsidP="0009495B">
            <w:pPr>
              <w:pStyle w:val="Geenafstand"/>
            </w:pPr>
            <w:r>
              <w:t>17 (7,4%)</w:t>
            </w:r>
          </w:p>
        </w:tc>
      </w:tr>
      <w:tr w:rsidR="0069399F" w14:paraId="114B0F74" w14:textId="77777777" w:rsidTr="00F35595">
        <w:tc>
          <w:tcPr>
            <w:tcW w:w="2515" w:type="dxa"/>
            <w:tcBorders>
              <w:top w:val="single" w:sz="4" w:space="0" w:color="auto"/>
            </w:tcBorders>
          </w:tcPr>
          <w:p w14:paraId="62A35701" w14:textId="77777777" w:rsidR="0069399F" w:rsidRDefault="0069399F" w:rsidP="0009495B">
            <w:pPr>
              <w:pStyle w:val="Geenafstand"/>
            </w:pPr>
            <w:r>
              <w:rPr>
                <w:color w:val="000000"/>
              </w:rPr>
              <w:t>Total</w:t>
            </w:r>
          </w:p>
        </w:tc>
        <w:tc>
          <w:tcPr>
            <w:tcW w:w="2160" w:type="dxa"/>
            <w:tcBorders>
              <w:top w:val="single" w:sz="4" w:space="0" w:color="auto"/>
            </w:tcBorders>
          </w:tcPr>
          <w:p w14:paraId="2F4DB73A" w14:textId="77777777" w:rsidR="0069399F" w:rsidRDefault="0069399F" w:rsidP="0009495B">
            <w:pPr>
              <w:pStyle w:val="Geenafstand"/>
            </w:pPr>
            <w:r>
              <w:t>103 (100%)</w:t>
            </w:r>
          </w:p>
        </w:tc>
        <w:tc>
          <w:tcPr>
            <w:tcW w:w="2160" w:type="dxa"/>
            <w:tcBorders>
              <w:top w:val="single" w:sz="4" w:space="0" w:color="auto"/>
            </w:tcBorders>
          </w:tcPr>
          <w:p w14:paraId="537AFB32" w14:textId="77777777" w:rsidR="0069399F" w:rsidRDefault="0069399F" w:rsidP="0009495B">
            <w:pPr>
              <w:pStyle w:val="Geenafstand"/>
            </w:pPr>
            <w:r>
              <w:t>127 (100%)</w:t>
            </w:r>
          </w:p>
        </w:tc>
        <w:tc>
          <w:tcPr>
            <w:tcW w:w="2227" w:type="dxa"/>
            <w:tcBorders>
              <w:top w:val="single" w:sz="4" w:space="0" w:color="auto"/>
            </w:tcBorders>
          </w:tcPr>
          <w:p w14:paraId="30037FD0" w14:textId="77777777" w:rsidR="0069399F" w:rsidRDefault="0069399F" w:rsidP="0009495B">
            <w:pPr>
              <w:pStyle w:val="Geenafstand"/>
            </w:pPr>
            <w:r>
              <w:t>230 (100%)</w:t>
            </w:r>
          </w:p>
        </w:tc>
      </w:tr>
    </w:tbl>
    <w:p w14:paraId="1CEC9328" w14:textId="77777777" w:rsidR="0069399F" w:rsidRPr="0069399F" w:rsidRDefault="0069399F" w:rsidP="0069399F">
      <w:pPr>
        <w:rPr>
          <w:lang w:val="en-GB"/>
        </w:rPr>
      </w:pPr>
    </w:p>
    <w:p w14:paraId="3AD62A17" w14:textId="386551B9" w:rsidR="0069399F" w:rsidRDefault="0069399F" w:rsidP="00161ABD">
      <w:pPr>
        <w:pStyle w:val="Geenafstand"/>
        <w:spacing w:line="360" w:lineRule="auto"/>
        <w:ind w:firstLine="708"/>
        <w:jc w:val="both"/>
      </w:pPr>
      <w:r w:rsidRPr="0069399F">
        <w:t>As we can see in table 4.9, besides the issues of the Treaty of Waitangi and governance</w:t>
      </w:r>
      <w:r w:rsidR="009C79F9">
        <w:t>,</w:t>
      </w:r>
      <w:r w:rsidRPr="0069399F">
        <w:t xml:space="preserve"> the indigenous-specific issue ‘land, wildlife and fisheries’ is </w:t>
      </w:r>
      <w:r w:rsidR="00A21D46">
        <w:t>regularly</w:t>
      </w:r>
      <w:r w:rsidR="00321D5A">
        <w:t xml:space="preserve"> </w:t>
      </w:r>
      <w:r w:rsidRPr="0069399F">
        <w:t>discussed.</w:t>
      </w:r>
      <w:r w:rsidR="00DA3658">
        <w:t xml:space="preserve"> 7,4% of the claims of both government periods are directed towards this issue.</w:t>
      </w:r>
      <w:r w:rsidRPr="0069399F">
        <w:t xml:space="preserve"> From the universal issues, ‘social policy’, ‘health’, ‘crime’ and ‘education, art and language’ were mainly claimed. A chi-square test is performed to see whether the differences between the two categories ‘indigenous-specific’ and ‘universal’ issues are significant. </w:t>
      </w:r>
      <w:r w:rsidR="00221600">
        <w:t>Ta</w:t>
      </w:r>
      <w:r w:rsidRPr="0069399F">
        <w:t xml:space="preserve">ble 4.10 </w:t>
      </w:r>
      <w:r w:rsidR="00A21D46">
        <w:t>shows that this is</w:t>
      </w:r>
      <w:r w:rsidRPr="0069399F">
        <w:t xml:space="preserve"> only significant </w:t>
      </w:r>
      <w:r w:rsidR="00621058" w:rsidRPr="0069399F">
        <w:t>regarding</w:t>
      </w:r>
      <w:r w:rsidRPr="0069399F">
        <w:t xml:space="preserve"> the claims made in the 53</w:t>
      </w:r>
      <w:r w:rsidRPr="0069399F">
        <w:rPr>
          <w:vertAlign w:val="superscript"/>
        </w:rPr>
        <w:t>rd</w:t>
      </w:r>
      <w:r w:rsidRPr="0069399F">
        <w:t xml:space="preserve"> government period. </w:t>
      </w:r>
    </w:p>
    <w:p w14:paraId="224F67BB" w14:textId="77777777" w:rsidR="00BD31D6" w:rsidRPr="0069399F" w:rsidRDefault="00BD31D6" w:rsidP="00BD31D6">
      <w:pPr>
        <w:pStyle w:val="Geenafstand"/>
        <w:spacing w:line="360" w:lineRule="auto"/>
        <w:jc w:val="both"/>
      </w:pPr>
    </w:p>
    <w:p w14:paraId="451995EA" w14:textId="52400CEA" w:rsidR="0069399F" w:rsidRPr="00BD31D6" w:rsidRDefault="00BE4D31" w:rsidP="00BD31D6">
      <w:pPr>
        <w:pStyle w:val="Kop3"/>
        <w:rPr>
          <w:sz w:val="20"/>
          <w:szCs w:val="20"/>
        </w:rPr>
      </w:pPr>
      <w:bookmarkStart w:id="196" w:name="_Toc72853019"/>
      <w:bookmarkStart w:id="197" w:name="_Toc74503491"/>
      <w:bookmarkStart w:id="198" w:name="_Toc74583623"/>
      <w:bookmarkStart w:id="199" w:name="_Toc74583831"/>
      <w:bookmarkStart w:id="200" w:name="_Toc75384100"/>
      <w:r w:rsidRPr="00BD31D6">
        <w:rPr>
          <w:sz w:val="20"/>
          <w:szCs w:val="20"/>
        </w:rPr>
        <w:t>Table 4.10. Chi-square test</w:t>
      </w:r>
      <w:r w:rsidR="001179A2" w:rsidRPr="00BD31D6">
        <w:rPr>
          <w:sz w:val="20"/>
          <w:szCs w:val="20"/>
        </w:rPr>
        <w:t>s</w:t>
      </w:r>
      <w:r w:rsidRPr="00BD31D6">
        <w:rPr>
          <w:sz w:val="20"/>
          <w:szCs w:val="20"/>
        </w:rPr>
        <w:t xml:space="preserve"> issues.</w:t>
      </w:r>
      <w:bookmarkEnd w:id="196"/>
      <w:bookmarkEnd w:id="197"/>
      <w:bookmarkEnd w:id="198"/>
      <w:bookmarkEnd w:id="199"/>
      <w:bookmarkEnd w:id="200"/>
    </w:p>
    <w:tbl>
      <w:tblPr>
        <w:tblStyle w:val="Onopgemaaktetabel3"/>
        <w:tblW w:w="8869" w:type="dxa"/>
        <w:tblLayout w:type="fixed"/>
        <w:tblLook w:val="0600" w:firstRow="0" w:lastRow="0" w:firstColumn="0" w:lastColumn="0" w:noHBand="1" w:noVBand="1"/>
      </w:tblPr>
      <w:tblGrid>
        <w:gridCol w:w="1984"/>
        <w:gridCol w:w="2247"/>
        <w:gridCol w:w="2319"/>
        <w:gridCol w:w="2319"/>
      </w:tblGrid>
      <w:tr w:rsidR="0069399F" w:rsidRPr="008F3A1C" w14:paraId="154A08E0" w14:textId="77777777" w:rsidTr="00F35595">
        <w:trPr>
          <w:trHeight w:val="266"/>
        </w:trPr>
        <w:tc>
          <w:tcPr>
            <w:tcW w:w="1984" w:type="dxa"/>
            <w:tcBorders>
              <w:bottom w:val="single" w:sz="4" w:space="0" w:color="auto"/>
            </w:tcBorders>
          </w:tcPr>
          <w:p w14:paraId="0198F885" w14:textId="77777777" w:rsidR="0069399F" w:rsidRDefault="0069399F" w:rsidP="00BD31D6">
            <w:pPr>
              <w:pStyle w:val="Geenafstand"/>
            </w:pPr>
          </w:p>
        </w:tc>
        <w:tc>
          <w:tcPr>
            <w:tcW w:w="2247" w:type="dxa"/>
            <w:tcBorders>
              <w:bottom w:val="single" w:sz="4" w:space="0" w:color="auto"/>
            </w:tcBorders>
          </w:tcPr>
          <w:p w14:paraId="6482B6DE" w14:textId="77777777" w:rsidR="0069399F" w:rsidRDefault="0069399F" w:rsidP="00BD31D6">
            <w:pPr>
              <w:pStyle w:val="Geenafstand"/>
            </w:pPr>
            <w:r>
              <w:rPr>
                <w:color w:val="000000"/>
              </w:rPr>
              <w:t>52</w:t>
            </w:r>
            <w:r>
              <w:rPr>
                <w:color w:val="000000"/>
                <w:vertAlign w:val="superscript"/>
              </w:rPr>
              <w:t>nd</w:t>
            </w:r>
            <w:r>
              <w:rPr>
                <w:color w:val="000000"/>
              </w:rPr>
              <w:t xml:space="preserve"> government period</w:t>
            </w:r>
          </w:p>
        </w:tc>
        <w:tc>
          <w:tcPr>
            <w:tcW w:w="2319" w:type="dxa"/>
            <w:tcBorders>
              <w:bottom w:val="single" w:sz="4" w:space="0" w:color="auto"/>
            </w:tcBorders>
          </w:tcPr>
          <w:p w14:paraId="05AE5777" w14:textId="77777777" w:rsidR="0069399F" w:rsidRDefault="0069399F" w:rsidP="00BD31D6">
            <w:pPr>
              <w:pStyle w:val="Geenafstand"/>
            </w:pPr>
            <w:r>
              <w:rPr>
                <w:color w:val="000000"/>
              </w:rPr>
              <w:t>53</w:t>
            </w:r>
            <w:r>
              <w:rPr>
                <w:color w:val="000000"/>
                <w:vertAlign w:val="superscript"/>
              </w:rPr>
              <w:t>rd</w:t>
            </w:r>
            <w:r>
              <w:rPr>
                <w:color w:val="000000"/>
              </w:rPr>
              <w:t xml:space="preserve"> government period</w:t>
            </w:r>
          </w:p>
        </w:tc>
        <w:tc>
          <w:tcPr>
            <w:tcW w:w="2319" w:type="dxa"/>
            <w:tcBorders>
              <w:bottom w:val="single" w:sz="4" w:space="0" w:color="auto"/>
            </w:tcBorders>
          </w:tcPr>
          <w:p w14:paraId="0C5E35FE" w14:textId="77777777" w:rsidR="0069399F" w:rsidRDefault="0069399F" w:rsidP="00BD31D6">
            <w:pPr>
              <w:pStyle w:val="Geenafstand"/>
            </w:pPr>
            <w:r>
              <w:rPr>
                <w:color w:val="000000"/>
              </w:rPr>
              <w:t>52</w:t>
            </w:r>
            <w:r>
              <w:rPr>
                <w:color w:val="000000"/>
                <w:vertAlign w:val="superscript"/>
              </w:rPr>
              <w:t>nd</w:t>
            </w:r>
            <w:r>
              <w:rPr>
                <w:color w:val="000000"/>
              </w:rPr>
              <w:t xml:space="preserve"> and 53</w:t>
            </w:r>
            <w:r>
              <w:rPr>
                <w:color w:val="000000"/>
                <w:vertAlign w:val="superscript"/>
              </w:rPr>
              <w:t>rd</w:t>
            </w:r>
            <w:r>
              <w:rPr>
                <w:color w:val="000000"/>
              </w:rPr>
              <w:t xml:space="preserve"> government period</w:t>
            </w:r>
          </w:p>
        </w:tc>
      </w:tr>
      <w:tr w:rsidR="0069399F" w14:paraId="76D7BA9B" w14:textId="77777777" w:rsidTr="00F35595">
        <w:trPr>
          <w:trHeight w:val="266"/>
        </w:trPr>
        <w:tc>
          <w:tcPr>
            <w:tcW w:w="1984" w:type="dxa"/>
            <w:tcBorders>
              <w:top w:val="single" w:sz="4" w:space="0" w:color="auto"/>
            </w:tcBorders>
          </w:tcPr>
          <w:p w14:paraId="5443244F" w14:textId="77777777" w:rsidR="0069399F" w:rsidRDefault="0069399F" w:rsidP="00BD31D6">
            <w:pPr>
              <w:pStyle w:val="Geenafstand"/>
            </w:pPr>
            <w:r>
              <w:rPr>
                <w:color w:val="000000"/>
              </w:rPr>
              <w:t>Chi-Square</w:t>
            </w:r>
          </w:p>
        </w:tc>
        <w:tc>
          <w:tcPr>
            <w:tcW w:w="2247" w:type="dxa"/>
            <w:tcBorders>
              <w:top w:val="single" w:sz="4" w:space="0" w:color="auto"/>
            </w:tcBorders>
          </w:tcPr>
          <w:p w14:paraId="2ED4C79D" w14:textId="77777777" w:rsidR="0069399F" w:rsidRDefault="0069399F" w:rsidP="00BD31D6">
            <w:pPr>
              <w:pStyle w:val="Geenafstand"/>
            </w:pPr>
            <w:r>
              <w:rPr>
                <w:color w:val="000000"/>
              </w:rPr>
              <w:t>1,641</w:t>
            </w:r>
          </w:p>
        </w:tc>
        <w:tc>
          <w:tcPr>
            <w:tcW w:w="2319" w:type="dxa"/>
            <w:tcBorders>
              <w:top w:val="single" w:sz="4" w:space="0" w:color="auto"/>
            </w:tcBorders>
          </w:tcPr>
          <w:p w14:paraId="33FA8E81" w14:textId="77777777" w:rsidR="0069399F" w:rsidRDefault="0069399F" w:rsidP="00BD31D6">
            <w:pPr>
              <w:pStyle w:val="Geenafstand"/>
            </w:pPr>
            <w:r>
              <w:rPr>
                <w:color w:val="000000"/>
              </w:rPr>
              <w:t>7,567</w:t>
            </w:r>
          </w:p>
        </w:tc>
        <w:tc>
          <w:tcPr>
            <w:tcW w:w="2319" w:type="dxa"/>
            <w:tcBorders>
              <w:top w:val="single" w:sz="4" w:space="0" w:color="auto"/>
            </w:tcBorders>
          </w:tcPr>
          <w:p w14:paraId="2E39B4BE" w14:textId="77777777" w:rsidR="0069399F" w:rsidRDefault="0069399F" w:rsidP="00BD31D6">
            <w:pPr>
              <w:pStyle w:val="Geenafstand"/>
            </w:pPr>
            <w:r>
              <w:rPr>
                <w:color w:val="000000"/>
              </w:rPr>
              <w:t>1,409</w:t>
            </w:r>
          </w:p>
        </w:tc>
      </w:tr>
      <w:tr w:rsidR="0069399F" w14:paraId="58899CEC" w14:textId="77777777" w:rsidTr="00F35595">
        <w:trPr>
          <w:trHeight w:val="273"/>
        </w:trPr>
        <w:tc>
          <w:tcPr>
            <w:tcW w:w="1984" w:type="dxa"/>
          </w:tcPr>
          <w:p w14:paraId="4D1EC77D" w14:textId="77777777" w:rsidR="0069399F" w:rsidRDefault="0069399F" w:rsidP="00BD31D6">
            <w:pPr>
              <w:pStyle w:val="Geenafstand"/>
            </w:pPr>
            <w:r>
              <w:rPr>
                <w:color w:val="000000"/>
              </w:rPr>
              <w:t>Df</w:t>
            </w:r>
          </w:p>
        </w:tc>
        <w:tc>
          <w:tcPr>
            <w:tcW w:w="2247" w:type="dxa"/>
          </w:tcPr>
          <w:p w14:paraId="30D7F7EE" w14:textId="77777777" w:rsidR="0069399F" w:rsidRDefault="0069399F" w:rsidP="00BD31D6">
            <w:pPr>
              <w:pStyle w:val="Geenafstand"/>
            </w:pPr>
            <w:r>
              <w:rPr>
                <w:color w:val="000000"/>
              </w:rPr>
              <w:t>1</w:t>
            </w:r>
          </w:p>
        </w:tc>
        <w:tc>
          <w:tcPr>
            <w:tcW w:w="2319" w:type="dxa"/>
          </w:tcPr>
          <w:p w14:paraId="684F200D" w14:textId="77777777" w:rsidR="0069399F" w:rsidRDefault="0069399F" w:rsidP="00BD31D6">
            <w:pPr>
              <w:pStyle w:val="Geenafstand"/>
            </w:pPr>
            <w:r>
              <w:rPr>
                <w:color w:val="000000"/>
              </w:rPr>
              <w:t>1</w:t>
            </w:r>
          </w:p>
        </w:tc>
        <w:tc>
          <w:tcPr>
            <w:tcW w:w="2319" w:type="dxa"/>
          </w:tcPr>
          <w:p w14:paraId="3E8D9493" w14:textId="77777777" w:rsidR="0069399F" w:rsidRDefault="0069399F" w:rsidP="00BD31D6">
            <w:pPr>
              <w:pStyle w:val="Geenafstand"/>
            </w:pPr>
            <w:r>
              <w:rPr>
                <w:color w:val="000000"/>
              </w:rPr>
              <w:t>1</w:t>
            </w:r>
          </w:p>
        </w:tc>
      </w:tr>
      <w:tr w:rsidR="0069399F" w14:paraId="13F074CB" w14:textId="77777777" w:rsidTr="00F35595">
        <w:trPr>
          <w:trHeight w:val="266"/>
        </w:trPr>
        <w:tc>
          <w:tcPr>
            <w:tcW w:w="1984" w:type="dxa"/>
            <w:tcBorders>
              <w:bottom w:val="single" w:sz="4" w:space="0" w:color="auto"/>
            </w:tcBorders>
          </w:tcPr>
          <w:p w14:paraId="3255FB8D" w14:textId="77777777" w:rsidR="0069399F" w:rsidRDefault="0069399F" w:rsidP="00BD31D6">
            <w:pPr>
              <w:pStyle w:val="Geenafstand"/>
            </w:pPr>
            <w:r>
              <w:rPr>
                <w:color w:val="000000"/>
              </w:rPr>
              <w:t>Significance</w:t>
            </w:r>
          </w:p>
        </w:tc>
        <w:tc>
          <w:tcPr>
            <w:tcW w:w="2247" w:type="dxa"/>
            <w:tcBorders>
              <w:bottom w:val="single" w:sz="4" w:space="0" w:color="auto"/>
            </w:tcBorders>
          </w:tcPr>
          <w:p w14:paraId="27A026B1" w14:textId="77777777" w:rsidR="0069399F" w:rsidRDefault="0069399F" w:rsidP="00BD31D6">
            <w:pPr>
              <w:pStyle w:val="Geenafstand"/>
            </w:pPr>
            <w:r>
              <w:rPr>
                <w:color w:val="000000"/>
              </w:rPr>
              <w:t>0.200</w:t>
            </w:r>
          </w:p>
        </w:tc>
        <w:tc>
          <w:tcPr>
            <w:tcW w:w="2319" w:type="dxa"/>
            <w:tcBorders>
              <w:bottom w:val="single" w:sz="4" w:space="0" w:color="auto"/>
            </w:tcBorders>
          </w:tcPr>
          <w:p w14:paraId="45F91F4E" w14:textId="77777777" w:rsidR="0069399F" w:rsidRDefault="0069399F" w:rsidP="00BD31D6">
            <w:pPr>
              <w:pStyle w:val="Geenafstand"/>
            </w:pPr>
            <w:r>
              <w:rPr>
                <w:color w:val="000000"/>
              </w:rPr>
              <w:t>0.006</w:t>
            </w:r>
          </w:p>
        </w:tc>
        <w:tc>
          <w:tcPr>
            <w:tcW w:w="2319" w:type="dxa"/>
            <w:tcBorders>
              <w:bottom w:val="single" w:sz="4" w:space="0" w:color="auto"/>
            </w:tcBorders>
          </w:tcPr>
          <w:p w14:paraId="0132C65C" w14:textId="77777777" w:rsidR="0069399F" w:rsidRDefault="0069399F" w:rsidP="00BD31D6">
            <w:pPr>
              <w:pStyle w:val="Geenafstand"/>
            </w:pPr>
            <w:r>
              <w:rPr>
                <w:color w:val="000000"/>
              </w:rPr>
              <w:t>0,235</w:t>
            </w:r>
          </w:p>
        </w:tc>
      </w:tr>
    </w:tbl>
    <w:p w14:paraId="66B67D20" w14:textId="06DBDBD2" w:rsidR="0069399F" w:rsidRDefault="0069399F" w:rsidP="00B647A2">
      <w:pPr>
        <w:pStyle w:val="Kop3"/>
        <w:spacing w:line="360" w:lineRule="auto"/>
      </w:pPr>
    </w:p>
    <w:p w14:paraId="22EF0485" w14:textId="55AAB83A" w:rsidR="004047C8" w:rsidRPr="004047C8" w:rsidRDefault="004047C8" w:rsidP="004047C8">
      <w:pPr>
        <w:spacing w:line="360" w:lineRule="auto"/>
        <w:jc w:val="both"/>
        <w:rPr>
          <w:lang w:val="en-GB" w:eastAsia="en-GB"/>
        </w:rPr>
      </w:pPr>
      <w:r>
        <w:rPr>
          <w:lang w:val="en-GB" w:eastAsia="en-GB"/>
        </w:rPr>
        <w:tab/>
        <w:t xml:space="preserve">Figure 4.10 shows the issues mentioned by </w:t>
      </w:r>
      <w:r w:rsidRPr="0069399F">
        <w:rPr>
          <w:color w:val="000000"/>
          <w:lang w:val="en-GB"/>
        </w:rPr>
        <w:t>Māori</w:t>
      </w:r>
      <w:r>
        <w:rPr>
          <w:color w:val="000000"/>
          <w:lang w:val="en-GB"/>
        </w:rPr>
        <w:t xml:space="preserve"> and non-</w:t>
      </w:r>
      <w:r w:rsidRPr="0069399F">
        <w:rPr>
          <w:color w:val="000000"/>
          <w:lang w:val="en-GB"/>
        </w:rPr>
        <w:t>Māori</w:t>
      </w:r>
      <w:r>
        <w:rPr>
          <w:color w:val="000000"/>
          <w:lang w:val="en-GB"/>
        </w:rPr>
        <w:t xml:space="preserve"> MPs. </w:t>
      </w:r>
      <w:r w:rsidR="00564059">
        <w:rPr>
          <w:color w:val="000000"/>
          <w:lang w:val="en-GB"/>
        </w:rPr>
        <w:t xml:space="preserve">It becomes clear that </w:t>
      </w:r>
      <w:r w:rsidR="002E5068" w:rsidRPr="0069399F">
        <w:rPr>
          <w:color w:val="000000"/>
          <w:lang w:val="en-GB"/>
        </w:rPr>
        <w:t>Māori</w:t>
      </w:r>
      <w:r w:rsidR="002E5068">
        <w:rPr>
          <w:color w:val="000000"/>
          <w:lang w:val="en-GB"/>
        </w:rPr>
        <w:t xml:space="preserve"> MPs address</w:t>
      </w:r>
      <w:r w:rsidR="0033417D">
        <w:rPr>
          <w:color w:val="000000"/>
          <w:lang w:val="en-GB"/>
        </w:rPr>
        <w:t xml:space="preserve"> </w:t>
      </w:r>
      <w:r w:rsidR="009C66B0">
        <w:rPr>
          <w:color w:val="000000"/>
          <w:lang w:val="en-GB"/>
        </w:rPr>
        <w:t xml:space="preserve">the </w:t>
      </w:r>
      <w:r w:rsidR="0033417D">
        <w:rPr>
          <w:color w:val="000000"/>
          <w:lang w:val="en-GB"/>
        </w:rPr>
        <w:t>indigenous specific issues</w:t>
      </w:r>
      <w:r w:rsidR="00CB4A6B">
        <w:rPr>
          <w:color w:val="000000"/>
          <w:lang w:val="en-GB"/>
        </w:rPr>
        <w:t xml:space="preserve"> scuh</w:t>
      </w:r>
      <w:r w:rsidR="009C66B0">
        <w:rPr>
          <w:color w:val="000000"/>
          <w:lang w:val="en-GB"/>
        </w:rPr>
        <w:t xml:space="preserve"> as</w:t>
      </w:r>
      <w:r w:rsidR="002E5068">
        <w:rPr>
          <w:color w:val="000000"/>
          <w:lang w:val="en-GB"/>
        </w:rPr>
        <w:t xml:space="preserve"> the Treaty and governance more than non-</w:t>
      </w:r>
      <w:r w:rsidR="002E5068" w:rsidRPr="0069399F">
        <w:rPr>
          <w:color w:val="000000"/>
          <w:lang w:val="en-GB"/>
        </w:rPr>
        <w:t>Mā</w:t>
      </w:r>
      <w:r w:rsidR="002E5068">
        <w:rPr>
          <w:color w:val="000000"/>
          <w:lang w:val="en-GB"/>
        </w:rPr>
        <w:t>ori MPs</w:t>
      </w:r>
      <w:r w:rsidR="00B61ED6">
        <w:rPr>
          <w:color w:val="000000"/>
          <w:lang w:val="en-GB"/>
        </w:rPr>
        <w:t>, w</w:t>
      </w:r>
      <w:r w:rsidR="00C07088">
        <w:rPr>
          <w:color w:val="000000"/>
          <w:lang w:val="en-GB"/>
        </w:rPr>
        <w:t>hile non-</w:t>
      </w:r>
      <w:r w:rsidR="00C07088" w:rsidRPr="0069399F">
        <w:rPr>
          <w:color w:val="000000"/>
          <w:lang w:val="en-GB"/>
        </w:rPr>
        <w:t>Māori</w:t>
      </w:r>
      <w:r w:rsidR="00C07088">
        <w:rPr>
          <w:color w:val="000000"/>
          <w:lang w:val="en-GB"/>
        </w:rPr>
        <w:t xml:space="preserve"> MPs address</w:t>
      </w:r>
      <w:r w:rsidR="00EC1E6B">
        <w:rPr>
          <w:color w:val="000000"/>
          <w:lang w:val="en-GB"/>
        </w:rPr>
        <w:t xml:space="preserve"> mostly universal</w:t>
      </w:r>
      <w:r w:rsidR="00C07088">
        <w:rPr>
          <w:color w:val="000000"/>
          <w:lang w:val="en-GB"/>
        </w:rPr>
        <w:t xml:space="preserve"> issues as crime</w:t>
      </w:r>
      <w:r w:rsidR="00E95287">
        <w:rPr>
          <w:color w:val="000000"/>
          <w:lang w:val="en-GB"/>
        </w:rPr>
        <w:t xml:space="preserve"> and social policy</w:t>
      </w:r>
      <w:r w:rsidR="007C7687">
        <w:rPr>
          <w:color w:val="000000"/>
          <w:lang w:val="en-GB"/>
        </w:rPr>
        <w:t xml:space="preserve">. </w:t>
      </w:r>
      <w:r w:rsidR="008319BB">
        <w:rPr>
          <w:color w:val="000000"/>
          <w:lang w:val="en-GB"/>
        </w:rPr>
        <w:t xml:space="preserve">The specific numbers </w:t>
      </w:r>
      <w:r w:rsidR="002D17F2">
        <w:rPr>
          <w:color w:val="000000"/>
          <w:lang w:val="en-GB"/>
        </w:rPr>
        <w:t>are stated in</w:t>
      </w:r>
      <w:r w:rsidR="008319BB">
        <w:rPr>
          <w:color w:val="000000"/>
          <w:lang w:val="en-GB"/>
        </w:rPr>
        <w:t xml:space="preserve"> </w:t>
      </w:r>
      <w:r w:rsidR="00BF0454">
        <w:rPr>
          <w:color w:val="000000"/>
          <w:lang w:val="en-GB"/>
        </w:rPr>
        <w:t>Appendix C</w:t>
      </w:r>
      <w:r w:rsidR="005B381B" w:rsidRPr="00EF1D5C">
        <w:rPr>
          <w:lang w:val="en-GB"/>
        </w:rPr>
        <w:t xml:space="preserve"> </w:t>
      </w:r>
      <w:r w:rsidR="00BF0454">
        <w:rPr>
          <w:color w:val="000000"/>
          <w:lang w:val="en-GB"/>
        </w:rPr>
        <w:t>(</w:t>
      </w:r>
      <w:r w:rsidR="008319BB">
        <w:rPr>
          <w:color w:val="000000"/>
          <w:lang w:val="en-GB"/>
        </w:rPr>
        <w:t>table C.4.20</w:t>
      </w:r>
      <w:r w:rsidR="00BF0454">
        <w:rPr>
          <w:color w:val="000000"/>
          <w:lang w:val="en-GB"/>
        </w:rPr>
        <w:t>).</w:t>
      </w:r>
    </w:p>
    <w:p w14:paraId="0A46640B" w14:textId="7A7F6341" w:rsidR="00BC0E36" w:rsidRDefault="00D33339" w:rsidP="00BC0E36">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val="en-GB"/>
        </w:rPr>
        <w:lastRenderedPageBreak/>
        <w:drawing>
          <wp:inline distT="0" distB="0" distL="0" distR="0" wp14:anchorId="3331C486" wp14:editId="5A7FA2C7">
            <wp:extent cx="4592955" cy="29260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2955" cy="2926080"/>
                    </a:xfrm>
                    <a:prstGeom prst="rect">
                      <a:avLst/>
                    </a:prstGeom>
                    <a:noFill/>
                    <a:ln>
                      <a:noFill/>
                    </a:ln>
                  </pic:spPr>
                </pic:pic>
              </a:graphicData>
            </a:graphic>
          </wp:inline>
        </w:drawing>
      </w:r>
    </w:p>
    <w:p w14:paraId="343F5CAB" w14:textId="6EFF1DC3" w:rsidR="00BC0E36" w:rsidRPr="00CA23D7" w:rsidRDefault="00BC0E36" w:rsidP="00CA23D7">
      <w:pPr>
        <w:pStyle w:val="Kop3"/>
        <w:jc w:val="center"/>
        <w:rPr>
          <w:sz w:val="20"/>
          <w:szCs w:val="20"/>
        </w:rPr>
      </w:pPr>
      <w:bookmarkStart w:id="201" w:name="_Toc75384101"/>
      <w:r w:rsidRPr="00CA23D7">
        <w:rPr>
          <w:sz w:val="20"/>
          <w:szCs w:val="20"/>
        </w:rPr>
        <w:t xml:space="preserve">Figure 4.10. Issues mentioned by </w:t>
      </w:r>
      <w:r w:rsidR="006C6961" w:rsidRPr="00CA23D7">
        <w:rPr>
          <w:sz w:val="20"/>
          <w:szCs w:val="20"/>
        </w:rPr>
        <w:t>(</w:t>
      </w:r>
      <w:r w:rsidRPr="00CA23D7">
        <w:rPr>
          <w:sz w:val="20"/>
          <w:szCs w:val="20"/>
        </w:rPr>
        <w:t>non-</w:t>
      </w:r>
      <w:r w:rsidR="006C6961" w:rsidRPr="00CA23D7">
        <w:rPr>
          <w:sz w:val="20"/>
          <w:szCs w:val="20"/>
        </w:rPr>
        <w:t>)</w:t>
      </w:r>
      <w:r w:rsidRPr="00CA23D7">
        <w:rPr>
          <w:sz w:val="20"/>
          <w:szCs w:val="20"/>
        </w:rPr>
        <w:t>Māori MPs</w:t>
      </w:r>
      <w:r w:rsidR="0041751B" w:rsidRPr="00CA23D7">
        <w:rPr>
          <w:sz w:val="20"/>
          <w:szCs w:val="20"/>
        </w:rPr>
        <w:t xml:space="preserve"> </w:t>
      </w:r>
      <w:r w:rsidR="006C6961" w:rsidRPr="00CA23D7">
        <w:rPr>
          <w:sz w:val="20"/>
          <w:szCs w:val="20"/>
        </w:rPr>
        <w:t>in</w:t>
      </w:r>
      <w:r w:rsidR="0041751B" w:rsidRPr="00CA23D7">
        <w:rPr>
          <w:sz w:val="20"/>
          <w:szCs w:val="20"/>
        </w:rPr>
        <w:t xml:space="preserve"> both government periods.</w:t>
      </w:r>
      <w:bookmarkEnd w:id="201"/>
    </w:p>
    <w:p w14:paraId="05DEF23B" w14:textId="7DD2CB6F" w:rsidR="00BC0E36" w:rsidRDefault="00BC0E36" w:rsidP="00CA23D7">
      <w:pPr>
        <w:pStyle w:val="Geenafstand"/>
        <w:spacing w:line="360" w:lineRule="auto"/>
        <w:jc w:val="both"/>
      </w:pPr>
    </w:p>
    <w:p w14:paraId="01EB355B" w14:textId="5AE53A92" w:rsidR="0069399F" w:rsidRDefault="0069399F" w:rsidP="00CA23D7">
      <w:pPr>
        <w:pStyle w:val="Geenafstand"/>
        <w:spacing w:line="360" w:lineRule="auto"/>
        <w:ind w:firstLine="708"/>
        <w:jc w:val="both"/>
      </w:pPr>
      <w:r w:rsidRPr="0069399F">
        <w:t>In sum, indigenous-specific issues are more often discussed than universal issues, with the Treaty of Waitangi and the issue of governance as main issues. In the next section</w:t>
      </w:r>
      <w:r w:rsidR="009E0DEE">
        <w:t>,</w:t>
      </w:r>
      <w:r w:rsidRPr="0069399F">
        <w:t xml:space="preserve"> the</w:t>
      </w:r>
      <w:r w:rsidR="009E0DEE">
        <w:t xml:space="preserve"> results for the</w:t>
      </w:r>
      <w:r w:rsidRPr="0069399F">
        <w:t xml:space="preserve"> object</w:t>
      </w:r>
      <w:r w:rsidR="009E0DEE">
        <w:t xml:space="preserve"> of the claim</w:t>
      </w:r>
      <w:r w:rsidR="007676E0">
        <w:t>s</w:t>
      </w:r>
      <w:r w:rsidRPr="0069399F">
        <w:t xml:space="preserve"> </w:t>
      </w:r>
      <w:r w:rsidR="0017218D">
        <w:t xml:space="preserve">are </w:t>
      </w:r>
      <w:r w:rsidR="009E0DEE">
        <w:t>further discussed</w:t>
      </w:r>
      <w:r w:rsidRPr="0069399F">
        <w:t>.</w:t>
      </w:r>
    </w:p>
    <w:p w14:paraId="2704EB9A" w14:textId="77777777" w:rsidR="00CA23D7" w:rsidRPr="0069399F" w:rsidRDefault="00CA23D7" w:rsidP="00CA23D7">
      <w:pPr>
        <w:pStyle w:val="Geenafstand"/>
        <w:spacing w:line="360" w:lineRule="auto"/>
        <w:ind w:firstLine="708"/>
        <w:jc w:val="both"/>
      </w:pPr>
    </w:p>
    <w:p w14:paraId="376A99C8" w14:textId="4DD19F8C" w:rsidR="0069399F" w:rsidRDefault="0069399F" w:rsidP="00CA23D7">
      <w:pPr>
        <w:pStyle w:val="Kop3"/>
      </w:pPr>
      <w:bookmarkStart w:id="202" w:name="_Toc72853021"/>
      <w:bookmarkStart w:id="203" w:name="_Toc74583833"/>
      <w:bookmarkStart w:id="204" w:name="_Toc75384102"/>
      <w:r>
        <w:t>4.</w:t>
      </w:r>
      <w:r w:rsidR="002A1062">
        <w:t>2.5</w:t>
      </w:r>
      <w:r>
        <w:t xml:space="preserve"> Analysing the object</w:t>
      </w:r>
      <w:bookmarkEnd w:id="202"/>
      <w:bookmarkEnd w:id="203"/>
      <w:bookmarkEnd w:id="204"/>
    </w:p>
    <w:p w14:paraId="0F9A7091" w14:textId="6403F5D4" w:rsidR="0069399F" w:rsidRDefault="0069399F" w:rsidP="00CA23D7">
      <w:pPr>
        <w:pStyle w:val="Geenafstand"/>
        <w:spacing w:line="360" w:lineRule="auto"/>
        <w:jc w:val="both"/>
      </w:pPr>
      <w:r w:rsidRPr="0069399F">
        <w:t xml:space="preserve"> </w:t>
      </w:r>
      <w:r w:rsidRPr="0069399F">
        <w:tab/>
        <w:t>There is a clear outcome regarding the object of the claim</w:t>
      </w:r>
      <w:r w:rsidR="00767E8F">
        <w:t>s</w:t>
      </w:r>
      <w:r w:rsidRPr="0069399F">
        <w:t xml:space="preserve">. </w:t>
      </w:r>
      <w:r w:rsidRPr="0069399F">
        <w:rPr>
          <w:color w:val="000000"/>
        </w:rPr>
        <w:t>The overwhelming majority of the claims is made on behalf of the whole Māori population</w:t>
      </w:r>
      <w:r w:rsidR="007B4859">
        <w:rPr>
          <w:color w:val="000000"/>
        </w:rPr>
        <w:t xml:space="preserve"> (78,8%)</w:t>
      </w:r>
      <w:r w:rsidR="00B61ED6">
        <w:rPr>
          <w:color w:val="000000"/>
        </w:rPr>
        <w:t>, m</w:t>
      </w:r>
      <w:r w:rsidR="007B4859">
        <w:t xml:space="preserve">eaning that MPs mostly talk about </w:t>
      </w:r>
      <w:r w:rsidR="007B4859" w:rsidRPr="0069399F">
        <w:rPr>
          <w:color w:val="000000"/>
        </w:rPr>
        <w:t>Māori</w:t>
      </w:r>
      <w:r w:rsidR="007B4859">
        <w:rPr>
          <w:color w:val="000000"/>
        </w:rPr>
        <w:t xml:space="preserve"> people in general instead of</w:t>
      </w:r>
      <w:r w:rsidR="007B4859">
        <w:t xml:space="preserve"> individual </w:t>
      </w:r>
      <w:r w:rsidR="007B4859" w:rsidRPr="0069399F">
        <w:rPr>
          <w:color w:val="000000"/>
        </w:rPr>
        <w:t xml:space="preserve">Māori </w:t>
      </w:r>
      <w:r w:rsidR="007B4859">
        <w:rPr>
          <w:color w:val="000000"/>
        </w:rPr>
        <w:t xml:space="preserve">people or specific </w:t>
      </w:r>
      <w:r w:rsidR="007B4859" w:rsidRPr="0069399F">
        <w:rPr>
          <w:color w:val="000000"/>
        </w:rPr>
        <w:t xml:space="preserve">Māori </w:t>
      </w:r>
      <w:r w:rsidR="007B4859">
        <w:rPr>
          <w:color w:val="000000"/>
        </w:rPr>
        <w:t xml:space="preserve">tribes. </w:t>
      </w:r>
      <w:r w:rsidRPr="0069399F">
        <w:rPr>
          <w:color w:val="000000"/>
        </w:rPr>
        <w:t>Table 4.1</w:t>
      </w:r>
      <w:r w:rsidR="00530839">
        <w:rPr>
          <w:color w:val="000000"/>
        </w:rPr>
        <w:t>1</w:t>
      </w:r>
      <w:r w:rsidRPr="0069399F">
        <w:rPr>
          <w:color w:val="000000"/>
        </w:rPr>
        <w:t xml:space="preserve"> shows that f</w:t>
      </w:r>
      <w:r w:rsidRPr="0069399F">
        <w:t xml:space="preserve">rom the 230 claims in total, only 7 were made on behalf of an individual </w:t>
      </w:r>
      <w:r w:rsidRPr="0069399F">
        <w:rPr>
          <w:color w:val="000000"/>
        </w:rPr>
        <w:t xml:space="preserve">Māori, 42 on a specific Māori group and 181 on the whole Māori population. </w:t>
      </w:r>
      <w:r w:rsidRPr="0069399F">
        <w:t xml:space="preserve">The next section explains the results regarding the variables ‘addressee’ and ‘unification’. </w:t>
      </w:r>
    </w:p>
    <w:p w14:paraId="75003500" w14:textId="4F6A4B4F" w:rsidR="007946A4" w:rsidRPr="007946A4" w:rsidRDefault="007946A4" w:rsidP="007946A4">
      <w:pPr>
        <w:pStyle w:val="Kop3"/>
        <w:rPr>
          <w:sz w:val="20"/>
          <w:szCs w:val="20"/>
        </w:rPr>
      </w:pPr>
      <w:bookmarkStart w:id="205" w:name="_Toc72853022"/>
      <w:bookmarkStart w:id="206" w:name="_Toc74503494"/>
      <w:bookmarkStart w:id="207" w:name="_Toc74583626"/>
      <w:bookmarkStart w:id="208" w:name="_Toc74583834"/>
      <w:bookmarkStart w:id="209" w:name="_Toc75384103"/>
      <w:r w:rsidRPr="007946A4">
        <w:rPr>
          <w:sz w:val="20"/>
          <w:szCs w:val="20"/>
        </w:rPr>
        <w:t>Table 4.1</w:t>
      </w:r>
      <w:r w:rsidR="00530839">
        <w:rPr>
          <w:sz w:val="20"/>
          <w:szCs w:val="20"/>
        </w:rPr>
        <w:t>1</w:t>
      </w:r>
      <w:r w:rsidRPr="007946A4">
        <w:rPr>
          <w:sz w:val="20"/>
          <w:szCs w:val="20"/>
        </w:rPr>
        <w:t>. Object of the claim</w:t>
      </w:r>
      <w:r w:rsidR="00DA6F1A">
        <w:rPr>
          <w:sz w:val="20"/>
          <w:szCs w:val="20"/>
        </w:rPr>
        <w:t>s</w:t>
      </w:r>
      <w:r w:rsidRPr="007946A4">
        <w:rPr>
          <w:sz w:val="20"/>
          <w:szCs w:val="20"/>
        </w:rPr>
        <w:t>.</w:t>
      </w:r>
      <w:bookmarkEnd w:id="205"/>
      <w:bookmarkEnd w:id="206"/>
      <w:bookmarkEnd w:id="207"/>
      <w:bookmarkEnd w:id="208"/>
      <w:bookmarkEnd w:id="209"/>
      <w:r w:rsidRPr="007946A4">
        <w:rPr>
          <w:sz w:val="20"/>
          <w:szCs w:val="20"/>
        </w:rPr>
        <w:t xml:space="preserve"> </w:t>
      </w:r>
    </w:p>
    <w:tbl>
      <w:tblPr>
        <w:tblStyle w:val="Onopgemaaktetabel3"/>
        <w:tblW w:w="9610" w:type="dxa"/>
        <w:tblLayout w:type="fixed"/>
        <w:tblLook w:val="0600" w:firstRow="0" w:lastRow="0" w:firstColumn="0" w:lastColumn="0" w:noHBand="1" w:noVBand="1"/>
      </w:tblPr>
      <w:tblGrid>
        <w:gridCol w:w="2402"/>
        <w:gridCol w:w="2402"/>
        <w:gridCol w:w="2426"/>
        <w:gridCol w:w="2380"/>
      </w:tblGrid>
      <w:tr w:rsidR="0069399F" w14:paraId="75D8EF89" w14:textId="77777777" w:rsidTr="00F35595">
        <w:trPr>
          <w:trHeight w:val="562"/>
        </w:trPr>
        <w:tc>
          <w:tcPr>
            <w:tcW w:w="2402" w:type="dxa"/>
            <w:tcBorders>
              <w:bottom w:val="single" w:sz="4" w:space="0" w:color="auto"/>
            </w:tcBorders>
          </w:tcPr>
          <w:p w14:paraId="32DD2C2A" w14:textId="77777777" w:rsidR="0069399F" w:rsidRDefault="0069399F" w:rsidP="00F35595"/>
        </w:tc>
        <w:tc>
          <w:tcPr>
            <w:tcW w:w="2402" w:type="dxa"/>
            <w:tcBorders>
              <w:bottom w:val="single" w:sz="4" w:space="0" w:color="auto"/>
            </w:tcBorders>
          </w:tcPr>
          <w:p w14:paraId="69F417A7" w14:textId="77777777" w:rsidR="0069399F" w:rsidRDefault="0069399F" w:rsidP="00F35595">
            <w:r>
              <w:t>52</w:t>
            </w:r>
            <w:r>
              <w:rPr>
                <w:vertAlign w:val="superscript"/>
              </w:rPr>
              <w:t>nd</w:t>
            </w:r>
            <w:r>
              <w:t xml:space="preserve"> government period</w:t>
            </w:r>
          </w:p>
        </w:tc>
        <w:tc>
          <w:tcPr>
            <w:tcW w:w="2426" w:type="dxa"/>
            <w:tcBorders>
              <w:bottom w:val="single" w:sz="4" w:space="0" w:color="auto"/>
            </w:tcBorders>
          </w:tcPr>
          <w:p w14:paraId="543C5E0C" w14:textId="77777777" w:rsidR="0069399F" w:rsidRDefault="0069399F" w:rsidP="00F35595">
            <w:r>
              <w:t>53</w:t>
            </w:r>
            <w:r w:rsidRPr="00C021F0">
              <w:rPr>
                <w:vertAlign w:val="superscript"/>
              </w:rPr>
              <w:t>rd</w:t>
            </w:r>
            <w:r>
              <w:t xml:space="preserve"> government period</w:t>
            </w:r>
          </w:p>
        </w:tc>
        <w:tc>
          <w:tcPr>
            <w:tcW w:w="2380" w:type="dxa"/>
            <w:tcBorders>
              <w:bottom w:val="single" w:sz="4" w:space="0" w:color="auto"/>
            </w:tcBorders>
          </w:tcPr>
          <w:p w14:paraId="2AF0E048" w14:textId="77777777" w:rsidR="0069399F" w:rsidRDefault="0069399F" w:rsidP="00F35595">
            <w:r>
              <w:t>Total</w:t>
            </w:r>
          </w:p>
        </w:tc>
      </w:tr>
      <w:tr w:rsidR="0069399F" w14:paraId="1AC4E2D3" w14:textId="77777777" w:rsidTr="00F35595">
        <w:trPr>
          <w:trHeight w:val="552"/>
        </w:trPr>
        <w:tc>
          <w:tcPr>
            <w:tcW w:w="2402" w:type="dxa"/>
            <w:tcBorders>
              <w:top w:val="single" w:sz="4" w:space="0" w:color="auto"/>
            </w:tcBorders>
          </w:tcPr>
          <w:p w14:paraId="1E6A629E" w14:textId="4F7FBC86" w:rsidR="0069399F" w:rsidRDefault="0069399F" w:rsidP="00F35595">
            <w:r>
              <w:t xml:space="preserve">Individual </w:t>
            </w:r>
            <w:r w:rsidR="002C2F4C">
              <w:t>from</w:t>
            </w:r>
            <w:r>
              <w:t xml:space="preserve"> </w:t>
            </w:r>
            <w:r>
              <w:rPr>
                <w:color w:val="000000"/>
              </w:rPr>
              <w:t xml:space="preserve">Māori </w:t>
            </w:r>
            <w:r w:rsidR="002C2F4C">
              <w:rPr>
                <w:color w:val="000000"/>
              </w:rPr>
              <w:t>descent</w:t>
            </w:r>
          </w:p>
        </w:tc>
        <w:tc>
          <w:tcPr>
            <w:tcW w:w="2402" w:type="dxa"/>
            <w:tcBorders>
              <w:top w:val="single" w:sz="4" w:space="0" w:color="auto"/>
            </w:tcBorders>
          </w:tcPr>
          <w:p w14:paraId="72560703" w14:textId="77777777" w:rsidR="0069399F" w:rsidRDefault="0069399F" w:rsidP="00F35595">
            <w:r>
              <w:t>1 (1,0%)</w:t>
            </w:r>
          </w:p>
        </w:tc>
        <w:tc>
          <w:tcPr>
            <w:tcW w:w="2426" w:type="dxa"/>
            <w:tcBorders>
              <w:top w:val="single" w:sz="4" w:space="0" w:color="auto"/>
            </w:tcBorders>
          </w:tcPr>
          <w:p w14:paraId="6957E018" w14:textId="77777777" w:rsidR="0069399F" w:rsidRDefault="0069399F" w:rsidP="00F35595">
            <w:r>
              <w:t>6 (4,7%)</w:t>
            </w:r>
          </w:p>
        </w:tc>
        <w:tc>
          <w:tcPr>
            <w:tcW w:w="2380" w:type="dxa"/>
            <w:tcBorders>
              <w:top w:val="single" w:sz="4" w:space="0" w:color="auto"/>
            </w:tcBorders>
          </w:tcPr>
          <w:p w14:paraId="6B3CE909" w14:textId="77777777" w:rsidR="0069399F" w:rsidRDefault="0069399F" w:rsidP="00F35595">
            <w:r>
              <w:t>7 (3,0%)</w:t>
            </w:r>
          </w:p>
        </w:tc>
      </w:tr>
      <w:tr w:rsidR="0069399F" w14:paraId="31B5A549" w14:textId="77777777" w:rsidTr="00F35595">
        <w:trPr>
          <w:trHeight w:val="281"/>
        </w:trPr>
        <w:tc>
          <w:tcPr>
            <w:tcW w:w="2402" w:type="dxa"/>
          </w:tcPr>
          <w:p w14:paraId="0E3E8981" w14:textId="77777777" w:rsidR="0069399F" w:rsidRDefault="0069399F" w:rsidP="00F35595">
            <w:r>
              <w:t xml:space="preserve">Specific </w:t>
            </w:r>
            <w:r>
              <w:rPr>
                <w:color w:val="000000"/>
              </w:rPr>
              <w:t>Māori group</w:t>
            </w:r>
          </w:p>
        </w:tc>
        <w:tc>
          <w:tcPr>
            <w:tcW w:w="2402" w:type="dxa"/>
          </w:tcPr>
          <w:p w14:paraId="102DCCF8" w14:textId="77777777" w:rsidR="0069399F" w:rsidRDefault="0069399F" w:rsidP="00F35595">
            <w:r>
              <w:t>26 (25,2%)</w:t>
            </w:r>
          </w:p>
        </w:tc>
        <w:tc>
          <w:tcPr>
            <w:tcW w:w="2426" w:type="dxa"/>
          </w:tcPr>
          <w:p w14:paraId="481CF4EC" w14:textId="77777777" w:rsidR="0069399F" w:rsidRDefault="0069399F" w:rsidP="00F35595">
            <w:r>
              <w:t>16 (12,6%)</w:t>
            </w:r>
          </w:p>
        </w:tc>
        <w:tc>
          <w:tcPr>
            <w:tcW w:w="2380" w:type="dxa"/>
          </w:tcPr>
          <w:p w14:paraId="19ECEFBB" w14:textId="77777777" w:rsidR="0069399F" w:rsidRDefault="0069399F" w:rsidP="00F35595">
            <w:r>
              <w:t>42 (18,3%)</w:t>
            </w:r>
          </w:p>
        </w:tc>
      </w:tr>
      <w:tr w:rsidR="0069399F" w14:paraId="3288D327" w14:textId="77777777" w:rsidTr="00F35595">
        <w:trPr>
          <w:trHeight w:val="562"/>
        </w:trPr>
        <w:tc>
          <w:tcPr>
            <w:tcW w:w="2402" w:type="dxa"/>
            <w:tcBorders>
              <w:bottom w:val="single" w:sz="4" w:space="0" w:color="auto"/>
            </w:tcBorders>
          </w:tcPr>
          <w:p w14:paraId="2092BEE2" w14:textId="77777777" w:rsidR="0069399F" w:rsidRDefault="0069399F" w:rsidP="00F35595">
            <w:r>
              <w:t xml:space="preserve">Whole </w:t>
            </w:r>
            <w:r>
              <w:rPr>
                <w:color w:val="000000"/>
              </w:rPr>
              <w:t>Māori population</w:t>
            </w:r>
          </w:p>
        </w:tc>
        <w:tc>
          <w:tcPr>
            <w:tcW w:w="2402" w:type="dxa"/>
            <w:tcBorders>
              <w:bottom w:val="single" w:sz="4" w:space="0" w:color="auto"/>
            </w:tcBorders>
          </w:tcPr>
          <w:p w14:paraId="38B1A404" w14:textId="77777777" w:rsidR="0069399F" w:rsidRDefault="0069399F" w:rsidP="00F35595">
            <w:r>
              <w:t>76 (73,8%)</w:t>
            </w:r>
          </w:p>
        </w:tc>
        <w:tc>
          <w:tcPr>
            <w:tcW w:w="2426" w:type="dxa"/>
            <w:tcBorders>
              <w:bottom w:val="single" w:sz="4" w:space="0" w:color="auto"/>
            </w:tcBorders>
          </w:tcPr>
          <w:p w14:paraId="11EE04F9" w14:textId="77777777" w:rsidR="0069399F" w:rsidRDefault="0069399F" w:rsidP="00F35595">
            <w:r>
              <w:t>105 (82,7%)</w:t>
            </w:r>
          </w:p>
        </w:tc>
        <w:tc>
          <w:tcPr>
            <w:tcW w:w="2380" w:type="dxa"/>
            <w:tcBorders>
              <w:bottom w:val="single" w:sz="4" w:space="0" w:color="auto"/>
            </w:tcBorders>
          </w:tcPr>
          <w:p w14:paraId="73417DED" w14:textId="77777777" w:rsidR="0069399F" w:rsidRDefault="0069399F" w:rsidP="00F35595">
            <w:r>
              <w:t>181 (78,7%)</w:t>
            </w:r>
          </w:p>
        </w:tc>
      </w:tr>
      <w:tr w:rsidR="0069399F" w14:paraId="6592A9AE" w14:textId="77777777" w:rsidTr="00F35595">
        <w:trPr>
          <w:trHeight w:val="281"/>
        </w:trPr>
        <w:tc>
          <w:tcPr>
            <w:tcW w:w="2402" w:type="dxa"/>
            <w:tcBorders>
              <w:top w:val="single" w:sz="4" w:space="0" w:color="auto"/>
            </w:tcBorders>
          </w:tcPr>
          <w:p w14:paraId="461941EE" w14:textId="77777777" w:rsidR="0069399F" w:rsidRDefault="0069399F" w:rsidP="00F35595">
            <w:r>
              <w:t>Total</w:t>
            </w:r>
          </w:p>
        </w:tc>
        <w:tc>
          <w:tcPr>
            <w:tcW w:w="2402" w:type="dxa"/>
            <w:tcBorders>
              <w:top w:val="single" w:sz="4" w:space="0" w:color="auto"/>
            </w:tcBorders>
          </w:tcPr>
          <w:p w14:paraId="52031B3B" w14:textId="77777777" w:rsidR="0069399F" w:rsidRDefault="0069399F" w:rsidP="00F35595">
            <w:r>
              <w:t>103 (100%)</w:t>
            </w:r>
          </w:p>
        </w:tc>
        <w:tc>
          <w:tcPr>
            <w:tcW w:w="2426" w:type="dxa"/>
            <w:tcBorders>
              <w:top w:val="single" w:sz="4" w:space="0" w:color="auto"/>
            </w:tcBorders>
          </w:tcPr>
          <w:p w14:paraId="5C38831E" w14:textId="77777777" w:rsidR="0069399F" w:rsidRDefault="0069399F" w:rsidP="00F35595">
            <w:r>
              <w:t>127 (100%)</w:t>
            </w:r>
          </w:p>
        </w:tc>
        <w:tc>
          <w:tcPr>
            <w:tcW w:w="2380" w:type="dxa"/>
            <w:tcBorders>
              <w:top w:val="single" w:sz="4" w:space="0" w:color="auto"/>
            </w:tcBorders>
          </w:tcPr>
          <w:p w14:paraId="7F0B0A2F" w14:textId="77777777" w:rsidR="0069399F" w:rsidRDefault="0069399F" w:rsidP="00F35595">
            <w:r>
              <w:t>230 (100%)</w:t>
            </w:r>
          </w:p>
        </w:tc>
      </w:tr>
    </w:tbl>
    <w:p w14:paraId="66848246" w14:textId="77777777" w:rsidR="0017218D" w:rsidRDefault="0017218D" w:rsidP="0069399F">
      <w:pPr>
        <w:pStyle w:val="Kop3"/>
      </w:pPr>
      <w:bookmarkStart w:id="210" w:name="_Toc72853023"/>
      <w:bookmarkStart w:id="211" w:name="_Toc74583835"/>
    </w:p>
    <w:p w14:paraId="5EE67625" w14:textId="2F764010" w:rsidR="0069399F" w:rsidRDefault="0069399F" w:rsidP="0069399F">
      <w:pPr>
        <w:pStyle w:val="Kop3"/>
      </w:pPr>
      <w:bookmarkStart w:id="212" w:name="_Toc75384104"/>
      <w:r>
        <w:t>4.</w:t>
      </w:r>
      <w:r w:rsidR="003A77FB">
        <w:t>2.6</w:t>
      </w:r>
      <w:r>
        <w:t xml:space="preserve"> Analysing the addressee and presence of the unification</w:t>
      </w:r>
      <w:bookmarkEnd w:id="210"/>
      <w:bookmarkEnd w:id="211"/>
      <w:bookmarkEnd w:id="212"/>
    </w:p>
    <w:p w14:paraId="5A6383EB" w14:textId="77777777" w:rsidR="00ED5889" w:rsidRDefault="0069399F" w:rsidP="00161ABD">
      <w:pPr>
        <w:pStyle w:val="Geenafstand"/>
        <w:spacing w:line="360" w:lineRule="auto"/>
        <w:ind w:firstLine="708"/>
        <w:jc w:val="both"/>
      </w:pPr>
      <w:r w:rsidRPr="0069399F">
        <w:t xml:space="preserve">The addressee of the claim reveals an important distinction between symbolic and substantive claims. As explained in the theoretical framework, the two concepts are relational, but can be </w:t>
      </w:r>
      <w:r w:rsidRPr="0069399F">
        <w:lastRenderedPageBreak/>
        <w:t>distinguished by the attendance of an action. As mentioned in</w:t>
      </w:r>
      <w:r w:rsidR="00181D3B">
        <w:t xml:space="preserve"> chapter 3</w:t>
      </w:r>
      <w:r w:rsidRPr="0069399F">
        <w:t>, a substantive claim</w:t>
      </w:r>
      <w:r w:rsidR="00DE5ECE">
        <w:t xml:space="preserve"> is identified</w:t>
      </w:r>
      <w:r w:rsidRPr="0069399F">
        <w:t xml:space="preserve"> when </w:t>
      </w:r>
      <w:r w:rsidR="00DE5ECE">
        <w:t>an</w:t>
      </w:r>
      <w:r w:rsidRPr="0069399F">
        <w:t xml:space="preserve"> addressee is mentioned, because the addressee is the one </w:t>
      </w:r>
      <w:r w:rsidR="00621058" w:rsidRPr="0069399F">
        <w:t>acting</w:t>
      </w:r>
      <w:r w:rsidRPr="0069399F">
        <w:t>. Table 4.1</w:t>
      </w:r>
      <w:r w:rsidR="001C68A0">
        <w:t>2</w:t>
      </w:r>
      <w:r w:rsidRPr="0069399F">
        <w:t xml:space="preserve"> gives an overview of the mentioned addressees. In 31,7% of the claims no addressee is mentioned, meaning that in 68,3% of the claims an addressee is mentioned.</w:t>
      </w:r>
      <w:r w:rsidR="007D0417">
        <w:rPr>
          <w:rStyle w:val="Voetnootmarkering"/>
          <w:color w:val="000000"/>
        </w:rPr>
        <w:footnoteReference w:id="28"/>
      </w:r>
      <w:r w:rsidRPr="0069399F">
        <w:t xml:space="preserve"> In the 52</w:t>
      </w:r>
      <w:r w:rsidRPr="0069399F">
        <w:rPr>
          <w:vertAlign w:val="superscript"/>
        </w:rPr>
        <w:t>nd</w:t>
      </w:r>
      <w:r w:rsidRPr="0069399F">
        <w:t xml:space="preserve"> government period in 73</w:t>
      </w:r>
      <w:r w:rsidR="006A2DEA">
        <w:t xml:space="preserve"> claims</w:t>
      </w:r>
      <w:r w:rsidRPr="0069399F">
        <w:t xml:space="preserve"> out of the 103</w:t>
      </w:r>
      <w:r w:rsidR="006A2DEA">
        <w:t xml:space="preserve">, </w:t>
      </w:r>
      <w:r w:rsidRPr="0069399F">
        <w:t>an addressee is mentioned. In the 53</w:t>
      </w:r>
      <w:r w:rsidRPr="0069399F">
        <w:rPr>
          <w:vertAlign w:val="superscript"/>
        </w:rPr>
        <w:t>rd</w:t>
      </w:r>
      <w:r w:rsidRPr="0069399F">
        <w:t xml:space="preserve"> government period this is the case in 84 out of 127 claims. This comes down to respectively 70,9% and 66,1% substantive claims. Meaning that around two-thirds of the claims is substantive</w:t>
      </w:r>
      <w:r w:rsidR="003D1155">
        <w:t xml:space="preserve">, </w:t>
      </w:r>
      <w:r w:rsidR="00C601AC">
        <w:t>and thus referring to a</w:t>
      </w:r>
      <w:r w:rsidR="003D1155">
        <w:t>n addressee,</w:t>
      </w:r>
      <w:r w:rsidRPr="0069399F">
        <w:t xml:space="preserve"> and one-third symbolic</w:t>
      </w:r>
      <w:r w:rsidR="003D1155">
        <w:t>, not</w:t>
      </w:r>
      <w:r w:rsidR="00C601AC">
        <w:t xml:space="preserve"> referring to</w:t>
      </w:r>
      <w:r w:rsidR="003D1155">
        <w:t xml:space="preserve"> an addressee</w:t>
      </w:r>
      <w:r w:rsidR="00ED5889">
        <w:t xml:space="preserve">. </w:t>
      </w:r>
    </w:p>
    <w:p w14:paraId="7BA81741" w14:textId="15FB07B6" w:rsidR="007A43E6" w:rsidRPr="00ED5889" w:rsidRDefault="007A43E6" w:rsidP="00ED5889">
      <w:pPr>
        <w:pStyle w:val="Geenafstand"/>
        <w:spacing w:line="360" w:lineRule="auto"/>
        <w:ind w:firstLine="708"/>
        <w:jc w:val="both"/>
      </w:pPr>
      <w:r w:rsidRPr="00ED5889">
        <w:t xml:space="preserve">Table 4.12 shows the number of symbolic and substantive claims that are made by Māori MPs and non-Māori MPs. </w:t>
      </w:r>
      <w:r w:rsidRPr="0069399F">
        <w:t>From this table</w:t>
      </w:r>
      <w:r>
        <w:t>,</w:t>
      </w:r>
      <w:r w:rsidRPr="0069399F">
        <w:t xml:space="preserve"> we can conclude that Māori MPs are not necessary in the making of substantive claims. Māori MPs are not necessary, because non-Māori MPs also make claims</w:t>
      </w:r>
      <w:r w:rsidR="004F00DE">
        <w:t xml:space="preserve">, </w:t>
      </w:r>
      <w:r w:rsidRPr="0069399F">
        <w:t>not only substantive, but also symbolic. As table 4.1</w:t>
      </w:r>
      <w:r>
        <w:t>2</w:t>
      </w:r>
      <w:r w:rsidRPr="0069399F">
        <w:t xml:space="preserve"> shows, out of the 157 substantive claims, non-Māori MPs made 83</w:t>
      </w:r>
      <w:r w:rsidR="00447DB8">
        <w:t xml:space="preserve"> </w:t>
      </w:r>
      <w:r w:rsidR="00E60F94">
        <w:t>claims</w:t>
      </w:r>
      <w:r w:rsidRPr="0069399F">
        <w:t>.</w:t>
      </w:r>
    </w:p>
    <w:p w14:paraId="66FAAF1A" w14:textId="77777777" w:rsidR="008B7DCB" w:rsidRDefault="008B7DCB" w:rsidP="008B7DCB">
      <w:pPr>
        <w:pStyle w:val="Geenafstand"/>
        <w:spacing w:line="360" w:lineRule="auto"/>
        <w:jc w:val="both"/>
      </w:pPr>
    </w:p>
    <w:p w14:paraId="4295D6A6" w14:textId="77693BA7" w:rsidR="00D95AA5" w:rsidRPr="007E69BB" w:rsidRDefault="00D95AA5" w:rsidP="008B7DCB">
      <w:pPr>
        <w:pStyle w:val="Kop3"/>
        <w:rPr>
          <w:b/>
          <w:bCs/>
          <w:sz w:val="20"/>
          <w:szCs w:val="20"/>
        </w:rPr>
      </w:pPr>
      <w:bookmarkStart w:id="213" w:name="_Toc74503497"/>
      <w:bookmarkStart w:id="214" w:name="_Toc74583629"/>
      <w:bookmarkStart w:id="215" w:name="_Toc74583837"/>
      <w:bookmarkStart w:id="216" w:name="_Toc75384105"/>
      <w:r w:rsidRPr="007E69BB">
        <w:rPr>
          <w:sz w:val="20"/>
          <w:szCs w:val="20"/>
        </w:rPr>
        <w:t>Table 4.1</w:t>
      </w:r>
      <w:r w:rsidR="00397D7D" w:rsidRPr="007E69BB">
        <w:rPr>
          <w:sz w:val="20"/>
          <w:szCs w:val="20"/>
        </w:rPr>
        <w:t>2</w:t>
      </w:r>
      <w:r w:rsidRPr="007E69BB">
        <w:rPr>
          <w:sz w:val="20"/>
          <w:szCs w:val="20"/>
        </w:rPr>
        <w:t xml:space="preserve"> Symbolic and substantive claims made by (non-)Māori MPs.</w:t>
      </w:r>
      <w:bookmarkEnd w:id="213"/>
      <w:bookmarkEnd w:id="214"/>
      <w:bookmarkEnd w:id="215"/>
      <w:bookmarkEnd w:id="216"/>
    </w:p>
    <w:tbl>
      <w:tblPr>
        <w:tblStyle w:val="Onopgemaaktetabel3"/>
        <w:tblW w:w="9062" w:type="dxa"/>
        <w:tblLayout w:type="fixed"/>
        <w:tblLook w:val="0600" w:firstRow="0" w:lastRow="0" w:firstColumn="0" w:lastColumn="0" w:noHBand="1" w:noVBand="1"/>
      </w:tblPr>
      <w:tblGrid>
        <w:gridCol w:w="1701"/>
        <w:gridCol w:w="2127"/>
        <w:gridCol w:w="2268"/>
        <w:gridCol w:w="2966"/>
      </w:tblGrid>
      <w:tr w:rsidR="00D95AA5" w14:paraId="3D2033B7" w14:textId="77777777" w:rsidTr="00C711CF">
        <w:tc>
          <w:tcPr>
            <w:tcW w:w="1701" w:type="dxa"/>
            <w:tcBorders>
              <w:bottom w:val="single" w:sz="4" w:space="0" w:color="auto"/>
            </w:tcBorders>
          </w:tcPr>
          <w:p w14:paraId="09587A8C" w14:textId="77777777" w:rsidR="00D95AA5" w:rsidRDefault="00D95AA5" w:rsidP="008B7DCB">
            <w:pPr>
              <w:pStyle w:val="Geenafstand"/>
            </w:pPr>
          </w:p>
        </w:tc>
        <w:tc>
          <w:tcPr>
            <w:tcW w:w="2127" w:type="dxa"/>
            <w:tcBorders>
              <w:bottom w:val="single" w:sz="4" w:space="0" w:color="auto"/>
            </w:tcBorders>
          </w:tcPr>
          <w:p w14:paraId="2261F0FA" w14:textId="77777777" w:rsidR="00D95AA5" w:rsidRDefault="00D95AA5" w:rsidP="008B7DCB">
            <w:pPr>
              <w:pStyle w:val="Geenafstand"/>
            </w:pPr>
            <w:r>
              <w:t>Symbolic claims</w:t>
            </w:r>
          </w:p>
        </w:tc>
        <w:tc>
          <w:tcPr>
            <w:tcW w:w="2268" w:type="dxa"/>
            <w:tcBorders>
              <w:bottom w:val="single" w:sz="4" w:space="0" w:color="auto"/>
            </w:tcBorders>
          </w:tcPr>
          <w:p w14:paraId="22666F6E" w14:textId="77777777" w:rsidR="00D95AA5" w:rsidRDefault="00D95AA5" w:rsidP="008B7DCB">
            <w:pPr>
              <w:pStyle w:val="Geenafstand"/>
            </w:pPr>
            <w:r>
              <w:t>Substantive claims</w:t>
            </w:r>
          </w:p>
        </w:tc>
        <w:tc>
          <w:tcPr>
            <w:tcW w:w="2966" w:type="dxa"/>
            <w:tcBorders>
              <w:bottom w:val="single" w:sz="4" w:space="0" w:color="auto"/>
            </w:tcBorders>
          </w:tcPr>
          <w:p w14:paraId="4ECD82D0" w14:textId="77777777" w:rsidR="00D95AA5" w:rsidRDefault="00D95AA5" w:rsidP="008B7DCB">
            <w:pPr>
              <w:pStyle w:val="Geenafstand"/>
            </w:pPr>
            <w:r>
              <w:t>Total</w:t>
            </w:r>
          </w:p>
        </w:tc>
      </w:tr>
      <w:tr w:rsidR="00D95AA5" w14:paraId="437785F5" w14:textId="77777777" w:rsidTr="00C711CF">
        <w:tc>
          <w:tcPr>
            <w:tcW w:w="1701" w:type="dxa"/>
            <w:tcBorders>
              <w:top w:val="single" w:sz="4" w:space="0" w:color="auto"/>
            </w:tcBorders>
          </w:tcPr>
          <w:p w14:paraId="176CB844" w14:textId="77777777" w:rsidR="00D95AA5" w:rsidRDefault="00D95AA5" w:rsidP="008B7DCB">
            <w:pPr>
              <w:pStyle w:val="Geenafstand"/>
            </w:pPr>
            <w:r>
              <w:t>Māori MPs</w:t>
            </w:r>
          </w:p>
        </w:tc>
        <w:tc>
          <w:tcPr>
            <w:tcW w:w="2127" w:type="dxa"/>
            <w:tcBorders>
              <w:top w:val="single" w:sz="4" w:space="0" w:color="auto"/>
            </w:tcBorders>
          </w:tcPr>
          <w:p w14:paraId="40E5D8CD" w14:textId="0D690FF8" w:rsidR="00D95AA5" w:rsidRDefault="00D95AA5" w:rsidP="008B7DCB">
            <w:pPr>
              <w:pStyle w:val="Geenafstand"/>
            </w:pPr>
            <w:r>
              <w:t xml:space="preserve">34 </w:t>
            </w:r>
            <w:r w:rsidR="00297C42">
              <w:t>(46,6%)</w:t>
            </w:r>
          </w:p>
        </w:tc>
        <w:tc>
          <w:tcPr>
            <w:tcW w:w="2268" w:type="dxa"/>
            <w:tcBorders>
              <w:top w:val="single" w:sz="4" w:space="0" w:color="auto"/>
            </w:tcBorders>
          </w:tcPr>
          <w:p w14:paraId="4CBB10FB" w14:textId="2B58E677" w:rsidR="00D95AA5" w:rsidRDefault="00D95AA5" w:rsidP="008B7DCB">
            <w:pPr>
              <w:pStyle w:val="Geenafstand"/>
            </w:pPr>
            <w:r>
              <w:t xml:space="preserve">74 </w:t>
            </w:r>
            <w:r w:rsidR="00297C42">
              <w:t>(47,1%)</w:t>
            </w:r>
          </w:p>
        </w:tc>
        <w:tc>
          <w:tcPr>
            <w:tcW w:w="2966" w:type="dxa"/>
            <w:tcBorders>
              <w:top w:val="single" w:sz="4" w:space="0" w:color="auto"/>
            </w:tcBorders>
          </w:tcPr>
          <w:p w14:paraId="3F87453A" w14:textId="7A52A320" w:rsidR="00D95AA5" w:rsidRDefault="00D95AA5" w:rsidP="008B7DCB">
            <w:pPr>
              <w:pStyle w:val="Geenafstand"/>
            </w:pPr>
            <w:r>
              <w:t>108</w:t>
            </w:r>
            <w:r w:rsidR="00297C42">
              <w:t xml:space="preserve"> (47,0%)</w:t>
            </w:r>
          </w:p>
        </w:tc>
      </w:tr>
      <w:tr w:rsidR="00D95AA5" w14:paraId="6DE9D41F" w14:textId="77777777" w:rsidTr="00C711CF">
        <w:tc>
          <w:tcPr>
            <w:tcW w:w="1701" w:type="dxa"/>
            <w:tcBorders>
              <w:bottom w:val="single" w:sz="4" w:space="0" w:color="auto"/>
            </w:tcBorders>
          </w:tcPr>
          <w:p w14:paraId="5B5AD135" w14:textId="77777777" w:rsidR="00D95AA5" w:rsidRDefault="00D95AA5" w:rsidP="008B7DCB">
            <w:pPr>
              <w:pStyle w:val="Geenafstand"/>
            </w:pPr>
            <w:r>
              <w:rPr>
                <w:color w:val="000000"/>
              </w:rPr>
              <w:t>Non-Māori MPs</w:t>
            </w:r>
          </w:p>
        </w:tc>
        <w:tc>
          <w:tcPr>
            <w:tcW w:w="2127" w:type="dxa"/>
            <w:tcBorders>
              <w:bottom w:val="single" w:sz="4" w:space="0" w:color="auto"/>
            </w:tcBorders>
          </w:tcPr>
          <w:p w14:paraId="4618C9DA" w14:textId="7537E990" w:rsidR="00D95AA5" w:rsidRDefault="00D95AA5" w:rsidP="008B7DCB">
            <w:pPr>
              <w:pStyle w:val="Geenafstand"/>
            </w:pPr>
            <w:r>
              <w:rPr>
                <w:color w:val="000000"/>
              </w:rPr>
              <w:t xml:space="preserve">39 </w:t>
            </w:r>
            <w:r w:rsidR="00297C42">
              <w:rPr>
                <w:color w:val="000000"/>
              </w:rPr>
              <w:t>(53,4%)</w:t>
            </w:r>
          </w:p>
        </w:tc>
        <w:tc>
          <w:tcPr>
            <w:tcW w:w="2268" w:type="dxa"/>
            <w:tcBorders>
              <w:bottom w:val="single" w:sz="4" w:space="0" w:color="auto"/>
            </w:tcBorders>
          </w:tcPr>
          <w:p w14:paraId="400483BE" w14:textId="0F7DFFD6" w:rsidR="00D95AA5" w:rsidRDefault="00D95AA5" w:rsidP="008B7DCB">
            <w:pPr>
              <w:pStyle w:val="Geenafstand"/>
            </w:pPr>
            <w:r>
              <w:rPr>
                <w:color w:val="000000"/>
              </w:rPr>
              <w:t xml:space="preserve">83 </w:t>
            </w:r>
            <w:r w:rsidR="00297C42">
              <w:rPr>
                <w:color w:val="000000"/>
              </w:rPr>
              <w:t>(52,9%)</w:t>
            </w:r>
          </w:p>
        </w:tc>
        <w:tc>
          <w:tcPr>
            <w:tcW w:w="2966" w:type="dxa"/>
            <w:tcBorders>
              <w:bottom w:val="single" w:sz="4" w:space="0" w:color="auto"/>
            </w:tcBorders>
          </w:tcPr>
          <w:p w14:paraId="083ED7CF" w14:textId="2DE9344A" w:rsidR="00D95AA5" w:rsidRDefault="00D95AA5" w:rsidP="008B7DCB">
            <w:pPr>
              <w:pStyle w:val="Geenafstand"/>
            </w:pPr>
            <w:r>
              <w:rPr>
                <w:color w:val="000000"/>
              </w:rPr>
              <w:t xml:space="preserve">122 </w:t>
            </w:r>
            <w:r w:rsidR="00297C42">
              <w:rPr>
                <w:color w:val="000000"/>
              </w:rPr>
              <w:t>(53,0%)</w:t>
            </w:r>
          </w:p>
        </w:tc>
      </w:tr>
      <w:tr w:rsidR="00D95AA5" w14:paraId="5543899A" w14:textId="77777777" w:rsidTr="00C711CF">
        <w:tc>
          <w:tcPr>
            <w:tcW w:w="1701" w:type="dxa"/>
            <w:tcBorders>
              <w:top w:val="single" w:sz="4" w:space="0" w:color="auto"/>
            </w:tcBorders>
          </w:tcPr>
          <w:p w14:paraId="3E7BA4BE" w14:textId="77777777" w:rsidR="00D95AA5" w:rsidRDefault="00D95AA5" w:rsidP="008B7DCB">
            <w:pPr>
              <w:pStyle w:val="Geenafstand"/>
            </w:pPr>
            <w:r>
              <w:rPr>
                <w:color w:val="000000"/>
              </w:rPr>
              <w:t>Total</w:t>
            </w:r>
          </w:p>
        </w:tc>
        <w:tc>
          <w:tcPr>
            <w:tcW w:w="2127" w:type="dxa"/>
            <w:tcBorders>
              <w:top w:val="single" w:sz="4" w:space="0" w:color="auto"/>
            </w:tcBorders>
          </w:tcPr>
          <w:p w14:paraId="286BF40D" w14:textId="3D92BE6D" w:rsidR="00D95AA5" w:rsidRDefault="00D95AA5" w:rsidP="008B7DCB">
            <w:pPr>
              <w:pStyle w:val="Geenafstand"/>
            </w:pPr>
            <w:r>
              <w:rPr>
                <w:color w:val="000000"/>
              </w:rPr>
              <w:t>73</w:t>
            </w:r>
            <w:r w:rsidR="00297C42">
              <w:rPr>
                <w:color w:val="000000"/>
              </w:rPr>
              <w:t xml:space="preserve"> (100%)</w:t>
            </w:r>
          </w:p>
        </w:tc>
        <w:tc>
          <w:tcPr>
            <w:tcW w:w="2268" w:type="dxa"/>
            <w:tcBorders>
              <w:top w:val="single" w:sz="4" w:space="0" w:color="auto"/>
            </w:tcBorders>
          </w:tcPr>
          <w:p w14:paraId="507E6732" w14:textId="06F7E3CE" w:rsidR="00D95AA5" w:rsidRDefault="00D95AA5" w:rsidP="008B7DCB">
            <w:pPr>
              <w:pStyle w:val="Geenafstand"/>
            </w:pPr>
            <w:r>
              <w:rPr>
                <w:color w:val="000000"/>
              </w:rPr>
              <w:t xml:space="preserve">157 </w:t>
            </w:r>
            <w:r w:rsidR="00297C42">
              <w:rPr>
                <w:color w:val="000000"/>
              </w:rPr>
              <w:t>(100%)</w:t>
            </w:r>
          </w:p>
        </w:tc>
        <w:tc>
          <w:tcPr>
            <w:tcW w:w="2966" w:type="dxa"/>
            <w:tcBorders>
              <w:top w:val="single" w:sz="4" w:space="0" w:color="auto"/>
            </w:tcBorders>
          </w:tcPr>
          <w:p w14:paraId="1C49C627" w14:textId="6EEB1BE4" w:rsidR="00D95AA5" w:rsidRDefault="00D95AA5" w:rsidP="008B7DCB">
            <w:pPr>
              <w:pStyle w:val="Geenafstand"/>
            </w:pPr>
            <w:r>
              <w:rPr>
                <w:color w:val="000000"/>
              </w:rPr>
              <w:t xml:space="preserve">230 </w:t>
            </w:r>
            <w:r w:rsidR="00297C42">
              <w:rPr>
                <w:color w:val="000000"/>
              </w:rPr>
              <w:t>(100%)</w:t>
            </w:r>
          </w:p>
        </w:tc>
      </w:tr>
    </w:tbl>
    <w:p w14:paraId="456158BB" w14:textId="77777777" w:rsidR="00D95AA5" w:rsidRDefault="00D95AA5" w:rsidP="00D95AA5">
      <w:pPr>
        <w:spacing w:line="360" w:lineRule="auto"/>
        <w:jc w:val="both"/>
        <w:rPr>
          <w:color w:val="000000"/>
          <w:lang w:val="en-GB"/>
        </w:rPr>
      </w:pPr>
    </w:p>
    <w:p w14:paraId="45694EE2" w14:textId="79A9BCFB" w:rsidR="001149DC" w:rsidRPr="00001E5E" w:rsidRDefault="009A22CC" w:rsidP="000213FF">
      <w:pPr>
        <w:pStyle w:val="Geenafstand"/>
        <w:spacing w:line="360" w:lineRule="auto"/>
        <w:ind w:firstLine="708"/>
        <w:jc w:val="both"/>
        <w:rPr>
          <w:lang w:val="en-US"/>
        </w:rPr>
      </w:pPr>
      <w:r w:rsidRPr="00001E5E">
        <w:t>Table 4.13 shows that</w:t>
      </w:r>
      <w:r w:rsidR="00067459" w:rsidRPr="00001E5E">
        <w:t xml:space="preserve"> there are two main addressees</w:t>
      </w:r>
      <w:r w:rsidR="006533C2" w:rsidRPr="00001E5E">
        <w:t>: the government and other MPs/Parliament.</w:t>
      </w:r>
      <w:r w:rsidR="00067459" w:rsidRPr="00001E5E">
        <w:t xml:space="preserve"> In both government periods, the government is mentioned most often. The second addressee</w:t>
      </w:r>
      <w:r w:rsidR="0066526E" w:rsidRPr="00001E5E">
        <w:t xml:space="preserve"> </w:t>
      </w:r>
      <w:r w:rsidR="00067459" w:rsidRPr="00001E5E">
        <w:t>‘other MPs/Parliament’</w:t>
      </w:r>
      <w:r w:rsidR="00D53C6B" w:rsidRPr="00001E5E">
        <w:t xml:space="preserve"> is </w:t>
      </w:r>
      <w:r w:rsidR="0020489A" w:rsidRPr="00001E5E">
        <w:t>mentioned s</w:t>
      </w:r>
      <w:r w:rsidR="00067459" w:rsidRPr="00001E5E">
        <w:t xml:space="preserve">omewhat more in the previous (24,3%) than in the current government period (16,5%). </w:t>
      </w:r>
      <w:r w:rsidR="00001E5E" w:rsidRPr="00001E5E">
        <w:rPr>
          <w:lang w:val="en-US"/>
        </w:rPr>
        <w:t xml:space="preserve">Meaning mostly that the government and MPs or parliament are requested to take action. </w:t>
      </w:r>
      <w:r w:rsidR="00067459" w:rsidRPr="00001E5E">
        <w:t xml:space="preserve">This is not surprising, since the claims analysed are solely claims made by MPs. However, </w:t>
      </w:r>
      <w:r w:rsidR="004C12D5">
        <w:t xml:space="preserve">all categories, </w:t>
      </w:r>
      <w:r w:rsidR="00067459" w:rsidRPr="00001E5E">
        <w:t>except the category ‘Māori citizens’</w:t>
      </w:r>
      <w:r w:rsidR="00BF355B">
        <w:t>,</w:t>
      </w:r>
      <w:r w:rsidR="00067459" w:rsidRPr="00001E5E">
        <w:t xml:space="preserve"> cover governmental actors. Thus</w:t>
      </w:r>
      <w:r w:rsidR="004F00DE" w:rsidRPr="00001E5E">
        <w:t>,</w:t>
      </w:r>
      <w:r w:rsidR="00067459" w:rsidRPr="00001E5E">
        <w:t xml:space="preserve"> it is notable that addressees mentioned are not very specific, but </w:t>
      </w:r>
      <w:r w:rsidR="007D3EC2">
        <w:t>more general like the government or parliament</w:t>
      </w:r>
      <w:r w:rsidR="00067459" w:rsidRPr="00001E5E">
        <w:t xml:space="preserve">. </w:t>
      </w:r>
      <w:r w:rsidR="000F27F4">
        <w:t>An exception is</w:t>
      </w:r>
      <w:r w:rsidR="00067459" w:rsidRPr="00001E5E">
        <w:t xml:space="preserve"> the Māori Affairs Committee. This is a specific addressee that is mentioned a considerably number of times</w:t>
      </w:r>
      <w:r w:rsidR="00D35459" w:rsidRPr="00001E5E">
        <w:t xml:space="preserve"> (9,1%). </w:t>
      </w:r>
      <w:r w:rsidR="00202074" w:rsidRPr="00001E5E">
        <w:t>Implying</w:t>
      </w:r>
      <w:r w:rsidR="00067459" w:rsidRPr="00001E5E">
        <w:t xml:space="preserve"> that the Māori Affairs Committee has an influential role in representing Māori people.</w:t>
      </w:r>
    </w:p>
    <w:p w14:paraId="1917AB17" w14:textId="7B12CE2A" w:rsidR="00EB3E73" w:rsidRDefault="00EB3E73" w:rsidP="00EB3E73">
      <w:pPr>
        <w:pStyle w:val="Geenafstand"/>
        <w:spacing w:line="360" w:lineRule="auto"/>
        <w:jc w:val="both"/>
        <w:rPr>
          <w:sz w:val="20"/>
          <w:szCs w:val="20"/>
        </w:rPr>
      </w:pPr>
      <w:bookmarkStart w:id="217" w:name="_Toc74503496"/>
      <w:bookmarkStart w:id="218" w:name="_Toc74583628"/>
      <w:bookmarkStart w:id="219" w:name="_Toc74583836"/>
      <w:bookmarkStart w:id="220" w:name="_Toc72853025"/>
    </w:p>
    <w:p w14:paraId="1B7C13E7" w14:textId="7D9831FC" w:rsidR="001E1FA7" w:rsidRDefault="001E1FA7" w:rsidP="00EB3E73">
      <w:pPr>
        <w:pStyle w:val="Geenafstand"/>
        <w:spacing w:line="360" w:lineRule="auto"/>
        <w:jc w:val="both"/>
        <w:rPr>
          <w:sz w:val="20"/>
          <w:szCs w:val="20"/>
        </w:rPr>
      </w:pPr>
    </w:p>
    <w:p w14:paraId="52C28BA7" w14:textId="77777777" w:rsidR="001E1FA7" w:rsidRDefault="001E1FA7" w:rsidP="00EB3E73">
      <w:pPr>
        <w:pStyle w:val="Geenafstand"/>
        <w:spacing w:line="360" w:lineRule="auto"/>
        <w:jc w:val="both"/>
        <w:rPr>
          <w:sz w:val="20"/>
          <w:szCs w:val="20"/>
        </w:rPr>
      </w:pPr>
    </w:p>
    <w:p w14:paraId="1D827858" w14:textId="3CA17524" w:rsidR="007946A4" w:rsidRPr="00EB3E73" w:rsidRDefault="007946A4" w:rsidP="00EB3E73">
      <w:pPr>
        <w:pStyle w:val="Kop3"/>
        <w:rPr>
          <w:color w:val="2F5496" w:themeColor="accent1" w:themeShade="BF"/>
          <w:sz w:val="20"/>
          <w:szCs w:val="20"/>
        </w:rPr>
      </w:pPr>
      <w:bookmarkStart w:id="221" w:name="_Toc75384106"/>
      <w:r w:rsidRPr="00EB3E73">
        <w:rPr>
          <w:sz w:val="20"/>
          <w:szCs w:val="20"/>
        </w:rPr>
        <w:lastRenderedPageBreak/>
        <w:t>Table 4.1</w:t>
      </w:r>
      <w:r w:rsidR="001C68A0" w:rsidRPr="00EB3E73">
        <w:rPr>
          <w:sz w:val="20"/>
          <w:szCs w:val="20"/>
        </w:rPr>
        <w:t>3</w:t>
      </w:r>
      <w:r w:rsidRPr="00EB3E73">
        <w:rPr>
          <w:sz w:val="20"/>
          <w:szCs w:val="20"/>
        </w:rPr>
        <w:t>. Addressee of the claim</w:t>
      </w:r>
      <w:r w:rsidR="00034155" w:rsidRPr="00EB3E73">
        <w:rPr>
          <w:sz w:val="20"/>
          <w:szCs w:val="20"/>
        </w:rPr>
        <w:t>s</w:t>
      </w:r>
      <w:r w:rsidRPr="00EB3E73">
        <w:rPr>
          <w:sz w:val="20"/>
          <w:szCs w:val="20"/>
        </w:rPr>
        <w:t>.</w:t>
      </w:r>
      <w:bookmarkEnd w:id="217"/>
      <w:bookmarkEnd w:id="218"/>
      <w:bookmarkEnd w:id="219"/>
      <w:bookmarkEnd w:id="221"/>
      <w:r w:rsidRPr="00EB3E73">
        <w:rPr>
          <w:sz w:val="20"/>
          <w:szCs w:val="20"/>
        </w:rPr>
        <w:t xml:space="preserve"> </w:t>
      </w:r>
      <w:bookmarkEnd w:id="220"/>
    </w:p>
    <w:tbl>
      <w:tblPr>
        <w:tblStyle w:val="Onopgemaaktetabel3"/>
        <w:tblW w:w="9062" w:type="dxa"/>
        <w:tblLayout w:type="fixed"/>
        <w:tblLook w:val="0600" w:firstRow="0" w:lastRow="0" w:firstColumn="0" w:lastColumn="0" w:noHBand="1" w:noVBand="1"/>
      </w:tblPr>
      <w:tblGrid>
        <w:gridCol w:w="2265"/>
        <w:gridCol w:w="2265"/>
        <w:gridCol w:w="2266"/>
        <w:gridCol w:w="2266"/>
      </w:tblGrid>
      <w:tr w:rsidR="0069399F" w14:paraId="7312A752" w14:textId="77777777" w:rsidTr="00F35595">
        <w:tc>
          <w:tcPr>
            <w:tcW w:w="2265" w:type="dxa"/>
            <w:tcBorders>
              <w:bottom w:val="single" w:sz="4" w:space="0" w:color="auto"/>
            </w:tcBorders>
          </w:tcPr>
          <w:p w14:paraId="5E1CCF98" w14:textId="77777777" w:rsidR="0069399F" w:rsidRDefault="0069399F" w:rsidP="003B4910">
            <w:pPr>
              <w:pStyle w:val="Geenafstand"/>
            </w:pPr>
          </w:p>
        </w:tc>
        <w:tc>
          <w:tcPr>
            <w:tcW w:w="2265" w:type="dxa"/>
            <w:tcBorders>
              <w:bottom w:val="single" w:sz="4" w:space="0" w:color="auto"/>
            </w:tcBorders>
          </w:tcPr>
          <w:p w14:paraId="1254DFAD" w14:textId="77777777" w:rsidR="0069399F" w:rsidRDefault="0069399F" w:rsidP="003B4910">
            <w:pPr>
              <w:pStyle w:val="Geenafstand"/>
            </w:pPr>
            <w:r>
              <w:t>52</w:t>
            </w:r>
            <w:r>
              <w:rPr>
                <w:vertAlign w:val="superscript"/>
              </w:rPr>
              <w:t>nd</w:t>
            </w:r>
            <w:r>
              <w:t xml:space="preserve"> government </w:t>
            </w:r>
          </w:p>
        </w:tc>
        <w:tc>
          <w:tcPr>
            <w:tcW w:w="2266" w:type="dxa"/>
            <w:tcBorders>
              <w:bottom w:val="single" w:sz="4" w:space="0" w:color="auto"/>
            </w:tcBorders>
          </w:tcPr>
          <w:p w14:paraId="5D15A113" w14:textId="77777777" w:rsidR="0069399F" w:rsidRDefault="0069399F" w:rsidP="003B4910">
            <w:pPr>
              <w:pStyle w:val="Geenafstand"/>
            </w:pPr>
            <w:r>
              <w:t>53</w:t>
            </w:r>
            <w:r>
              <w:rPr>
                <w:vertAlign w:val="superscript"/>
              </w:rPr>
              <w:t>rd</w:t>
            </w:r>
            <w:r>
              <w:t xml:space="preserve"> government</w:t>
            </w:r>
          </w:p>
        </w:tc>
        <w:tc>
          <w:tcPr>
            <w:tcW w:w="2266" w:type="dxa"/>
            <w:tcBorders>
              <w:bottom w:val="single" w:sz="4" w:space="0" w:color="auto"/>
            </w:tcBorders>
          </w:tcPr>
          <w:p w14:paraId="21D13CB5" w14:textId="77777777" w:rsidR="0069399F" w:rsidRDefault="0069399F" w:rsidP="003B4910">
            <w:pPr>
              <w:pStyle w:val="Geenafstand"/>
            </w:pPr>
            <w:r>
              <w:t>Total</w:t>
            </w:r>
          </w:p>
        </w:tc>
      </w:tr>
      <w:tr w:rsidR="0069399F" w14:paraId="595F8CED" w14:textId="77777777" w:rsidTr="00F35595">
        <w:tc>
          <w:tcPr>
            <w:tcW w:w="2265" w:type="dxa"/>
            <w:tcBorders>
              <w:top w:val="single" w:sz="4" w:space="0" w:color="auto"/>
            </w:tcBorders>
          </w:tcPr>
          <w:p w14:paraId="2DA9DE24" w14:textId="77777777" w:rsidR="0069399F" w:rsidRDefault="0069399F" w:rsidP="003B4910">
            <w:pPr>
              <w:pStyle w:val="Geenafstand"/>
            </w:pPr>
            <w:r>
              <w:t>Absent</w:t>
            </w:r>
          </w:p>
        </w:tc>
        <w:tc>
          <w:tcPr>
            <w:tcW w:w="2265" w:type="dxa"/>
            <w:tcBorders>
              <w:top w:val="single" w:sz="4" w:space="0" w:color="auto"/>
            </w:tcBorders>
          </w:tcPr>
          <w:p w14:paraId="68BBCD8A" w14:textId="77777777" w:rsidR="0069399F" w:rsidRDefault="0069399F" w:rsidP="003B4910">
            <w:pPr>
              <w:pStyle w:val="Geenafstand"/>
            </w:pPr>
            <w:r>
              <w:t>30 (29,1%)</w:t>
            </w:r>
          </w:p>
        </w:tc>
        <w:tc>
          <w:tcPr>
            <w:tcW w:w="2266" w:type="dxa"/>
            <w:tcBorders>
              <w:top w:val="single" w:sz="4" w:space="0" w:color="auto"/>
            </w:tcBorders>
          </w:tcPr>
          <w:p w14:paraId="07C90565" w14:textId="77777777" w:rsidR="0069399F" w:rsidRDefault="0069399F" w:rsidP="003B4910">
            <w:pPr>
              <w:pStyle w:val="Geenafstand"/>
            </w:pPr>
            <w:r>
              <w:t>43 (33,9%)</w:t>
            </w:r>
          </w:p>
        </w:tc>
        <w:tc>
          <w:tcPr>
            <w:tcW w:w="2266" w:type="dxa"/>
            <w:tcBorders>
              <w:top w:val="single" w:sz="4" w:space="0" w:color="auto"/>
            </w:tcBorders>
          </w:tcPr>
          <w:p w14:paraId="45E0BA80" w14:textId="77777777" w:rsidR="0069399F" w:rsidRDefault="0069399F" w:rsidP="003B4910">
            <w:pPr>
              <w:pStyle w:val="Geenafstand"/>
            </w:pPr>
            <w:r>
              <w:t>73 (31,7%)</w:t>
            </w:r>
          </w:p>
        </w:tc>
      </w:tr>
      <w:tr w:rsidR="0069399F" w14:paraId="2ED6F34C" w14:textId="77777777" w:rsidTr="00F35595">
        <w:tc>
          <w:tcPr>
            <w:tcW w:w="2265" w:type="dxa"/>
          </w:tcPr>
          <w:p w14:paraId="41AE446D" w14:textId="77777777" w:rsidR="0069399F" w:rsidRDefault="0069399F" w:rsidP="003B4910">
            <w:pPr>
              <w:pStyle w:val="Geenafstand"/>
            </w:pPr>
            <w:r>
              <w:t>Government</w:t>
            </w:r>
          </w:p>
        </w:tc>
        <w:tc>
          <w:tcPr>
            <w:tcW w:w="2265" w:type="dxa"/>
          </w:tcPr>
          <w:p w14:paraId="5583EBC1" w14:textId="77777777" w:rsidR="0069399F" w:rsidRDefault="0069399F" w:rsidP="003B4910">
            <w:pPr>
              <w:pStyle w:val="Geenafstand"/>
            </w:pPr>
            <w:r>
              <w:t>30 (29,1%)</w:t>
            </w:r>
          </w:p>
        </w:tc>
        <w:tc>
          <w:tcPr>
            <w:tcW w:w="2266" w:type="dxa"/>
          </w:tcPr>
          <w:p w14:paraId="40F82301" w14:textId="77777777" w:rsidR="0069399F" w:rsidRDefault="0069399F" w:rsidP="003B4910">
            <w:pPr>
              <w:pStyle w:val="Geenafstand"/>
            </w:pPr>
            <w:r>
              <w:t>48 (37,8%)</w:t>
            </w:r>
          </w:p>
        </w:tc>
        <w:tc>
          <w:tcPr>
            <w:tcW w:w="2266" w:type="dxa"/>
          </w:tcPr>
          <w:p w14:paraId="0A63B9AE" w14:textId="77777777" w:rsidR="0069399F" w:rsidRDefault="0069399F" w:rsidP="003B4910">
            <w:pPr>
              <w:pStyle w:val="Geenafstand"/>
            </w:pPr>
            <w:r>
              <w:t>78 (33,9%)</w:t>
            </w:r>
          </w:p>
        </w:tc>
      </w:tr>
      <w:tr w:rsidR="0069399F" w14:paraId="301AF17F" w14:textId="77777777" w:rsidTr="00F35595">
        <w:tc>
          <w:tcPr>
            <w:tcW w:w="2265" w:type="dxa"/>
          </w:tcPr>
          <w:p w14:paraId="07406F19" w14:textId="77777777" w:rsidR="0069399F" w:rsidRDefault="0069399F" w:rsidP="003B4910">
            <w:pPr>
              <w:pStyle w:val="Geenafstand"/>
            </w:pPr>
            <w:r>
              <w:t>Local actors</w:t>
            </w:r>
          </w:p>
        </w:tc>
        <w:tc>
          <w:tcPr>
            <w:tcW w:w="2265" w:type="dxa"/>
          </w:tcPr>
          <w:p w14:paraId="4DF2C64E" w14:textId="77777777" w:rsidR="0069399F" w:rsidRDefault="0069399F" w:rsidP="003B4910">
            <w:pPr>
              <w:pStyle w:val="Geenafstand"/>
            </w:pPr>
            <w:r>
              <w:t>3 (2,9%)</w:t>
            </w:r>
          </w:p>
        </w:tc>
        <w:tc>
          <w:tcPr>
            <w:tcW w:w="2266" w:type="dxa"/>
          </w:tcPr>
          <w:p w14:paraId="75AE8F53" w14:textId="77777777" w:rsidR="0069399F" w:rsidRDefault="0069399F" w:rsidP="003B4910">
            <w:pPr>
              <w:pStyle w:val="Geenafstand"/>
            </w:pPr>
            <w:r>
              <w:t>2 (1,6%)</w:t>
            </w:r>
          </w:p>
        </w:tc>
        <w:tc>
          <w:tcPr>
            <w:tcW w:w="2266" w:type="dxa"/>
          </w:tcPr>
          <w:p w14:paraId="44BD600F" w14:textId="77777777" w:rsidR="0069399F" w:rsidRDefault="0069399F" w:rsidP="003B4910">
            <w:pPr>
              <w:pStyle w:val="Geenafstand"/>
            </w:pPr>
            <w:r>
              <w:t>5 (2,2%)</w:t>
            </w:r>
          </w:p>
        </w:tc>
      </w:tr>
      <w:tr w:rsidR="0069399F" w14:paraId="0627E852" w14:textId="77777777" w:rsidTr="00F35595">
        <w:tc>
          <w:tcPr>
            <w:tcW w:w="2265" w:type="dxa"/>
          </w:tcPr>
          <w:p w14:paraId="14AF6B02" w14:textId="77777777" w:rsidR="0069399F" w:rsidRDefault="0069399F" w:rsidP="003B4910">
            <w:pPr>
              <w:pStyle w:val="Geenafstand"/>
            </w:pPr>
            <w:r>
              <w:rPr>
                <w:color w:val="000000"/>
              </w:rPr>
              <w:t>Māori Affairs Committee</w:t>
            </w:r>
          </w:p>
        </w:tc>
        <w:tc>
          <w:tcPr>
            <w:tcW w:w="2265" w:type="dxa"/>
          </w:tcPr>
          <w:p w14:paraId="28A8E559" w14:textId="77777777" w:rsidR="0069399F" w:rsidRDefault="0069399F" w:rsidP="003B4910">
            <w:pPr>
              <w:pStyle w:val="Geenafstand"/>
            </w:pPr>
            <w:r>
              <w:t>12 (11,7%)</w:t>
            </w:r>
          </w:p>
        </w:tc>
        <w:tc>
          <w:tcPr>
            <w:tcW w:w="2266" w:type="dxa"/>
          </w:tcPr>
          <w:p w14:paraId="727354F4" w14:textId="77777777" w:rsidR="0069399F" w:rsidRDefault="0069399F" w:rsidP="003B4910">
            <w:pPr>
              <w:pStyle w:val="Geenafstand"/>
            </w:pPr>
            <w:r>
              <w:t>9 (7,1%)</w:t>
            </w:r>
          </w:p>
        </w:tc>
        <w:tc>
          <w:tcPr>
            <w:tcW w:w="2266" w:type="dxa"/>
          </w:tcPr>
          <w:p w14:paraId="4D8F1BBC" w14:textId="77777777" w:rsidR="0069399F" w:rsidRDefault="0069399F" w:rsidP="003B4910">
            <w:pPr>
              <w:pStyle w:val="Geenafstand"/>
            </w:pPr>
            <w:r>
              <w:t>21 (9,1%)</w:t>
            </w:r>
          </w:p>
        </w:tc>
      </w:tr>
      <w:tr w:rsidR="0069399F" w14:paraId="77CEE274" w14:textId="77777777" w:rsidTr="00F35595">
        <w:tc>
          <w:tcPr>
            <w:tcW w:w="2265" w:type="dxa"/>
          </w:tcPr>
          <w:p w14:paraId="44085048" w14:textId="77777777" w:rsidR="0069399F" w:rsidRDefault="0069399F" w:rsidP="003B4910">
            <w:pPr>
              <w:pStyle w:val="Geenafstand"/>
            </w:pPr>
            <w:r>
              <w:rPr>
                <w:color w:val="000000"/>
              </w:rPr>
              <w:t>MP him/herself</w:t>
            </w:r>
          </w:p>
        </w:tc>
        <w:tc>
          <w:tcPr>
            <w:tcW w:w="2265" w:type="dxa"/>
          </w:tcPr>
          <w:p w14:paraId="0DFCA05E" w14:textId="77777777" w:rsidR="0069399F" w:rsidRDefault="0069399F" w:rsidP="003B4910">
            <w:pPr>
              <w:pStyle w:val="Geenafstand"/>
            </w:pPr>
            <w:r>
              <w:t>0 (0%)</w:t>
            </w:r>
          </w:p>
        </w:tc>
        <w:tc>
          <w:tcPr>
            <w:tcW w:w="2266" w:type="dxa"/>
          </w:tcPr>
          <w:p w14:paraId="2FA0F131" w14:textId="77777777" w:rsidR="0069399F" w:rsidRDefault="0069399F" w:rsidP="003B4910">
            <w:pPr>
              <w:pStyle w:val="Geenafstand"/>
            </w:pPr>
            <w:r>
              <w:t>2 (1,6%)</w:t>
            </w:r>
          </w:p>
        </w:tc>
        <w:tc>
          <w:tcPr>
            <w:tcW w:w="2266" w:type="dxa"/>
          </w:tcPr>
          <w:p w14:paraId="4C51C3BC" w14:textId="77777777" w:rsidR="0069399F" w:rsidRDefault="0069399F" w:rsidP="003B4910">
            <w:pPr>
              <w:pStyle w:val="Geenafstand"/>
            </w:pPr>
            <w:r>
              <w:t>2 (0,9%)</w:t>
            </w:r>
          </w:p>
        </w:tc>
      </w:tr>
      <w:tr w:rsidR="0069399F" w14:paraId="7AB740F7" w14:textId="77777777" w:rsidTr="00F35595">
        <w:tc>
          <w:tcPr>
            <w:tcW w:w="2265" w:type="dxa"/>
          </w:tcPr>
          <w:p w14:paraId="56D27034" w14:textId="77777777" w:rsidR="0069399F" w:rsidRDefault="0069399F" w:rsidP="003B4910">
            <w:pPr>
              <w:pStyle w:val="Geenafstand"/>
            </w:pPr>
            <w:r>
              <w:rPr>
                <w:color w:val="000000"/>
              </w:rPr>
              <w:t>Māori citizens</w:t>
            </w:r>
          </w:p>
        </w:tc>
        <w:tc>
          <w:tcPr>
            <w:tcW w:w="2265" w:type="dxa"/>
          </w:tcPr>
          <w:p w14:paraId="622762AA" w14:textId="77777777" w:rsidR="0069399F" w:rsidRDefault="0069399F" w:rsidP="003B4910">
            <w:pPr>
              <w:pStyle w:val="Geenafstand"/>
            </w:pPr>
            <w:r>
              <w:t>0 (0%)</w:t>
            </w:r>
          </w:p>
        </w:tc>
        <w:tc>
          <w:tcPr>
            <w:tcW w:w="2266" w:type="dxa"/>
          </w:tcPr>
          <w:p w14:paraId="1C01038E" w14:textId="77777777" w:rsidR="0069399F" w:rsidRDefault="0069399F" w:rsidP="003B4910">
            <w:pPr>
              <w:pStyle w:val="Geenafstand"/>
            </w:pPr>
            <w:r>
              <w:t>1 (0,8%)</w:t>
            </w:r>
          </w:p>
        </w:tc>
        <w:tc>
          <w:tcPr>
            <w:tcW w:w="2266" w:type="dxa"/>
          </w:tcPr>
          <w:p w14:paraId="6DF2125C" w14:textId="77777777" w:rsidR="0069399F" w:rsidRDefault="0069399F" w:rsidP="003B4910">
            <w:pPr>
              <w:pStyle w:val="Geenafstand"/>
            </w:pPr>
            <w:r>
              <w:t>1 (0,4%)</w:t>
            </w:r>
          </w:p>
        </w:tc>
      </w:tr>
      <w:tr w:rsidR="0069399F" w14:paraId="3654CB5E" w14:textId="77777777" w:rsidTr="00F35595">
        <w:tc>
          <w:tcPr>
            <w:tcW w:w="2265" w:type="dxa"/>
          </w:tcPr>
          <w:p w14:paraId="63443326" w14:textId="77777777" w:rsidR="0069399F" w:rsidRDefault="0069399F" w:rsidP="003B4910">
            <w:pPr>
              <w:pStyle w:val="Geenafstand"/>
            </w:pPr>
            <w:r>
              <w:t xml:space="preserve">Other </w:t>
            </w:r>
            <w:r>
              <w:rPr>
                <w:color w:val="000000"/>
              </w:rPr>
              <w:t>Māori MP(s)</w:t>
            </w:r>
          </w:p>
        </w:tc>
        <w:tc>
          <w:tcPr>
            <w:tcW w:w="2265" w:type="dxa"/>
          </w:tcPr>
          <w:p w14:paraId="4A6B168A" w14:textId="77777777" w:rsidR="0069399F" w:rsidRDefault="0069399F" w:rsidP="003B4910">
            <w:pPr>
              <w:pStyle w:val="Geenafstand"/>
            </w:pPr>
            <w:r>
              <w:t>3 (2,9%)</w:t>
            </w:r>
          </w:p>
        </w:tc>
        <w:tc>
          <w:tcPr>
            <w:tcW w:w="2266" w:type="dxa"/>
          </w:tcPr>
          <w:p w14:paraId="094C8EE4" w14:textId="77777777" w:rsidR="0069399F" w:rsidRDefault="0069399F" w:rsidP="003B4910">
            <w:pPr>
              <w:pStyle w:val="Geenafstand"/>
            </w:pPr>
            <w:r>
              <w:t>1 (0,8%)</w:t>
            </w:r>
          </w:p>
        </w:tc>
        <w:tc>
          <w:tcPr>
            <w:tcW w:w="2266" w:type="dxa"/>
          </w:tcPr>
          <w:p w14:paraId="591283BD" w14:textId="77777777" w:rsidR="0069399F" w:rsidRDefault="0069399F" w:rsidP="003B4910">
            <w:pPr>
              <w:pStyle w:val="Geenafstand"/>
            </w:pPr>
            <w:r>
              <w:t>4 (1,7%)</w:t>
            </w:r>
          </w:p>
        </w:tc>
      </w:tr>
      <w:tr w:rsidR="0069399F" w14:paraId="58E53776" w14:textId="77777777" w:rsidTr="00F35595">
        <w:tc>
          <w:tcPr>
            <w:tcW w:w="2265" w:type="dxa"/>
            <w:tcBorders>
              <w:bottom w:val="single" w:sz="4" w:space="0" w:color="auto"/>
            </w:tcBorders>
          </w:tcPr>
          <w:p w14:paraId="6E0AA997" w14:textId="77777777" w:rsidR="0069399F" w:rsidRDefault="0069399F" w:rsidP="003B4910">
            <w:pPr>
              <w:pStyle w:val="Geenafstand"/>
            </w:pPr>
            <w:r>
              <w:t>Other MPs/Parliament</w:t>
            </w:r>
          </w:p>
        </w:tc>
        <w:tc>
          <w:tcPr>
            <w:tcW w:w="2265" w:type="dxa"/>
            <w:tcBorders>
              <w:bottom w:val="single" w:sz="4" w:space="0" w:color="auto"/>
            </w:tcBorders>
          </w:tcPr>
          <w:p w14:paraId="2A18FAE5" w14:textId="77777777" w:rsidR="0069399F" w:rsidRDefault="0069399F" w:rsidP="003B4910">
            <w:pPr>
              <w:pStyle w:val="Geenafstand"/>
            </w:pPr>
            <w:r>
              <w:t>25 (24,3%)</w:t>
            </w:r>
          </w:p>
        </w:tc>
        <w:tc>
          <w:tcPr>
            <w:tcW w:w="2266" w:type="dxa"/>
            <w:tcBorders>
              <w:bottom w:val="single" w:sz="4" w:space="0" w:color="auto"/>
            </w:tcBorders>
          </w:tcPr>
          <w:p w14:paraId="1B5DF28B" w14:textId="77777777" w:rsidR="0069399F" w:rsidRDefault="0069399F" w:rsidP="003B4910">
            <w:pPr>
              <w:pStyle w:val="Geenafstand"/>
            </w:pPr>
            <w:r>
              <w:t>21 (16,5%)</w:t>
            </w:r>
          </w:p>
        </w:tc>
        <w:tc>
          <w:tcPr>
            <w:tcW w:w="2266" w:type="dxa"/>
            <w:tcBorders>
              <w:bottom w:val="single" w:sz="4" w:space="0" w:color="auto"/>
            </w:tcBorders>
          </w:tcPr>
          <w:p w14:paraId="7E2E7FAE" w14:textId="77777777" w:rsidR="0069399F" w:rsidRDefault="0069399F" w:rsidP="003B4910">
            <w:pPr>
              <w:pStyle w:val="Geenafstand"/>
            </w:pPr>
            <w:r>
              <w:t>46 (20,0%)</w:t>
            </w:r>
          </w:p>
        </w:tc>
      </w:tr>
      <w:tr w:rsidR="0069399F" w14:paraId="5FC9AD32" w14:textId="77777777" w:rsidTr="00F35595">
        <w:tc>
          <w:tcPr>
            <w:tcW w:w="2265" w:type="dxa"/>
            <w:tcBorders>
              <w:top w:val="single" w:sz="4" w:space="0" w:color="auto"/>
            </w:tcBorders>
          </w:tcPr>
          <w:p w14:paraId="6C8D9071" w14:textId="77777777" w:rsidR="0069399F" w:rsidRDefault="0069399F" w:rsidP="003B4910">
            <w:pPr>
              <w:pStyle w:val="Geenafstand"/>
            </w:pPr>
            <w:r>
              <w:t>Total</w:t>
            </w:r>
          </w:p>
        </w:tc>
        <w:tc>
          <w:tcPr>
            <w:tcW w:w="2265" w:type="dxa"/>
            <w:tcBorders>
              <w:top w:val="single" w:sz="4" w:space="0" w:color="auto"/>
            </w:tcBorders>
          </w:tcPr>
          <w:p w14:paraId="0DEB3272" w14:textId="77777777" w:rsidR="0069399F" w:rsidRDefault="0069399F" w:rsidP="003B4910">
            <w:pPr>
              <w:pStyle w:val="Geenafstand"/>
            </w:pPr>
            <w:r>
              <w:t>103 (100%)</w:t>
            </w:r>
          </w:p>
        </w:tc>
        <w:tc>
          <w:tcPr>
            <w:tcW w:w="2266" w:type="dxa"/>
            <w:tcBorders>
              <w:top w:val="single" w:sz="4" w:space="0" w:color="auto"/>
            </w:tcBorders>
          </w:tcPr>
          <w:p w14:paraId="12FAE867" w14:textId="77777777" w:rsidR="0069399F" w:rsidRDefault="0069399F" w:rsidP="003B4910">
            <w:pPr>
              <w:pStyle w:val="Geenafstand"/>
            </w:pPr>
            <w:r>
              <w:t>127 (100%)</w:t>
            </w:r>
          </w:p>
        </w:tc>
        <w:tc>
          <w:tcPr>
            <w:tcW w:w="2266" w:type="dxa"/>
            <w:tcBorders>
              <w:top w:val="single" w:sz="4" w:space="0" w:color="auto"/>
            </w:tcBorders>
          </w:tcPr>
          <w:p w14:paraId="3EB2789B" w14:textId="77777777" w:rsidR="0069399F" w:rsidRDefault="0069399F" w:rsidP="003B4910">
            <w:pPr>
              <w:pStyle w:val="Geenafstand"/>
            </w:pPr>
            <w:r>
              <w:t>230 (100%)</w:t>
            </w:r>
          </w:p>
        </w:tc>
      </w:tr>
    </w:tbl>
    <w:p w14:paraId="4B975C3F" w14:textId="2D1F09CD" w:rsidR="0069399F" w:rsidRPr="00D95AA5" w:rsidRDefault="0069399F" w:rsidP="00D95AA5">
      <w:pPr>
        <w:spacing w:line="360" w:lineRule="auto"/>
        <w:jc w:val="both"/>
        <w:rPr>
          <w:color w:val="000000"/>
          <w:lang w:val="en-GB"/>
        </w:rPr>
      </w:pPr>
      <w:r w:rsidRPr="0069399F">
        <w:rPr>
          <w:color w:val="000000"/>
          <w:lang w:val="en-GB"/>
        </w:rPr>
        <w:t xml:space="preserve"> </w:t>
      </w:r>
    </w:p>
    <w:p w14:paraId="3E8288DB" w14:textId="3CFACC70" w:rsidR="00BB6467" w:rsidRDefault="0069399F" w:rsidP="003B4910">
      <w:pPr>
        <w:pStyle w:val="Geenafstand"/>
        <w:spacing w:line="360" w:lineRule="auto"/>
        <w:ind w:firstLine="708"/>
        <w:jc w:val="both"/>
      </w:pPr>
      <w:r w:rsidRPr="0069399F">
        <w:t>The variable that is closely related to the concept of symbolic representation is ‘unification’. Table 4.1</w:t>
      </w:r>
      <w:r w:rsidR="00D02F83">
        <w:t>4</w:t>
      </w:r>
      <w:r w:rsidRPr="0069399F">
        <w:t xml:space="preserve"> shows that in 20% of the claims</w:t>
      </w:r>
      <w:r w:rsidR="00620FB0">
        <w:t>,</w:t>
      </w:r>
      <w:r w:rsidRPr="0069399F">
        <w:t xml:space="preserve"> the claimant makes an attempt to unify themselves with the Māori population. There are no big differences between the two government periods.</w:t>
      </w:r>
      <w:r w:rsidR="007722E9">
        <w:t xml:space="preserve"> </w:t>
      </w:r>
      <w:r w:rsidR="00FA4607">
        <w:t>The</w:t>
      </w:r>
      <w:r w:rsidR="007722E9" w:rsidRPr="0069399F">
        <w:t xml:space="preserve"> presence of Māori MPs is not sufficient in providing substantive representation. </w:t>
      </w:r>
      <w:r w:rsidR="00C76447">
        <w:t xml:space="preserve">Table 4.14 reveals that </w:t>
      </w:r>
      <w:r w:rsidR="009B5711">
        <w:t>the presence of a</w:t>
      </w:r>
      <w:r w:rsidR="007722E9" w:rsidRPr="0069399F">
        <w:t xml:space="preserve"> Māori MP </w:t>
      </w:r>
      <w:r w:rsidR="009B5711">
        <w:t xml:space="preserve">results in </w:t>
      </w:r>
      <w:r w:rsidR="007722E9" w:rsidRPr="0069399F">
        <w:t>both symbolic and substantive claims. In case of sufficiency</w:t>
      </w:r>
      <w:r w:rsidR="007722E9">
        <w:t>,</w:t>
      </w:r>
      <w:r w:rsidR="007722E9" w:rsidRPr="0069399F">
        <w:t xml:space="preserve"> the presence of a Māori MP should (almost) always lead to a substantive claim. Although, Māori MPs are neither necessary nor sufficient in making substantive claims, they play an important role in the representation of Māori people as revealed earlier by the chi-square test in table 4.3</w:t>
      </w:r>
      <w:r w:rsidR="001D50F9">
        <w:t>,</w:t>
      </w:r>
      <w:r w:rsidR="007722E9" w:rsidRPr="0069399F">
        <w:t xml:space="preserve"> that showed that Māori MPs are more likely to make claims on behalf of Māori people than non-Māori MPs.</w:t>
      </w:r>
    </w:p>
    <w:p w14:paraId="7C81AECA" w14:textId="77777777" w:rsidR="003B4910" w:rsidRDefault="003B4910" w:rsidP="003B4910">
      <w:pPr>
        <w:pStyle w:val="Geenafstand"/>
        <w:spacing w:line="360" w:lineRule="auto"/>
        <w:ind w:firstLine="708"/>
        <w:jc w:val="both"/>
      </w:pPr>
    </w:p>
    <w:p w14:paraId="2347615F" w14:textId="75C9C57F" w:rsidR="00EF4ADB" w:rsidRPr="003B4910" w:rsidRDefault="00EF4ADB" w:rsidP="003B4910">
      <w:pPr>
        <w:pStyle w:val="Kop3"/>
        <w:rPr>
          <w:sz w:val="20"/>
          <w:szCs w:val="20"/>
        </w:rPr>
      </w:pPr>
      <w:bookmarkStart w:id="222" w:name="_Toc72853024"/>
      <w:bookmarkStart w:id="223" w:name="_Toc74503498"/>
      <w:bookmarkStart w:id="224" w:name="_Toc74583630"/>
      <w:bookmarkStart w:id="225" w:name="_Toc74583838"/>
      <w:bookmarkStart w:id="226" w:name="_Toc75384107"/>
      <w:r w:rsidRPr="003B4910">
        <w:rPr>
          <w:sz w:val="20"/>
          <w:szCs w:val="20"/>
        </w:rPr>
        <w:t>Table 4.1</w:t>
      </w:r>
      <w:r w:rsidR="00D02F83" w:rsidRPr="003B4910">
        <w:rPr>
          <w:sz w:val="20"/>
          <w:szCs w:val="20"/>
        </w:rPr>
        <w:t>4</w:t>
      </w:r>
      <w:r w:rsidRPr="003B4910">
        <w:rPr>
          <w:sz w:val="20"/>
          <w:szCs w:val="20"/>
        </w:rPr>
        <w:t>. Unification of the claim</w:t>
      </w:r>
      <w:r w:rsidR="00DA6F1A" w:rsidRPr="003B4910">
        <w:rPr>
          <w:sz w:val="20"/>
          <w:szCs w:val="20"/>
        </w:rPr>
        <w:t>s</w:t>
      </w:r>
      <w:r w:rsidRPr="003B4910">
        <w:rPr>
          <w:sz w:val="20"/>
          <w:szCs w:val="20"/>
        </w:rPr>
        <w:t>.</w:t>
      </w:r>
      <w:bookmarkEnd w:id="222"/>
      <w:bookmarkEnd w:id="223"/>
      <w:bookmarkEnd w:id="224"/>
      <w:bookmarkEnd w:id="225"/>
      <w:bookmarkEnd w:id="226"/>
    </w:p>
    <w:tbl>
      <w:tblPr>
        <w:tblStyle w:val="Onopgemaaktetabel3"/>
        <w:tblW w:w="9062" w:type="dxa"/>
        <w:tblLayout w:type="fixed"/>
        <w:tblLook w:val="0600" w:firstRow="0" w:lastRow="0" w:firstColumn="0" w:lastColumn="0" w:noHBand="1" w:noVBand="1"/>
      </w:tblPr>
      <w:tblGrid>
        <w:gridCol w:w="1276"/>
        <w:gridCol w:w="2552"/>
        <w:gridCol w:w="2551"/>
        <w:gridCol w:w="2683"/>
      </w:tblGrid>
      <w:tr w:rsidR="0069399F" w14:paraId="0B11E97B" w14:textId="77777777" w:rsidTr="00F35595">
        <w:tc>
          <w:tcPr>
            <w:tcW w:w="1276" w:type="dxa"/>
            <w:tcBorders>
              <w:bottom w:val="single" w:sz="4" w:space="0" w:color="auto"/>
            </w:tcBorders>
          </w:tcPr>
          <w:p w14:paraId="7EE6C4E4" w14:textId="77777777" w:rsidR="0069399F" w:rsidRDefault="0069399F" w:rsidP="003B4910">
            <w:pPr>
              <w:pStyle w:val="Geenafstand"/>
            </w:pPr>
          </w:p>
        </w:tc>
        <w:tc>
          <w:tcPr>
            <w:tcW w:w="2552" w:type="dxa"/>
            <w:tcBorders>
              <w:bottom w:val="single" w:sz="4" w:space="0" w:color="auto"/>
            </w:tcBorders>
          </w:tcPr>
          <w:p w14:paraId="761C6E2A" w14:textId="77777777" w:rsidR="0069399F" w:rsidRDefault="0069399F" w:rsidP="003B4910">
            <w:pPr>
              <w:pStyle w:val="Geenafstand"/>
            </w:pPr>
            <w:r>
              <w:t>52</w:t>
            </w:r>
            <w:r>
              <w:rPr>
                <w:vertAlign w:val="superscript"/>
              </w:rPr>
              <w:t>nd</w:t>
            </w:r>
            <w:r>
              <w:t xml:space="preserve"> government period</w:t>
            </w:r>
          </w:p>
        </w:tc>
        <w:tc>
          <w:tcPr>
            <w:tcW w:w="2551" w:type="dxa"/>
            <w:tcBorders>
              <w:bottom w:val="single" w:sz="4" w:space="0" w:color="auto"/>
            </w:tcBorders>
          </w:tcPr>
          <w:p w14:paraId="3BBB2D88" w14:textId="77777777" w:rsidR="0069399F" w:rsidRDefault="0069399F" w:rsidP="003B4910">
            <w:pPr>
              <w:pStyle w:val="Geenafstand"/>
            </w:pPr>
            <w:r>
              <w:t>53</w:t>
            </w:r>
            <w:r>
              <w:rPr>
                <w:vertAlign w:val="superscript"/>
              </w:rPr>
              <w:t>rd</w:t>
            </w:r>
            <w:r>
              <w:t xml:space="preserve"> government period</w:t>
            </w:r>
          </w:p>
        </w:tc>
        <w:tc>
          <w:tcPr>
            <w:tcW w:w="2683" w:type="dxa"/>
            <w:tcBorders>
              <w:bottom w:val="single" w:sz="4" w:space="0" w:color="auto"/>
            </w:tcBorders>
          </w:tcPr>
          <w:p w14:paraId="16CE8004" w14:textId="77777777" w:rsidR="0069399F" w:rsidRDefault="0069399F" w:rsidP="003B4910">
            <w:pPr>
              <w:pStyle w:val="Geenafstand"/>
            </w:pPr>
            <w:r>
              <w:t>Total</w:t>
            </w:r>
          </w:p>
        </w:tc>
      </w:tr>
      <w:tr w:rsidR="0069399F" w14:paraId="274B08B2" w14:textId="77777777" w:rsidTr="00F35595">
        <w:tc>
          <w:tcPr>
            <w:tcW w:w="1276" w:type="dxa"/>
            <w:tcBorders>
              <w:top w:val="single" w:sz="4" w:space="0" w:color="auto"/>
            </w:tcBorders>
          </w:tcPr>
          <w:p w14:paraId="4936C6DC" w14:textId="77777777" w:rsidR="0069399F" w:rsidRDefault="0069399F" w:rsidP="003B4910">
            <w:pPr>
              <w:pStyle w:val="Geenafstand"/>
            </w:pPr>
            <w:r>
              <w:rPr>
                <w:color w:val="000000"/>
              </w:rPr>
              <w:t>Absent</w:t>
            </w:r>
          </w:p>
        </w:tc>
        <w:tc>
          <w:tcPr>
            <w:tcW w:w="2552" w:type="dxa"/>
            <w:tcBorders>
              <w:top w:val="single" w:sz="4" w:space="0" w:color="auto"/>
            </w:tcBorders>
          </w:tcPr>
          <w:p w14:paraId="5577C215" w14:textId="77777777" w:rsidR="0069399F" w:rsidRDefault="0069399F" w:rsidP="003B4910">
            <w:pPr>
              <w:pStyle w:val="Geenafstand"/>
            </w:pPr>
            <w:r>
              <w:rPr>
                <w:color w:val="000000"/>
              </w:rPr>
              <w:t>87 (84,5%)</w:t>
            </w:r>
          </w:p>
        </w:tc>
        <w:tc>
          <w:tcPr>
            <w:tcW w:w="2551" w:type="dxa"/>
            <w:tcBorders>
              <w:top w:val="single" w:sz="4" w:space="0" w:color="auto"/>
            </w:tcBorders>
          </w:tcPr>
          <w:p w14:paraId="6E5D8980" w14:textId="77777777" w:rsidR="0069399F" w:rsidRDefault="0069399F" w:rsidP="003B4910">
            <w:pPr>
              <w:pStyle w:val="Geenafstand"/>
            </w:pPr>
            <w:r>
              <w:rPr>
                <w:color w:val="000000"/>
              </w:rPr>
              <w:t>97 (76,4%)</w:t>
            </w:r>
          </w:p>
        </w:tc>
        <w:tc>
          <w:tcPr>
            <w:tcW w:w="2683" w:type="dxa"/>
            <w:tcBorders>
              <w:top w:val="single" w:sz="4" w:space="0" w:color="auto"/>
            </w:tcBorders>
          </w:tcPr>
          <w:p w14:paraId="1570E698" w14:textId="77777777" w:rsidR="0069399F" w:rsidRDefault="0069399F" w:rsidP="003B4910">
            <w:pPr>
              <w:pStyle w:val="Geenafstand"/>
            </w:pPr>
            <w:r>
              <w:rPr>
                <w:color w:val="000000"/>
              </w:rPr>
              <w:t>184 (80,0%)</w:t>
            </w:r>
          </w:p>
        </w:tc>
      </w:tr>
      <w:tr w:rsidR="0069399F" w14:paraId="7331B9CA" w14:textId="77777777" w:rsidTr="00F35595">
        <w:tc>
          <w:tcPr>
            <w:tcW w:w="1276" w:type="dxa"/>
            <w:tcBorders>
              <w:bottom w:val="single" w:sz="4" w:space="0" w:color="auto"/>
            </w:tcBorders>
          </w:tcPr>
          <w:p w14:paraId="04996657" w14:textId="77777777" w:rsidR="0069399F" w:rsidRDefault="0069399F" w:rsidP="003B4910">
            <w:pPr>
              <w:pStyle w:val="Geenafstand"/>
            </w:pPr>
            <w:r>
              <w:rPr>
                <w:color w:val="000000"/>
              </w:rPr>
              <w:t>Present</w:t>
            </w:r>
          </w:p>
        </w:tc>
        <w:tc>
          <w:tcPr>
            <w:tcW w:w="2552" w:type="dxa"/>
            <w:tcBorders>
              <w:bottom w:val="single" w:sz="4" w:space="0" w:color="auto"/>
            </w:tcBorders>
          </w:tcPr>
          <w:p w14:paraId="0BF7CAA3" w14:textId="77777777" w:rsidR="0069399F" w:rsidRDefault="0069399F" w:rsidP="003B4910">
            <w:pPr>
              <w:pStyle w:val="Geenafstand"/>
            </w:pPr>
            <w:r>
              <w:rPr>
                <w:color w:val="000000"/>
              </w:rPr>
              <w:t>16 (15,5%)</w:t>
            </w:r>
          </w:p>
        </w:tc>
        <w:tc>
          <w:tcPr>
            <w:tcW w:w="2551" w:type="dxa"/>
            <w:tcBorders>
              <w:bottom w:val="single" w:sz="4" w:space="0" w:color="auto"/>
            </w:tcBorders>
          </w:tcPr>
          <w:p w14:paraId="3C257714" w14:textId="77777777" w:rsidR="0069399F" w:rsidRDefault="0069399F" w:rsidP="003B4910">
            <w:pPr>
              <w:pStyle w:val="Geenafstand"/>
            </w:pPr>
            <w:r>
              <w:rPr>
                <w:color w:val="000000"/>
              </w:rPr>
              <w:t>30 (23,6%)</w:t>
            </w:r>
          </w:p>
        </w:tc>
        <w:tc>
          <w:tcPr>
            <w:tcW w:w="2683" w:type="dxa"/>
            <w:tcBorders>
              <w:bottom w:val="single" w:sz="4" w:space="0" w:color="auto"/>
            </w:tcBorders>
          </w:tcPr>
          <w:p w14:paraId="04560606" w14:textId="77777777" w:rsidR="0069399F" w:rsidRDefault="0069399F" w:rsidP="003B4910">
            <w:pPr>
              <w:pStyle w:val="Geenafstand"/>
            </w:pPr>
            <w:r>
              <w:rPr>
                <w:color w:val="000000"/>
              </w:rPr>
              <w:t>46 (20,0%)</w:t>
            </w:r>
          </w:p>
        </w:tc>
      </w:tr>
      <w:tr w:rsidR="0069399F" w14:paraId="1EA7220D" w14:textId="77777777" w:rsidTr="00F35595">
        <w:tc>
          <w:tcPr>
            <w:tcW w:w="1276" w:type="dxa"/>
            <w:tcBorders>
              <w:top w:val="single" w:sz="4" w:space="0" w:color="auto"/>
            </w:tcBorders>
          </w:tcPr>
          <w:p w14:paraId="55B181A1" w14:textId="77777777" w:rsidR="0069399F" w:rsidRDefault="0069399F" w:rsidP="003B4910">
            <w:pPr>
              <w:pStyle w:val="Geenafstand"/>
            </w:pPr>
            <w:r>
              <w:rPr>
                <w:color w:val="000000"/>
              </w:rPr>
              <w:t>Total</w:t>
            </w:r>
          </w:p>
        </w:tc>
        <w:tc>
          <w:tcPr>
            <w:tcW w:w="2552" w:type="dxa"/>
            <w:tcBorders>
              <w:top w:val="single" w:sz="4" w:space="0" w:color="auto"/>
            </w:tcBorders>
          </w:tcPr>
          <w:p w14:paraId="15C6D216" w14:textId="77777777" w:rsidR="0069399F" w:rsidRDefault="0069399F" w:rsidP="003B4910">
            <w:pPr>
              <w:pStyle w:val="Geenafstand"/>
            </w:pPr>
            <w:r>
              <w:rPr>
                <w:color w:val="000000"/>
              </w:rPr>
              <w:t>103 (100%)</w:t>
            </w:r>
          </w:p>
        </w:tc>
        <w:tc>
          <w:tcPr>
            <w:tcW w:w="2551" w:type="dxa"/>
            <w:tcBorders>
              <w:top w:val="single" w:sz="4" w:space="0" w:color="auto"/>
            </w:tcBorders>
          </w:tcPr>
          <w:p w14:paraId="07764C3E" w14:textId="77777777" w:rsidR="0069399F" w:rsidRDefault="0069399F" w:rsidP="003B4910">
            <w:pPr>
              <w:pStyle w:val="Geenafstand"/>
            </w:pPr>
            <w:r>
              <w:rPr>
                <w:color w:val="000000"/>
              </w:rPr>
              <w:t>127 (100%)</w:t>
            </w:r>
          </w:p>
        </w:tc>
        <w:tc>
          <w:tcPr>
            <w:tcW w:w="2683" w:type="dxa"/>
            <w:tcBorders>
              <w:top w:val="single" w:sz="4" w:space="0" w:color="auto"/>
            </w:tcBorders>
          </w:tcPr>
          <w:p w14:paraId="6057AD7B" w14:textId="77777777" w:rsidR="0069399F" w:rsidRDefault="0069399F" w:rsidP="003B4910">
            <w:pPr>
              <w:pStyle w:val="Geenafstand"/>
            </w:pPr>
            <w:r>
              <w:rPr>
                <w:color w:val="000000"/>
              </w:rPr>
              <w:t>230 (100%)</w:t>
            </w:r>
          </w:p>
        </w:tc>
      </w:tr>
    </w:tbl>
    <w:p w14:paraId="6FB4B251" w14:textId="77777777" w:rsidR="0069399F" w:rsidRPr="0069399F" w:rsidRDefault="0069399F" w:rsidP="0069399F">
      <w:pPr>
        <w:rPr>
          <w:lang w:val="en-GB"/>
        </w:rPr>
      </w:pPr>
    </w:p>
    <w:p w14:paraId="53BC16F1" w14:textId="77777777" w:rsidR="00E7099C" w:rsidRDefault="0069399F" w:rsidP="00E7099C">
      <w:pPr>
        <w:pStyle w:val="Geenafstand"/>
        <w:spacing w:line="360" w:lineRule="auto"/>
        <w:jc w:val="both"/>
      </w:pPr>
      <w:r w:rsidRPr="0069399F">
        <w:tab/>
        <w:t xml:space="preserve">The distinction between symbolic and substantive claims is not as simple as proposed above. The division that is made using the presence of an addressee as prove for a substantive claim and the absence of an addressee as prove for a symbolic claim is </w:t>
      </w:r>
      <w:r w:rsidR="00274E99">
        <w:t xml:space="preserve">not </w:t>
      </w:r>
      <w:r w:rsidRPr="0069399F">
        <w:t xml:space="preserve">showing the complete picture. As already mentioned in chapter </w:t>
      </w:r>
      <w:r w:rsidR="006F0193">
        <w:t>2</w:t>
      </w:r>
      <w:r w:rsidRPr="0069399F">
        <w:t xml:space="preserve">, the concepts are relational. Meaning that they cannot be divided in a rigid way. The results displayed </w:t>
      </w:r>
      <w:r w:rsidR="00FF7324">
        <w:t>in</w:t>
      </w:r>
      <w:r w:rsidRPr="0069399F">
        <w:t xml:space="preserve"> table 4.1</w:t>
      </w:r>
      <w:r w:rsidR="00D02F83">
        <w:t>5</w:t>
      </w:r>
      <w:r w:rsidRPr="0069399F">
        <w:t xml:space="preserve"> confirm this. T</w:t>
      </w:r>
      <w:r w:rsidR="00274E99">
        <w:t>his table</w:t>
      </w:r>
      <w:r w:rsidRPr="0069399F">
        <w:t xml:space="preserve"> show</w:t>
      </w:r>
      <w:r w:rsidR="00274E99">
        <w:t>s</w:t>
      </w:r>
      <w:r w:rsidRPr="0069399F">
        <w:t xml:space="preserve"> the results of the variable ‘unification’</w:t>
      </w:r>
      <w:r w:rsidR="0077470A">
        <w:t>:</w:t>
      </w:r>
      <w:r w:rsidR="00620FB0">
        <w:t xml:space="preserve"> </w:t>
      </w:r>
      <w:r w:rsidRPr="0069399F">
        <w:t>a binominal variable which covered the attempts that are made to unification</w:t>
      </w:r>
      <w:r w:rsidR="00F13FA1">
        <w:t>/</w:t>
      </w:r>
      <w:r w:rsidRPr="0069399F">
        <w:t>togetherness. Table 4.1</w:t>
      </w:r>
      <w:r w:rsidR="00D02F83">
        <w:t>5</w:t>
      </w:r>
      <w:r w:rsidRPr="0069399F">
        <w:t xml:space="preserve"> reveals that attempts to unification are not solely made in symbolic claims, but also in substantive claims</w:t>
      </w:r>
      <w:r w:rsidR="00BB6467">
        <w:t>. In</w:t>
      </w:r>
      <w:r w:rsidRPr="0069399F">
        <w:t xml:space="preserve"> 17,8% of the substantive claims an attempt to unification is made</w:t>
      </w:r>
      <w:r w:rsidR="00FF7324">
        <w:t xml:space="preserve">, meaning </w:t>
      </w:r>
      <w:r w:rsidRPr="0069399F">
        <w:t>that the substantive and symbolic claims can go together.</w:t>
      </w:r>
    </w:p>
    <w:p w14:paraId="0229C4A4" w14:textId="6F2E067F" w:rsidR="0069399F" w:rsidRDefault="0069399F" w:rsidP="00E7099C">
      <w:pPr>
        <w:pStyle w:val="Geenafstand"/>
        <w:spacing w:line="360" w:lineRule="auto"/>
        <w:jc w:val="both"/>
      </w:pPr>
      <w:r w:rsidRPr="0069399F">
        <w:t xml:space="preserve"> </w:t>
      </w:r>
    </w:p>
    <w:p w14:paraId="3289944D" w14:textId="75CF03A4" w:rsidR="00E82321" w:rsidRPr="00E7099C" w:rsidRDefault="00E82321" w:rsidP="00E7099C">
      <w:pPr>
        <w:pStyle w:val="Kop3"/>
        <w:rPr>
          <w:sz w:val="20"/>
          <w:szCs w:val="20"/>
        </w:rPr>
      </w:pPr>
      <w:bookmarkStart w:id="227" w:name="_Toc74503499"/>
      <w:bookmarkStart w:id="228" w:name="_Toc74583631"/>
      <w:bookmarkStart w:id="229" w:name="_Toc74583839"/>
      <w:bookmarkStart w:id="230" w:name="_Toc75384108"/>
      <w:r w:rsidRPr="00E7099C">
        <w:rPr>
          <w:sz w:val="20"/>
          <w:szCs w:val="20"/>
        </w:rPr>
        <w:lastRenderedPageBreak/>
        <w:t>Table 4.1</w:t>
      </w:r>
      <w:r w:rsidR="00D02F83" w:rsidRPr="00E7099C">
        <w:rPr>
          <w:sz w:val="20"/>
          <w:szCs w:val="20"/>
        </w:rPr>
        <w:t>5</w:t>
      </w:r>
      <w:r w:rsidRPr="00E7099C">
        <w:rPr>
          <w:sz w:val="20"/>
          <w:szCs w:val="20"/>
        </w:rPr>
        <w:t>. Unification of substantive claims.</w:t>
      </w:r>
      <w:bookmarkEnd w:id="227"/>
      <w:bookmarkEnd w:id="228"/>
      <w:bookmarkEnd w:id="229"/>
      <w:bookmarkEnd w:id="230"/>
      <w:r w:rsidRPr="00E7099C">
        <w:rPr>
          <w:sz w:val="20"/>
          <w:szCs w:val="20"/>
        </w:rPr>
        <w:t xml:space="preserve"> </w:t>
      </w:r>
    </w:p>
    <w:tbl>
      <w:tblPr>
        <w:tblStyle w:val="Onopgemaaktetabel3"/>
        <w:tblW w:w="9062" w:type="dxa"/>
        <w:tblLayout w:type="fixed"/>
        <w:tblLook w:val="0600" w:firstRow="0" w:lastRow="0" w:firstColumn="0" w:lastColumn="0" w:noHBand="1" w:noVBand="1"/>
      </w:tblPr>
      <w:tblGrid>
        <w:gridCol w:w="2265"/>
        <w:gridCol w:w="2265"/>
        <w:gridCol w:w="2266"/>
        <w:gridCol w:w="2266"/>
      </w:tblGrid>
      <w:tr w:rsidR="0069399F" w14:paraId="0AA2062A" w14:textId="77777777" w:rsidTr="00F35595">
        <w:tc>
          <w:tcPr>
            <w:tcW w:w="2265" w:type="dxa"/>
            <w:tcBorders>
              <w:bottom w:val="single" w:sz="4" w:space="0" w:color="auto"/>
            </w:tcBorders>
          </w:tcPr>
          <w:p w14:paraId="17697AC2" w14:textId="77777777" w:rsidR="0069399F" w:rsidRPr="00E7099C" w:rsidRDefault="0069399F" w:rsidP="00E7099C">
            <w:pPr>
              <w:pStyle w:val="Geenafstand"/>
            </w:pPr>
          </w:p>
        </w:tc>
        <w:tc>
          <w:tcPr>
            <w:tcW w:w="2265" w:type="dxa"/>
            <w:tcBorders>
              <w:bottom w:val="single" w:sz="4" w:space="0" w:color="auto"/>
            </w:tcBorders>
          </w:tcPr>
          <w:p w14:paraId="44971A47" w14:textId="77777777" w:rsidR="0069399F" w:rsidRPr="00E7099C" w:rsidRDefault="0069399F" w:rsidP="00E7099C">
            <w:pPr>
              <w:pStyle w:val="Geenafstand"/>
            </w:pPr>
            <w:r w:rsidRPr="00E7099C">
              <w:t>52nd government</w:t>
            </w:r>
          </w:p>
        </w:tc>
        <w:tc>
          <w:tcPr>
            <w:tcW w:w="2266" w:type="dxa"/>
            <w:tcBorders>
              <w:bottom w:val="single" w:sz="4" w:space="0" w:color="auto"/>
            </w:tcBorders>
          </w:tcPr>
          <w:p w14:paraId="73D7F04E" w14:textId="77777777" w:rsidR="0069399F" w:rsidRPr="00E7099C" w:rsidRDefault="0069399F" w:rsidP="00E7099C">
            <w:pPr>
              <w:pStyle w:val="Geenafstand"/>
            </w:pPr>
            <w:r w:rsidRPr="00E7099C">
              <w:t>53rd government</w:t>
            </w:r>
          </w:p>
        </w:tc>
        <w:tc>
          <w:tcPr>
            <w:tcW w:w="2266" w:type="dxa"/>
            <w:tcBorders>
              <w:bottom w:val="single" w:sz="4" w:space="0" w:color="auto"/>
            </w:tcBorders>
          </w:tcPr>
          <w:p w14:paraId="3E2ACA5C" w14:textId="77777777" w:rsidR="0069399F" w:rsidRPr="00E7099C" w:rsidRDefault="0069399F" w:rsidP="00E7099C">
            <w:pPr>
              <w:pStyle w:val="Geenafstand"/>
            </w:pPr>
            <w:r w:rsidRPr="00E7099C">
              <w:t>Total</w:t>
            </w:r>
          </w:p>
        </w:tc>
      </w:tr>
      <w:tr w:rsidR="0069399F" w14:paraId="2C8D2AE9" w14:textId="77777777" w:rsidTr="00F35595">
        <w:tc>
          <w:tcPr>
            <w:tcW w:w="2265" w:type="dxa"/>
            <w:tcBorders>
              <w:top w:val="single" w:sz="4" w:space="0" w:color="auto"/>
            </w:tcBorders>
          </w:tcPr>
          <w:p w14:paraId="04D32B77" w14:textId="77777777" w:rsidR="0069399F" w:rsidRPr="00E7099C" w:rsidRDefault="0069399F" w:rsidP="00E7099C">
            <w:pPr>
              <w:pStyle w:val="Geenafstand"/>
            </w:pPr>
            <w:r w:rsidRPr="00E7099C">
              <w:t>Absent</w:t>
            </w:r>
          </w:p>
        </w:tc>
        <w:tc>
          <w:tcPr>
            <w:tcW w:w="2265" w:type="dxa"/>
            <w:tcBorders>
              <w:top w:val="single" w:sz="4" w:space="0" w:color="auto"/>
            </w:tcBorders>
          </w:tcPr>
          <w:p w14:paraId="34371C2B" w14:textId="77777777" w:rsidR="0069399F" w:rsidRPr="00E7099C" w:rsidRDefault="0069399F" w:rsidP="00E7099C">
            <w:pPr>
              <w:pStyle w:val="Geenafstand"/>
            </w:pPr>
            <w:r w:rsidRPr="00E7099C">
              <w:t>61 (83,6%)</w:t>
            </w:r>
          </w:p>
        </w:tc>
        <w:tc>
          <w:tcPr>
            <w:tcW w:w="2266" w:type="dxa"/>
            <w:tcBorders>
              <w:top w:val="single" w:sz="4" w:space="0" w:color="auto"/>
            </w:tcBorders>
          </w:tcPr>
          <w:p w14:paraId="41407058" w14:textId="77777777" w:rsidR="0069399F" w:rsidRPr="00E7099C" w:rsidRDefault="0069399F" w:rsidP="00E7099C">
            <w:pPr>
              <w:pStyle w:val="Geenafstand"/>
            </w:pPr>
            <w:r w:rsidRPr="00E7099C">
              <w:t>86 (81,0%)</w:t>
            </w:r>
          </w:p>
        </w:tc>
        <w:tc>
          <w:tcPr>
            <w:tcW w:w="2266" w:type="dxa"/>
            <w:tcBorders>
              <w:top w:val="single" w:sz="4" w:space="0" w:color="auto"/>
            </w:tcBorders>
          </w:tcPr>
          <w:p w14:paraId="6022A7D3" w14:textId="77777777" w:rsidR="0069399F" w:rsidRPr="00E7099C" w:rsidRDefault="0069399F" w:rsidP="00E7099C">
            <w:pPr>
              <w:pStyle w:val="Geenafstand"/>
            </w:pPr>
            <w:r w:rsidRPr="00E7099C">
              <w:t>129 (82,2%)</w:t>
            </w:r>
          </w:p>
        </w:tc>
      </w:tr>
      <w:tr w:rsidR="0069399F" w14:paraId="5F463864" w14:textId="77777777" w:rsidTr="00F35595">
        <w:tc>
          <w:tcPr>
            <w:tcW w:w="2265" w:type="dxa"/>
            <w:tcBorders>
              <w:bottom w:val="single" w:sz="4" w:space="0" w:color="auto"/>
            </w:tcBorders>
          </w:tcPr>
          <w:p w14:paraId="3EB3FDA4" w14:textId="77777777" w:rsidR="0069399F" w:rsidRPr="00E7099C" w:rsidRDefault="0069399F" w:rsidP="00E7099C">
            <w:pPr>
              <w:pStyle w:val="Geenafstand"/>
            </w:pPr>
            <w:r w:rsidRPr="00E7099C">
              <w:t>Present</w:t>
            </w:r>
          </w:p>
        </w:tc>
        <w:tc>
          <w:tcPr>
            <w:tcW w:w="2265" w:type="dxa"/>
            <w:tcBorders>
              <w:bottom w:val="single" w:sz="4" w:space="0" w:color="auto"/>
            </w:tcBorders>
          </w:tcPr>
          <w:p w14:paraId="1A1663FB" w14:textId="77777777" w:rsidR="0069399F" w:rsidRPr="00E7099C" w:rsidRDefault="0069399F" w:rsidP="00E7099C">
            <w:pPr>
              <w:pStyle w:val="Geenafstand"/>
            </w:pPr>
            <w:r w:rsidRPr="00E7099C">
              <w:t>12 (16,4%)</w:t>
            </w:r>
          </w:p>
        </w:tc>
        <w:tc>
          <w:tcPr>
            <w:tcW w:w="2266" w:type="dxa"/>
            <w:tcBorders>
              <w:bottom w:val="single" w:sz="4" w:space="0" w:color="auto"/>
            </w:tcBorders>
          </w:tcPr>
          <w:p w14:paraId="68066122" w14:textId="77777777" w:rsidR="0069399F" w:rsidRPr="00E7099C" w:rsidRDefault="0069399F" w:rsidP="00E7099C">
            <w:pPr>
              <w:pStyle w:val="Geenafstand"/>
            </w:pPr>
            <w:r w:rsidRPr="00E7099C">
              <w:t>16 (19,0%)</w:t>
            </w:r>
          </w:p>
        </w:tc>
        <w:tc>
          <w:tcPr>
            <w:tcW w:w="2266" w:type="dxa"/>
            <w:tcBorders>
              <w:bottom w:val="single" w:sz="4" w:space="0" w:color="auto"/>
            </w:tcBorders>
          </w:tcPr>
          <w:p w14:paraId="57C94418" w14:textId="77777777" w:rsidR="0069399F" w:rsidRPr="00E7099C" w:rsidRDefault="0069399F" w:rsidP="00E7099C">
            <w:pPr>
              <w:pStyle w:val="Geenafstand"/>
            </w:pPr>
            <w:r w:rsidRPr="00E7099C">
              <w:t>28 (17,8%)</w:t>
            </w:r>
          </w:p>
        </w:tc>
      </w:tr>
      <w:tr w:rsidR="0069399F" w14:paraId="68E2DF1F" w14:textId="77777777" w:rsidTr="00F35595">
        <w:tc>
          <w:tcPr>
            <w:tcW w:w="2265" w:type="dxa"/>
            <w:tcBorders>
              <w:top w:val="single" w:sz="4" w:space="0" w:color="auto"/>
            </w:tcBorders>
          </w:tcPr>
          <w:p w14:paraId="23EE2ED8" w14:textId="77777777" w:rsidR="0069399F" w:rsidRPr="00E7099C" w:rsidRDefault="0069399F" w:rsidP="00E7099C">
            <w:pPr>
              <w:pStyle w:val="Geenafstand"/>
            </w:pPr>
            <w:r w:rsidRPr="00E7099C">
              <w:t>Total</w:t>
            </w:r>
          </w:p>
        </w:tc>
        <w:tc>
          <w:tcPr>
            <w:tcW w:w="2265" w:type="dxa"/>
            <w:tcBorders>
              <w:top w:val="single" w:sz="4" w:space="0" w:color="auto"/>
            </w:tcBorders>
          </w:tcPr>
          <w:p w14:paraId="0387D822" w14:textId="77777777" w:rsidR="0069399F" w:rsidRPr="00E7099C" w:rsidRDefault="0069399F" w:rsidP="00E7099C">
            <w:pPr>
              <w:pStyle w:val="Geenafstand"/>
            </w:pPr>
            <w:r w:rsidRPr="00E7099C">
              <w:t>73 (100%)</w:t>
            </w:r>
          </w:p>
        </w:tc>
        <w:tc>
          <w:tcPr>
            <w:tcW w:w="2266" w:type="dxa"/>
            <w:tcBorders>
              <w:top w:val="single" w:sz="4" w:space="0" w:color="auto"/>
            </w:tcBorders>
          </w:tcPr>
          <w:p w14:paraId="0D7B44A8" w14:textId="77777777" w:rsidR="0069399F" w:rsidRPr="00E7099C" w:rsidRDefault="0069399F" w:rsidP="00E7099C">
            <w:pPr>
              <w:pStyle w:val="Geenafstand"/>
            </w:pPr>
            <w:r w:rsidRPr="00E7099C">
              <w:t>84 (100%)</w:t>
            </w:r>
          </w:p>
        </w:tc>
        <w:tc>
          <w:tcPr>
            <w:tcW w:w="2266" w:type="dxa"/>
            <w:tcBorders>
              <w:top w:val="single" w:sz="4" w:space="0" w:color="auto"/>
            </w:tcBorders>
          </w:tcPr>
          <w:p w14:paraId="4D058C44" w14:textId="77777777" w:rsidR="0069399F" w:rsidRPr="00E7099C" w:rsidRDefault="0069399F" w:rsidP="00E7099C">
            <w:pPr>
              <w:pStyle w:val="Geenafstand"/>
            </w:pPr>
            <w:r w:rsidRPr="00E7099C">
              <w:t>157 (100%)</w:t>
            </w:r>
          </w:p>
        </w:tc>
      </w:tr>
    </w:tbl>
    <w:p w14:paraId="68C6503D" w14:textId="14D5C2B1" w:rsidR="0069399F" w:rsidRPr="0069399F" w:rsidRDefault="0069399F" w:rsidP="00E7099C">
      <w:pPr>
        <w:pStyle w:val="Geenafstand"/>
        <w:spacing w:line="360" w:lineRule="auto"/>
        <w:jc w:val="both"/>
      </w:pPr>
    </w:p>
    <w:p w14:paraId="1B0129A6" w14:textId="0C41D75A" w:rsidR="0069399F" w:rsidRDefault="0069399F" w:rsidP="001E4D72">
      <w:pPr>
        <w:pStyle w:val="Geenafstand"/>
        <w:spacing w:line="360" w:lineRule="auto"/>
        <w:ind w:firstLine="708"/>
        <w:jc w:val="both"/>
      </w:pPr>
      <w:r w:rsidRPr="0069399F">
        <w:t>Besides the addressee, the evaluation of the addressee was coded. Table 4.1</w:t>
      </w:r>
      <w:r w:rsidR="005001D6">
        <w:t>6</w:t>
      </w:r>
      <w:r w:rsidR="00067459">
        <w:t xml:space="preserve"> shows that the c</w:t>
      </w:r>
      <w:r w:rsidRPr="0069399F">
        <w:t xml:space="preserve">laimants of the current government period </w:t>
      </w:r>
      <w:r w:rsidR="009647B9">
        <w:t>made 71</w:t>
      </w:r>
      <w:r w:rsidRPr="0069399F">
        <w:t xml:space="preserve"> evaluations of the addressees</w:t>
      </w:r>
      <w:r w:rsidR="009647B9">
        <w:t xml:space="preserve">. This is less than the 86 evaluations of </w:t>
      </w:r>
      <w:r w:rsidRPr="0069399F">
        <w:t>the previous government. In both government periods the positive evaluations overrule</w:t>
      </w:r>
      <w:r w:rsidR="004A4C76">
        <w:t>d</w:t>
      </w:r>
      <w:r w:rsidRPr="0069399F">
        <w:t xml:space="preserve"> the negative evaluations. </w:t>
      </w:r>
    </w:p>
    <w:p w14:paraId="54EF46F9" w14:textId="77777777" w:rsidR="001E4D72" w:rsidRDefault="001E4D72" w:rsidP="001E4D72">
      <w:pPr>
        <w:pStyle w:val="Geenafstand"/>
        <w:spacing w:line="360" w:lineRule="auto"/>
        <w:jc w:val="both"/>
      </w:pPr>
    </w:p>
    <w:p w14:paraId="3DF0B4EA" w14:textId="63CD0A8B" w:rsidR="00926F4A" w:rsidRPr="001E4D72" w:rsidRDefault="00926F4A" w:rsidP="001E4D72">
      <w:pPr>
        <w:pStyle w:val="Kop3"/>
        <w:rPr>
          <w:sz w:val="20"/>
          <w:szCs w:val="20"/>
        </w:rPr>
      </w:pPr>
      <w:bookmarkStart w:id="231" w:name="_Toc74503500"/>
      <w:bookmarkStart w:id="232" w:name="_Toc74583632"/>
      <w:bookmarkStart w:id="233" w:name="_Toc74583840"/>
      <w:bookmarkStart w:id="234" w:name="_Toc75384109"/>
      <w:bookmarkStart w:id="235" w:name="_Toc72853026"/>
      <w:r w:rsidRPr="001E4D72">
        <w:rPr>
          <w:sz w:val="20"/>
          <w:szCs w:val="20"/>
        </w:rPr>
        <w:t>Table 4.1</w:t>
      </w:r>
      <w:r w:rsidR="005001D6" w:rsidRPr="001E4D72">
        <w:rPr>
          <w:sz w:val="20"/>
          <w:szCs w:val="20"/>
        </w:rPr>
        <w:t>6</w:t>
      </w:r>
      <w:r w:rsidRPr="001E4D72">
        <w:rPr>
          <w:sz w:val="20"/>
          <w:szCs w:val="20"/>
        </w:rPr>
        <w:t>. Evaluation of the addressee.</w:t>
      </w:r>
      <w:bookmarkEnd w:id="231"/>
      <w:bookmarkEnd w:id="232"/>
      <w:bookmarkEnd w:id="233"/>
      <w:bookmarkEnd w:id="234"/>
      <w:r w:rsidRPr="001E4D72">
        <w:rPr>
          <w:sz w:val="20"/>
          <w:szCs w:val="20"/>
        </w:rPr>
        <w:t xml:space="preserve"> </w:t>
      </w:r>
      <w:bookmarkEnd w:id="235"/>
    </w:p>
    <w:tbl>
      <w:tblPr>
        <w:tblStyle w:val="Onopgemaaktetabel3"/>
        <w:tblW w:w="9062" w:type="dxa"/>
        <w:tblLayout w:type="fixed"/>
        <w:tblLook w:val="0600" w:firstRow="0" w:lastRow="0" w:firstColumn="0" w:lastColumn="0" w:noHBand="1" w:noVBand="1"/>
      </w:tblPr>
      <w:tblGrid>
        <w:gridCol w:w="2265"/>
        <w:gridCol w:w="2265"/>
        <w:gridCol w:w="2266"/>
        <w:gridCol w:w="2266"/>
      </w:tblGrid>
      <w:tr w:rsidR="0069399F" w14:paraId="03045B7C" w14:textId="77777777" w:rsidTr="00F35595">
        <w:tc>
          <w:tcPr>
            <w:tcW w:w="2265" w:type="dxa"/>
            <w:tcBorders>
              <w:bottom w:val="single" w:sz="4" w:space="0" w:color="auto"/>
            </w:tcBorders>
          </w:tcPr>
          <w:p w14:paraId="16A797F4" w14:textId="77777777" w:rsidR="0069399F" w:rsidRDefault="0069399F" w:rsidP="001E4D72">
            <w:pPr>
              <w:pStyle w:val="Geenafstand"/>
            </w:pPr>
          </w:p>
        </w:tc>
        <w:tc>
          <w:tcPr>
            <w:tcW w:w="2265" w:type="dxa"/>
            <w:tcBorders>
              <w:bottom w:val="single" w:sz="4" w:space="0" w:color="auto"/>
            </w:tcBorders>
          </w:tcPr>
          <w:p w14:paraId="367D2C88" w14:textId="77777777" w:rsidR="0069399F" w:rsidRDefault="0069399F" w:rsidP="001E4D72">
            <w:pPr>
              <w:pStyle w:val="Geenafstand"/>
            </w:pPr>
            <w:r>
              <w:t>52</w:t>
            </w:r>
            <w:r>
              <w:rPr>
                <w:vertAlign w:val="superscript"/>
              </w:rPr>
              <w:t>nd</w:t>
            </w:r>
            <w:r>
              <w:t xml:space="preserve"> government</w:t>
            </w:r>
          </w:p>
        </w:tc>
        <w:tc>
          <w:tcPr>
            <w:tcW w:w="2266" w:type="dxa"/>
            <w:tcBorders>
              <w:bottom w:val="single" w:sz="4" w:space="0" w:color="auto"/>
            </w:tcBorders>
          </w:tcPr>
          <w:p w14:paraId="7B221C6B" w14:textId="77777777" w:rsidR="0069399F" w:rsidRDefault="0069399F" w:rsidP="001E4D72">
            <w:pPr>
              <w:pStyle w:val="Geenafstand"/>
            </w:pPr>
            <w:r>
              <w:t>53</w:t>
            </w:r>
            <w:r>
              <w:rPr>
                <w:vertAlign w:val="superscript"/>
              </w:rPr>
              <w:t>rd</w:t>
            </w:r>
            <w:r>
              <w:t xml:space="preserve"> government</w:t>
            </w:r>
          </w:p>
        </w:tc>
        <w:tc>
          <w:tcPr>
            <w:tcW w:w="2266" w:type="dxa"/>
            <w:tcBorders>
              <w:bottom w:val="single" w:sz="4" w:space="0" w:color="auto"/>
            </w:tcBorders>
          </w:tcPr>
          <w:p w14:paraId="66A92BDB" w14:textId="77777777" w:rsidR="0069399F" w:rsidRDefault="0069399F" w:rsidP="001E4D72">
            <w:pPr>
              <w:pStyle w:val="Geenafstand"/>
            </w:pPr>
            <w:r>
              <w:t>Total</w:t>
            </w:r>
          </w:p>
        </w:tc>
      </w:tr>
      <w:tr w:rsidR="0069399F" w14:paraId="7FD05088" w14:textId="77777777" w:rsidTr="00F35595">
        <w:tc>
          <w:tcPr>
            <w:tcW w:w="2265" w:type="dxa"/>
            <w:tcBorders>
              <w:top w:val="single" w:sz="4" w:space="0" w:color="auto"/>
            </w:tcBorders>
          </w:tcPr>
          <w:p w14:paraId="59365F3D" w14:textId="77777777" w:rsidR="0069399F" w:rsidRDefault="0069399F" w:rsidP="001E4D72">
            <w:pPr>
              <w:pStyle w:val="Geenafstand"/>
            </w:pPr>
            <w:r>
              <w:t>Negative</w:t>
            </w:r>
          </w:p>
        </w:tc>
        <w:tc>
          <w:tcPr>
            <w:tcW w:w="2265" w:type="dxa"/>
            <w:tcBorders>
              <w:top w:val="single" w:sz="4" w:space="0" w:color="auto"/>
            </w:tcBorders>
          </w:tcPr>
          <w:p w14:paraId="15F09409" w14:textId="77777777" w:rsidR="0069399F" w:rsidRDefault="0069399F" w:rsidP="001E4D72">
            <w:pPr>
              <w:pStyle w:val="Geenafstand"/>
            </w:pPr>
            <w:r>
              <w:t>23 (26,7%)</w:t>
            </w:r>
          </w:p>
        </w:tc>
        <w:tc>
          <w:tcPr>
            <w:tcW w:w="2266" w:type="dxa"/>
            <w:tcBorders>
              <w:top w:val="single" w:sz="4" w:space="0" w:color="auto"/>
            </w:tcBorders>
          </w:tcPr>
          <w:p w14:paraId="496BE4D3" w14:textId="77777777" w:rsidR="0069399F" w:rsidRDefault="0069399F" w:rsidP="001E4D72">
            <w:pPr>
              <w:pStyle w:val="Geenafstand"/>
            </w:pPr>
            <w:r>
              <w:t>13 (18,3%)</w:t>
            </w:r>
          </w:p>
        </w:tc>
        <w:tc>
          <w:tcPr>
            <w:tcW w:w="2266" w:type="dxa"/>
            <w:tcBorders>
              <w:top w:val="single" w:sz="4" w:space="0" w:color="auto"/>
            </w:tcBorders>
          </w:tcPr>
          <w:p w14:paraId="4B365E66" w14:textId="77777777" w:rsidR="0069399F" w:rsidRDefault="0069399F" w:rsidP="001E4D72">
            <w:pPr>
              <w:pStyle w:val="Geenafstand"/>
            </w:pPr>
            <w:r>
              <w:t>36 (15,7%)</w:t>
            </w:r>
          </w:p>
        </w:tc>
      </w:tr>
      <w:tr w:rsidR="0069399F" w14:paraId="1E62AF5C" w14:textId="77777777" w:rsidTr="00F35595">
        <w:tc>
          <w:tcPr>
            <w:tcW w:w="2265" w:type="dxa"/>
          </w:tcPr>
          <w:p w14:paraId="75AE7DAB" w14:textId="77777777" w:rsidR="0069399F" w:rsidRDefault="0069399F" w:rsidP="001E4D72">
            <w:pPr>
              <w:pStyle w:val="Geenafstand"/>
            </w:pPr>
            <w:r>
              <w:t>Neutral</w:t>
            </w:r>
          </w:p>
        </w:tc>
        <w:tc>
          <w:tcPr>
            <w:tcW w:w="2265" w:type="dxa"/>
          </w:tcPr>
          <w:p w14:paraId="42180A86" w14:textId="77777777" w:rsidR="0069399F" w:rsidRDefault="0069399F" w:rsidP="001E4D72">
            <w:pPr>
              <w:pStyle w:val="Geenafstand"/>
            </w:pPr>
            <w:r>
              <w:t>5 (5,8%)</w:t>
            </w:r>
          </w:p>
        </w:tc>
        <w:tc>
          <w:tcPr>
            <w:tcW w:w="2266" w:type="dxa"/>
          </w:tcPr>
          <w:p w14:paraId="2F5884D5" w14:textId="77777777" w:rsidR="0069399F" w:rsidRDefault="0069399F" w:rsidP="001E4D72">
            <w:pPr>
              <w:pStyle w:val="Geenafstand"/>
            </w:pPr>
            <w:r>
              <w:t>2 (2,8%)</w:t>
            </w:r>
          </w:p>
        </w:tc>
        <w:tc>
          <w:tcPr>
            <w:tcW w:w="2266" w:type="dxa"/>
          </w:tcPr>
          <w:p w14:paraId="71ECA429" w14:textId="77777777" w:rsidR="0069399F" w:rsidRDefault="0069399F" w:rsidP="001E4D72">
            <w:pPr>
              <w:pStyle w:val="Geenafstand"/>
            </w:pPr>
            <w:r>
              <w:t>7 (3,0%)</w:t>
            </w:r>
          </w:p>
        </w:tc>
      </w:tr>
      <w:tr w:rsidR="0069399F" w14:paraId="69608AAE" w14:textId="77777777" w:rsidTr="00F35595">
        <w:tc>
          <w:tcPr>
            <w:tcW w:w="2265" w:type="dxa"/>
          </w:tcPr>
          <w:p w14:paraId="4AEE16A4" w14:textId="77777777" w:rsidR="0069399F" w:rsidRDefault="0069399F" w:rsidP="001E4D72">
            <w:pPr>
              <w:pStyle w:val="Geenafstand"/>
            </w:pPr>
            <w:r>
              <w:t>Positive</w:t>
            </w:r>
          </w:p>
        </w:tc>
        <w:tc>
          <w:tcPr>
            <w:tcW w:w="2265" w:type="dxa"/>
          </w:tcPr>
          <w:p w14:paraId="2AE77097" w14:textId="77777777" w:rsidR="0069399F" w:rsidRDefault="0069399F" w:rsidP="001E4D72">
            <w:pPr>
              <w:pStyle w:val="Geenafstand"/>
            </w:pPr>
            <w:r>
              <w:t>37 (43,0%)</w:t>
            </w:r>
          </w:p>
        </w:tc>
        <w:tc>
          <w:tcPr>
            <w:tcW w:w="2266" w:type="dxa"/>
          </w:tcPr>
          <w:p w14:paraId="0BD7109F" w14:textId="77777777" w:rsidR="0069399F" w:rsidRDefault="0069399F" w:rsidP="001E4D72">
            <w:pPr>
              <w:pStyle w:val="Geenafstand"/>
            </w:pPr>
            <w:r>
              <w:t>20 (28,2%)</w:t>
            </w:r>
          </w:p>
        </w:tc>
        <w:tc>
          <w:tcPr>
            <w:tcW w:w="2266" w:type="dxa"/>
          </w:tcPr>
          <w:p w14:paraId="54A56D57" w14:textId="77777777" w:rsidR="0069399F" w:rsidRDefault="0069399F" w:rsidP="001E4D72">
            <w:pPr>
              <w:pStyle w:val="Geenafstand"/>
            </w:pPr>
            <w:r>
              <w:t>57 (24,8%)</w:t>
            </w:r>
          </w:p>
        </w:tc>
      </w:tr>
      <w:tr w:rsidR="0069399F" w14:paraId="0A748AC5" w14:textId="77777777" w:rsidTr="00F35595">
        <w:tc>
          <w:tcPr>
            <w:tcW w:w="2265" w:type="dxa"/>
            <w:tcBorders>
              <w:bottom w:val="single" w:sz="4" w:space="0" w:color="auto"/>
            </w:tcBorders>
          </w:tcPr>
          <w:p w14:paraId="37B51A84" w14:textId="77777777" w:rsidR="0069399F" w:rsidRDefault="0069399F" w:rsidP="001E4D72">
            <w:pPr>
              <w:pStyle w:val="Geenafstand"/>
            </w:pPr>
            <w:r>
              <w:t>Absent</w:t>
            </w:r>
          </w:p>
        </w:tc>
        <w:tc>
          <w:tcPr>
            <w:tcW w:w="2265" w:type="dxa"/>
            <w:tcBorders>
              <w:bottom w:val="single" w:sz="4" w:space="0" w:color="auto"/>
            </w:tcBorders>
          </w:tcPr>
          <w:p w14:paraId="39C7039C" w14:textId="77777777" w:rsidR="0069399F" w:rsidRDefault="0069399F" w:rsidP="001E4D72">
            <w:pPr>
              <w:pStyle w:val="Geenafstand"/>
            </w:pPr>
            <w:r>
              <w:t>21 (24,4%)</w:t>
            </w:r>
          </w:p>
        </w:tc>
        <w:tc>
          <w:tcPr>
            <w:tcW w:w="2266" w:type="dxa"/>
            <w:tcBorders>
              <w:bottom w:val="single" w:sz="4" w:space="0" w:color="auto"/>
            </w:tcBorders>
          </w:tcPr>
          <w:p w14:paraId="22E2405B" w14:textId="77777777" w:rsidR="0069399F" w:rsidRDefault="0069399F" w:rsidP="001E4D72">
            <w:pPr>
              <w:pStyle w:val="Geenafstand"/>
            </w:pPr>
            <w:r>
              <w:t>36 (50,7%)</w:t>
            </w:r>
          </w:p>
        </w:tc>
        <w:tc>
          <w:tcPr>
            <w:tcW w:w="2266" w:type="dxa"/>
            <w:tcBorders>
              <w:bottom w:val="single" w:sz="4" w:space="0" w:color="auto"/>
            </w:tcBorders>
          </w:tcPr>
          <w:p w14:paraId="5CCB9DE0" w14:textId="77777777" w:rsidR="0069399F" w:rsidRDefault="0069399F" w:rsidP="001E4D72">
            <w:pPr>
              <w:pStyle w:val="Geenafstand"/>
            </w:pPr>
            <w:r>
              <w:t>57 (36,3%)</w:t>
            </w:r>
          </w:p>
        </w:tc>
      </w:tr>
      <w:tr w:rsidR="0069399F" w14:paraId="25257AA2" w14:textId="77777777" w:rsidTr="00F35595">
        <w:tc>
          <w:tcPr>
            <w:tcW w:w="2265" w:type="dxa"/>
            <w:tcBorders>
              <w:top w:val="single" w:sz="4" w:space="0" w:color="auto"/>
            </w:tcBorders>
          </w:tcPr>
          <w:p w14:paraId="33FC6CBA" w14:textId="77777777" w:rsidR="0069399F" w:rsidRDefault="0069399F" w:rsidP="001E4D72">
            <w:pPr>
              <w:pStyle w:val="Geenafstand"/>
            </w:pPr>
            <w:r>
              <w:t>Total</w:t>
            </w:r>
          </w:p>
        </w:tc>
        <w:tc>
          <w:tcPr>
            <w:tcW w:w="2265" w:type="dxa"/>
            <w:tcBorders>
              <w:top w:val="single" w:sz="4" w:space="0" w:color="auto"/>
            </w:tcBorders>
          </w:tcPr>
          <w:p w14:paraId="75E3E825" w14:textId="77777777" w:rsidR="0069399F" w:rsidRDefault="0069399F" w:rsidP="001E4D72">
            <w:pPr>
              <w:pStyle w:val="Geenafstand"/>
            </w:pPr>
            <w:r>
              <w:t>86 (100%)</w:t>
            </w:r>
          </w:p>
        </w:tc>
        <w:tc>
          <w:tcPr>
            <w:tcW w:w="2266" w:type="dxa"/>
            <w:tcBorders>
              <w:top w:val="single" w:sz="4" w:space="0" w:color="auto"/>
            </w:tcBorders>
          </w:tcPr>
          <w:p w14:paraId="434DC5B5" w14:textId="77777777" w:rsidR="0069399F" w:rsidRDefault="0069399F" w:rsidP="001E4D72">
            <w:pPr>
              <w:pStyle w:val="Geenafstand"/>
            </w:pPr>
            <w:r>
              <w:t>71 (100%)</w:t>
            </w:r>
          </w:p>
        </w:tc>
        <w:tc>
          <w:tcPr>
            <w:tcW w:w="2266" w:type="dxa"/>
            <w:tcBorders>
              <w:top w:val="single" w:sz="4" w:space="0" w:color="auto"/>
            </w:tcBorders>
          </w:tcPr>
          <w:p w14:paraId="19A68ABF" w14:textId="77777777" w:rsidR="0069399F" w:rsidRDefault="0069399F" w:rsidP="001E4D72">
            <w:pPr>
              <w:pStyle w:val="Geenafstand"/>
            </w:pPr>
            <w:r>
              <w:t>157 (100%)</w:t>
            </w:r>
          </w:p>
        </w:tc>
      </w:tr>
    </w:tbl>
    <w:p w14:paraId="549550F9" w14:textId="3E26882E" w:rsidR="0069399F" w:rsidRPr="0069399F" w:rsidRDefault="0069399F" w:rsidP="0069399F">
      <w:pPr>
        <w:rPr>
          <w:lang w:val="en-GB"/>
        </w:rPr>
      </w:pPr>
    </w:p>
    <w:p w14:paraId="34292CBB" w14:textId="56E81B5A" w:rsidR="007216FF" w:rsidRDefault="007216FF" w:rsidP="0017316E">
      <w:pPr>
        <w:pStyle w:val="Geenafstand"/>
        <w:spacing w:line="360" w:lineRule="auto"/>
        <w:jc w:val="both"/>
      </w:pPr>
      <w:r>
        <w:tab/>
        <w:t>Table 4.1</w:t>
      </w:r>
      <w:r w:rsidR="00BE4F49">
        <w:t>7</w:t>
      </w:r>
      <w:r>
        <w:t xml:space="preserve"> compares </w:t>
      </w:r>
      <w:r w:rsidR="007948E9">
        <w:t xml:space="preserve">the evaluation of addressees from </w:t>
      </w:r>
      <w:r w:rsidR="00DC24AE" w:rsidRPr="0069399F">
        <w:t xml:space="preserve">Māori </w:t>
      </w:r>
      <w:r>
        <w:t>MPs with non-</w:t>
      </w:r>
      <w:r w:rsidR="00DC24AE" w:rsidRPr="0069399F">
        <w:t xml:space="preserve">Māori </w:t>
      </w:r>
      <w:r>
        <w:t xml:space="preserve">MPs. </w:t>
      </w:r>
      <w:r w:rsidR="000D6595">
        <w:t>Non-</w:t>
      </w:r>
      <w:r w:rsidR="000D6595" w:rsidRPr="0069399F">
        <w:t>Māori</w:t>
      </w:r>
      <w:r w:rsidR="000D6595">
        <w:t xml:space="preserve"> MPs evaluate the addressee precisely as much </w:t>
      </w:r>
      <w:r w:rsidR="00020770">
        <w:t>positive</w:t>
      </w:r>
      <w:r w:rsidR="000D6595">
        <w:t xml:space="preserve"> as </w:t>
      </w:r>
      <w:r w:rsidR="00020770">
        <w:t>negative</w:t>
      </w:r>
      <w:r w:rsidR="000D6595">
        <w:t xml:space="preserve"> with a percentage of 19,</w:t>
      </w:r>
      <w:r w:rsidR="00A05F0A">
        <w:t xml:space="preserve">7. </w:t>
      </w:r>
      <w:r w:rsidR="00C1508E" w:rsidRPr="0069399F">
        <w:t>Māori</w:t>
      </w:r>
      <w:r w:rsidR="00C1508E">
        <w:t xml:space="preserve"> MPs evaluate the addressee more often positively (30,6%) than negatively (11,1%). </w:t>
      </w:r>
      <w:r w:rsidR="002503E3">
        <w:t xml:space="preserve">This implies that </w:t>
      </w:r>
      <w:r w:rsidR="002503E3" w:rsidRPr="0069399F">
        <w:t>Māori</w:t>
      </w:r>
      <w:r w:rsidR="002503E3">
        <w:t xml:space="preserve"> MPs are in general content with the discourse of MPs.</w:t>
      </w:r>
    </w:p>
    <w:p w14:paraId="216E2756" w14:textId="77777777" w:rsidR="0017316E" w:rsidRDefault="0017316E" w:rsidP="0017316E">
      <w:pPr>
        <w:pStyle w:val="Geenafstand"/>
        <w:spacing w:line="360" w:lineRule="auto"/>
        <w:jc w:val="both"/>
      </w:pPr>
    </w:p>
    <w:p w14:paraId="641A57F6" w14:textId="22B0844F" w:rsidR="00FC21EB" w:rsidRPr="0017316E" w:rsidRDefault="00FC21EB" w:rsidP="0017316E">
      <w:pPr>
        <w:pStyle w:val="Kop3"/>
        <w:rPr>
          <w:sz w:val="20"/>
          <w:szCs w:val="20"/>
        </w:rPr>
      </w:pPr>
      <w:bookmarkStart w:id="236" w:name="_Toc75384110"/>
      <w:r w:rsidRPr="0017316E">
        <w:rPr>
          <w:sz w:val="20"/>
          <w:szCs w:val="20"/>
        </w:rPr>
        <w:t>Table 4.1</w:t>
      </w:r>
      <w:r w:rsidR="00BE4F49" w:rsidRPr="0017316E">
        <w:rPr>
          <w:sz w:val="20"/>
          <w:szCs w:val="20"/>
        </w:rPr>
        <w:t>7</w:t>
      </w:r>
      <w:r w:rsidRPr="0017316E">
        <w:rPr>
          <w:sz w:val="20"/>
          <w:szCs w:val="20"/>
        </w:rPr>
        <w:t xml:space="preserve">. Evaluations of the addressees by </w:t>
      </w:r>
      <w:r w:rsidR="0038527E" w:rsidRPr="0017316E">
        <w:rPr>
          <w:sz w:val="20"/>
          <w:szCs w:val="20"/>
        </w:rPr>
        <w:t>(</w:t>
      </w:r>
      <w:r w:rsidRPr="0017316E">
        <w:rPr>
          <w:sz w:val="20"/>
          <w:szCs w:val="20"/>
        </w:rPr>
        <w:t>non-</w:t>
      </w:r>
      <w:r w:rsidR="0038527E" w:rsidRPr="0017316E">
        <w:rPr>
          <w:sz w:val="20"/>
          <w:szCs w:val="20"/>
        </w:rPr>
        <w:t>)</w:t>
      </w:r>
      <w:r w:rsidRPr="0017316E">
        <w:rPr>
          <w:sz w:val="20"/>
          <w:szCs w:val="20"/>
        </w:rPr>
        <w:t>Māori MPs.</w:t>
      </w:r>
      <w:bookmarkEnd w:id="236"/>
      <w:r w:rsidRPr="0017316E">
        <w:rPr>
          <w:sz w:val="20"/>
          <w:szCs w:val="20"/>
        </w:rPr>
        <w:t xml:space="preserve"> </w:t>
      </w:r>
    </w:p>
    <w:tbl>
      <w:tblPr>
        <w:tblStyle w:val="TableNormal1"/>
        <w:tblW w:w="0" w:type="auto"/>
        <w:tblInd w:w="5" w:type="dxa"/>
        <w:tblLook w:val="04A0" w:firstRow="1" w:lastRow="0" w:firstColumn="1" w:lastColumn="0" w:noHBand="0" w:noVBand="1"/>
      </w:tblPr>
      <w:tblGrid>
        <w:gridCol w:w="2265"/>
        <w:gridCol w:w="2265"/>
        <w:gridCol w:w="2266"/>
        <w:gridCol w:w="2266"/>
      </w:tblGrid>
      <w:tr w:rsidR="00376D8D" w14:paraId="600AC238" w14:textId="77777777" w:rsidTr="008C10D8">
        <w:tc>
          <w:tcPr>
            <w:tcW w:w="2265" w:type="dxa"/>
            <w:tcBorders>
              <w:bottom w:val="single" w:sz="4" w:space="0" w:color="auto"/>
            </w:tcBorders>
          </w:tcPr>
          <w:p w14:paraId="196B9A29" w14:textId="77777777" w:rsidR="00376D8D" w:rsidRDefault="00376D8D" w:rsidP="0017316E">
            <w:pPr>
              <w:pStyle w:val="Geenafstand"/>
              <w:spacing w:line="360" w:lineRule="auto"/>
              <w:jc w:val="both"/>
            </w:pPr>
          </w:p>
        </w:tc>
        <w:tc>
          <w:tcPr>
            <w:tcW w:w="2265" w:type="dxa"/>
            <w:tcBorders>
              <w:bottom w:val="single" w:sz="4" w:space="0" w:color="auto"/>
            </w:tcBorders>
          </w:tcPr>
          <w:p w14:paraId="5005D443" w14:textId="3D4F6520" w:rsidR="00376D8D" w:rsidRDefault="00376D8D" w:rsidP="0017316E">
            <w:pPr>
              <w:pStyle w:val="Geenafstand"/>
              <w:spacing w:line="360" w:lineRule="auto"/>
              <w:jc w:val="both"/>
            </w:pPr>
            <w:r>
              <w:t>Non-</w:t>
            </w:r>
            <w:r w:rsidRPr="0069399F">
              <w:t>Māori</w:t>
            </w:r>
            <w:r>
              <w:t xml:space="preserve"> MPs</w:t>
            </w:r>
          </w:p>
        </w:tc>
        <w:tc>
          <w:tcPr>
            <w:tcW w:w="2266" w:type="dxa"/>
            <w:tcBorders>
              <w:bottom w:val="single" w:sz="4" w:space="0" w:color="auto"/>
            </w:tcBorders>
          </w:tcPr>
          <w:p w14:paraId="0AACDF1E" w14:textId="4071967D" w:rsidR="00376D8D" w:rsidRDefault="00376D8D" w:rsidP="0017316E">
            <w:pPr>
              <w:pStyle w:val="Geenafstand"/>
              <w:spacing w:line="360" w:lineRule="auto"/>
              <w:jc w:val="both"/>
            </w:pPr>
            <w:r w:rsidRPr="0069399F">
              <w:t>Māori</w:t>
            </w:r>
            <w:r>
              <w:t xml:space="preserve"> MPs</w:t>
            </w:r>
          </w:p>
        </w:tc>
        <w:tc>
          <w:tcPr>
            <w:tcW w:w="2266" w:type="dxa"/>
            <w:tcBorders>
              <w:bottom w:val="single" w:sz="4" w:space="0" w:color="auto"/>
            </w:tcBorders>
          </w:tcPr>
          <w:p w14:paraId="24F82E08" w14:textId="585AAD46" w:rsidR="00376D8D" w:rsidRDefault="00376D8D" w:rsidP="0017316E">
            <w:pPr>
              <w:pStyle w:val="Geenafstand"/>
              <w:spacing w:line="360" w:lineRule="auto"/>
              <w:jc w:val="both"/>
            </w:pPr>
            <w:r>
              <w:t>Total</w:t>
            </w:r>
          </w:p>
        </w:tc>
      </w:tr>
      <w:tr w:rsidR="00376D8D" w14:paraId="105CAF7D" w14:textId="77777777" w:rsidTr="008C10D8">
        <w:tc>
          <w:tcPr>
            <w:tcW w:w="2265" w:type="dxa"/>
            <w:tcBorders>
              <w:top w:val="single" w:sz="4" w:space="0" w:color="auto"/>
            </w:tcBorders>
          </w:tcPr>
          <w:p w14:paraId="17C9CBF7" w14:textId="7B6D736C" w:rsidR="00376D8D" w:rsidRDefault="00CB3D30" w:rsidP="008C10D8">
            <w:pPr>
              <w:pStyle w:val="Geenafstand"/>
            </w:pPr>
            <w:r>
              <w:t>Negative</w:t>
            </w:r>
          </w:p>
        </w:tc>
        <w:tc>
          <w:tcPr>
            <w:tcW w:w="2265" w:type="dxa"/>
            <w:tcBorders>
              <w:top w:val="single" w:sz="4" w:space="0" w:color="auto"/>
            </w:tcBorders>
          </w:tcPr>
          <w:p w14:paraId="33A2929B" w14:textId="1EE2CF6B" w:rsidR="00376D8D" w:rsidRDefault="00376D8D" w:rsidP="008C10D8">
            <w:pPr>
              <w:pStyle w:val="Geenafstand"/>
            </w:pPr>
            <w:r>
              <w:t>24</w:t>
            </w:r>
            <w:r w:rsidR="00FB29A1">
              <w:t xml:space="preserve"> (19,7%)</w:t>
            </w:r>
          </w:p>
        </w:tc>
        <w:tc>
          <w:tcPr>
            <w:tcW w:w="2266" w:type="dxa"/>
            <w:tcBorders>
              <w:top w:val="single" w:sz="4" w:space="0" w:color="auto"/>
            </w:tcBorders>
          </w:tcPr>
          <w:p w14:paraId="7EDF0FE8" w14:textId="4689134D" w:rsidR="00376D8D" w:rsidRDefault="00376D8D" w:rsidP="008C10D8">
            <w:pPr>
              <w:pStyle w:val="Geenafstand"/>
            </w:pPr>
            <w:r>
              <w:t>12</w:t>
            </w:r>
            <w:r w:rsidR="005B1FF5">
              <w:t xml:space="preserve"> (11,1%)</w:t>
            </w:r>
          </w:p>
        </w:tc>
        <w:tc>
          <w:tcPr>
            <w:tcW w:w="2266" w:type="dxa"/>
            <w:tcBorders>
              <w:top w:val="single" w:sz="4" w:space="0" w:color="auto"/>
            </w:tcBorders>
          </w:tcPr>
          <w:p w14:paraId="4E72420C" w14:textId="04FE07CD" w:rsidR="00376D8D" w:rsidRDefault="00376D8D" w:rsidP="008C10D8">
            <w:pPr>
              <w:pStyle w:val="Geenafstand"/>
            </w:pPr>
            <w:r>
              <w:t>36</w:t>
            </w:r>
            <w:r w:rsidR="005B1FF5">
              <w:t xml:space="preserve"> (15,7%)</w:t>
            </w:r>
          </w:p>
        </w:tc>
      </w:tr>
      <w:tr w:rsidR="00376D8D" w14:paraId="0FE90923" w14:textId="77777777" w:rsidTr="008C10D8">
        <w:tc>
          <w:tcPr>
            <w:tcW w:w="2265" w:type="dxa"/>
          </w:tcPr>
          <w:p w14:paraId="4EC4FBD1" w14:textId="46E28730" w:rsidR="00376D8D" w:rsidRDefault="00376D8D" w:rsidP="008C10D8">
            <w:pPr>
              <w:pStyle w:val="Geenafstand"/>
            </w:pPr>
            <w:r>
              <w:t>Neutral</w:t>
            </w:r>
          </w:p>
        </w:tc>
        <w:tc>
          <w:tcPr>
            <w:tcW w:w="2265" w:type="dxa"/>
          </w:tcPr>
          <w:p w14:paraId="75FD5D9C" w14:textId="644B93A8" w:rsidR="00376D8D" w:rsidRDefault="00376D8D" w:rsidP="008C10D8">
            <w:pPr>
              <w:pStyle w:val="Geenafstand"/>
            </w:pPr>
            <w:r>
              <w:t>2</w:t>
            </w:r>
            <w:r w:rsidR="00FB29A1">
              <w:t xml:space="preserve"> (1,6%)</w:t>
            </w:r>
          </w:p>
        </w:tc>
        <w:tc>
          <w:tcPr>
            <w:tcW w:w="2266" w:type="dxa"/>
          </w:tcPr>
          <w:p w14:paraId="13FD1DF7" w14:textId="5A2CDE56" w:rsidR="00376D8D" w:rsidRDefault="005B1FF5" w:rsidP="008C10D8">
            <w:pPr>
              <w:pStyle w:val="Geenafstand"/>
            </w:pPr>
            <w:r>
              <w:t>5 (4,6%)</w:t>
            </w:r>
          </w:p>
        </w:tc>
        <w:tc>
          <w:tcPr>
            <w:tcW w:w="2266" w:type="dxa"/>
          </w:tcPr>
          <w:p w14:paraId="70733C9B" w14:textId="43FCE8F9" w:rsidR="00376D8D" w:rsidRDefault="00376D8D" w:rsidP="008C10D8">
            <w:pPr>
              <w:pStyle w:val="Geenafstand"/>
            </w:pPr>
            <w:r>
              <w:t>7</w:t>
            </w:r>
            <w:r w:rsidR="005B1FF5">
              <w:t xml:space="preserve"> (3,0%)</w:t>
            </w:r>
          </w:p>
        </w:tc>
      </w:tr>
      <w:tr w:rsidR="00376D8D" w14:paraId="38B2D887" w14:textId="77777777" w:rsidTr="008C10D8">
        <w:tc>
          <w:tcPr>
            <w:tcW w:w="2265" w:type="dxa"/>
          </w:tcPr>
          <w:p w14:paraId="7A103CE2" w14:textId="71B72EAA" w:rsidR="00376D8D" w:rsidRDefault="00CB3D30" w:rsidP="008C10D8">
            <w:pPr>
              <w:pStyle w:val="Geenafstand"/>
            </w:pPr>
            <w:r>
              <w:t>Positive</w:t>
            </w:r>
          </w:p>
        </w:tc>
        <w:tc>
          <w:tcPr>
            <w:tcW w:w="2265" w:type="dxa"/>
          </w:tcPr>
          <w:p w14:paraId="5BFC9AA4" w14:textId="301629EA" w:rsidR="00376D8D" w:rsidRDefault="00FB29A1" w:rsidP="008C10D8">
            <w:pPr>
              <w:pStyle w:val="Geenafstand"/>
            </w:pPr>
            <w:r>
              <w:t>24 (19,7%)</w:t>
            </w:r>
          </w:p>
        </w:tc>
        <w:tc>
          <w:tcPr>
            <w:tcW w:w="2266" w:type="dxa"/>
          </w:tcPr>
          <w:p w14:paraId="04C57F31" w14:textId="32913D79" w:rsidR="00376D8D" w:rsidRDefault="00376D8D" w:rsidP="008C10D8">
            <w:pPr>
              <w:pStyle w:val="Geenafstand"/>
            </w:pPr>
            <w:r>
              <w:t>33</w:t>
            </w:r>
            <w:r w:rsidR="005B1FF5">
              <w:t xml:space="preserve"> (30,6%)</w:t>
            </w:r>
          </w:p>
        </w:tc>
        <w:tc>
          <w:tcPr>
            <w:tcW w:w="2266" w:type="dxa"/>
          </w:tcPr>
          <w:p w14:paraId="27AD26B6" w14:textId="1AEBEB8A" w:rsidR="00376D8D" w:rsidRDefault="00376D8D" w:rsidP="008C10D8">
            <w:pPr>
              <w:pStyle w:val="Geenafstand"/>
            </w:pPr>
            <w:r>
              <w:t>57</w:t>
            </w:r>
            <w:r w:rsidR="005B1FF5">
              <w:t xml:space="preserve"> (24,8%)</w:t>
            </w:r>
          </w:p>
        </w:tc>
      </w:tr>
      <w:tr w:rsidR="00376D8D" w14:paraId="51096D94" w14:textId="77777777" w:rsidTr="008C10D8">
        <w:tc>
          <w:tcPr>
            <w:tcW w:w="2265" w:type="dxa"/>
          </w:tcPr>
          <w:p w14:paraId="402986AA" w14:textId="427C8173" w:rsidR="00376D8D" w:rsidRDefault="00376D8D" w:rsidP="008C10D8">
            <w:pPr>
              <w:pStyle w:val="Geenafstand"/>
            </w:pPr>
            <w:r>
              <w:t>Absent</w:t>
            </w:r>
          </w:p>
        </w:tc>
        <w:tc>
          <w:tcPr>
            <w:tcW w:w="2265" w:type="dxa"/>
          </w:tcPr>
          <w:p w14:paraId="141FF683" w14:textId="2EBD65C1" w:rsidR="00376D8D" w:rsidRDefault="00376D8D" w:rsidP="008C10D8">
            <w:pPr>
              <w:pStyle w:val="Geenafstand"/>
            </w:pPr>
            <w:r>
              <w:t>72</w:t>
            </w:r>
            <w:r w:rsidR="00FB29A1">
              <w:t xml:space="preserve"> (59,0%)</w:t>
            </w:r>
          </w:p>
        </w:tc>
        <w:tc>
          <w:tcPr>
            <w:tcW w:w="2266" w:type="dxa"/>
          </w:tcPr>
          <w:p w14:paraId="2940AF65" w14:textId="293B631C" w:rsidR="00376D8D" w:rsidRDefault="00376D8D" w:rsidP="008C10D8">
            <w:pPr>
              <w:pStyle w:val="Geenafstand"/>
            </w:pPr>
            <w:r>
              <w:t>58</w:t>
            </w:r>
            <w:r w:rsidR="005B1FF5">
              <w:t xml:space="preserve"> (53,7%)</w:t>
            </w:r>
          </w:p>
        </w:tc>
        <w:tc>
          <w:tcPr>
            <w:tcW w:w="2266" w:type="dxa"/>
          </w:tcPr>
          <w:p w14:paraId="31958B30" w14:textId="785C39CC" w:rsidR="00376D8D" w:rsidRDefault="00376D8D" w:rsidP="008C10D8">
            <w:pPr>
              <w:pStyle w:val="Geenafstand"/>
            </w:pPr>
            <w:r>
              <w:t>130</w:t>
            </w:r>
            <w:r w:rsidR="005B1FF5">
              <w:t xml:space="preserve"> (56,5%)</w:t>
            </w:r>
          </w:p>
        </w:tc>
      </w:tr>
      <w:tr w:rsidR="00376D8D" w14:paraId="11CBD9A1" w14:textId="77777777" w:rsidTr="008C10D8">
        <w:tc>
          <w:tcPr>
            <w:tcW w:w="2265" w:type="dxa"/>
            <w:tcBorders>
              <w:bottom w:val="single" w:sz="4" w:space="0" w:color="auto"/>
            </w:tcBorders>
          </w:tcPr>
          <w:p w14:paraId="1AF0A45F" w14:textId="76F3751F" w:rsidR="00376D8D" w:rsidRDefault="00376D8D" w:rsidP="008C10D8">
            <w:pPr>
              <w:pStyle w:val="Geenafstand"/>
            </w:pPr>
            <w:r>
              <w:t>Total</w:t>
            </w:r>
          </w:p>
        </w:tc>
        <w:tc>
          <w:tcPr>
            <w:tcW w:w="2265" w:type="dxa"/>
            <w:tcBorders>
              <w:bottom w:val="single" w:sz="4" w:space="0" w:color="auto"/>
            </w:tcBorders>
          </w:tcPr>
          <w:p w14:paraId="1CDE967F" w14:textId="0E216035" w:rsidR="00376D8D" w:rsidRDefault="00376D8D" w:rsidP="008C10D8">
            <w:pPr>
              <w:pStyle w:val="Geenafstand"/>
            </w:pPr>
            <w:r>
              <w:t>122</w:t>
            </w:r>
            <w:r w:rsidR="00FB29A1">
              <w:t xml:space="preserve"> (100%)</w:t>
            </w:r>
          </w:p>
        </w:tc>
        <w:tc>
          <w:tcPr>
            <w:tcW w:w="2266" w:type="dxa"/>
            <w:tcBorders>
              <w:bottom w:val="single" w:sz="4" w:space="0" w:color="auto"/>
            </w:tcBorders>
          </w:tcPr>
          <w:p w14:paraId="224052A4" w14:textId="7E7B7AAE" w:rsidR="00376D8D" w:rsidRDefault="00376D8D" w:rsidP="008C10D8">
            <w:pPr>
              <w:pStyle w:val="Geenafstand"/>
            </w:pPr>
            <w:r>
              <w:t>108</w:t>
            </w:r>
            <w:r w:rsidR="00FB29A1">
              <w:t xml:space="preserve"> (100%)</w:t>
            </w:r>
          </w:p>
        </w:tc>
        <w:tc>
          <w:tcPr>
            <w:tcW w:w="2266" w:type="dxa"/>
            <w:tcBorders>
              <w:bottom w:val="single" w:sz="4" w:space="0" w:color="auto"/>
            </w:tcBorders>
          </w:tcPr>
          <w:p w14:paraId="18AF2284" w14:textId="3FB8ACC6" w:rsidR="00376D8D" w:rsidRDefault="00376D8D" w:rsidP="008C10D8">
            <w:pPr>
              <w:pStyle w:val="Geenafstand"/>
            </w:pPr>
            <w:r>
              <w:t>230</w:t>
            </w:r>
            <w:r w:rsidR="00FB29A1">
              <w:t xml:space="preserve"> (100%)</w:t>
            </w:r>
          </w:p>
        </w:tc>
      </w:tr>
    </w:tbl>
    <w:p w14:paraId="727CF8AD" w14:textId="77777777" w:rsidR="00376D8D" w:rsidRPr="00376D8D" w:rsidRDefault="00376D8D" w:rsidP="00376D8D">
      <w:pPr>
        <w:rPr>
          <w:lang w:val="en-GB" w:eastAsia="en-GB"/>
        </w:rPr>
      </w:pPr>
    </w:p>
    <w:p w14:paraId="7F504B87" w14:textId="4933CAFB" w:rsidR="0069399F" w:rsidRDefault="0069399F" w:rsidP="00291958">
      <w:pPr>
        <w:pStyle w:val="Geenafstand"/>
        <w:spacing w:line="360" w:lineRule="auto"/>
        <w:ind w:firstLine="708"/>
        <w:jc w:val="both"/>
      </w:pPr>
      <w:r w:rsidRPr="0069399F">
        <w:t xml:space="preserve">In sum, around two-thirds of the claims are substantive. In 20% of the claims the claimant expresses some degree of unification of themself with the Māori population. The main addressees are the ‘government’, ‘other MPs/Parliament’ and the ‘Māori Affairs Committee’ with mostly positive evaluations. In the next section the justifications are discussed. </w:t>
      </w:r>
    </w:p>
    <w:p w14:paraId="62FEE6BC" w14:textId="77777777" w:rsidR="00291958" w:rsidRPr="0069399F" w:rsidRDefault="00291958" w:rsidP="00291958">
      <w:pPr>
        <w:pStyle w:val="Geenafstand"/>
        <w:spacing w:line="360" w:lineRule="auto"/>
        <w:ind w:firstLine="708"/>
        <w:jc w:val="both"/>
      </w:pPr>
    </w:p>
    <w:p w14:paraId="466E6989" w14:textId="10876A7D" w:rsidR="0069399F" w:rsidRDefault="0069399F" w:rsidP="00291958">
      <w:pPr>
        <w:pStyle w:val="Kop3"/>
      </w:pPr>
      <w:bookmarkStart w:id="237" w:name="_Toc72853027"/>
      <w:bookmarkStart w:id="238" w:name="_Toc74583841"/>
      <w:bookmarkStart w:id="239" w:name="_Toc75384111"/>
      <w:r>
        <w:t>4.</w:t>
      </w:r>
      <w:r w:rsidR="00AA6D2E">
        <w:t>2.7</w:t>
      </w:r>
      <w:r>
        <w:t xml:space="preserve"> Analysing the justifications</w:t>
      </w:r>
      <w:bookmarkEnd w:id="237"/>
      <w:bookmarkEnd w:id="238"/>
      <w:bookmarkEnd w:id="239"/>
    </w:p>
    <w:p w14:paraId="14D39167" w14:textId="0A722DC9" w:rsidR="0069399F" w:rsidRDefault="0069399F" w:rsidP="00291958">
      <w:pPr>
        <w:pStyle w:val="Geenafstand"/>
        <w:spacing w:line="360" w:lineRule="auto"/>
        <w:jc w:val="both"/>
      </w:pPr>
      <w:r w:rsidRPr="0069399F">
        <w:tab/>
        <w:t xml:space="preserve">The justifications reveal the main argument around which </w:t>
      </w:r>
      <w:r w:rsidR="00F530A4">
        <w:t>claims are</w:t>
      </w:r>
      <w:r w:rsidRPr="0069399F">
        <w:t xml:space="preserve"> built. Figure 4.1</w:t>
      </w:r>
      <w:r w:rsidR="00BE46D7">
        <w:t>1</w:t>
      </w:r>
      <w:r w:rsidRPr="0069399F">
        <w:t xml:space="preserve"> shows that in both government periods, the justification ‘injustice’ was used the most. This is in line with the </w:t>
      </w:r>
      <w:r w:rsidRPr="0069399F">
        <w:lastRenderedPageBreak/>
        <w:t>developments of the last years, after which it becomes clear that Māori people still face an unequal position in society seen the reports from the United Nations (2014; 2017; 2018). After ‘injustice’</w:t>
      </w:r>
      <w:r w:rsidR="007372ED">
        <w:t xml:space="preserve"> (53,9%)</w:t>
      </w:r>
      <w:r w:rsidRPr="0069399F">
        <w:t>, the second most used justification is ‘performance’</w:t>
      </w:r>
      <w:r w:rsidR="007372ED">
        <w:t xml:space="preserve"> (19,1%)</w:t>
      </w:r>
      <w:r w:rsidRPr="0069399F">
        <w:t>, closely followed by ‘culture’</w:t>
      </w:r>
      <w:r w:rsidR="007372ED">
        <w:t xml:space="preserve"> (12,2%)</w:t>
      </w:r>
      <w:r w:rsidRPr="0069399F">
        <w:t xml:space="preserve">. The regularly use of the justification ‘performance’ shows that Māori people are often recognized for their actions. The common use of ‘culture’ as justification reveals that MPs recognize the importance of the survival of the Māori culture. </w:t>
      </w:r>
    </w:p>
    <w:p w14:paraId="7E1BF2DB" w14:textId="77777777" w:rsidR="004508B0" w:rsidRPr="0069399F" w:rsidRDefault="004508B0" w:rsidP="00291958">
      <w:pPr>
        <w:pStyle w:val="Geenafstand"/>
        <w:spacing w:line="360" w:lineRule="auto"/>
        <w:jc w:val="both"/>
      </w:pPr>
    </w:p>
    <w:p w14:paraId="137DCDB9" w14:textId="77777777" w:rsidR="0069399F" w:rsidRDefault="0069399F" w:rsidP="006939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766F4B" wp14:editId="02C2BAA4">
            <wp:extent cx="3594100" cy="2133600"/>
            <wp:effectExtent l="0" t="0" r="635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21"/>
                    <a:srcRect t="6146"/>
                    <a:stretch/>
                  </pic:blipFill>
                  <pic:spPr bwMode="auto">
                    <a:xfrm>
                      <a:off x="0" y="0"/>
                      <a:ext cx="3594100" cy="2133600"/>
                    </a:xfrm>
                    <a:prstGeom prst="rect">
                      <a:avLst/>
                    </a:prstGeom>
                    <a:ln>
                      <a:noFill/>
                    </a:ln>
                    <a:extLst>
                      <a:ext uri="{53640926-AAD7-44D8-BBD7-CCE9431645EC}">
                        <a14:shadowObscured xmlns:a14="http://schemas.microsoft.com/office/drawing/2010/main"/>
                      </a:ext>
                    </a:extLst>
                  </pic:spPr>
                </pic:pic>
              </a:graphicData>
            </a:graphic>
          </wp:inline>
        </w:drawing>
      </w:r>
    </w:p>
    <w:p w14:paraId="5C49F99D" w14:textId="52C5BB35" w:rsidR="0069399F" w:rsidRPr="00C05787" w:rsidRDefault="0069399F" w:rsidP="00212EA8">
      <w:pPr>
        <w:pStyle w:val="Kop3"/>
        <w:jc w:val="center"/>
        <w:rPr>
          <w:sz w:val="20"/>
          <w:szCs w:val="20"/>
        </w:rPr>
      </w:pPr>
      <w:bookmarkStart w:id="240" w:name="_Toc72853028"/>
      <w:bookmarkStart w:id="241" w:name="_Toc74503502"/>
      <w:bookmarkStart w:id="242" w:name="_Toc74583842"/>
      <w:bookmarkStart w:id="243" w:name="_Toc75384112"/>
      <w:r w:rsidRPr="00C05787">
        <w:rPr>
          <w:sz w:val="20"/>
          <w:szCs w:val="20"/>
        </w:rPr>
        <w:t>Figure 4.1</w:t>
      </w:r>
      <w:r w:rsidR="008B16F2">
        <w:rPr>
          <w:sz w:val="20"/>
          <w:szCs w:val="20"/>
        </w:rPr>
        <w:t>1</w:t>
      </w:r>
      <w:r w:rsidRPr="00C05787">
        <w:rPr>
          <w:sz w:val="20"/>
          <w:szCs w:val="20"/>
        </w:rPr>
        <w:t xml:space="preserve">. Justifications used in </w:t>
      </w:r>
      <w:r w:rsidR="003B14BA">
        <w:rPr>
          <w:sz w:val="20"/>
          <w:szCs w:val="20"/>
        </w:rPr>
        <w:t>both</w:t>
      </w:r>
      <w:r w:rsidRPr="00C05787">
        <w:rPr>
          <w:sz w:val="20"/>
          <w:szCs w:val="20"/>
        </w:rPr>
        <w:t xml:space="preserve"> government period</w:t>
      </w:r>
      <w:r w:rsidR="003B14BA">
        <w:rPr>
          <w:sz w:val="20"/>
          <w:szCs w:val="20"/>
        </w:rPr>
        <w:t>s</w:t>
      </w:r>
      <w:r w:rsidRPr="00C05787">
        <w:rPr>
          <w:sz w:val="20"/>
          <w:szCs w:val="20"/>
        </w:rPr>
        <w:t>.</w:t>
      </w:r>
      <w:bookmarkEnd w:id="240"/>
      <w:bookmarkEnd w:id="241"/>
      <w:bookmarkEnd w:id="242"/>
      <w:bookmarkEnd w:id="243"/>
    </w:p>
    <w:p w14:paraId="1CF9D9D9" w14:textId="77777777" w:rsidR="0069399F" w:rsidRPr="0069399F" w:rsidRDefault="0069399F" w:rsidP="0069399F">
      <w:pPr>
        <w:rPr>
          <w:lang w:val="en-GB"/>
        </w:rPr>
      </w:pPr>
    </w:p>
    <w:p w14:paraId="6481147E" w14:textId="77777777" w:rsidR="0053358F" w:rsidRDefault="0069399F" w:rsidP="0053358F">
      <w:pPr>
        <w:pStyle w:val="Geenafstand"/>
        <w:spacing w:line="360" w:lineRule="auto"/>
        <w:ind w:firstLine="708"/>
        <w:jc w:val="both"/>
      </w:pPr>
      <w:r w:rsidRPr="0069399F">
        <w:t xml:space="preserve">When we </w:t>
      </w:r>
      <w:r w:rsidR="00621058" w:rsidRPr="0069399F">
        <w:t>look</w:t>
      </w:r>
      <w:r w:rsidRPr="0069399F">
        <w:t xml:space="preserve"> at table 4.18, differences between the two government periods come to the surface. In both government periods the justification ‘injustice’ is used in more than half of the </w:t>
      </w:r>
      <w:r w:rsidR="007A27C1">
        <w:t xml:space="preserve">claims. In the previous government period ‘injustice’ is used </w:t>
      </w:r>
      <w:r w:rsidR="005A4F93">
        <w:t xml:space="preserve">in </w:t>
      </w:r>
      <w:r w:rsidR="007A27C1">
        <w:t xml:space="preserve">55,3% of the claims and in the current government in 52,8% of the claims. </w:t>
      </w:r>
      <w:r w:rsidRPr="0069399F">
        <w:t>But other than that, the justifications differ quite a lot. After injustice, ‘performance’ is the most used justification in the 53</w:t>
      </w:r>
      <w:r w:rsidRPr="0069399F">
        <w:rPr>
          <w:vertAlign w:val="superscript"/>
        </w:rPr>
        <w:t>rd</w:t>
      </w:r>
      <w:r w:rsidRPr="0069399F">
        <w:t xml:space="preserve"> government period</w:t>
      </w:r>
      <w:r w:rsidR="001853CC">
        <w:t xml:space="preserve"> with a percentage of 34,6</w:t>
      </w:r>
      <w:r w:rsidRPr="0069399F">
        <w:t>. It is notable that ‘performance’ is an important justification in the current government period, while this justification is not used in the previous government period. Vice versa, this is true for the justifications ‘culture’</w:t>
      </w:r>
      <w:r w:rsidR="00046DF1">
        <w:t xml:space="preserve"> which is used in 27,2%,</w:t>
      </w:r>
      <w:r w:rsidRPr="0069399F">
        <w:t xml:space="preserve"> and ‘economy’</w:t>
      </w:r>
      <w:r w:rsidR="00046DF1">
        <w:t>, which is used in 15,5%</w:t>
      </w:r>
      <w:r w:rsidRPr="0069399F">
        <w:t xml:space="preserve">. </w:t>
      </w:r>
    </w:p>
    <w:p w14:paraId="38271D32" w14:textId="775A7680" w:rsidR="0069399F" w:rsidRPr="0053358F" w:rsidRDefault="0069399F" w:rsidP="0053358F">
      <w:pPr>
        <w:pStyle w:val="Geenafstand"/>
        <w:spacing w:line="360" w:lineRule="auto"/>
        <w:ind w:firstLine="708"/>
        <w:jc w:val="both"/>
      </w:pPr>
      <w:r w:rsidRPr="0053358F">
        <w:t xml:space="preserve">The </w:t>
      </w:r>
      <w:r w:rsidR="00EC147B" w:rsidRPr="0053358F">
        <w:t>often</w:t>
      </w:r>
      <w:r w:rsidRPr="0053358F">
        <w:t xml:space="preserve"> use</w:t>
      </w:r>
      <w:r w:rsidR="001D2EC0" w:rsidRPr="0053358F">
        <w:t>d</w:t>
      </w:r>
      <w:r w:rsidRPr="0053358F">
        <w:t xml:space="preserve"> justification ‘performance’</w:t>
      </w:r>
      <w:r w:rsidR="00EC147B" w:rsidRPr="0053358F">
        <w:t xml:space="preserve"> could be due </w:t>
      </w:r>
      <w:r w:rsidRPr="0053358F">
        <w:t xml:space="preserve">to the Covid-19 crisis. </w:t>
      </w:r>
      <w:r w:rsidRPr="0069399F">
        <w:t>While reading the speeches MPs</w:t>
      </w:r>
      <w:r w:rsidR="00F21666">
        <w:t>, it appeared that MPs recognized</w:t>
      </w:r>
      <w:r w:rsidRPr="0069399F">
        <w:t xml:space="preserve"> the effort that the Māori undertook regarding the Covid-19 crisis several times. The justification ‘urgence’ is also used quite some time</w:t>
      </w:r>
      <w:r w:rsidR="001640E2">
        <w:t>s</w:t>
      </w:r>
      <w:r w:rsidRPr="0069399F">
        <w:t xml:space="preserve"> in the 53</w:t>
      </w:r>
      <w:r w:rsidRPr="0069399F">
        <w:rPr>
          <w:vertAlign w:val="superscript"/>
        </w:rPr>
        <w:t>rd</w:t>
      </w:r>
      <w:r w:rsidRPr="0069399F">
        <w:t xml:space="preserve"> government period</w:t>
      </w:r>
      <w:r w:rsidR="00C17AF4">
        <w:t xml:space="preserve"> (7,9%)</w:t>
      </w:r>
      <w:r w:rsidRPr="0069399F">
        <w:t>. This justification is probably closely related to the bill for Māori representation on the local level. During the speeches on this bill</w:t>
      </w:r>
      <w:r w:rsidR="004F00DE">
        <w:t>,</w:t>
      </w:r>
      <w:r w:rsidRPr="0069399F">
        <w:t xml:space="preserve"> it became clear </w:t>
      </w:r>
      <w:r w:rsidR="00362893">
        <w:t xml:space="preserve">that </w:t>
      </w:r>
      <w:r w:rsidRPr="0069399F">
        <w:t>this had to be installed quickly due to upcoming local elections in 2022 (Mahuta, 2021). To see whether there is a significant correspondence between the justifications and the issues, a Cramer’s V test is performed.</w:t>
      </w:r>
    </w:p>
    <w:p w14:paraId="3207FCC1" w14:textId="1FEDF82D" w:rsidR="00EC0D48" w:rsidRDefault="00EC0D48" w:rsidP="0053358F">
      <w:pPr>
        <w:pStyle w:val="Geenafstand"/>
        <w:spacing w:line="360" w:lineRule="auto"/>
        <w:jc w:val="both"/>
        <w:rPr>
          <w:sz w:val="20"/>
          <w:szCs w:val="20"/>
        </w:rPr>
      </w:pPr>
      <w:bookmarkStart w:id="244" w:name="_Toc72853031"/>
      <w:bookmarkStart w:id="245" w:name="_Toc74503503"/>
      <w:bookmarkStart w:id="246" w:name="_Toc74583843"/>
    </w:p>
    <w:p w14:paraId="0756A567" w14:textId="77777777" w:rsidR="004508B0" w:rsidRDefault="004508B0" w:rsidP="0053358F">
      <w:pPr>
        <w:pStyle w:val="Geenafstand"/>
        <w:spacing w:line="360" w:lineRule="auto"/>
        <w:jc w:val="both"/>
        <w:rPr>
          <w:sz w:val="20"/>
          <w:szCs w:val="20"/>
        </w:rPr>
      </w:pPr>
    </w:p>
    <w:p w14:paraId="5D236425" w14:textId="3202D73D" w:rsidR="00125DE1" w:rsidRPr="00EC0D48" w:rsidRDefault="00125DE1" w:rsidP="00EC0D48">
      <w:pPr>
        <w:pStyle w:val="Kop3"/>
        <w:rPr>
          <w:sz w:val="20"/>
          <w:szCs w:val="20"/>
        </w:rPr>
      </w:pPr>
      <w:bookmarkStart w:id="247" w:name="_Toc75384113"/>
      <w:r w:rsidRPr="00EC0D48">
        <w:rPr>
          <w:sz w:val="20"/>
          <w:szCs w:val="20"/>
        </w:rPr>
        <w:lastRenderedPageBreak/>
        <w:t>Table 4.18. Justifications of claims.</w:t>
      </w:r>
      <w:bookmarkEnd w:id="244"/>
      <w:bookmarkEnd w:id="245"/>
      <w:bookmarkEnd w:id="246"/>
      <w:bookmarkEnd w:id="247"/>
    </w:p>
    <w:tbl>
      <w:tblPr>
        <w:tblStyle w:val="Onopgemaaktetabel3"/>
        <w:tblW w:w="9097" w:type="dxa"/>
        <w:tblLayout w:type="fixed"/>
        <w:tblLook w:val="0600" w:firstRow="0" w:lastRow="0" w:firstColumn="0" w:lastColumn="0" w:noHBand="1" w:noVBand="1"/>
      </w:tblPr>
      <w:tblGrid>
        <w:gridCol w:w="2274"/>
        <w:gridCol w:w="2274"/>
        <w:gridCol w:w="2274"/>
        <w:gridCol w:w="2275"/>
      </w:tblGrid>
      <w:tr w:rsidR="0069399F" w14:paraId="16AAB34F" w14:textId="77777777" w:rsidTr="00F35595">
        <w:trPr>
          <w:trHeight w:val="249"/>
        </w:trPr>
        <w:tc>
          <w:tcPr>
            <w:tcW w:w="2274" w:type="dxa"/>
            <w:tcBorders>
              <w:bottom w:val="single" w:sz="4" w:space="0" w:color="auto"/>
            </w:tcBorders>
          </w:tcPr>
          <w:p w14:paraId="4F97C5F4" w14:textId="77777777" w:rsidR="0069399F" w:rsidRPr="004A1F63" w:rsidRDefault="0069399F" w:rsidP="004A1F63">
            <w:pPr>
              <w:pStyle w:val="Geenafstand"/>
            </w:pPr>
          </w:p>
        </w:tc>
        <w:tc>
          <w:tcPr>
            <w:tcW w:w="2274" w:type="dxa"/>
            <w:tcBorders>
              <w:bottom w:val="single" w:sz="4" w:space="0" w:color="auto"/>
            </w:tcBorders>
          </w:tcPr>
          <w:p w14:paraId="0C9203BA" w14:textId="77777777" w:rsidR="0069399F" w:rsidRPr="004A1F63" w:rsidRDefault="0069399F" w:rsidP="004A1F63">
            <w:pPr>
              <w:pStyle w:val="Geenafstand"/>
            </w:pPr>
            <w:r w:rsidRPr="004A1F63">
              <w:t>52nd government</w:t>
            </w:r>
          </w:p>
        </w:tc>
        <w:tc>
          <w:tcPr>
            <w:tcW w:w="2274" w:type="dxa"/>
            <w:tcBorders>
              <w:bottom w:val="single" w:sz="4" w:space="0" w:color="auto"/>
            </w:tcBorders>
          </w:tcPr>
          <w:p w14:paraId="58A5A121" w14:textId="77777777" w:rsidR="0069399F" w:rsidRPr="004A1F63" w:rsidRDefault="0069399F" w:rsidP="004A1F63">
            <w:pPr>
              <w:pStyle w:val="Geenafstand"/>
            </w:pPr>
            <w:r w:rsidRPr="004A1F63">
              <w:t>53rd government</w:t>
            </w:r>
          </w:p>
        </w:tc>
        <w:tc>
          <w:tcPr>
            <w:tcW w:w="2275" w:type="dxa"/>
            <w:tcBorders>
              <w:bottom w:val="single" w:sz="4" w:space="0" w:color="auto"/>
            </w:tcBorders>
          </w:tcPr>
          <w:p w14:paraId="65234F6B" w14:textId="77777777" w:rsidR="0069399F" w:rsidRPr="004A1F63" w:rsidRDefault="0069399F" w:rsidP="004A1F63">
            <w:pPr>
              <w:pStyle w:val="Geenafstand"/>
            </w:pPr>
            <w:r w:rsidRPr="004A1F63">
              <w:t>Total</w:t>
            </w:r>
          </w:p>
        </w:tc>
      </w:tr>
      <w:tr w:rsidR="0069399F" w14:paraId="4CBA5269" w14:textId="77777777" w:rsidTr="00F35595">
        <w:trPr>
          <w:trHeight w:val="249"/>
        </w:trPr>
        <w:tc>
          <w:tcPr>
            <w:tcW w:w="2274" w:type="dxa"/>
            <w:tcBorders>
              <w:top w:val="single" w:sz="4" w:space="0" w:color="auto"/>
            </w:tcBorders>
          </w:tcPr>
          <w:p w14:paraId="2DADA5B5" w14:textId="77777777" w:rsidR="0069399F" w:rsidRPr="004A1F63" w:rsidRDefault="0069399F" w:rsidP="004A1F63">
            <w:pPr>
              <w:pStyle w:val="Geenafstand"/>
            </w:pPr>
            <w:r w:rsidRPr="004A1F63">
              <w:t>Performance</w:t>
            </w:r>
          </w:p>
        </w:tc>
        <w:tc>
          <w:tcPr>
            <w:tcW w:w="2274" w:type="dxa"/>
            <w:tcBorders>
              <w:top w:val="single" w:sz="4" w:space="0" w:color="auto"/>
            </w:tcBorders>
          </w:tcPr>
          <w:p w14:paraId="79BAD995" w14:textId="77777777" w:rsidR="0069399F" w:rsidRPr="004A1F63" w:rsidRDefault="0069399F" w:rsidP="004A1F63">
            <w:pPr>
              <w:pStyle w:val="Geenafstand"/>
            </w:pPr>
            <w:r w:rsidRPr="004A1F63">
              <w:t>0 (0%)</w:t>
            </w:r>
          </w:p>
        </w:tc>
        <w:tc>
          <w:tcPr>
            <w:tcW w:w="2274" w:type="dxa"/>
            <w:tcBorders>
              <w:top w:val="single" w:sz="4" w:space="0" w:color="auto"/>
            </w:tcBorders>
          </w:tcPr>
          <w:p w14:paraId="103A1840" w14:textId="77777777" w:rsidR="0069399F" w:rsidRPr="004A1F63" w:rsidRDefault="0069399F" w:rsidP="004A1F63">
            <w:pPr>
              <w:pStyle w:val="Geenafstand"/>
            </w:pPr>
            <w:r w:rsidRPr="004A1F63">
              <w:t>44 (34,6%)</w:t>
            </w:r>
          </w:p>
        </w:tc>
        <w:tc>
          <w:tcPr>
            <w:tcW w:w="2275" w:type="dxa"/>
            <w:tcBorders>
              <w:top w:val="single" w:sz="4" w:space="0" w:color="auto"/>
            </w:tcBorders>
          </w:tcPr>
          <w:p w14:paraId="1FC1111D" w14:textId="77777777" w:rsidR="0069399F" w:rsidRPr="004A1F63" w:rsidRDefault="0069399F" w:rsidP="004A1F63">
            <w:pPr>
              <w:pStyle w:val="Geenafstand"/>
            </w:pPr>
            <w:r w:rsidRPr="004A1F63">
              <w:t>44 (19,1%)</w:t>
            </w:r>
          </w:p>
        </w:tc>
      </w:tr>
      <w:tr w:rsidR="0069399F" w14:paraId="0A158A12" w14:textId="77777777" w:rsidTr="00F35595">
        <w:trPr>
          <w:trHeight w:val="249"/>
        </w:trPr>
        <w:tc>
          <w:tcPr>
            <w:tcW w:w="2274" w:type="dxa"/>
          </w:tcPr>
          <w:p w14:paraId="22F86DEC" w14:textId="77777777" w:rsidR="0069399F" w:rsidRPr="004A1F63" w:rsidRDefault="0069399F" w:rsidP="004A1F63">
            <w:pPr>
              <w:pStyle w:val="Geenafstand"/>
            </w:pPr>
            <w:r w:rsidRPr="004A1F63">
              <w:t>Injustice</w:t>
            </w:r>
          </w:p>
        </w:tc>
        <w:tc>
          <w:tcPr>
            <w:tcW w:w="2274" w:type="dxa"/>
          </w:tcPr>
          <w:p w14:paraId="2F9DC02A" w14:textId="77777777" w:rsidR="0069399F" w:rsidRPr="004A1F63" w:rsidRDefault="0069399F" w:rsidP="004A1F63">
            <w:pPr>
              <w:pStyle w:val="Geenafstand"/>
            </w:pPr>
            <w:r w:rsidRPr="004A1F63">
              <w:t>57 (55,3%)</w:t>
            </w:r>
          </w:p>
        </w:tc>
        <w:tc>
          <w:tcPr>
            <w:tcW w:w="2274" w:type="dxa"/>
          </w:tcPr>
          <w:p w14:paraId="51E1E565" w14:textId="77777777" w:rsidR="0069399F" w:rsidRPr="004A1F63" w:rsidRDefault="0069399F" w:rsidP="004A1F63">
            <w:pPr>
              <w:pStyle w:val="Geenafstand"/>
            </w:pPr>
            <w:r w:rsidRPr="004A1F63">
              <w:t>67 (52,8%)</w:t>
            </w:r>
          </w:p>
        </w:tc>
        <w:tc>
          <w:tcPr>
            <w:tcW w:w="2275" w:type="dxa"/>
          </w:tcPr>
          <w:p w14:paraId="622A413C" w14:textId="77777777" w:rsidR="0069399F" w:rsidRPr="004A1F63" w:rsidRDefault="0069399F" w:rsidP="004A1F63">
            <w:pPr>
              <w:pStyle w:val="Geenafstand"/>
            </w:pPr>
            <w:r w:rsidRPr="004A1F63">
              <w:t>124 (53,9%)</w:t>
            </w:r>
          </w:p>
        </w:tc>
      </w:tr>
      <w:tr w:rsidR="0069399F" w14:paraId="6F32ACE8" w14:textId="77777777" w:rsidTr="00F35595">
        <w:trPr>
          <w:trHeight w:val="240"/>
        </w:trPr>
        <w:tc>
          <w:tcPr>
            <w:tcW w:w="2274" w:type="dxa"/>
          </w:tcPr>
          <w:p w14:paraId="775E7DE5" w14:textId="77777777" w:rsidR="0069399F" w:rsidRPr="004A1F63" w:rsidRDefault="0069399F" w:rsidP="004A1F63">
            <w:pPr>
              <w:pStyle w:val="Geenafstand"/>
            </w:pPr>
            <w:r w:rsidRPr="004A1F63">
              <w:t>Urgence</w:t>
            </w:r>
          </w:p>
        </w:tc>
        <w:tc>
          <w:tcPr>
            <w:tcW w:w="2274" w:type="dxa"/>
          </w:tcPr>
          <w:p w14:paraId="7F10C495" w14:textId="77777777" w:rsidR="0069399F" w:rsidRPr="004A1F63" w:rsidRDefault="0069399F" w:rsidP="004A1F63">
            <w:pPr>
              <w:pStyle w:val="Geenafstand"/>
            </w:pPr>
            <w:r w:rsidRPr="004A1F63">
              <w:t>0 (0%)</w:t>
            </w:r>
          </w:p>
        </w:tc>
        <w:tc>
          <w:tcPr>
            <w:tcW w:w="2274" w:type="dxa"/>
          </w:tcPr>
          <w:p w14:paraId="415274DA" w14:textId="77777777" w:rsidR="0069399F" w:rsidRPr="004A1F63" w:rsidRDefault="0069399F" w:rsidP="004A1F63">
            <w:pPr>
              <w:pStyle w:val="Geenafstand"/>
            </w:pPr>
            <w:r w:rsidRPr="004A1F63">
              <w:t>10 (7,9%)</w:t>
            </w:r>
          </w:p>
        </w:tc>
        <w:tc>
          <w:tcPr>
            <w:tcW w:w="2275" w:type="dxa"/>
          </w:tcPr>
          <w:p w14:paraId="13599841" w14:textId="77777777" w:rsidR="0069399F" w:rsidRPr="004A1F63" w:rsidRDefault="0069399F" w:rsidP="004A1F63">
            <w:pPr>
              <w:pStyle w:val="Geenafstand"/>
            </w:pPr>
            <w:r w:rsidRPr="004A1F63">
              <w:t>10 (7,9%)</w:t>
            </w:r>
          </w:p>
        </w:tc>
      </w:tr>
      <w:tr w:rsidR="0069399F" w14:paraId="37BD07BB" w14:textId="77777777" w:rsidTr="00F35595">
        <w:trPr>
          <w:trHeight w:val="249"/>
        </w:trPr>
        <w:tc>
          <w:tcPr>
            <w:tcW w:w="2274" w:type="dxa"/>
          </w:tcPr>
          <w:p w14:paraId="06204270" w14:textId="77777777" w:rsidR="0069399F" w:rsidRPr="004A1F63" w:rsidRDefault="0069399F" w:rsidP="004A1F63">
            <w:pPr>
              <w:pStyle w:val="Geenafstand"/>
            </w:pPr>
            <w:r w:rsidRPr="004A1F63">
              <w:t>Substantive</w:t>
            </w:r>
          </w:p>
        </w:tc>
        <w:tc>
          <w:tcPr>
            <w:tcW w:w="2274" w:type="dxa"/>
          </w:tcPr>
          <w:p w14:paraId="1EA1636F" w14:textId="77777777" w:rsidR="0069399F" w:rsidRPr="004A1F63" w:rsidRDefault="0069399F" w:rsidP="004A1F63">
            <w:pPr>
              <w:pStyle w:val="Geenafstand"/>
            </w:pPr>
            <w:r w:rsidRPr="004A1F63">
              <w:t>0 (0%)</w:t>
            </w:r>
          </w:p>
        </w:tc>
        <w:tc>
          <w:tcPr>
            <w:tcW w:w="2274" w:type="dxa"/>
          </w:tcPr>
          <w:p w14:paraId="30705B43" w14:textId="77777777" w:rsidR="0069399F" w:rsidRPr="004A1F63" w:rsidRDefault="0069399F" w:rsidP="004A1F63">
            <w:pPr>
              <w:pStyle w:val="Geenafstand"/>
            </w:pPr>
            <w:r w:rsidRPr="004A1F63">
              <w:t>6 (4,7%)</w:t>
            </w:r>
          </w:p>
        </w:tc>
        <w:tc>
          <w:tcPr>
            <w:tcW w:w="2275" w:type="dxa"/>
          </w:tcPr>
          <w:p w14:paraId="6169ED2F" w14:textId="77777777" w:rsidR="0069399F" w:rsidRPr="004A1F63" w:rsidRDefault="0069399F" w:rsidP="004A1F63">
            <w:pPr>
              <w:pStyle w:val="Geenafstand"/>
            </w:pPr>
            <w:r w:rsidRPr="004A1F63">
              <w:t>6 (4,7%)</w:t>
            </w:r>
          </w:p>
        </w:tc>
      </w:tr>
      <w:tr w:rsidR="0069399F" w14:paraId="4D2B1B62" w14:textId="77777777" w:rsidTr="00F35595">
        <w:trPr>
          <w:trHeight w:val="249"/>
        </w:trPr>
        <w:tc>
          <w:tcPr>
            <w:tcW w:w="2274" w:type="dxa"/>
          </w:tcPr>
          <w:p w14:paraId="69DE5ABC" w14:textId="77777777" w:rsidR="0069399F" w:rsidRPr="004A1F63" w:rsidRDefault="0069399F" w:rsidP="004A1F63">
            <w:pPr>
              <w:pStyle w:val="Geenafstand"/>
            </w:pPr>
            <w:r w:rsidRPr="004A1F63">
              <w:t>Culture</w:t>
            </w:r>
          </w:p>
        </w:tc>
        <w:tc>
          <w:tcPr>
            <w:tcW w:w="2274" w:type="dxa"/>
          </w:tcPr>
          <w:p w14:paraId="124BDB48" w14:textId="77777777" w:rsidR="0069399F" w:rsidRPr="004A1F63" w:rsidRDefault="0069399F" w:rsidP="004A1F63">
            <w:pPr>
              <w:pStyle w:val="Geenafstand"/>
            </w:pPr>
            <w:r w:rsidRPr="004A1F63">
              <w:t>28 (27,2%)</w:t>
            </w:r>
          </w:p>
        </w:tc>
        <w:tc>
          <w:tcPr>
            <w:tcW w:w="2274" w:type="dxa"/>
          </w:tcPr>
          <w:p w14:paraId="03280BBD" w14:textId="77777777" w:rsidR="0069399F" w:rsidRPr="004A1F63" w:rsidRDefault="0069399F" w:rsidP="004A1F63">
            <w:pPr>
              <w:pStyle w:val="Geenafstand"/>
            </w:pPr>
            <w:r w:rsidRPr="004A1F63">
              <w:t>0 (0%)</w:t>
            </w:r>
          </w:p>
        </w:tc>
        <w:tc>
          <w:tcPr>
            <w:tcW w:w="2275" w:type="dxa"/>
          </w:tcPr>
          <w:p w14:paraId="3256F614" w14:textId="77777777" w:rsidR="0069399F" w:rsidRPr="004A1F63" w:rsidRDefault="0069399F" w:rsidP="004A1F63">
            <w:pPr>
              <w:pStyle w:val="Geenafstand"/>
            </w:pPr>
            <w:r w:rsidRPr="004A1F63">
              <w:t>28 (12,2%)</w:t>
            </w:r>
          </w:p>
        </w:tc>
      </w:tr>
      <w:tr w:rsidR="0069399F" w14:paraId="29455FE7" w14:textId="77777777" w:rsidTr="00F35595">
        <w:trPr>
          <w:trHeight w:val="249"/>
        </w:trPr>
        <w:tc>
          <w:tcPr>
            <w:tcW w:w="2274" w:type="dxa"/>
          </w:tcPr>
          <w:p w14:paraId="09C65F56" w14:textId="77777777" w:rsidR="0069399F" w:rsidRPr="004A1F63" w:rsidRDefault="0069399F" w:rsidP="004A1F63">
            <w:pPr>
              <w:pStyle w:val="Geenafstand"/>
            </w:pPr>
            <w:r w:rsidRPr="004A1F63">
              <w:t>Economy</w:t>
            </w:r>
          </w:p>
        </w:tc>
        <w:tc>
          <w:tcPr>
            <w:tcW w:w="2274" w:type="dxa"/>
          </w:tcPr>
          <w:p w14:paraId="1A442CD4" w14:textId="77777777" w:rsidR="0069399F" w:rsidRPr="004A1F63" w:rsidRDefault="0069399F" w:rsidP="004A1F63">
            <w:pPr>
              <w:pStyle w:val="Geenafstand"/>
            </w:pPr>
            <w:r w:rsidRPr="004A1F63">
              <w:t>16 (15,5%)</w:t>
            </w:r>
          </w:p>
        </w:tc>
        <w:tc>
          <w:tcPr>
            <w:tcW w:w="2274" w:type="dxa"/>
          </w:tcPr>
          <w:p w14:paraId="4478788A" w14:textId="77777777" w:rsidR="0069399F" w:rsidRPr="004A1F63" w:rsidRDefault="0069399F" w:rsidP="004A1F63">
            <w:pPr>
              <w:pStyle w:val="Geenafstand"/>
            </w:pPr>
            <w:r w:rsidRPr="004A1F63">
              <w:t>0 (0%)</w:t>
            </w:r>
          </w:p>
        </w:tc>
        <w:tc>
          <w:tcPr>
            <w:tcW w:w="2275" w:type="dxa"/>
          </w:tcPr>
          <w:p w14:paraId="5CB51076" w14:textId="77777777" w:rsidR="0069399F" w:rsidRPr="004A1F63" w:rsidRDefault="0069399F" w:rsidP="004A1F63">
            <w:pPr>
              <w:pStyle w:val="Geenafstand"/>
            </w:pPr>
            <w:r w:rsidRPr="004A1F63">
              <w:t>16 (7,0%)</w:t>
            </w:r>
          </w:p>
        </w:tc>
      </w:tr>
      <w:tr w:rsidR="0069399F" w14:paraId="66132E97" w14:textId="77777777" w:rsidTr="00F35595">
        <w:trPr>
          <w:trHeight w:val="249"/>
        </w:trPr>
        <w:tc>
          <w:tcPr>
            <w:tcW w:w="2274" w:type="dxa"/>
            <w:tcBorders>
              <w:bottom w:val="single" w:sz="4" w:space="0" w:color="auto"/>
            </w:tcBorders>
          </w:tcPr>
          <w:p w14:paraId="657CDD02" w14:textId="77777777" w:rsidR="0069399F" w:rsidRPr="004A1F63" w:rsidRDefault="0069399F" w:rsidP="004A1F63">
            <w:pPr>
              <w:pStyle w:val="Geenafstand"/>
            </w:pPr>
            <w:r w:rsidRPr="004A1F63">
              <w:t>Absent</w:t>
            </w:r>
          </w:p>
        </w:tc>
        <w:tc>
          <w:tcPr>
            <w:tcW w:w="2274" w:type="dxa"/>
            <w:tcBorders>
              <w:bottom w:val="single" w:sz="4" w:space="0" w:color="auto"/>
            </w:tcBorders>
          </w:tcPr>
          <w:p w14:paraId="0237897F" w14:textId="77777777" w:rsidR="0069399F" w:rsidRPr="004A1F63" w:rsidRDefault="0069399F" w:rsidP="004A1F63">
            <w:pPr>
              <w:pStyle w:val="Geenafstand"/>
            </w:pPr>
            <w:r w:rsidRPr="004A1F63">
              <w:t>2 (1,9%)</w:t>
            </w:r>
          </w:p>
        </w:tc>
        <w:tc>
          <w:tcPr>
            <w:tcW w:w="2274" w:type="dxa"/>
            <w:tcBorders>
              <w:bottom w:val="single" w:sz="4" w:space="0" w:color="auto"/>
            </w:tcBorders>
          </w:tcPr>
          <w:p w14:paraId="27A2729A" w14:textId="77777777" w:rsidR="0069399F" w:rsidRPr="004A1F63" w:rsidRDefault="0069399F" w:rsidP="004A1F63">
            <w:pPr>
              <w:pStyle w:val="Geenafstand"/>
            </w:pPr>
            <w:r w:rsidRPr="004A1F63">
              <w:t>0 (0%)</w:t>
            </w:r>
          </w:p>
        </w:tc>
        <w:tc>
          <w:tcPr>
            <w:tcW w:w="2275" w:type="dxa"/>
            <w:tcBorders>
              <w:bottom w:val="single" w:sz="4" w:space="0" w:color="auto"/>
            </w:tcBorders>
          </w:tcPr>
          <w:p w14:paraId="1E1350E5" w14:textId="77777777" w:rsidR="0069399F" w:rsidRPr="004A1F63" w:rsidRDefault="0069399F" w:rsidP="004A1F63">
            <w:pPr>
              <w:pStyle w:val="Geenafstand"/>
            </w:pPr>
            <w:r w:rsidRPr="004A1F63">
              <w:t>2 (1,9%)</w:t>
            </w:r>
          </w:p>
        </w:tc>
      </w:tr>
      <w:tr w:rsidR="0069399F" w14:paraId="31A418F1" w14:textId="77777777" w:rsidTr="00F35595">
        <w:trPr>
          <w:trHeight w:val="249"/>
        </w:trPr>
        <w:tc>
          <w:tcPr>
            <w:tcW w:w="2274" w:type="dxa"/>
            <w:tcBorders>
              <w:top w:val="single" w:sz="4" w:space="0" w:color="auto"/>
            </w:tcBorders>
          </w:tcPr>
          <w:p w14:paraId="08EF490D" w14:textId="77777777" w:rsidR="0069399F" w:rsidRPr="004A1F63" w:rsidRDefault="0069399F" w:rsidP="004A1F63">
            <w:pPr>
              <w:pStyle w:val="Geenafstand"/>
            </w:pPr>
            <w:r w:rsidRPr="004A1F63">
              <w:t>Total</w:t>
            </w:r>
          </w:p>
        </w:tc>
        <w:tc>
          <w:tcPr>
            <w:tcW w:w="2274" w:type="dxa"/>
            <w:tcBorders>
              <w:top w:val="single" w:sz="4" w:space="0" w:color="auto"/>
            </w:tcBorders>
          </w:tcPr>
          <w:p w14:paraId="5ED2244E" w14:textId="77777777" w:rsidR="0069399F" w:rsidRPr="004A1F63" w:rsidRDefault="0069399F" w:rsidP="004A1F63">
            <w:pPr>
              <w:pStyle w:val="Geenafstand"/>
            </w:pPr>
            <w:r w:rsidRPr="004A1F63">
              <w:t>103 (100%)</w:t>
            </w:r>
          </w:p>
        </w:tc>
        <w:tc>
          <w:tcPr>
            <w:tcW w:w="2274" w:type="dxa"/>
            <w:tcBorders>
              <w:top w:val="single" w:sz="4" w:space="0" w:color="auto"/>
            </w:tcBorders>
          </w:tcPr>
          <w:p w14:paraId="3EC7A119" w14:textId="77777777" w:rsidR="0069399F" w:rsidRPr="004A1F63" w:rsidRDefault="0069399F" w:rsidP="004A1F63">
            <w:pPr>
              <w:pStyle w:val="Geenafstand"/>
            </w:pPr>
            <w:r w:rsidRPr="004A1F63">
              <w:t>127 (100%)</w:t>
            </w:r>
          </w:p>
        </w:tc>
        <w:tc>
          <w:tcPr>
            <w:tcW w:w="2275" w:type="dxa"/>
            <w:tcBorders>
              <w:top w:val="single" w:sz="4" w:space="0" w:color="auto"/>
            </w:tcBorders>
          </w:tcPr>
          <w:p w14:paraId="0B7C10FB" w14:textId="77777777" w:rsidR="0069399F" w:rsidRPr="004A1F63" w:rsidRDefault="0069399F" w:rsidP="004A1F63">
            <w:pPr>
              <w:pStyle w:val="Geenafstand"/>
            </w:pPr>
            <w:r w:rsidRPr="004A1F63">
              <w:t>230 (100%)</w:t>
            </w:r>
          </w:p>
        </w:tc>
      </w:tr>
    </w:tbl>
    <w:p w14:paraId="12D2FE17" w14:textId="77777777" w:rsidR="0072029D" w:rsidRDefault="0072029D" w:rsidP="004A1F63">
      <w:pPr>
        <w:pStyle w:val="Geenafstand"/>
        <w:spacing w:line="360" w:lineRule="auto"/>
        <w:jc w:val="both"/>
      </w:pPr>
    </w:p>
    <w:p w14:paraId="0B7CA22B" w14:textId="034AB03D" w:rsidR="0069399F" w:rsidRDefault="0069399F" w:rsidP="004A1F63">
      <w:pPr>
        <w:pStyle w:val="Geenafstand"/>
        <w:spacing w:line="360" w:lineRule="auto"/>
        <w:ind w:firstLine="708"/>
        <w:jc w:val="both"/>
      </w:pPr>
      <w:r w:rsidRPr="0069399F">
        <w:t>Using Cramer’s V, the conclusion is that th</w:t>
      </w:r>
      <w:r w:rsidR="0031430D">
        <w:t>ere</w:t>
      </w:r>
      <w:r w:rsidRPr="0069399F">
        <w:t xml:space="preserve"> is a relation between the justifications and the issues. This becomes clear in figure 4.1</w:t>
      </w:r>
      <w:r w:rsidR="00792777">
        <w:t>2</w:t>
      </w:r>
      <w:r w:rsidRPr="0069399F">
        <w:t xml:space="preserve">, where we see that certain justifications match with certain issues. </w:t>
      </w:r>
      <w:r w:rsidRPr="0069399F">
        <w:rPr>
          <w:color w:val="000000"/>
        </w:rPr>
        <w:t>The precise numbers and percentages of figure 4.</w:t>
      </w:r>
      <w:r w:rsidR="00792777">
        <w:rPr>
          <w:color w:val="000000"/>
        </w:rPr>
        <w:t>12</w:t>
      </w:r>
      <w:r w:rsidRPr="0069399F">
        <w:rPr>
          <w:color w:val="000000"/>
        </w:rPr>
        <w:t xml:space="preserve"> are stated in table </w:t>
      </w:r>
      <w:r w:rsidR="00E74AD7">
        <w:rPr>
          <w:color w:val="000000"/>
        </w:rPr>
        <w:t>C.</w:t>
      </w:r>
      <w:r w:rsidRPr="0069399F">
        <w:rPr>
          <w:color w:val="000000"/>
        </w:rPr>
        <w:t>4.2</w:t>
      </w:r>
      <w:r w:rsidR="00195D01">
        <w:rPr>
          <w:color w:val="000000"/>
        </w:rPr>
        <w:t>1</w:t>
      </w:r>
      <w:r w:rsidRPr="0069399F">
        <w:rPr>
          <w:color w:val="000000"/>
        </w:rPr>
        <w:t xml:space="preserve"> </w:t>
      </w:r>
      <w:r w:rsidR="00E74AD7">
        <w:rPr>
          <w:color w:val="000000"/>
        </w:rPr>
        <w:t xml:space="preserve">in </w:t>
      </w:r>
      <w:r w:rsidRPr="0069399F">
        <w:rPr>
          <w:color w:val="000000"/>
        </w:rPr>
        <w:t xml:space="preserve">Appendix </w:t>
      </w:r>
      <w:r w:rsidR="00E74AD7">
        <w:rPr>
          <w:color w:val="000000"/>
        </w:rPr>
        <w:t>C</w:t>
      </w:r>
      <w:r w:rsidRPr="0069399F">
        <w:rPr>
          <w:color w:val="000000"/>
        </w:rPr>
        <w:t xml:space="preserve">. </w:t>
      </w:r>
      <w:r w:rsidR="00B74FCA">
        <w:t>Indeed, w</w:t>
      </w:r>
      <w:r w:rsidRPr="0069399F">
        <w:t>hen we look at the justification ‘performance’, figure 4.1</w:t>
      </w:r>
      <w:r w:rsidR="00792777">
        <w:t>2</w:t>
      </w:r>
      <w:r w:rsidRPr="0069399F">
        <w:t xml:space="preserve"> reveals that </w:t>
      </w:r>
      <w:r w:rsidR="00914B5F">
        <w:t>it is</w:t>
      </w:r>
      <w:r w:rsidRPr="0069399F">
        <w:t xml:space="preserve"> often used with the issue of health. However, th</w:t>
      </w:r>
      <w:r w:rsidR="00F934D0">
        <w:t>is</w:t>
      </w:r>
      <w:r w:rsidRPr="0069399F">
        <w:t xml:space="preserve"> justification is used on many more issues. Meaning that the Covid-19 crisis only explains partly the common use of ‘performance’ as justification in the 53</w:t>
      </w:r>
      <w:r w:rsidRPr="0069399F">
        <w:rPr>
          <w:vertAlign w:val="superscript"/>
        </w:rPr>
        <w:t xml:space="preserve">rd </w:t>
      </w:r>
      <w:r w:rsidRPr="0069399F">
        <w:t>government period. The other suggestion was that the justification of ‘urgence’ would be closely aligned with the issue of governance. Figure 4.1</w:t>
      </w:r>
      <w:r w:rsidR="00792777">
        <w:t>2</w:t>
      </w:r>
      <w:r w:rsidRPr="0069399F">
        <w:t xml:space="preserve"> reveals that this is</w:t>
      </w:r>
      <w:r w:rsidR="00F54C28">
        <w:t xml:space="preserve"> indeed</w:t>
      </w:r>
      <w:r w:rsidRPr="0069399F">
        <w:t xml:space="preserve"> the case. As mentioned before, ‘injustice’ is the most used justification. In figure 4.1</w:t>
      </w:r>
      <w:r w:rsidR="00792777">
        <w:t>2</w:t>
      </w:r>
      <w:r w:rsidRPr="0069399F">
        <w:t xml:space="preserve"> we see that this justification is used in </w:t>
      </w:r>
      <w:r w:rsidR="000E0CF9">
        <w:t xml:space="preserve">combination with </w:t>
      </w:r>
      <w:r w:rsidRPr="0069399F">
        <w:t>almost all issue</w:t>
      </w:r>
      <w:r w:rsidR="000E0CF9">
        <w:t>s</w:t>
      </w:r>
      <w:r w:rsidRPr="0069399F">
        <w:t xml:space="preserve">, but mostly with the Treaty of Waitangi. This is not surprising since the Treaty is closely related to injustice. The same goes for the issue of crime and governance. The justification of ‘economy’ is almost solely used for the issues ‘land, wild and fisheries’ and ‘trade and economy’. With both issues this justification fits quite well, because of their economic character. </w:t>
      </w:r>
    </w:p>
    <w:p w14:paraId="06909EBE" w14:textId="77777777" w:rsidR="00506222" w:rsidRPr="0069399F" w:rsidRDefault="00506222" w:rsidP="004A1F63">
      <w:pPr>
        <w:pStyle w:val="Geenafstand"/>
        <w:spacing w:line="360" w:lineRule="auto"/>
        <w:ind w:firstLine="708"/>
        <w:jc w:val="both"/>
      </w:pPr>
    </w:p>
    <w:p w14:paraId="47661068" w14:textId="77777777" w:rsidR="0069399F" w:rsidRDefault="0069399F" w:rsidP="00894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AB7764" wp14:editId="05D9F218">
            <wp:extent cx="5784850" cy="2965450"/>
            <wp:effectExtent l="0" t="0" r="6350" b="635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2"/>
                    <a:srcRect t="6059"/>
                    <a:stretch/>
                  </pic:blipFill>
                  <pic:spPr bwMode="auto">
                    <a:xfrm>
                      <a:off x="0" y="0"/>
                      <a:ext cx="5784850" cy="2965450"/>
                    </a:xfrm>
                    <a:prstGeom prst="rect">
                      <a:avLst/>
                    </a:prstGeom>
                    <a:ln>
                      <a:noFill/>
                    </a:ln>
                    <a:extLst>
                      <a:ext uri="{53640926-AAD7-44D8-BBD7-CCE9431645EC}">
                        <a14:shadowObscured xmlns:a14="http://schemas.microsoft.com/office/drawing/2010/main"/>
                      </a:ext>
                    </a:extLst>
                  </pic:spPr>
                </pic:pic>
              </a:graphicData>
            </a:graphic>
          </wp:inline>
        </w:drawing>
      </w:r>
    </w:p>
    <w:p w14:paraId="2EA324D2" w14:textId="0792DF6D" w:rsidR="00506222" w:rsidRPr="00853696" w:rsidRDefault="00506222" w:rsidP="00506222">
      <w:pPr>
        <w:pStyle w:val="Kop3"/>
        <w:jc w:val="center"/>
        <w:rPr>
          <w:sz w:val="20"/>
          <w:szCs w:val="20"/>
        </w:rPr>
      </w:pPr>
      <w:bookmarkStart w:id="248" w:name="_Toc72853029"/>
      <w:bookmarkStart w:id="249" w:name="_Toc74503504"/>
      <w:bookmarkStart w:id="250" w:name="_Toc74583844"/>
      <w:bookmarkStart w:id="251" w:name="_Toc75384114"/>
      <w:r w:rsidRPr="00853696">
        <w:rPr>
          <w:sz w:val="20"/>
          <w:szCs w:val="20"/>
        </w:rPr>
        <w:t>Figure 4.1</w:t>
      </w:r>
      <w:r w:rsidR="008B16F2">
        <w:rPr>
          <w:sz w:val="20"/>
          <w:szCs w:val="20"/>
        </w:rPr>
        <w:t>2</w:t>
      </w:r>
      <w:r w:rsidRPr="00853696">
        <w:rPr>
          <w:sz w:val="20"/>
          <w:szCs w:val="20"/>
        </w:rPr>
        <w:t xml:space="preserve">. Justification per issue of </w:t>
      </w:r>
      <w:r>
        <w:rPr>
          <w:sz w:val="20"/>
          <w:szCs w:val="20"/>
        </w:rPr>
        <w:t>both</w:t>
      </w:r>
      <w:r w:rsidRPr="00853696">
        <w:rPr>
          <w:sz w:val="20"/>
          <w:szCs w:val="20"/>
        </w:rPr>
        <w:t xml:space="preserve"> government period</w:t>
      </w:r>
      <w:r>
        <w:rPr>
          <w:sz w:val="20"/>
          <w:szCs w:val="20"/>
        </w:rPr>
        <w:t>s</w:t>
      </w:r>
      <w:r w:rsidRPr="00853696">
        <w:rPr>
          <w:sz w:val="20"/>
          <w:szCs w:val="20"/>
        </w:rPr>
        <w:t>.</w:t>
      </w:r>
      <w:bookmarkEnd w:id="248"/>
      <w:bookmarkEnd w:id="249"/>
      <w:bookmarkEnd w:id="250"/>
      <w:bookmarkEnd w:id="251"/>
    </w:p>
    <w:p w14:paraId="046FD940" w14:textId="1E46412D" w:rsidR="0069399F" w:rsidRDefault="0069399F" w:rsidP="0069399F">
      <w:pPr>
        <w:rPr>
          <w:lang w:val="en-GB"/>
        </w:rPr>
      </w:pPr>
    </w:p>
    <w:p w14:paraId="7259CDAF" w14:textId="111FA7F1" w:rsidR="00B74FCA" w:rsidRDefault="00B74FCA" w:rsidP="006F7576">
      <w:pPr>
        <w:pStyle w:val="Geenafstand"/>
        <w:spacing w:line="360" w:lineRule="auto"/>
        <w:ind w:firstLine="708"/>
        <w:jc w:val="both"/>
      </w:pPr>
      <w:r w:rsidRPr="0069399F">
        <w:lastRenderedPageBreak/>
        <w:t>Table 4.19 shows that the Cramer’s V</w:t>
      </w:r>
      <w:r w:rsidR="007D5BFF">
        <w:t>, revealing a</w:t>
      </w:r>
      <w:r w:rsidRPr="0069399F">
        <w:t xml:space="preserve"> relation between the issues and justifications</w:t>
      </w:r>
      <w:r w:rsidR="007D5BFF">
        <w:t>, is significant</w:t>
      </w:r>
      <w:r w:rsidRPr="0069399F">
        <w:t xml:space="preserve"> with a value of 0,401. </w:t>
      </w:r>
      <w:r w:rsidR="00E15627">
        <w:t>Thus,</w:t>
      </w:r>
      <w:r w:rsidRPr="0069399F">
        <w:t xml:space="preserve"> the two variables are having a medium strong association. </w:t>
      </w:r>
    </w:p>
    <w:p w14:paraId="067A7284" w14:textId="77777777" w:rsidR="00894BC8" w:rsidRDefault="00894BC8" w:rsidP="00894BC8">
      <w:pPr>
        <w:pStyle w:val="Geenafstand"/>
        <w:spacing w:line="360" w:lineRule="auto"/>
        <w:jc w:val="both"/>
      </w:pPr>
    </w:p>
    <w:p w14:paraId="3CBB5D45" w14:textId="7AF5E419" w:rsidR="000F5721" w:rsidRPr="00894BC8" w:rsidRDefault="000F5721" w:rsidP="00894BC8">
      <w:pPr>
        <w:pStyle w:val="Kop3"/>
        <w:rPr>
          <w:sz w:val="20"/>
          <w:szCs w:val="20"/>
        </w:rPr>
      </w:pPr>
      <w:bookmarkStart w:id="252" w:name="_Toc72853030"/>
      <w:bookmarkStart w:id="253" w:name="_Toc74503505"/>
      <w:bookmarkStart w:id="254" w:name="_Toc74583845"/>
      <w:bookmarkStart w:id="255" w:name="_Toc75384115"/>
      <w:r w:rsidRPr="00894BC8">
        <w:rPr>
          <w:sz w:val="20"/>
          <w:szCs w:val="20"/>
        </w:rPr>
        <w:t>Table 4.19. Cramer’s V: issue and justification.</w:t>
      </w:r>
      <w:bookmarkEnd w:id="252"/>
      <w:bookmarkEnd w:id="253"/>
      <w:bookmarkEnd w:id="254"/>
      <w:bookmarkEnd w:id="255"/>
    </w:p>
    <w:tbl>
      <w:tblPr>
        <w:tblStyle w:val="Onopgemaaktetabel2"/>
        <w:tblW w:w="9062" w:type="dxa"/>
        <w:tblLayout w:type="fixed"/>
        <w:tblLook w:val="0600" w:firstRow="0" w:lastRow="0" w:firstColumn="0" w:lastColumn="0" w:noHBand="1" w:noVBand="1"/>
      </w:tblPr>
      <w:tblGrid>
        <w:gridCol w:w="3020"/>
        <w:gridCol w:w="3021"/>
        <w:gridCol w:w="3021"/>
      </w:tblGrid>
      <w:tr w:rsidR="0069399F" w14:paraId="07C3A55F" w14:textId="77777777" w:rsidTr="00F35595">
        <w:tc>
          <w:tcPr>
            <w:tcW w:w="3020" w:type="dxa"/>
          </w:tcPr>
          <w:p w14:paraId="51EE1DED" w14:textId="77777777" w:rsidR="0069399F" w:rsidRPr="006D2711" w:rsidRDefault="0069399F" w:rsidP="006D2711">
            <w:pPr>
              <w:pStyle w:val="Geenafstand"/>
            </w:pPr>
          </w:p>
        </w:tc>
        <w:tc>
          <w:tcPr>
            <w:tcW w:w="3021" w:type="dxa"/>
          </w:tcPr>
          <w:p w14:paraId="36FEF759" w14:textId="77777777" w:rsidR="0069399F" w:rsidRPr="006D2711" w:rsidRDefault="0069399F" w:rsidP="006D2711">
            <w:pPr>
              <w:pStyle w:val="Geenafstand"/>
            </w:pPr>
            <w:r w:rsidRPr="006D2711">
              <w:t>Value</w:t>
            </w:r>
          </w:p>
        </w:tc>
        <w:tc>
          <w:tcPr>
            <w:tcW w:w="3021" w:type="dxa"/>
          </w:tcPr>
          <w:p w14:paraId="6E63DA89" w14:textId="77777777" w:rsidR="0069399F" w:rsidRPr="006D2711" w:rsidRDefault="0069399F" w:rsidP="006D2711">
            <w:pPr>
              <w:pStyle w:val="Geenafstand"/>
            </w:pPr>
            <w:r w:rsidRPr="006D2711">
              <w:t>Significance</w:t>
            </w:r>
          </w:p>
        </w:tc>
      </w:tr>
      <w:tr w:rsidR="0069399F" w14:paraId="2BD0B741" w14:textId="77777777" w:rsidTr="00F35595">
        <w:tc>
          <w:tcPr>
            <w:tcW w:w="3020" w:type="dxa"/>
          </w:tcPr>
          <w:p w14:paraId="77ABDAB1" w14:textId="77777777" w:rsidR="0069399F" w:rsidRPr="006D2711" w:rsidRDefault="0069399F" w:rsidP="006D2711">
            <w:pPr>
              <w:pStyle w:val="Geenafstand"/>
            </w:pPr>
            <w:r w:rsidRPr="006D2711">
              <w:t>Cramer’s V</w:t>
            </w:r>
          </w:p>
        </w:tc>
        <w:tc>
          <w:tcPr>
            <w:tcW w:w="3021" w:type="dxa"/>
          </w:tcPr>
          <w:p w14:paraId="16F1A673" w14:textId="77777777" w:rsidR="0069399F" w:rsidRPr="006D2711" w:rsidRDefault="0069399F" w:rsidP="006D2711">
            <w:pPr>
              <w:pStyle w:val="Geenafstand"/>
            </w:pPr>
            <w:r w:rsidRPr="006D2711">
              <w:t>0,401</w:t>
            </w:r>
          </w:p>
        </w:tc>
        <w:tc>
          <w:tcPr>
            <w:tcW w:w="3021" w:type="dxa"/>
          </w:tcPr>
          <w:p w14:paraId="4F8B3DDA" w14:textId="77777777" w:rsidR="0069399F" w:rsidRPr="006D2711" w:rsidRDefault="0069399F" w:rsidP="006D2711">
            <w:pPr>
              <w:pStyle w:val="Geenafstand"/>
            </w:pPr>
            <w:r w:rsidRPr="006D2711">
              <w:t>0,000</w:t>
            </w:r>
          </w:p>
        </w:tc>
      </w:tr>
      <w:tr w:rsidR="0069399F" w14:paraId="289F88E6" w14:textId="77777777" w:rsidTr="00F35595">
        <w:tc>
          <w:tcPr>
            <w:tcW w:w="3020" w:type="dxa"/>
          </w:tcPr>
          <w:p w14:paraId="0112F10A" w14:textId="77777777" w:rsidR="0069399F" w:rsidRPr="006D2711" w:rsidRDefault="0069399F" w:rsidP="006D2711">
            <w:pPr>
              <w:pStyle w:val="Geenafstand"/>
            </w:pPr>
            <w:r w:rsidRPr="006D2711">
              <w:t xml:space="preserve">N </w:t>
            </w:r>
          </w:p>
        </w:tc>
        <w:tc>
          <w:tcPr>
            <w:tcW w:w="3021" w:type="dxa"/>
          </w:tcPr>
          <w:p w14:paraId="4EB5B77E" w14:textId="77777777" w:rsidR="0069399F" w:rsidRPr="006D2711" w:rsidRDefault="0069399F" w:rsidP="006D2711">
            <w:pPr>
              <w:pStyle w:val="Geenafstand"/>
            </w:pPr>
            <w:r w:rsidRPr="006D2711">
              <w:t>230</w:t>
            </w:r>
          </w:p>
        </w:tc>
        <w:tc>
          <w:tcPr>
            <w:tcW w:w="3021" w:type="dxa"/>
          </w:tcPr>
          <w:p w14:paraId="2C4D32B8" w14:textId="77777777" w:rsidR="0069399F" w:rsidRPr="006D2711" w:rsidRDefault="0069399F" w:rsidP="006D2711">
            <w:pPr>
              <w:pStyle w:val="Geenafstand"/>
            </w:pPr>
          </w:p>
        </w:tc>
      </w:tr>
    </w:tbl>
    <w:p w14:paraId="2255F365" w14:textId="77777777" w:rsidR="0069399F" w:rsidRPr="0069399F" w:rsidRDefault="0069399F" w:rsidP="006D2711">
      <w:pPr>
        <w:pStyle w:val="Geenafstand"/>
        <w:spacing w:line="360" w:lineRule="auto"/>
        <w:jc w:val="both"/>
      </w:pPr>
    </w:p>
    <w:p w14:paraId="56673FB5" w14:textId="11721C4B" w:rsidR="0069399F" w:rsidRDefault="0069399F" w:rsidP="007B632F">
      <w:pPr>
        <w:pStyle w:val="Geenafstand"/>
        <w:spacing w:line="360" w:lineRule="auto"/>
        <w:jc w:val="both"/>
      </w:pPr>
      <w:r w:rsidRPr="0069399F">
        <w:tab/>
        <w:t>In sum, in both government periods ‘injustice’ is the most used justification. Apart from that, the two government periods differ in the used justifications. The justifications ‘culture’ and ‘economy’ are used many times in the 52</w:t>
      </w:r>
      <w:r w:rsidRPr="0069399F">
        <w:rPr>
          <w:vertAlign w:val="superscript"/>
        </w:rPr>
        <w:t>nd</w:t>
      </w:r>
      <w:r w:rsidRPr="0069399F">
        <w:t xml:space="preserve"> government period and the justification ‘performance’ was used a lot during the 53</w:t>
      </w:r>
      <w:r w:rsidRPr="0069399F">
        <w:rPr>
          <w:vertAlign w:val="superscript"/>
        </w:rPr>
        <w:t xml:space="preserve">rd </w:t>
      </w:r>
      <w:r w:rsidRPr="0069399F">
        <w:t xml:space="preserve">government period. The used justifications are related to the mentioned issues in the claims. Especially, the justification ‘injustice’; this one is mostly used in with the Treaty of Waitangi. In the next section the conclusion of this chapter is given. </w:t>
      </w:r>
    </w:p>
    <w:p w14:paraId="61B4330C" w14:textId="77777777" w:rsidR="007B632F" w:rsidRPr="0069399F" w:rsidRDefault="007B632F" w:rsidP="007B632F">
      <w:pPr>
        <w:pStyle w:val="Geenafstand"/>
        <w:spacing w:line="360" w:lineRule="auto"/>
        <w:jc w:val="both"/>
      </w:pPr>
    </w:p>
    <w:p w14:paraId="5203F0AC" w14:textId="1C02F118" w:rsidR="0069399F" w:rsidRPr="001208D7" w:rsidRDefault="0069399F" w:rsidP="007B632F">
      <w:pPr>
        <w:pStyle w:val="Kop2"/>
        <w:rPr>
          <w:lang w:val="en-GB"/>
        </w:rPr>
      </w:pPr>
      <w:bookmarkStart w:id="256" w:name="_Toc72853033"/>
      <w:bookmarkStart w:id="257" w:name="_Toc74583846"/>
      <w:bookmarkStart w:id="258" w:name="_Toc75384116"/>
      <w:r w:rsidRPr="001208D7">
        <w:rPr>
          <w:lang w:val="en-GB"/>
        </w:rPr>
        <w:t>4.</w:t>
      </w:r>
      <w:r w:rsidR="00641A10" w:rsidRPr="001208D7">
        <w:rPr>
          <w:lang w:val="en-GB"/>
        </w:rPr>
        <w:t>3</w:t>
      </w:r>
      <w:r w:rsidRPr="001208D7">
        <w:rPr>
          <w:lang w:val="en-GB"/>
        </w:rPr>
        <w:t xml:space="preserve"> Conclusion</w:t>
      </w:r>
      <w:bookmarkEnd w:id="256"/>
      <w:bookmarkEnd w:id="257"/>
      <w:bookmarkEnd w:id="258"/>
    </w:p>
    <w:p w14:paraId="355D3334" w14:textId="2AA49EF2" w:rsidR="00290BC8" w:rsidRDefault="0069399F" w:rsidP="00290BC8">
      <w:pPr>
        <w:pStyle w:val="Geenafstand"/>
        <w:spacing w:line="360" w:lineRule="auto"/>
        <w:jc w:val="both"/>
        <w:rPr>
          <w:color w:val="000000"/>
        </w:rPr>
      </w:pPr>
      <w:r w:rsidRPr="0069399F">
        <w:tab/>
        <w:t>This chapter revealed the main findings of the claim</w:t>
      </w:r>
      <w:r w:rsidR="007B2F31">
        <w:t>s</w:t>
      </w:r>
      <w:r w:rsidRPr="0069399F">
        <w:t xml:space="preserve">-making analysis of the political representation of </w:t>
      </w:r>
      <w:r w:rsidRPr="0069399F">
        <w:rPr>
          <w:color w:val="000000"/>
        </w:rPr>
        <w:t xml:space="preserve">Māori people in </w:t>
      </w:r>
      <w:r w:rsidRPr="0069399F">
        <w:t>Aotearoa</w:t>
      </w:r>
      <w:r w:rsidRPr="0069399F">
        <w:rPr>
          <w:color w:val="000000"/>
        </w:rPr>
        <w:t xml:space="preserve"> New Zealand’s Parliament. The findings confirm the main hypothesis: </w:t>
      </w:r>
      <w:r w:rsidRPr="0069399F">
        <w:rPr>
          <w:i/>
          <w:color w:val="000000"/>
        </w:rPr>
        <w:t xml:space="preserve">Descriptive representation of indigenous peoples enhances the substantive claims made on their behalf. </w:t>
      </w:r>
      <w:r w:rsidRPr="0069399F">
        <w:rPr>
          <w:color w:val="000000"/>
        </w:rPr>
        <w:t>MPs of Māori descent are more likely to make claims on behalf of Māori people than other MPs.</w:t>
      </w:r>
      <w:r w:rsidRPr="0069399F">
        <w:t xml:space="preserve"> MPs chosen via the </w:t>
      </w:r>
      <w:r w:rsidRPr="0069399F">
        <w:rPr>
          <w:color w:val="000000"/>
        </w:rPr>
        <w:t>Māori roll even more</w:t>
      </w:r>
      <w:r w:rsidR="00E44B33">
        <w:rPr>
          <w:color w:val="000000"/>
        </w:rPr>
        <w:t>.</w:t>
      </w:r>
      <w:r w:rsidRPr="0069399F">
        <w:rPr>
          <w:color w:val="000000"/>
        </w:rPr>
        <w:t xml:space="preserve"> </w:t>
      </w:r>
      <w:r w:rsidRPr="0069399F">
        <w:t>It is remarkable that in the 53</w:t>
      </w:r>
      <w:r w:rsidRPr="0069399F">
        <w:rPr>
          <w:vertAlign w:val="superscript"/>
        </w:rPr>
        <w:t>rd</w:t>
      </w:r>
      <w:r w:rsidRPr="0069399F">
        <w:t xml:space="preserve"> government period more claims were made than in the 52</w:t>
      </w:r>
      <w:r w:rsidRPr="0069399F">
        <w:rPr>
          <w:vertAlign w:val="superscript"/>
        </w:rPr>
        <w:t>nd</w:t>
      </w:r>
      <w:r w:rsidRPr="0069399F">
        <w:t xml:space="preserve"> government period, while there were less </w:t>
      </w:r>
      <w:r w:rsidRPr="0069399F">
        <w:rPr>
          <w:color w:val="000000"/>
        </w:rPr>
        <w:t>Māori MPs in Parliament. This increase in claims is probably due to the return of the Māori Party to Parliament after the 2020 election. The Māori Party made a significant proportion of the claims in the 53</w:t>
      </w:r>
      <w:r w:rsidRPr="0069399F">
        <w:rPr>
          <w:color w:val="000000"/>
          <w:vertAlign w:val="superscript"/>
        </w:rPr>
        <w:t>rd</w:t>
      </w:r>
      <w:r w:rsidRPr="0069399F">
        <w:rPr>
          <w:color w:val="000000"/>
        </w:rPr>
        <w:t xml:space="preserve"> government period. Overall, the Labour Party made the most claims. This is not surprising </w:t>
      </w:r>
      <w:r w:rsidRPr="0069399F">
        <w:t>seeing</w:t>
      </w:r>
      <w:r w:rsidRPr="0069399F">
        <w:rPr>
          <w:color w:val="000000"/>
        </w:rPr>
        <w:t xml:space="preserve"> the fact that they are the </w:t>
      </w:r>
      <w:r w:rsidRPr="0069399F">
        <w:t>leaders</w:t>
      </w:r>
      <w:r w:rsidRPr="0069399F">
        <w:rPr>
          <w:color w:val="000000"/>
        </w:rPr>
        <w:t xml:space="preserve"> in both governments. There are no significant differences </w:t>
      </w:r>
      <w:r w:rsidR="00621058" w:rsidRPr="0069399F">
        <w:rPr>
          <w:color w:val="000000"/>
        </w:rPr>
        <w:t>regarding</w:t>
      </w:r>
      <w:r w:rsidRPr="0069399F">
        <w:rPr>
          <w:color w:val="000000"/>
        </w:rPr>
        <w:t xml:space="preserve"> the gender of the claimants. </w:t>
      </w:r>
      <w:r w:rsidR="007D009E">
        <w:rPr>
          <w:color w:val="000000"/>
        </w:rPr>
        <w:t>The</w:t>
      </w:r>
      <w:r w:rsidRPr="0069399F">
        <w:rPr>
          <w:color w:val="000000"/>
        </w:rPr>
        <w:t xml:space="preserve"> Treaty of Waitangi and governance</w:t>
      </w:r>
      <w:r w:rsidR="007D009E">
        <w:rPr>
          <w:color w:val="000000"/>
        </w:rPr>
        <w:t xml:space="preserve"> were the most discussed issues</w:t>
      </w:r>
      <w:r w:rsidRPr="0069399F">
        <w:rPr>
          <w:color w:val="000000"/>
        </w:rPr>
        <w:t xml:space="preserve">. The object was </w:t>
      </w:r>
      <w:r w:rsidR="007137C8">
        <w:rPr>
          <w:color w:val="000000"/>
        </w:rPr>
        <w:t>mostly</w:t>
      </w:r>
      <w:r w:rsidRPr="0069399F">
        <w:rPr>
          <w:color w:val="000000"/>
        </w:rPr>
        <w:t xml:space="preserve"> the whole Māori population. There were three main addressees</w:t>
      </w:r>
      <w:r w:rsidR="004F00DE">
        <w:rPr>
          <w:color w:val="000000"/>
        </w:rPr>
        <w:t xml:space="preserve">: </w:t>
      </w:r>
      <w:r w:rsidRPr="0069399F">
        <w:rPr>
          <w:color w:val="000000"/>
        </w:rPr>
        <w:t>the government, other MPs/</w:t>
      </w:r>
      <w:r w:rsidR="003430A4" w:rsidRPr="0069399F">
        <w:rPr>
          <w:color w:val="000000"/>
        </w:rPr>
        <w:t>Parliament,</w:t>
      </w:r>
      <w:r w:rsidRPr="0069399F">
        <w:rPr>
          <w:color w:val="000000"/>
        </w:rPr>
        <w:t xml:space="preserve"> and the Māori Affairs Committee. The</w:t>
      </w:r>
      <w:r w:rsidR="00822014">
        <w:rPr>
          <w:color w:val="000000"/>
        </w:rPr>
        <w:t xml:space="preserve"> addressees </w:t>
      </w:r>
      <w:r w:rsidRPr="0069399F">
        <w:rPr>
          <w:color w:val="000000"/>
        </w:rPr>
        <w:t>were mostly positively evaluated by the claimant</w:t>
      </w:r>
      <w:r w:rsidR="00B74FCA">
        <w:rPr>
          <w:color w:val="000000"/>
        </w:rPr>
        <w:t>s</w:t>
      </w:r>
      <w:r w:rsidRPr="0069399F">
        <w:rPr>
          <w:color w:val="000000"/>
        </w:rPr>
        <w:t xml:space="preserve">. Most claims were substantive, but also a </w:t>
      </w:r>
      <w:r w:rsidRPr="0069399F">
        <w:t>considerable</w:t>
      </w:r>
      <w:r w:rsidRPr="0069399F">
        <w:rPr>
          <w:color w:val="000000"/>
        </w:rPr>
        <w:t xml:space="preserve"> part of the claims was symbolic. In 20% of the claims the claimant identified themselves with the Māori population.</w:t>
      </w:r>
      <w:r w:rsidRPr="0069399F">
        <w:t xml:space="preserve"> The justification </w:t>
      </w:r>
      <w:r w:rsidR="00621058" w:rsidRPr="0069399F">
        <w:t>most used</w:t>
      </w:r>
      <w:r w:rsidRPr="0069399F">
        <w:t xml:space="preserve"> is ‘injustice’, followed at a distance by ‘performance’ and ‘culture’.</w:t>
      </w:r>
      <w:r w:rsidRPr="0069399F">
        <w:rPr>
          <w:color w:val="000000"/>
        </w:rPr>
        <w:t xml:space="preserve"> </w:t>
      </w:r>
    </w:p>
    <w:p w14:paraId="3D1FD324" w14:textId="1E5334EB" w:rsidR="00290BC8" w:rsidRDefault="0069399F" w:rsidP="00290BC8">
      <w:pPr>
        <w:pStyle w:val="Geenafstand"/>
        <w:spacing w:line="360" w:lineRule="auto"/>
        <w:ind w:firstLine="708"/>
        <w:jc w:val="both"/>
        <w:rPr>
          <w:color w:val="000000"/>
        </w:rPr>
      </w:pPr>
      <w:r w:rsidRPr="0069399F">
        <w:rPr>
          <w:color w:val="000000"/>
        </w:rPr>
        <w:t>The contextual overview matches the main findings of the claim</w:t>
      </w:r>
      <w:r w:rsidR="007B2F31">
        <w:rPr>
          <w:color w:val="000000"/>
        </w:rPr>
        <w:t>s</w:t>
      </w:r>
      <w:r w:rsidRPr="0069399F">
        <w:rPr>
          <w:color w:val="000000"/>
        </w:rPr>
        <w:t xml:space="preserve">-making analysis. The findings confirm that the Treaty of Waitangi is indeed key in Māori representation. It still determines the relation between Māori and the state. Where it once was a delusion for Māori people, it turned into </w:t>
      </w:r>
      <w:r w:rsidRPr="0069399F">
        <w:rPr>
          <w:color w:val="000000"/>
        </w:rPr>
        <w:lastRenderedPageBreak/>
        <w:t>an insurance for the protection of Māori rights. The dedicated seats for Māori people ensure their representation in Parliament. Māori MPs are not solely elected via the Māori roll, but also via the general roll or the party lists</w:t>
      </w:r>
      <w:r w:rsidR="00174FBC">
        <w:rPr>
          <w:color w:val="000000"/>
        </w:rPr>
        <w:t>, re</w:t>
      </w:r>
      <w:r w:rsidRPr="0069399F">
        <w:rPr>
          <w:color w:val="000000"/>
        </w:rPr>
        <w:t xml:space="preserve">sulting in far more Māori MPs in Parliament than the seven Māori seats. This does not mean that the Māori seats are unnecessary. </w:t>
      </w:r>
      <w:r w:rsidR="00B74FCA">
        <w:rPr>
          <w:color w:val="000000"/>
        </w:rPr>
        <w:t>Rather, t</w:t>
      </w:r>
      <w:r w:rsidRPr="0069399F">
        <w:rPr>
          <w:color w:val="000000"/>
        </w:rPr>
        <w:t>he claim</w:t>
      </w:r>
      <w:r w:rsidR="007B2F31">
        <w:rPr>
          <w:color w:val="000000"/>
        </w:rPr>
        <w:t>s</w:t>
      </w:r>
      <w:r w:rsidRPr="0069399F">
        <w:rPr>
          <w:color w:val="000000"/>
        </w:rPr>
        <w:t>-making analysis reveal</w:t>
      </w:r>
      <w:r w:rsidR="00B74FCA">
        <w:rPr>
          <w:color w:val="000000"/>
        </w:rPr>
        <w:t xml:space="preserve">ed </w:t>
      </w:r>
      <w:r w:rsidRPr="0069399F">
        <w:rPr>
          <w:color w:val="000000"/>
        </w:rPr>
        <w:t xml:space="preserve">the importance of the Māori seats by the fact that people chosen on the Māori roll are more likely to make claims on behalf of Māori people than other Māori MPs. As Xanthaki and O’Sullivan (2019) mention, the combination of the MMP system, the </w:t>
      </w:r>
      <w:r w:rsidRPr="0069399F">
        <w:rPr>
          <w:color w:val="000000"/>
          <w:highlight w:val="white"/>
        </w:rPr>
        <w:t>Māori seats and the Māori Party ensure the voice of Māori in Parliament. The Māori Party reveals its value in the claim</w:t>
      </w:r>
      <w:r w:rsidR="007B2F31">
        <w:rPr>
          <w:color w:val="000000"/>
          <w:highlight w:val="white"/>
        </w:rPr>
        <w:t>s</w:t>
      </w:r>
      <w:r w:rsidRPr="0069399F">
        <w:rPr>
          <w:color w:val="000000"/>
          <w:highlight w:val="white"/>
        </w:rPr>
        <w:t xml:space="preserve">-making analysis; they made </w:t>
      </w:r>
      <w:r w:rsidR="00700C5D">
        <w:rPr>
          <w:color w:val="000000"/>
          <w:highlight w:val="white"/>
        </w:rPr>
        <w:t xml:space="preserve">on average </w:t>
      </w:r>
      <w:r w:rsidRPr="0069399F">
        <w:rPr>
          <w:color w:val="000000"/>
          <w:highlight w:val="white"/>
        </w:rPr>
        <w:t>the most claims.</w:t>
      </w:r>
    </w:p>
    <w:p w14:paraId="744BF3FD" w14:textId="65EFD734" w:rsidR="0069399F" w:rsidRPr="00290BC8" w:rsidRDefault="00356CB9" w:rsidP="00290BC8">
      <w:pPr>
        <w:spacing w:line="360" w:lineRule="auto"/>
        <w:ind w:firstLine="708"/>
        <w:jc w:val="both"/>
        <w:rPr>
          <w:color w:val="000000"/>
          <w:lang w:val="en-GB"/>
        </w:rPr>
      </w:pPr>
      <w:r>
        <w:rPr>
          <w:lang w:val="en-GB"/>
        </w:rPr>
        <w:t>Lastly, t</w:t>
      </w:r>
      <w:r w:rsidR="0069399F" w:rsidRPr="0069399F">
        <w:rPr>
          <w:lang w:val="en-GB"/>
        </w:rPr>
        <w:t xml:space="preserve">he frequent use of the justification ‘injustice’ marks the unfair and unequal situation </w:t>
      </w:r>
      <w:r w:rsidR="00B9245C">
        <w:rPr>
          <w:lang w:val="en-GB"/>
        </w:rPr>
        <w:t xml:space="preserve">that </w:t>
      </w:r>
      <w:r w:rsidR="0069399F" w:rsidRPr="0069399F">
        <w:rPr>
          <w:color w:val="000000"/>
          <w:lang w:val="en-GB"/>
        </w:rPr>
        <w:t xml:space="preserve">Māori nowadays still face. This </w:t>
      </w:r>
      <w:r w:rsidR="0069399F" w:rsidRPr="0069399F">
        <w:rPr>
          <w:lang w:val="en-GB"/>
        </w:rPr>
        <w:t>corresponds to the</w:t>
      </w:r>
      <w:r w:rsidR="0069399F" w:rsidRPr="0069399F">
        <w:rPr>
          <w:color w:val="000000"/>
          <w:lang w:val="en-GB"/>
        </w:rPr>
        <w:t xml:space="preserve"> developments from the past years. Of course, improvement has been made </w:t>
      </w:r>
      <w:r w:rsidR="00621058" w:rsidRPr="0069399F">
        <w:rPr>
          <w:color w:val="000000"/>
          <w:lang w:val="en-GB"/>
        </w:rPr>
        <w:t>regarding</w:t>
      </w:r>
      <w:r w:rsidR="0069399F" w:rsidRPr="0069399F">
        <w:rPr>
          <w:color w:val="000000"/>
          <w:lang w:val="en-GB"/>
        </w:rPr>
        <w:t xml:space="preserve"> the social, </w:t>
      </w:r>
      <w:r w:rsidR="003430A4" w:rsidRPr="0069399F">
        <w:rPr>
          <w:color w:val="000000"/>
          <w:lang w:val="en-GB"/>
        </w:rPr>
        <w:t>political,</w:t>
      </w:r>
      <w:r w:rsidR="0069399F" w:rsidRPr="0069399F">
        <w:rPr>
          <w:color w:val="000000"/>
          <w:lang w:val="en-GB"/>
        </w:rPr>
        <w:t xml:space="preserve"> and economic situation of Māori people, but a great deal has still to be done. The delayed signature of the UN declaration and the still present violation of the rights of </w:t>
      </w:r>
      <w:r w:rsidR="0069399F" w:rsidRPr="0069399F">
        <w:rPr>
          <w:color w:val="000000"/>
          <w:highlight w:val="white"/>
          <w:lang w:val="en-GB"/>
        </w:rPr>
        <w:t xml:space="preserve">Māori people </w:t>
      </w:r>
      <w:r w:rsidR="0069399F" w:rsidRPr="0069399F">
        <w:rPr>
          <w:color w:val="000000"/>
          <w:lang w:val="en-GB"/>
        </w:rPr>
        <w:t xml:space="preserve">reveal the shortcomings of the government policy. However, the relatively high number of Māori MPs and the return of the Māori Party into Parliament reveals a positive picture of the political representation of Māori people. This outlines hope for improvement of the difficult situation Māori people still face when it comes to representation. </w:t>
      </w:r>
    </w:p>
    <w:p w14:paraId="5E0E21C0" w14:textId="77777777" w:rsidR="00847F4E" w:rsidRDefault="00847F4E">
      <w:pPr>
        <w:rPr>
          <w:rFonts w:asciiTheme="majorHAnsi" w:eastAsiaTheme="majorEastAsia" w:hAnsiTheme="majorHAnsi" w:cstheme="majorBidi"/>
          <w:color w:val="2F5496" w:themeColor="accent1" w:themeShade="BF"/>
          <w:sz w:val="32"/>
          <w:szCs w:val="32"/>
          <w:lang w:val="en-GB"/>
        </w:rPr>
      </w:pPr>
      <w:bookmarkStart w:id="259" w:name="_Toc74317130"/>
      <w:bookmarkStart w:id="260" w:name="_Toc74583847"/>
      <w:bookmarkEnd w:id="172"/>
      <w:r>
        <w:rPr>
          <w:lang w:val="en-GB"/>
        </w:rPr>
        <w:br w:type="page"/>
      </w:r>
    </w:p>
    <w:p w14:paraId="6310BB21" w14:textId="2DF9AA7C" w:rsidR="0069399F" w:rsidRPr="00D13F76" w:rsidRDefault="0069399F" w:rsidP="003748A1">
      <w:pPr>
        <w:pStyle w:val="Kop1"/>
        <w:rPr>
          <w:lang w:val="en-GB"/>
        </w:rPr>
      </w:pPr>
      <w:bookmarkStart w:id="261" w:name="_Toc75384117"/>
      <w:r w:rsidRPr="00D13F76">
        <w:rPr>
          <w:lang w:val="en-GB"/>
        </w:rPr>
        <w:lastRenderedPageBreak/>
        <w:t xml:space="preserve">Chapter </w:t>
      </w:r>
      <w:r w:rsidR="006F0193" w:rsidRPr="00D13F76">
        <w:rPr>
          <w:lang w:val="en-GB"/>
        </w:rPr>
        <w:t>5</w:t>
      </w:r>
      <w:r w:rsidRPr="00D13F76">
        <w:rPr>
          <w:lang w:val="en-GB"/>
        </w:rPr>
        <w:t>: Discussion and Conclusion</w:t>
      </w:r>
      <w:bookmarkEnd w:id="259"/>
      <w:bookmarkEnd w:id="260"/>
      <w:bookmarkEnd w:id="261"/>
    </w:p>
    <w:p w14:paraId="13E7C8E1" w14:textId="403684E8" w:rsidR="0069399F" w:rsidRPr="0069399F" w:rsidRDefault="0069399F" w:rsidP="003748A1">
      <w:pPr>
        <w:pStyle w:val="Geenafstand"/>
        <w:spacing w:line="360" w:lineRule="auto"/>
        <w:jc w:val="both"/>
      </w:pPr>
      <w:r w:rsidRPr="0069399F">
        <w:rPr>
          <w:color w:val="222222"/>
          <w:shd w:val="clear" w:color="auto" w:fill="FFFFFF"/>
        </w:rPr>
        <w:tab/>
      </w:r>
      <w:r w:rsidR="002C024C">
        <w:rPr>
          <w:rFonts w:cstheme="minorHAnsi"/>
          <w:color w:val="000000"/>
          <w:shd w:val="clear" w:color="auto" w:fill="FFFFFF"/>
        </w:rPr>
        <w:t xml:space="preserve">For </w:t>
      </w:r>
      <w:r w:rsidR="002C024C" w:rsidRPr="0069399F">
        <w:t>Māori</w:t>
      </w:r>
      <w:r w:rsidR="002C024C">
        <w:t xml:space="preserve"> representatives, like </w:t>
      </w:r>
      <w:r>
        <w:rPr>
          <w:rFonts w:cstheme="minorHAnsi"/>
          <w:color w:val="000000"/>
          <w:shd w:val="clear" w:color="auto" w:fill="FFFFFF"/>
        </w:rPr>
        <w:t xml:space="preserve">Rawiri Waititi, the only way to </w:t>
      </w:r>
      <w:r w:rsidRPr="0069399F">
        <w:rPr>
          <w:rFonts w:cstheme="minorHAnsi"/>
          <w:color w:val="000000"/>
          <w:shd w:val="clear" w:color="auto" w:fill="FFFFFF"/>
        </w:rPr>
        <w:t>acquire</w:t>
      </w:r>
      <w:r>
        <w:rPr>
          <w:rFonts w:cstheme="minorHAnsi"/>
          <w:color w:val="000000"/>
          <w:shd w:val="clear" w:color="auto" w:fill="FFFFFF"/>
        </w:rPr>
        <w:t xml:space="preserve"> full indigenous representation is by having indigenous politicians in parliament</w:t>
      </w:r>
      <w:r w:rsidR="00A733CB">
        <w:rPr>
          <w:rFonts w:cstheme="minorHAnsi"/>
          <w:color w:val="000000"/>
          <w:shd w:val="clear" w:color="auto" w:fill="FFFFFF"/>
        </w:rPr>
        <w:t xml:space="preserve"> (</w:t>
      </w:r>
      <w:r w:rsidR="007231F8">
        <w:rPr>
          <w:rFonts w:cstheme="minorHAnsi"/>
          <w:color w:val="000000"/>
          <w:shd w:val="clear" w:color="auto" w:fill="FFFFFF"/>
        </w:rPr>
        <w:t>Waitit</w:t>
      </w:r>
      <w:r w:rsidR="00D7697E">
        <w:rPr>
          <w:rFonts w:cstheme="minorHAnsi"/>
          <w:color w:val="000000"/>
          <w:shd w:val="clear" w:color="auto" w:fill="FFFFFF"/>
        </w:rPr>
        <w:t>i</w:t>
      </w:r>
      <w:r w:rsidR="007231F8">
        <w:rPr>
          <w:rFonts w:cstheme="minorHAnsi"/>
          <w:color w:val="000000"/>
          <w:shd w:val="clear" w:color="auto" w:fill="FFFFFF"/>
        </w:rPr>
        <w:t>, 2021)</w:t>
      </w:r>
      <w:r>
        <w:rPr>
          <w:rFonts w:cstheme="minorHAnsi"/>
          <w:color w:val="000000"/>
          <w:shd w:val="clear" w:color="auto" w:fill="FFFFFF"/>
        </w:rPr>
        <w:t>.</w:t>
      </w:r>
      <w:r w:rsidRPr="0069399F">
        <w:rPr>
          <w:rFonts w:cstheme="minorHAnsi"/>
          <w:color w:val="000000"/>
          <w:shd w:val="clear" w:color="auto" w:fill="FFFFFF"/>
        </w:rPr>
        <w:t xml:space="preserve"> </w:t>
      </w:r>
      <w:r w:rsidR="00F126CC">
        <w:rPr>
          <w:rFonts w:cstheme="minorHAnsi"/>
          <w:color w:val="000000"/>
          <w:shd w:val="clear" w:color="auto" w:fill="FFFFFF"/>
        </w:rPr>
        <w:t>This thesis</w:t>
      </w:r>
      <w:r w:rsidR="00BC3366">
        <w:rPr>
          <w:rFonts w:cstheme="minorHAnsi"/>
          <w:color w:val="000000"/>
          <w:shd w:val="clear" w:color="auto" w:fill="FFFFFF"/>
        </w:rPr>
        <w:t xml:space="preserve"> aimed to</w:t>
      </w:r>
      <w:r w:rsidR="00F126CC">
        <w:rPr>
          <w:rFonts w:cstheme="minorHAnsi"/>
          <w:color w:val="000000"/>
          <w:shd w:val="clear" w:color="auto" w:fill="FFFFFF"/>
        </w:rPr>
        <w:t xml:space="preserve"> provide</w:t>
      </w:r>
      <w:r w:rsidR="00BC3366">
        <w:rPr>
          <w:rFonts w:cstheme="minorHAnsi"/>
          <w:color w:val="000000"/>
          <w:shd w:val="clear" w:color="auto" w:fill="FFFFFF"/>
        </w:rPr>
        <w:t xml:space="preserve"> </w:t>
      </w:r>
      <w:r w:rsidR="00F126CC">
        <w:rPr>
          <w:rFonts w:cstheme="minorHAnsi"/>
          <w:color w:val="000000"/>
          <w:shd w:val="clear" w:color="auto" w:fill="FFFFFF"/>
        </w:rPr>
        <w:t xml:space="preserve">more clarity on the role of indigenous </w:t>
      </w:r>
      <w:r w:rsidR="00005FB5">
        <w:rPr>
          <w:rFonts w:cstheme="minorHAnsi"/>
          <w:color w:val="000000"/>
          <w:shd w:val="clear" w:color="auto" w:fill="FFFFFF"/>
        </w:rPr>
        <w:t>politicians</w:t>
      </w:r>
      <w:r w:rsidR="00F126CC">
        <w:rPr>
          <w:rFonts w:cstheme="minorHAnsi"/>
          <w:color w:val="000000"/>
          <w:shd w:val="clear" w:color="auto" w:fill="FFFFFF"/>
        </w:rPr>
        <w:t xml:space="preserve"> in representing indigenous peoples</w:t>
      </w:r>
      <w:r w:rsidR="00C3475D">
        <w:rPr>
          <w:rFonts w:cstheme="minorHAnsi"/>
          <w:color w:val="000000"/>
          <w:shd w:val="clear" w:color="auto" w:fill="FFFFFF"/>
        </w:rPr>
        <w:t xml:space="preserve"> by</w:t>
      </w:r>
      <w:r w:rsidR="00132253">
        <w:rPr>
          <w:rFonts w:cstheme="minorHAnsi"/>
          <w:color w:val="000000"/>
          <w:shd w:val="clear" w:color="auto" w:fill="FFFFFF"/>
        </w:rPr>
        <w:t xml:space="preserve"> </w:t>
      </w:r>
      <w:r w:rsidRPr="0069399F">
        <w:t>providing an answer to the following research question:</w:t>
      </w:r>
      <w:r w:rsidRPr="0069399F">
        <w:rPr>
          <w:i/>
        </w:rPr>
        <w:t xml:space="preserve"> Does descriptive representation lead to substantive representative claims of indigenous populations </w:t>
      </w:r>
      <w:r w:rsidR="001B10E7">
        <w:rPr>
          <w:i/>
        </w:rPr>
        <w:t>in</w:t>
      </w:r>
      <w:r w:rsidRPr="0069399F">
        <w:rPr>
          <w:i/>
        </w:rPr>
        <w:t xml:space="preserve"> </w:t>
      </w:r>
      <w:r w:rsidR="00B96839">
        <w:rPr>
          <w:i/>
        </w:rPr>
        <w:t>liberal</w:t>
      </w:r>
      <w:r w:rsidR="00D0759E">
        <w:rPr>
          <w:i/>
        </w:rPr>
        <w:t xml:space="preserve"> democra</w:t>
      </w:r>
      <w:r w:rsidR="00E81364">
        <w:rPr>
          <w:i/>
        </w:rPr>
        <w:t>cies</w:t>
      </w:r>
      <w:r w:rsidRPr="0069399F">
        <w:rPr>
          <w:i/>
        </w:rPr>
        <w:t xml:space="preserve">? </w:t>
      </w:r>
      <w:r w:rsidRPr="0069399F">
        <w:t xml:space="preserve"> According to the analysis of the claims made in Aotearoa New Zealand</w:t>
      </w:r>
      <w:r w:rsidR="00AC5E5C">
        <w:t>’s Parliament</w:t>
      </w:r>
      <w:r w:rsidRPr="0069399F">
        <w:t xml:space="preserve"> a link between descriptive representation </w:t>
      </w:r>
      <w:r w:rsidR="00AB4466">
        <w:t xml:space="preserve">and the substantive claims made on behalf </w:t>
      </w:r>
      <w:r w:rsidRPr="0069399F">
        <w:t xml:space="preserve">of Māori people is present. This chapter consists of a final discussion of the results by connecting it with the literature of political representation. After which the contributions, generalizability and limitations of this thesis are given. This chapter ends with an overall conclusion of the whole thesis. In short, due to a present link between the descriptive and substantive representation of Māori people in Aotearoa New Zealand’s Parliament, a positive outlook arises on the possibilities for the political representation of indigenous peoples in liberal </w:t>
      </w:r>
      <w:r w:rsidR="000360EC">
        <w:t>democra</w:t>
      </w:r>
      <w:r w:rsidR="00E81364">
        <w:t xml:space="preserve">cies </w:t>
      </w:r>
      <w:r w:rsidR="007066E3">
        <w:t xml:space="preserve">like Canada, </w:t>
      </w:r>
      <w:r w:rsidR="003430A4">
        <w:t>Australia,</w:t>
      </w:r>
      <w:r w:rsidR="007066E3">
        <w:t xml:space="preserve"> and the United States. </w:t>
      </w:r>
    </w:p>
    <w:p w14:paraId="75B0D591" w14:textId="77777777" w:rsidR="003748A1" w:rsidRDefault="003748A1" w:rsidP="003748A1">
      <w:pPr>
        <w:pStyle w:val="Geenafstand"/>
        <w:spacing w:line="360" w:lineRule="auto"/>
        <w:jc w:val="both"/>
      </w:pPr>
      <w:bookmarkStart w:id="262" w:name="_Toc74317131"/>
      <w:bookmarkStart w:id="263" w:name="_Toc74583848"/>
    </w:p>
    <w:p w14:paraId="3E12207A" w14:textId="4BA0DFA7" w:rsidR="0069399F" w:rsidRPr="00D13F76" w:rsidRDefault="0069399F" w:rsidP="003748A1">
      <w:pPr>
        <w:pStyle w:val="Kop2"/>
        <w:rPr>
          <w:lang w:val="en-GB"/>
        </w:rPr>
      </w:pPr>
      <w:bookmarkStart w:id="264" w:name="_Toc75384118"/>
      <w:r w:rsidRPr="00D13F76">
        <w:rPr>
          <w:lang w:val="en-GB"/>
        </w:rPr>
        <w:t>5.1 Discussion of the results in relation to the literature</w:t>
      </w:r>
      <w:bookmarkEnd w:id="262"/>
      <w:bookmarkEnd w:id="263"/>
      <w:bookmarkEnd w:id="264"/>
    </w:p>
    <w:p w14:paraId="38E2B6D0" w14:textId="7D9CB5FB" w:rsidR="00A86201" w:rsidRDefault="0069399F" w:rsidP="003748A1">
      <w:pPr>
        <w:pStyle w:val="Geenafstand"/>
        <w:spacing w:line="360" w:lineRule="auto"/>
        <w:ind w:firstLine="708"/>
        <w:jc w:val="both"/>
      </w:pPr>
      <w:r w:rsidRPr="0069399F">
        <w:t>This thesis reveal</w:t>
      </w:r>
      <w:r w:rsidR="009D3144">
        <w:t>ed</w:t>
      </w:r>
      <w:r w:rsidRPr="0069399F">
        <w:t xml:space="preserve"> </w:t>
      </w:r>
      <w:r w:rsidR="004F456D">
        <w:t>a</w:t>
      </w:r>
      <w:r w:rsidRPr="0069399F">
        <w:t xml:space="preserve"> link between descriptive </w:t>
      </w:r>
      <w:r w:rsidR="00EF6B79">
        <w:t xml:space="preserve">representation </w:t>
      </w:r>
      <w:r w:rsidRPr="0069399F">
        <w:t xml:space="preserve">and substantive </w:t>
      </w:r>
      <w:r w:rsidR="00EF6B79">
        <w:t>claims</w:t>
      </w:r>
      <w:r w:rsidR="004F456D">
        <w:t xml:space="preserve"> made on behalf of</w:t>
      </w:r>
      <w:r w:rsidRPr="0069399F">
        <w:t xml:space="preserve"> Māori people in </w:t>
      </w:r>
      <w:r w:rsidR="00855305">
        <w:t>Aotearoa New Zealand’s Parliament</w:t>
      </w:r>
      <w:r w:rsidRPr="0069399F">
        <w:t xml:space="preserve">. </w:t>
      </w:r>
      <w:r w:rsidR="009D3144">
        <w:t>Thus,</w:t>
      </w:r>
      <w:r w:rsidRPr="0069399F">
        <w:t xml:space="preserve"> Māori MPs represent the perspectives of Māori people better than non-Māori MPs. Using the results of the claims-making analysis</w:t>
      </w:r>
      <w:r w:rsidR="008B365F">
        <w:t>,</w:t>
      </w:r>
      <w:r w:rsidRPr="0069399F">
        <w:t xml:space="preserve"> the literature of political representation proposed in chapter </w:t>
      </w:r>
      <w:r w:rsidR="004F21CA">
        <w:t>2 is reflected</w:t>
      </w:r>
      <w:r w:rsidR="00080611">
        <w:t xml:space="preserve"> on</w:t>
      </w:r>
      <w:r w:rsidR="004F21CA">
        <w:t xml:space="preserve"> in this section</w:t>
      </w:r>
      <w:r w:rsidRPr="0069399F">
        <w:t>.</w:t>
      </w:r>
      <w:r w:rsidR="00A86201">
        <w:t xml:space="preserve"> </w:t>
      </w:r>
    </w:p>
    <w:p w14:paraId="11ED74B5" w14:textId="50D81C85" w:rsidR="0069399F" w:rsidRPr="0069399F" w:rsidRDefault="0069399F" w:rsidP="00BF63DD">
      <w:pPr>
        <w:pStyle w:val="Geenafstand"/>
        <w:spacing w:line="360" w:lineRule="auto"/>
        <w:ind w:firstLine="708"/>
        <w:jc w:val="both"/>
      </w:pPr>
      <w:r w:rsidRPr="0069399F">
        <w:t xml:space="preserve">Rohrschneider and Thomassen (2020) </w:t>
      </w:r>
      <w:r w:rsidR="00BC5645">
        <w:t xml:space="preserve">state that </w:t>
      </w:r>
      <w:r w:rsidRPr="0069399F">
        <w:t xml:space="preserve">political representation </w:t>
      </w:r>
      <w:r w:rsidR="00BC5645">
        <w:t xml:space="preserve">is about the extent to which the interests and preferences of people </w:t>
      </w:r>
      <w:r w:rsidR="00D75ED8">
        <w:t>are</w:t>
      </w:r>
      <w:r w:rsidR="00BC5645">
        <w:t xml:space="preserve"> represented in democratic institutions. </w:t>
      </w:r>
      <w:r w:rsidRPr="0069399F">
        <w:t xml:space="preserve">In the case of Māori people this </w:t>
      </w:r>
      <w:r w:rsidR="00664E2A">
        <w:t>seems to be the case</w:t>
      </w:r>
      <w:r w:rsidRPr="0069399F">
        <w:t xml:space="preserve">. The dedicated seats ensure the inclusion of Māori people in the parliamentary arena. The results of the claims-making analysis show that </w:t>
      </w:r>
      <w:r w:rsidR="00900F80" w:rsidRPr="0069399F">
        <w:t xml:space="preserve">Māori </w:t>
      </w:r>
      <w:r w:rsidR="00E17EB6">
        <w:t>as well as non-</w:t>
      </w:r>
      <w:r w:rsidR="00900F80" w:rsidRPr="0069399F">
        <w:t xml:space="preserve">Māori </w:t>
      </w:r>
      <w:r w:rsidR="00CE52FF">
        <w:t xml:space="preserve">MPs are making substantive claims on behalf of </w:t>
      </w:r>
      <w:r w:rsidR="00CE52FF" w:rsidRPr="0069399F">
        <w:t xml:space="preserve">Māori </w:t>
      </w:r>
      <w:r w:rsidRPr="0069399F">
        <w:t>people</w:t>
      </w:r>
      <w:r w:rsidR="00CE52FF">
        <w:t>.</w:t>
      </w:r>
      <w:r w:rsidRPr="0069399F">
        <w:t xml:space="preserve"> </w:t>
      </w:r>
      <w:r w:rsidR="00E17EB6">
        <w:t xml:space="preserve">But </w:t>
      </w:r>
      <w:r w:rsidR="00900F80" w:rsidRPr="0069399F">
        <w:t xml:space="preserve">Māori </w:t>
      </w:r>
      <w:r w:rsidR="00E17EB6">
        <w:t>MPs make m</w:t>
      </w:r>
      <w:r w:rsidR="009D3144">
        <w:t>any</w:t>
      </w:r>
      <w:r w:rsidR="00E17EB6">
        <w:t xml:space="preserve"> more claims than non</w:t>
      </w:r>
      <w:r w:rsidR="00B52D27">
        <w:t>-</w:t>
      </w:r>
      <w:r w:rsidR="00900F80" w:rsidRPr="0069399F">
        <w:t xml:space="preserve">Māori </w:t>
      </w:r>
      <w:r w:rsidR="00E17EB6">
        <w:t>MPs.</w:t>
      </w:r>
      <w:r w:rsidRPr="0069399F">
        <w:t xml:space="preserve"> When they are chosen via the Māori roll or member of the Māori Party</w:t>
      </w:r>
      <w:r w:rsidR="004F00DE">
        <w:t>,</w:t>
      </w:r>
      <w:r w:rsidRPr="0069399F">
        <w:t xml:space="preserve"> they present Māori perspectives even better. This is in line with the expectation of Maddison</w:t>
      </w:r>
      <w:r w:rsidR="00B73E33">
        <w:t xml:space="preserve"> </w:t>
      </w:r>
      <w:r w:rsidRPr="0069399F">
        <w:t xml:space="preserve">(2010) that political representation </w:t>
      </w:r>
      <w:r w:rsidR="007842F3">
        <w:t xml:space="preserve">is more in line with </w:t>
      </w:r>
      <w:r w:rsidRPr="0069399F">
        <w:t xml:space="preserve">the perspectives of indigenous peoples when they are specifically chosen on behalf of their indigenousness. The results show that this does not per se have to be in the form of dedicated seats, but it could also be in the form of a party. Overall, MPs of the Māori Party made even more claims on behalf of Māori people than MPs chosen via the Māori roll. Thus, due to the presence of descriptively similar people, the perspectives of Māori people are </w:t>
      </w:r>
      <w:r w:rsidR="00621058" w:rsidRPr="0069399F">
        <w:t>considered</w:t>
      </w:r>
      <w:r w:rsidRPr="0069399F">
        <w:t xml:space="preserve"> in Aotearoa New Zealand</w:t>
      </w:r>
      <w:r w:rsidR="00136AA5">
        <w:t>’s</w:t>
      </w:r>
      <w:r w:rsidRPr="0069399F">
        <w:t xml:space="preserve"> Parliament. This provides more clarity between the arguments of authors such as Pitkin (1967) or authors such as Phillips (2019), Mansbridge (1999) and Williams (2018). The results of this thesis confirm the arguments from Phillips (2019), Mansbridge (1999) and </w:t>
      </w:r>
      <w:r w:rsidRPr="0069399F">
        <w:lastRenderedPageBreak/>
        <w:t xml:space="preserve">Williams (2018) which state that Māori people are best represented by a Māori representative because that person shares the same characteristics and experiences causing a mutual understanding of what policy is in their interests. </w:t>
      </w:r>
    </w:p>
    <w:p w14:paraId="5DA30790" w14:textId="6686E6BC" w:rsidR="0069399F" w:rsidRPr="0069399F" w:rsidRDefault="0069399F" w:rsidP="003748A1">
      <w:pPr>
        <w:pStyle w:val="Geenafstand"/>
        <w:spacing w:line="360" w:lineRule="auto"/>
        <w:ind w:firstLine="708"/>
        <w:jc w:val="both"/>
      </w:pPr>
      <w:r w:rsidRPr="0069399F">
        <w:t>To recapitulate, Pitkin (1967) argues that political representation can be split up in two parts: ‘standing for’ and ‘acting for’. Pitkin (1967) receives ‘standing for’, mostly referred to as descriptive representation, as distinct from ‘acting for’, mostly referred to as substantive representation. In contrast to Pitkin (1967) this thesis proves, as argued by other scholars</w:t>
      </w:r>
      <w:r w:rsidR="00BA16E9">
        <w:t xml:space="preserve">, such as </w:t>
      </w:r>
      <w:r w:rsidRPr="0069399F">
        <w:t xml:space="preserve">Phillips </w:t>
      </w:r>
      <w:r w:rsidR="00BA16E9">
        <w:t>(</w:t>
      </w:r>
      <w:r w:rsidRPr="0069399F">
        <w:t>2019</w:t>
      </w:r>
      <w:r w:rsidR="00BA16E9">
        <w:t>),</w:t>
      </w:r>
      <w:r w:rsidRPr="0069399F">
        <w:t xml:space="preserve"> Mansbridge </w:t>
      </w:r>
      <w:r w:rsidR="00BA16E9">
        <w:t>(</w:t>
      </w:r>
      <w:r w:rsidRPr="0069399F">
        <w:t>1999</w:t>
      </w:r>
      <w:r w:rsidR="00BA16E9">
        <w:t>) and</w:t>
      </w:r>
      <w:r w:rsidRPr="0069399F">
        <w:t xml:space="preserve"> Williams</w:t>
      </w:r>
      <w:r w:rsidR="00BA16E9">
        <w:t xml:space="preserve"> (</w:t>
      </w:r>
      <w:r w:rsidRPr="0069399F">
        <w:t xml:space="preserve">2018), that the two are interconnected. In the case of Māori people, descriptive representation consists not of simply being there, but also of understanding what problems descriptively similar people face. This makes the substantive </w:t>
      </w:r>
      <w:r w:rsidR="00413E63">
        <w:t>expressions</w:t>
      </w:r>
      <w:r w:rsidR="00563186">
        <w:t xml:space="preserve"> of</w:t>
      </w:r>
      <w:r w:rsidRPr="0069399F">
        <w:t xml:space="preserve"> MPs dependent on the presence of descriptively similar characteristics. </w:t>
      </w:r>
      <w:r w:rsidR="00565131">
        <w:t xml:space="preserve">As stated in chapter </w:t>
      </w:r>
      <w:r w:rsidR="006F0193">
        <w:t>2</w:t>
      </w:r>
      <w:r w:rsidR="00565131">
        <w:t xml:space="preserve">, Williams (2018) </w:t>
      </w:r>
      <w:r w:rsidR="00C945FA">
        <w:t>argues</w:t>
      </w:r>
      <w:r w:rsidR="00565131">
        <w:t xml:space="preserve"> that groups </w:t>
      </w:r>
      <w:r w:rsidR="00D464E8">
        <w:t>that</w:t>
      </w:r>
      <w:r w:rsidR="00565131">
        <w:t xml:space="preserve"> experience inequality and face a history of oppression and discrimination </w:t>
      </w:r>
      <w:r w:rsidR="00621058">
        <w:t>need</w:t>
      </w:r>
      <w:r w:rsidR="00565131">
        <w:t xml:space="preserve"> descriptive representation. </w:t>
      </w:r>
      <w:r w:rsidR="00255333">
        <w:t>From the contextual overview of Aotearoa New Zealand’s history</w:t>
      </w:r>
      <w:r w:rsidR="009D3144">
        <w:t>, it</w:t>
      </w:r>
      <w:r w:rsidR="00255333">
        <w:t xml:space="preserve"> appears that </w:t>
      </w:r>
      <w:r w:rsidR="005D7301" w:rsidRPr="0069399F">
        <w:t xml:space="preserve">Māori </w:t>
      </w:r>
      <w:r w:rsidR="00255333">
        <w:t>people were structurally discriminated and limited in the</w:t>
      </w:r>
      <w:r w:rsidR="00110C56">
        <w:t xml:space="preserve"> expression of their culture and their </w:t>
      </w:r>
      <w:r w:rsidR="00255333">
        <w:t>way of living</w:t>
      </w:r>
      <w:r w:rsidR="009D3144">
        <w:t xml:space="preserve"> (</w:t>
      </w:r>
      <w:r w:rsidR="00550A81">
        <w:t>Stokes, 1992; Bell, 2008</w:t>
      </w:r>
      <w:r w:rsidR="009D3144">
        <w:t>)</w:t>
      </w:r>
      <w:r w:rsidR="00255333">
        <w:t xml:space="preserve">. </w:t>
      </w:r>
      <w:r w:rsidR="00BF2A6E">
        <w:t xml:space="preserve">Besides, </w:t>
      </w:r>
      <w:r w:rsidR="005D7301" w:rsidRPr="0069399F">
        <w:t xml:space="preserve">Māori </w:t>
      </w:r>
      <w:r w:rsidR="00BF2A6E">
        <w:t>people still face inequalit</w:t>
      </w:r>
      <w:r w:rsidR="0025405B">
        <w:t>ies</w:t>
      </w:r>
      <w:r w:rsidR="00BF2A6E">
        <w:t xml:space="preserve"> today</w:t>
      </w:r>
      <w:r w:rsidR="0025405B">
        <w:t xml:space="preserve">. This becomes clear </w:t>
      </w:r>
      <w:r w:rsidR="00D464E8">
        <w:t>from</w:t>
      </w:r>
      <w:r w:rsidR="0025405B">
        <w:t xml:space="preserve"> the commonly used</w:t>
      </w:r>
      <w:r w:rsidR="00565131">
        <w:t xml:space="preserve"> justification ‘injustice’ and the </w:t>
      </w:r>
      <w:r w:rsidR="006B75CD">
        <w:t xml:space="preserve">often addressed </w:t>
      </w:r>
      <w:r w:rsidR="00565131">
        <w:t>issue of the Treaty of Waitangi.</w:t>
      </w:r>
      <w:r w:rsidR="009A19F2">
        <w:t xml:space="preserve"> In this case descriptive representation is needed, because otherwise mistrust arises (Mansbridge, 1999).</w:t>
      </w:r>
      <w:r w:rsidR="00565131">
        <w:t xml:space="preserve"> </w:t>
      </w:r>
    </w:p>
    <w:p w14:paraId="41E5C2AA" w14:textId="4EE7B149" w:rsidR="0000431B" w:rsidRPr="0069399F" w:rsidRDefault="0000431B" w:rsidP="003748A1">
      <w:pPr>
        <w:pStyle w:val="Geenafstand"/>
        <w:spacing w:line="360" w:lineRule="auto"/>
        <w:ind w:firstLine="708"/>
        <w:jc w:val="both"/>
      </w:pPr>
      <w:r>
        <w:t>With ‘the representative claim’</w:t>
      </w:r>
      <w:r w:rsidR="00911D71">
        <w:t>,</w:t>
      </w:r>
      <w:r>
        <w:t xml:space="preserve"> Saward (2008) proposes that descriptive, </w:t>
      </w:r>
      <w:r w:rsidR="003430A4">
        <w:t>symbolic,</w:t>
      </w:r>
      <w:r>
        <w:t xml:space="preserve"> and substantive representation are interconnected. </w:t>
      </w:r>
      <w:r w:rsidRPr="0069399F">
        <w:t>Many scholars agree and argue that different forms of political representation cannot be seen separately due to their dynamic relationship (Mackay, 2008; Severs, 2012; Saward, 2006, Schwindt-Bayer and Mishler, 2005). The results</w:t>
      </w:r>
      <w:r>
        <w:t xml:space="preserve"> of this thesis</w:t>
      </w:r>
      <w:r w:rsidRPr="0069399F">
        <w:t xml:space="preserve"> confirm this relational nature of political representation by revealing the link between descriptive and substantive representation and by revealing that the attempts to unification are not solely made in symbolic claims, but also in substantive claims. </w:t>
      </w:r>
    </w:p>
    <w:p w14:paraId="541F73F4" w14:textId="05A1128B" w:rsidR="0069399F" w:rsidRPr="0069399F" w:rsidRDefault="0069399F" w:rsidP="00A11EC8">
      <w:pPr>
        <w:pStyle w:val="Geenafstand"/>
        <w:spacing w:line="360" w:lineRule="auto"/>
        <w:ind w:firstLine="708"/>
        <w:jc w:val="both"/>
      </w:pPr>
      <w:r w:rsidRPr="0069399F">
        <w:t>Across the literature</w:t>
      </w:r>
      <w:r w:rsidR="00911D71">
        <w:t>,</w:t>
      </w:r>
      <w:r w:rsidRPr="0069399F">
        <w:t xml:space="preserve"> authors such as Maddison (2010) have argued that parliamentary representation mainly contains a symbolic function. Meanwhile, this thesis contradicts this by revealing the many substantive claims that were made on behalf of Māori people. Given the results, descriptive representation plays an important role in the establishment of substantive </w:t>
      </w:r>
      <w:r w:rsidR="00A26AEE">
        <w:t>claims</w:t>
      </w:r>
      <w:r w:rsidR="006C75C8">
        <w:t xml:space="preserve">. </w:t>
      </w:r>
      <w:r w:rsidRPr="0069399F">
        <w:t>However, it is neither a sufficient nor a necessary condition. Th</w:t>
      </w:r>
      <w:r w:rsidR="00691ABF">
        <w:t>is is because the</w:t>
      </w:r>
      <w:r w:rsidRPr="0069399F">
        <w:t xml:space="preserve"> findings show that </w:t>
      </w:r>
      <w:r w:rsidRPr="0069399F">
        <w:rPr>
          <w:color w:val="000000"/>
        </w:rPr>
        <w:t>Māori MPs as well as non-Māori MPs make substantive claims</w:t>
      </w:r>
      <w:r w:rsidR="00DC3B1D">
        <w:rPr>
          <w:color w:val="000000"/>
        </w:rPr>
        <w:t>. Besides,</w:t>
      </w:r>
      <w:r w:rsidRPr="0069399F">
        <w:t xml:space="preserve"> </w:t>
      </w:r>
      <w:r w:rsidRPr="0069399F">
        <w:rPr>
          <w:color w:val="000000"/>
        </w:rPr>
        <w:t>Māori MP</w:t>
      </w:r>
      <w:r w:rsidR="008A0DA9">
        <w:rPr>
          <w:color w:val="000000"/>
        </w:rPr>
        <w:t xml:space="preserve">s </w:t>
      </w:r>
      <w:r w:rsidRPr="0069399F">
        <w:rPr>
          <w:color w:val="000000"/>
        </w:rPr>
        <w:t xml:space="preserve">do not </w:t>
      </w:r>
      <w:r w:rsidR="00543F23">
        <w:rPr>
          <w:color w:val="000000"/>
        </w:rPr>
        <w:t>solely</w:t>
      </w:r>
      <w:r w:rsidRPr="0069399F">
        <w:rPr>
          <w:color w:val="000000"/>
        </w:rPr>
        <w:t xml:space="preserve"> </w:t>
      </w:r>
      <w:r w:rsidR="006C3D72">
        <w:rPr>
          <w:color w:val="000000"/>
        </w:rPr>
        <w:t>make</w:t>
      </w:r>
      <w:r w:rsidRPr="0069399F">
        <w:rPr>
          <w:color w:val="000000"/>
        </w:rPr>
        <w:t xml:space="preserve"> substantive claims</w:t>
      </w:r>
      <w:r w:rsidR="004A2818">
        <w:rPr>
          <w:color w:val="000000"/>
        </w:rPr>
        <w:t>, but also symbolic</w:t>
      </w:r>
      <w:r w:rsidRPr="0069399F">
        <w:t xml:space="preserve"> </w:t>
      </w:r>
      <w:r w:rsidR="00911D71">
        <w:t>Thus, the findings of this thesis</w:t>
      </w:r>
      <w:r w:rsidRPr="0069399F">
        <w:t xml:space="preserve"> contradict the findings of Curtin (2008) and White (2017). The results of White (2017) imply that descriptive representation of Māori people is a sufficient condition in providing their substantive representation.</w:t>
      </w:r>
      <w:r w:rsidR="00051FD9">
        <w:t xml:space="preserve"> </w:t>
      </w:r>
      <w:r w:rsidRPr="0069399F">
        <w:t xml:space="preserve">However, White (2017) studied only a limited number of maiden speeches. Contradictory, Curtin (2008) determines that in the </w:t>
      </w:r>
      <w:r w:rsidRPr="0069399F">
        <w:lastRenderedPageBreak/>
        <w:t xml:space="preserve">case of women, descriptive representation is not sufficient, but necessary, in creating substantive representation. </w:t>
      </w:r>
      <w:r w:rsidR="00C87D6D">
        <w:t>Although t</w:t>
      </w:r>
      <w:r w:rsidRPr="0069399F">
        <w:t xml:space="preserve">he results of this thesis do not </w:t>
      </w:r>
      <w:r w:rsidR="00FF465E">
        <w:t>support the notion</w:t>
      </w:r>
      <w:r w:rsidRPr="0069399F">
        <w:t xml:space="preserve"> that descriptive representation is necessary in establishing substantive representation. </w:t>
      </w:r>
      <w:r w:rsidR="0079476E">
        <w:t>It is supported that th</w:t>
      </w:r>
      <w:r w:rsidRPr="0069399F">
        <w:t xml:space="preserve">e substantive representation of Māori people is much better ensured when they are descriptively represented. Future research should show whether descriptive representation in combination with other conditions provides a sufficient set of conditions in the establishment of substantive </w:t>
      </w:r>
      <w:r w:rsidR="001F48E2">
        <w:t>claims-making</w:t>
      </w:r>
      <w:r w:rsidRPr="0069399F">
        <w:t xml:space="preserve">. In the next section, the contributions </w:t>
      </w:r>
      <w:r w:rsidR="006C75C8">
        <w:t xml:space="preserve">that </w:t>
      </w:r>
      <w:r w:rsidRPr="0069399F">
        <w:t xml:space="preserve">this thesis provides </w:t>
      </w:r>
      <w:r w:rsidR="00A33670">
        <w:t>are</w:t>
      </w:r>
      <w:r w:rsidRPr="0069399F">
        <w:t xml:space="preserve"> presented.</w:t>
      </w:r>
    </w:p>
    <w:p w14:paraId="364BDF1D" w14:textId="77777777" w:rsidR="00CF0F83" w:rsidRDefault="00CF0F83" w:rsidP="003748A1">
      <w:pPr>
        <w:pStyle w:val="Geenafstand"/>
        <w:spacing w:line="360" w:lineRule="auto"/>
        <w:jc w:val="both"/>
      </w:pPr>
      <w:bookmarkStart w:id="265" w:name="_Toc74317132"/>
      <w:bookmarkStart w:id="266" w:name="_Toc74583849"/>
    </w:p>
    <w:p w14:paraId="55B0494E" w14:textId="57B42DBF" w:rsidR="0069399F" w:rsidRPr="00D13F76" w:rsidRDefault="0069399F" w:rsidP="00CF0F83">
      <w:pPr>
        <w:pStyle w:val="Kop2"/>
        <w:rPr>
          <w:lang w:val="en-GB"/>
        </w:rPr>
      </w:pPr>
      <w:bookmarkStart w:id="267" w:name="_Toc75384119"/>
      <w:r w:rsidRPr="00D13F76">
        <w:rPr>
          <w:lang w:val="en-GB"/>
        </w:rPr>
        <w:t>5.2 Contributions of this thesis</w:t>
      </w:r>
      <w:bookmarkEnd w:id="265"/>
      <w:bookmarkEnd w:id="266"/>
      <w:bookmarkEnd w:id="267"/>
    </w:p>
    <w:p w14:paraId="66F9243A" w14:textId="1BAE68F5" w:rsidR="0069399F" w:rsidRPr="0069399F" w:rsidRDefault="0069399F" w:rsidP="00CF0F83">
      <w:pPr>
        <w:pStyle w:val="Geenafstand"/>
        <w:spacing w:line="360" w:lineRule="auto"/>
        <w:ind w:firstLine="708"/>
        <w:jc w:val="both"/>
      </w:pPr>
      <w:r w:rsidRPr="0069399F">
        <w:t xml:space="preserve">The main contribution of this thesis to the literature of political representation provides empirical evidence that confidently proves that descriptive representation leads to substantive </w:t>
      </w:r>
      <w:r w:rsidR="00F85FD4">
        <w:t>claims</w:t>
      </w:r>
      <w:r w:rsidRPr="0069399F">
        <w:t xml:space="preserve">. The claims-making analysis </w:t>
      </w:r>
      <w:r w:rsidR="00A31F90">
        <w:t>aligns closely</w:t>
      </w:r>
      <w:r w:rsidRPr="0069399F">
        <w:t xml:space="preserve"> with the recent literature that argues for a </w:t>
      </w:r>
      <w:r w:rsidR="002F3EB5">
        <w:t xml:space="preserve">broader </w:t>
      </w:r>
      <w:r w:rsidRPr="0069399F">
        <w:t>view on political representation</w:t>
      </w:r>
      <w:r w:rsidR="00444C46">
        <w:t xml:space="preserve"> </w:t>
      </w:r>
      <w:r w:rsidR="00D60AD6" w:rsidRPr="0069399F">
        <w:rPr>
          <w:color w:val="000000"/>
        </w:rPr>
        <w:t>(</w:t>
      </w:r>
      <w:r w:rsidR="00D60AD6" w:rsidRPr="0069399F">
        <w:t>Phillips, 2019; Mansbridge, 1999; Williams, 2018; Mackay, 2008; Severs, 2012 and Schwindt-Bayer and Mishler, 2005)</w:t>
      </w:r>
      <w:r w:rsidRPr="0069399F">
        <w:t>. Therefore, like Saward (2006) proposed, claims</w:t>
      </w:r>
      <w:r w:rsidR="00C9770F">
        <w:t>-</w:t>
      </w:r>
      <w:r w:rsidRPr="0069399F">
        <w:t xml:space="preserve">making proves to be an effective method to study political representation. </w:t>
      </w:r>
    </w:p>
    <w:p w14:paraId="3EA97852" w14:textId="547CB6F9" w:rsidR="00831419" w:rsidRPr="0069399F" w:rsidRDefault="0069399F" w:rsidP="00CF0F83">
      <w:pPr>
        <w:pStyle w:val="Geenafstand"/>
        <w:spacing w:line="360" w:lineRule="auto"/>
        <w:ind w:firstLine="708"/>
        <w:jc w:val="both"/>
      </w:pPr>
      <w:r w:rsidRPr="0069399F">
        <w:t xml:space="preserve">The link between descriptive and substantive representation is a much debated topic. However, most studies are </w:t>
      </w:r>
      <w:r w:rsidR="00630E46">
        <w:t>in the field of gender</w:t>
      </w:r>
      <w:r w:rsidR="00D61E14">
        <w:t xml:space="preserve"> and representation</w:t>
      </w:r>
      <w:r w:rsidRPr="0069399F">
        <w:t xml:space="preserve">. </w:t>
      </w:r>
      <w:r w:rsidR="00396D75">
        <w:t>Th</w:t>
      </w:r>
      <w:r w:rsidRPr="0069399F">
        <w:t>ere is still a bias in research that creates barriers for research on and by indigenous peoples (Curtin and Sawer, 2016). This thesis contributes to the field of political science by being part of the upcoming research on indigenous peoples</w:t>
      </w:r>
      <w:r w:rsidR="00610F53">
        <w:t xml:space="preserve"> </w:t>
      </w:r>
      <w:r w:rsidR="00610F53" w:rsidRPr="00E56DC8">
        <w:t>(Maddison, 2010; Morris, 2014; Lloyd, 2009; Summersby, 2009; Snagovsky et al, 2020; White, 2017)</w:t>
      </w:r>
      <w:r w:rsidRPr="0069399F">
        <w:t>;</w:t>
      </w:r>
      <w:r w:rsidR="00E13113">
        <w:t xml:space="preserve"> </w:t>
      </w:r>
      <w:r w:rsidRPr="0069399F">
        <w:t xml:space="preserve">an important development that brings us one step closer to the understanding of indigenous peoples’ issues and needs. </w:t>
      </w:r>
      <w:r w:rsidR="001C2E9D">
        <w:t>A</w:t>
      </w:r>
      <w:r w:rsidRPr="0069399F">
        <w:t xml:space="preserve"> trend that will hopefully continue. </w:t>
      </w:r>
    </w:p>
    <w:p w14:paraId="4A316B38" w14:textId="1302E361" w:rsidR="00C04BE9" w:rsidRDefault="0069399F" w:rsidP="00CF0F83">
      <w:pPr>
        <w:pStyle w:val="Geenafstand"/>
        <w:spacing w:line="360" w:lineRule="auto"/>
        <w:ind w:firstLine="708"/>
        <w:jc w:val="both"/>
      </w:pPr>
      <w:r w:rsidRPr="0069399F">
        <w:t xml:space="preserve">Today, liberal democracies accept at least some form of descriptive representation as necessary for political representation (Phillips, 2019). Authors, as Phillips (2019), Mansbridge (1999) and Young (2002) argue that the link between descriptive and substantive representation is present. Despite their arguments, the empirical evidence is still inconclusive by finding weak and contradicting results. This thesis contributes to the literature of political representation by connecting this gap between normative and empirical research by finding a link between descriptive </w:t>
      </w:r>
      <w:r w:rsidR="00DC510E">
        <w:t xml:space="preserve">representation </w:t>
      </w:r>
      <w:r w:rsidRPr="0069399F">
        <w:t xml:space="preserve">and substantive </w:t>
      </w:r>
      <w:r w:rsidR="00DC510E">
        <w:t>claims</w:t>
      </w:r>
      <w:r w:rsidR="00EE282A">
        <w:t xml:space="preserve"> made on behalf</w:t>
      </w:r>
      <w:r w:rsidRPr="0069399F">
        <w:t xml:space="preserve"> of Māori people. </w:t>
      </w:r>
    </w:p>
    <w:p w14:paraId="29C0B89C" w14:textId="6AB70C87" w:rsidR="0069399F" w:rsidRDefault="0069399F" w:rsidP="00CF0F83">
      <w:pPr>
        <w:pStyle w:val="Geenafstand"/>
        <w:spacing w:line="360" w:lineRule="auto"/>
        <w:ind w:firstLine="708"/>
        <w:jc w:val="both"/>
      </w:pPr>
      <w:r w:rsidRPr="0069399F">
        <w:t>White (2017) already made an important contribution to the literature of political representation by finding empirical evidence that confirms the link between descriptive and substantive representation in the case of Māori people in Aotearoa New Zealand. This thesis is a valuable addition to the study of White (2017)</w:t>
      </w:r>
      <w:r w:rsidR="009A508B">
        <w:t>,</w:t>
      </w:r>
      <w:r w:rsidRPr="0069399F">
        <w:t xml:space="preserve"> </w:t>
      </w:r>
      <w:r w:rsidR="009A508B">
        <w:t>because of the</w:t>
      </w:r>
      <w:r w:rsidRPr="0069399F">
        <w:t xml:space="preserve"> different method. While White (2017) used a discourse analysis, this thesis used a claims-making analysis. As mentioned earlier, Saward (2006) proposed this claims-making analysis because it fits the dynamic an</w:t>
      </w:r>
      <w:r w:rsidR="00910102">
        <w:t>d</w:t>
      </w:r>
      <w:r w:rsidRPr="0069399F">
        <w:t xml:space="preserve"> relational character of </w:t>
      </w:r>
      <w:r w:rsidRPr="0069399F">
        <w:lastRenderedPageBreak/>
        <w:t xml:space="preserve">political representation. </w:t>
      </w:r>
      <w:r w:rsidR="003430A4" w:rsidRPr="0069399F">
        <w:t>Besides,</w:t>
      </w:r>
      <w:r w:rsidRPr="0069399F">
        <w:t xml:space="preserve"> it </w:t>
      </w:r>
      <w:r w:rsidR="00BB3F0F">
        <w:t>aligns to</w:t>
      </w:r>
      <w:r w:rsidRPr="0069399F">
        <w:t xml:space="preserve"> </w:t>
      </w:r>
      <w:r w:rsidR="00A002E0">
        <w:t xml:space="preserve">the </w:t>
      </w:r>
      <w:r w:rsidR="0013138A">
        <w:t xml:space="preserve">specific </w:t>
      </w:r>
      <w:r w:rsidRPr="0069399F">
        <w:t>research question</w:t>
      </w:r>
      <w:r w:rsidR="00A002E0">
        <w:t xml:space="preserve"> of this thesis</w:t>
      </w:r>
      <w:r w:rsidRPr="0069399F">
        <w:t xml:space="preserve">, since it is focussed on substantive claims. This thesis contributes to the study of White (2017) in at least four ways. First and foremost, the MPs that are giving the speeches. White (2017) only analysed the speeches of Māori MPs, while this thesis analysed speeches of all MPs </w:t>
      </w:r>
      <w:r w:rsidR="00621058" w:rsidRPr="0069399F">
        <w:t>if</w:t>
      </w:r>
      <w:r w:rsidRPr="0069399F">
        <w:t xml:space="preserve"> the word ‘Māori’ was used. This gives much more weight to the </w:t>
      </w:r>
      <w:r w:rsidR="003430A4" w:rsidRPr="0069399F">
        <w:t>results because</w:t>
      </w:r>
      <w:r w:rsidRPr="0069399F">
        <w:t xml:space="preserve"> the comparison between Māori MPs and non-Māori MPs can be made. Thus, this thesis can confidently state that Māori MPs are more likely to make claims on behalf of Māori people than </w:t>
      </w:r>
      <w:r w:rsidR="00165F82">
        <w:t>non-</w:t>
      </w:r>
      <w:r w:rsidR="00C57ECE" w:rsidRPr="0069399F">
        <w:t xml:space="preserve">Māori </w:t>
      </w:r>
      <w:r w:rsidRPr="0069399F">
        <w:t>MPs. Second, the identifying and analysing of claims provided much more information than White</w:t>
      </w:r>
      <w:r w:rsidR="00DF1B64">
        <w:t>’s</w:t>
      </w:r>
      <w:r w:rsidRPr="0069399F">
        <w:t xml:space="preserve"> (2017)</w:t>
      </w:r>
      <w:r w:rsidR="00DF1B64">
        <w:t xml:space="preserve"> study</w:t>
      </w:r>
      <w:r w:rsidRPr="0069399F">
        <w:t xml:space="preserve"> detected in speeches. White’s (2017) study is limited to four themes, while this thesis analyses eight aspects of a claim with different categories within each aspect. The eight aspects provide a much broader study by including the location, claimant, issue, object, addressee, evaluation of the addressee, </w:t>
      </w:r>
      <w:r w:rsidR="003430A4" w:rsidRPr="0069399F">
        <w:t>unification,</w:t>
      </w:r>
      <w:r w:rsidRPr="0069399F">
        <w:t xml:space="preserve"> and justification of a claim. The themes of White (2017) are solely directed at measuring the Māori worldview. Third, the kind of speeches. Where White’s (2017) study is solely based on maiden speeches, this thesis takes all different parliamentary speeches into account. This provides a much more complete picture of the political representation of Māori people. Fourth, the number of speeches. White’s (2017) study captures 12 speeches, while this thesis analysed </w:t>
      </w:r>
      <w:r w:rsidR="00565F22">
        <w:t>2</w:t>
      </w:r>
      <w:r w:rsidRPr="0069399F">
        <w:t xml:space="preserve">45 speeches. Overall, this thesis provides a more extensive study </w:t>
      </w:r>
      <w:r w:rsidR="00FE17E3">
        <w:t>to</w:t>
      </w:r>
      <w:r w:rsidRPr="0069399F">
        <w:t xml:space="preserve"> the political representation of Māori people. The results confirm and complete the findings of White’s (2017) study. </w:t>
      </w:r>
      <w:r w:rsidR="0081234B">
        <w:t xml:space="preserve">In the next section, </w:t>
      </w:r>
      <w:r w:rsidRPr="0069399F">
        <w:t>the extent to which these findings are generalizable to other countries</w:t>
      </w:r>
      <w:r w:rsidR="006D7219">
        <w:t xml:space="preserve"> and population groups</w:t>
      </w:r>
      <w:r w:rsidR="0081234B">
        <w:t xml:space="preserve"> is discussed. </w:t>
      </w:r>
      <w:r w:rsidRPr="0069399F">
        <w:t xml:space="preserve"> </w:t>
      </w:r>
    </w:p>
    <w:p w14:paraId="0426939C" w14:textId="77777777" w:rsidR="00CF0F83" w:rsidRDefault="00CF0F83" w:rsidP="003748A1">
      <w:pPr>
        <w:pStyle w:val="Geenafstand"/>
        <w:spacing w:line="360" w:lineRule="auto"/>
        <w:jc w:val="both"/>
      </w:pPr>
      <w:bookmarkStart w:id="268" w:name="_Toc74317133"/>
      <w:bookmarkStart w:id="269" w:name="_Toc74583850"/>
    </w:p>
    <w:p w14:paraId="6176F3DD" w14:textId="17BB3680" w:rsidR="0069399F" w:rsidRPr="00D13F76" w:rsidRDefault="0069399F" w:rsidP="00CF0F83">
      <w:pPr>
        <w:pStyle w:val="Kop2"/>
        <w:rPr>
          <w:lang w:val="en-GB"/>
        </w:rPr>
      </w:pPr>
      <w:bookmarkStart w:id="270" w:name="_Toc75384120"/>
      <w:r w:rsidRPr="00D13F76">
        <w:rPr>
          <w:lang w:val="en-GB"/>
        </w:rPr>
        <w:t>5.3 Generalizability of the results</w:t>
      </w:r>
      <w:bookmarkEnd w:id="268"/>
      <w:bookmarkEnd w:id="269"/>
      <w:bookmarkEnd w:id="270"/>
      <w:r w:rsidRPr="00D13F76">
        <w:rPr>
          <w:lang w:val="en-GB"/>
        </w:rPr>
        <w:t xml:space="preserve"> </w:t>
      </w:r>
    </w:p>
    <w:p w14:paraId="2B765228" w14:textId="1027AA17" w:rsidR="0069399F" w:rsidRPr="0069399F" w:rsidRDefault="0069399F" w:rsidP="003748A1">
      <w:pPr>
        <w:pStyle w:val="Geenafstand"/>
        <w:spacing w:line="360" w:lineRule="auto"/>
        <w:jc w:val="both"/>
        <w:rPr>
          <w:color w:val="000000"/>
        </w:rPr>
      </w:pPr>
      <w:r w:rsidRPr="0069399F">
        <w:tab/>
      </w:r>
      <w:r w:rsidR="00F018D8" w:rsidRPr="0069399F">
        <w:t xml:space="preserve">This thesis </w:t>
      </w:r>
      <w:r w:rsidR="00145DA1">
        <w:t>shows</w:t>
      </w:r>
      <w:r w:rsidR="00F018D8" w:rsidRPr="0069399F">
        <w:t xml:space="preserve"> that in the case of Māori people in Aotearoa New Zealand descriptive representation leads to substantive claims in Parliament.</w:t>
      </w:r>
      <w:r w:rsidR="00F018D8">
        <w:t xml:space="preserve"> </w:t>
      </w:r>
      <w:r w:rsidRPr="0069399F">
        <w:t xml:space="preserve">The generalizability of a case study is always contestable. </w:t>
      </w:r>
      <w:r w:rsidR="00893446">
        <w:t>It depends</w:t>
      </w:r>
      <w:r w:rsidRPr="0069399F">
        <w:t xml:space="preserve"> on the scope conditions (Gerring, 2016). Aotearoa New Zealand shares certain characteristics with </w:t>
      </w:r>
      <w:r w:rsidR="00347FBB">
        <w:t xml:space="preserve">other liberal </w:t>
      </w:r>
      <w:r w:rsidR="00E81364">
        <w:t>democracie</w:t>
      </w:r>
      <w:r w:rsidRPr="0069399F">
        <w:t xml:space="preserve">s </w:t>
      </w:r>
      <w:r w:rsidR="00347FBB">
        <w:t>like</w:t>
      </w:r>
      <w:r w:rsidRPr="0069399F">
        <w:t xml:space="preserve"> Australia, Canada and the United States. The</w:t>
      </w:r>
      <w:r w:rsidR="00570D89">
        <w:t>se</w:t>
      </w:r>
      <w:r w:rsidRPr="0069399F">
        <w:t xml:space="preserve"> are also liberal democracies with a history of British colonization. </w:t>
      </w:r>
      <w:r w:rsidR="00E105E9">
        <w:t>Therefore, it could</w:t>
      </w:r>
      <w:r w:rsidRPr="0069399F">
        <w:t xml:space="preserve"> be possible that the findings of this thesis are generalizable to these countries. That would suggest that the presence of indigenous peoples in Parliaments of liberal democracies increases the substantive claims made on behalf of the indigenous populations. However, it is important to keep in mind that the results are not one-to-one applicable t</w:t>
      </w:r>
      <w:r w:rsidR="0042345D">
        <w:t>hese countries</w:t>
      </w:r>
      <w:r w:rsidRPr="0069399F">
        <w:t>. Besides their similarities, these countries also differ</w:t>
      </w:r>
      <w:r w:rsidR="0009633A">
        <w:t>.</w:t>
      </w:r>
      <w:r w:rsidRPr="0069399F">
        <w:t xml:space="preserve"> T</w:t>
      </w:r>
      <w:r w:rsidR="00462839">
        <w:t>hree</w:t>
      </w:r>
      <w:r w:rsidRPr="0069399F">
        <w:t xml:space="preserve"> important differences between Aotearoa New Zealand and </w:t>
      </w:r>
      <w:r w:rsidR="002B1407">
        <w:t>these</w:t>
      </w:r>
      <w:r w:rsidR="002F3E23">
        <w:t xml:space="preserve"> three</w:t>
      </w:r>
      <w:r w:rsidR="002B1407">
        <w:t xml:space="preserve"> countries</w:t>
      </w:r>
      <w:r w:rsidRPr="0069399F">
        <w:t xml:space="preserve"> are</w:t>
      </w:r>
      <w:r w:rsidR="007E6102">
        <w:t>:</w:t>
      </w:r>
      <w:r w:rsidRPr="0069399F">
        <w:t xml:space="preserve"> the size of the indigenous populations</w:t>
      </w:r>
      <w:r w:rsidR="00462839">
        <w:t xml:space="preserve">, </w:t>
      </w:r>
      <w:r w:rsidRPr="0069399F">
        <w:t xml:space="preserve">the electoral </w:t>
      </w:r>
      <w:r w:rsidR="003430A4" w:rsidRPr="0069399F">
        <w:t>system,</w:t>
      </w:r>
      <w:r w:rsidR="00462839">
        <w:t xml:space="preserve"> and the history.</w:t>
      </w:r>
      <w:r w:rsidRPr="0069399F">
        <w:t xml:space="preserve"> Firstly, 16,9% of the population of Aotearoa New Zealand is </w:t>
      </w:r>
      <w:r w:rsidR="0042345D">
        <w:t xml:space="preserve">from </w:t>
      </w:r>
      <w:r w:rsidRPr="0069399F">
        <w:rPr>
          <w:color w:val="000000"/>
        </w:rPr>
        <w:t>Māori descent (Stats NZ, 2020). The Māori population is much larger in comparison with the indigenous peoples in Australia, Canada an</w:t>
      </w:r>
      <w:r w:rsidR="00941A18">
        <w:rPr>
          <w:color w:val="000000"/>
        </w:rPr>
        <w:t>d</w:t>
      </w:r>
      <w:r w:rsidRPr="0069399F">
        <w:rPr>
          <w:color w:val="000000"/>
        </w:rPr>
        <w:t xml:space="preserve"> the United States who form respectively 3,3%, 5% and 2% of the population in their country (Lim and Gibson, 2019; AIHW, 2019; </w:t>
      </w:r>
      <w:r w:rsidRPr="0069399F">
        <w:rPr>
          <w:color w:val="000000"/>
        </w:rPr>
        <w:lastRenderedPageBreak/>
        <w:t>IWGIA, 2016). Secondly, except Aotearoa New Zealand the other three countries have an electoral system based on majority instead of proportional representation.</w:t>
      </w:r>
      <w:r>
        <w:rPr>
          <w:rStyle w:val="Voetnootmarkering"/>
          <w:color w:val="000000"/>
        </w:rPr>
        <w:footnoteReference w:id="29"/>
      </w:r>
      <w:r w:rsidRPr="0069399F">
        <w:rPr>
          <w:color w:val="000000"/>
        </w:rPr>
        <w:t xml:space="preserve"> </w:t>
      </w:r>
      <w:r w:rsidR="005D01A2">
        <w:rPr>
          <w:color w:val="000000"/>
        </w:rPr>
        <w:t xml:space="preserve">Thirdly, </w:t>
      </w:r>
      <w:r w:rsidR="00CA7C9B">
        <w:rPr>
          <w:color w:val="000000"/>
        </w:rPr>
        <w:t xml:space="preserve">Aotearoa New Zealand has a </w:t>
      </w:r>
      <w:r w:rsidR="00D91CE0">
        <w:rPr>
          <w:color w:val="000000"/>
        </w:rPr>
        <w:t xml:space="preserve">special history with the immediate creation of the Treaty of Waitangi when the British colonizers entered the land. </w:t>
      </w:r>
      <w:r w:rsidRPr="0069399F">
        <w:rPr>
          <w:color w:val="000000"/>
        </w:rPr>
        <w:t xml:space="preserve">Further research should show whether these results are also applicable </w:t>
      </w:r>
      <w:r w:rsidR="006B1562">
        <w:rPr>
          <w:color w:val="000000"/>
        </w:rPr>
        <w:t>in</w:t>
      </w:r>
      <w:r w:rsidRPr="0069399F">
        <w:rPr>
          <w:color w:val="000000"/>
        </w:rPr>
        <w:t xml:space="preserve"> other liberal democracies with indigenous populations.</w:t>
      </w:r>
      <w:r w:rsidR="006B1562">
        <w:rPr>
          <w:color w:val="000000"/>
        </w:rPr>
        <w:t xml:space="preserve"> </w:t>
      </w:r>
    </w:p>
    <w:p w14:paraId="753A9F72" w14:textId="33204E1B" w:rsidR="0069399F" w:rsidRPr="0069399F" w:rsidRDefault="0069399F" w:rsidP="00CF0F83">
      <w:pPr>
        <w:pStyle w:val="Geenafstand"/>
        <w:spacing w:line="360" w:lineRule="auto"/>
        <w:ind w:firstLine="708"/>
        <w:jc w:val="both"/>
      </w:pPr>
      <w:r w:rsidRPr="0069399F">
        <w:rPr>
          <w:color w:val="000000"/>
        </w:rPr>
        <w:t xml:space="preserve">Besides the possible generalization to other countries, the potential generalization to other minority groups requires some explanation. As stated in the first chapter, indigenous peoples differ from other minority groups by the </w:t>
      </w:r>
      <w:r w:rsidRPr="0069399F">
        <w:t xml:space="preserve">virtue of being first-nation peoples. This creates a different relationship to the state. On this basis Māori people rightly claim their special status by having dedicated seats in Parliament (Taonui, 2017). Mansbridge (2005) states that in the case of women, descriptive representation can only be achieved through some form of quota. Future research should show whether dedicated seats or some other form of </w:t>
      </w:r>
      <w:r w:rsidR="002851D3">
        <w:t>quota</w:t>
      </w:r>
      <w:r w:rsidR="00217F22">
        <w:t xml:space="preserve"> </w:t>
      </w:r>
      <w:r w:rsidRPr="0069399F">
        <w:t xml:space="preserve">could establish substantive claims for other minority groups. The next section goes deeper into the limitations of this thesis resulting in recommendations for further research. </w:t>
      </w:r>
    </w:p>
    <w:p w14:paraId="64533878" w14:textId="77777777" w:rsidR="00A457C4" w:rsidRDefault="00A457C4" w:rsidP="003748A1">
      <w:pPr>
        <w:pStyle w:val="Geenafstand"/>
        <w:spacing w:line="360" w:lineRule="auto"/>
        <w:jc w:val="both"/>
      </w:pPr>
      <w:bookmarkStart w:id="271" w:name="_Toc74317134"/>
      <w:bookmarkStart w:id="272" w:name="_Toc74583851"/>
    </w:p>
    <w:p w14:paraId="1274841F" w14:textId="387B114B" w:rsidR="00AB500D" w:rsidRPr="00D13F76" w:rsidRDefault="0069399F" w:rsidP="00A457C4">
      <w:pPr>
        <w:pStyle w:val="Kop2"/>
        <w:rPr>
          <w:lang w:val="en-GB"/>
        </w:rPr>
      </w:pPr>
      <w:bookmarkStart w:id="273" w:name="_Toc75384121"/>
      <w:r w:rsidRPr="00D13F76">
        <w:rPr>
          <w:lang w:val="en-GB"/>
        </w:rPr>
        <w:t>5.4 Limitation</w:t>
      </w:r>
      <w:r w:rsidR="002B525F" w:rsidRPr="00D13F76">
        <w:rPr>
          <w:lang w:val="en-GB"/>
        </w:rPr>
        <w:t>s</w:t>
      </w:r>
      <w:r w:rsidRPr="00D13F76">
        <w:rPr>
          <w:lang w:val="en-GB"/>
        </w:rPr>
        <w:t xml:space="preserve"> of this thesis</w:t>
      </w:r>
      <w:bookmarkEnd w:id="271"/>
      <w:bookmarkEnd w:id="272"/>
      <w:bookmarkEnd w:id="273"/>
    </w:p>
    <w:p w14:paraId="1DF29F99" w14:textId="1A133EE9" w:rsidR="00AB500D" w:rsidRDefault="0069399F" w:rsidP="00A457C4">
      <w:pPr>
        <w:pStyle w:val="Geenafstand"/>
        <w:spacing w:line="360" w:lineRule="auto"/>
        <w:ind w:firstLine="708"/>
        <w:jc w:val="both"/>
      </w:pPr>
      <w:r w:rsidRPr="0069399F">
        <w:t>Aotearoa New Zealand proved to be an appropriate case in confirming the hypothesis</w:t>
      </w:r>
      <w:r w:rsidR="00F256FC">
        <w:t xml:space="preserve"> of this thesis</w:t>
      </w:r>
      <w:r w:rsidRPr="0069399F">
        <w:t>.</w:t>
      </w:r>
      <w:r w:rsidR="00A70DC5">
        <w:t xml:space="preserve"> However, d</w:t>
      </w:r>
      <w:r w:rsidRPr="0069399F">
        <w:t xml:space="preserve">ue to the overrepresentation of Māori people in the Parliament of Aotearoa New Zealand, </w:t>
      </w:r>
      <w:r w:rsidR="00B94712">
        <w:t>one has to be careful</w:t>
      </w:r>
      <w:r w:rsidRPr="0069399F">
        <w:t xml:space="preserve"> of a sample bias</w:t>
      </w:r>
      <w:r w:rsidR="00746661">
        <w:t>. M</w:t>
      </w:r>
      <w:r w:rsidRPr="0069399F">
        <w:t xml:space="preserve">eaning that a case is chosen because of its highly chance to success (Gerring, 2016). As stated in chapter </w:t>
      </w:r>
      <w:r w:rsidR="006F0193">
        <w:t>3</w:t>
      </w:r>
      <w:r w:rsidRPr="0069399F">
        <w:t xml:space="preserve">, Aotearoa New Zealand is chosen as a possible </w:t>
      </w:r>
      <w:r w:rsidRPr="0069399F">
        <w:rPr>
          <w:i/>
          <w:iCs/>
        </w:rPr>
        <w:t>pathway case</w:t>
      </w:r>
      <w:r w:rsidRPr="0069399F">
        <w:t>. A</w:t>
      </w:r>
      <w:r w:rsidRPr="0069399F">
        <w:rPr>
          <w:color w:val="000000"/>
        </w:rPr>
        <w:t xml:space="preserve"> </w:t>
      </w:r>
      <w:r w:rsidRPr="0069399F">
        <w:rPr>
          <w:i/>
          <w:iCs/>
          <w:color w:val="000000"/>
        </w:rPr>
        <w:t>pathway case</w:t>
      </w:r>
      <w:r w:rsidRPr="0069399F">
        <w:rPr>
          <w:color w:val="000000"/>
        </w:rPr>
        <w:t xml:space="preserve"> illustrates the theory in a way that the impact of X on Y confirms the hypothesis (Gerring, 2016). The results of this thesis indeed confirm the hypothesis that followed from the theoretical framework. As mentioned before, Aotearoa New Zealand provides unique conditions with the dedicated seats for </w:t>
      </w:r>
      <w:r w:rsidRPr="0069399F">
        <w:t>Māori people. The sufficient representation makes it possible to study the effect of descriptive representation on the substantive claims being made. However, this is at the expense of the external validity</w:t>
      </w:r>
      <w:r w:rsidR="00A70DC5">
        <w:t xml:space="preserve"> because comparable countries like Australia, Canada and the United States struggle with the political representation of their indigenous peoples.</w:t>
      </w:r>
      <w:r w:rsidRPr="0069399F">
        <w:t xml:space="preserve"> But the advantage of a single case study reveals itself in a deep and thorough study</w:t>
      </w:r>
      <w:r w:rsidR="004D4088">
        <w:t xml:space="preserve">. </w:t>
      </w:r>
      <w:r w:rsidRPr="0069399F">
        <w:t xml:space="preserve">As stated, the expectation is that the findings are generalizable to other liberal </w:t>
      </w:r>
      <w:r w:rsidR="00E81364">
        <w:t>democracies</w:t>
      </w:r>
      <w:r w:rsidRPr="0069399F">
        <w:t xml:space="preserve"> and population groups.</w:t>
      </w:r>
      <w:r w:rsidR="008F32D4">
        <w:t xml:space="preserve"> C</w:t>
      </w:r>
      <w:r w:rsidRPr="0069399F">
        <w:t xml:space="preserve">omparative research is needed to determine the degree of applicability of the results of this thesis. However, this thesis provides a first step into the research of indigenous groups in Parliament. </w:t>
      </w:r>
    </w:p>
    <w:p w14:paraId="384D617C" w14:textId="3ACF4863" w:rsidR="009C2CD7" w:rsidRPr="0069399F" w:rsidRDefault="00BF4F21" w:rsidP="003748A1">
      <w:pPr>
        <w:pStyle w:val="Geenafstand"/>
        <w:spacing w:line="360" w:lineRule="auto"/>
        <w:ind w:firstLine="708"/>
        <w:jc w:val="both"/>
      </w:pPr>
      <w:r>
        <w:lastRenderedPageBreak/>
        <w:t xml:space="preserve">This thesis focusses on the link between descriptive representation and substantive claims. However, this reveals only a limited part of substantive representation. </w:t>
      </w:r>
      <w:r w:rsidR="003032F8">
        <w:t xml:space="preserve">Substantive representation does not only consist of </w:t>
      </w:r>
      <w:r w:rsidR="00FC71C3">
        <w:t>what MPs claim to do, but also of the actual policy outcomes in the end.</w:t>
      </w:r>
      <w:r w:rsidR="00052B19">
        <w:t xml:space="preserve"> </w:t>
      </w:r>
      <w:r w:rsidR="004C1ADF">
        <w:t xml:space="preserve">Future research should prove whether these claims are </w:t>
      </w:r>
      <w:r w:rsidR="001160B1">
        <w:t xml:space="preserve">turned into </w:t>
      </w:r>
      <w:r w:rsidR="00FD2D32">
        <w:t>actions</w:t>
      </w:r>
      <w:r w:rsidR="001160B1">
        <w:t>.</w:t>
      </w:r>
      <w:r w:rsidR="00D64252">
        <w:t xml:space="preserve"> </w:t>
      </w:r>
      <w:r w:rsidR="00204A2A">
        <w:t xml:space="preserve"> </w:t>
      </w:r>
    </w:p>
    <w:p w14:paraId="36DC476B" w14:textId="32E05974" w:rsidR="0069399F" w:rsidRPr="007D0323" w:rsidRDefault="0069399F" w:rsidP="003748A1">
      <w:pPr>
        <w:pStyle w:val="Geenafstand"/>
        <w:spacing w:line="360" w:lineRule="auto"/>
        <w:jc w:val="both"/>
      </w:pPr>
      <w:r w:rsidRPr="0069399F">
        <w:tab/>
        <w:t xml:space="preserve">Another limitation refers to the method of ‘the representative claim’ of Saward (2008). The scope of this thesis is limited in terms of the application of the claims-making analysis. As already explained, a claims-making analysis takes a broad view on political representation by analysing many aspects of a claim. However, this thesis used a restricted version of the claims-making analysis. </w:t>
      </w:r>
      <w:r w:rsidR="00F647A1">
        <w:t xml:space="preserve">It </w:t>
      </w:r>
      <w:r w:rsidRPr="0069399F">
        <w:t>is limited in three ways. First, according to Saward (2008) the claimant can be anyone, but this thesis only took MPs into account. This is because the parliamentary process reveals the core of political representation</w:t>
      </w:r>
      <w:r w:rsidR="0062676D">
        <w:t xml:space="preserve"> </w:t>
      </w:r>
      <w:r w:rsidRPr="0069399F">
        <w:t>(Wängnerud, 2009). Second</w:t>
      </w:r>
      <w:r w:rsidR="00B81D3F">
        <w:t>ly</w:t>
      </w:r>
      <w:r w:rsidRPr="0069399F">
        <w:t>, the location</w:t>
      </w:r>
      <w:r w:rsidR="00B81D3F">
        <w:t xml:space="preserve"> is limited</w:t>
      </w:r>
      <w:r w:rsidR="00BE333C">
        <w:t>. W</w:t>
      </w:r>
      <w:r w:rsidRPr="0069399F">
        <w:t>here this thesis only analysed parliamentary speeches, claims can be made on much more areas. Future research could study claims being made in the media</w:t>
      </w:r>
      <w:r w:rsidR="00B81D3F">
        <w:t>, for example</w:t>
      </w:r>
      <w:r w:rsidRPr="0069399F">
        <w:t>. Third</w:t>
      </w:r>
      <w:r w:rsidR="00B81D3F">
        <w:t>ly</w:t>
      </w:r>
      <w:r w:rsidRPr="0069399F">
        <w:t xml:space="preserve">, the absence of the audience. The audience takes an important place in Saward’s (2006) theory. The relationship between the claimant and the audience makes it dynamic (Phillips, 2019). The </w:t>
      </w:r>
      <w:r w:rsidR="005533D9">
        <w:t xml:space="preserve">claims-making analysis </w:t>
      </w:r>
      <w:r w:rsidR="003C2C5B">
        <w:t>of</w:t>
      </w:r>
      <w:r w:rsidR="005533D9">
        <w:t xml:space="preserve"> this thesis misses the role of the </w:t>
      </w:r>
      <w:r w:rsidRPr="0069399F">
        <w:t>audience, in this case the electorate</w:t>
      </w:r>
      <w:r w:rsidR="005533D9">
        <w:t>.</w:t>
      </w:r>
      <w:r w:rsidRPr="0069399F">
        <w:t xml:space="preserve"> </w:t>
      </w:r>
      <w:r w:rsidR="002C0E30">
        <w:t>The electorate has an important role in political representation by having the possibility to react</w:t>
      </w:r>
      <w:r w:rsidRPr="0069399F">
        <w:t xml:space="preserve"> to </w:t>
      </w:r>
      <w:r w:rsidR="002C0E30">
        <w:t xml:space="preserve">the choices of </w:t>
      </w:r>
      <w:r w:rsidRPr="0069399F">
        <w:t>MPs. The most accessible and obvious way is to punish or reward a</w:t>
      </w:r>
      <w:r w:rsidR="008E2648">
        <w:t>n</w:t>
      </w:r>
      <w:r w:rsidRPr="0069399F">
        <w:t xml:space="preserve"> MP by (not) voting for them in the next election. But the reaction of the electorate could also be via for example social media. Since this thesis did not study the role of the audience, the interpretation of the parliamentary representation is possibly biased. </w:t>
      </w:r>
      <w:r w:rsidR="008073A4">
        <w:t>This becomes clear out the</w:t>
      </w:r>
      <w:r w:rsidRPr="0069399F">
        <w:t xml:space="preserve"> work of the addressees</w:t>
      </w:r>
      <w:r w:rsidR="008073A4">
        <w:t xml:space="preserve">. This </w:t>
      </w:r>
      <w:r w:rsidRPr="0069399F">
        <w:t xml:space="preserve">was </w:t>
      </w:r>
      <w:r w:rsidR="00B8104E">
        <w:t>for the most part</w:t>
      </w:r>
      <w:r w:rsidRPr="0069399F">
        <w:t xml:space="preserve"> evaluated successful</w:t>
      </w:r>
      <w:r w:rsidR="004451A2">
        <w:t>ly</w:t>
      </w:r>
      <w:r w:rsidRPr="0069399F">
        <w:t xml:space="preserve">. However, these evaluations are done by MPs themselves, not by the broader </w:t>
      </w:r>
      <w:r w:rsidRPr="0069399F">
        <w:rPr>
          <w:color w:val="000000"/>
          <w:highlight w:val="white"/>
        </w:rPr>
        <w:t>Māori</w:t>
      </w:r>
      <w:r w:rsidRPr="0069399F">
        <w:rPr>
          <w:color w:val="000000"/>
        </w:rPr>
        <w:t xml:space="preserve"> population. Mutu (2018) states that the frame</w:t>
      </w:r>
      <w:r w:rsidRPr="0069399F">
        <w:t>d</w:t>
      </w:r>
      <w:r w:rsidRPr="0069399F">
        <w:rPr>
          <w:color w:val="000000"/>
        </w:rPr>
        <w:t xml:space="preserve"> success of the settlement bills does not per se lead to an improvement for </w:t>
      </w:r>
      <w:r w:rsidRPr="0069399F">
        <w:rPr>
          <w:color w:val="000000"/>
          <w:highlight w:val="white"/>
        </w:rPr>
        <w:t>Māori</w:t>
      </w:r>
      <w:r w:rsidRPr="0069399F">
        <w:rPr>
          <w:color w:val="000000"/>
        </w:rPr>
        <w:t xml:space="preserve"> people. Therefore, it is crucial to take the audience into account in further research </w:t>
      </w:r>
      <w:r w:rsidRPr="0069399F">
        <w:t>into the</w:t>
      </w:r>
      <w:r w:rsidRPr="0069399F">
        <w:rPr>
          <w:color w:val="000000"/>
        </w:rPr>
        <w:t xml:space="preserve"> political representation of indigenous peoples to see whether the claims made</w:t>
      </w:r>
      <w:r w:rsidR="000A507F">
        <w:rPr>
          <w:color w:val="000000"/>
        </w:rPr>
        <w:t>,</w:t>
      </w:r>
      <w:r w:rsidRPr="0069399F">
        <w:rPr>
          <w:color w:val="000000"/>
        </w:rPr>
        <w:t xml:space="preserve"> are accepted by the audience.</w:t>
      </w:r>
      <w:r w:rsidR="00365E15">
        <w:rPr>
          <w:color w:val="000000"/>
        </w:rPr>
        <w:t xml:space="preserve"> </w:t>
      </w:r>
      <w:r w:rsidRPr="0069399F">
        <w:rPr>
          <w:color w:val="000000"/>
        </w:rPr>
        <w:t xml:space="preserve">This could be an issue in understanding whether there was indeed more substantive representation. This thesis finds an effect revealing the impact of descriptive representation on substantive claims, </w:t>
      </w:r>
      <w:r w:rsidR="00365E15">
        <w:rPr>
          <w:color w:val="000000"/>
        </w:rPr>
        <w:t xml:space="preserve">but </w:t>
      </w:r>
      <w:r w:rsidRPr="0069399F">
        <w:rPr>
          <w:color w:val="000000"/>
        </w:rPr>
        <w:t xml:space="preserve">this captures only one part of substantive representation. </w:t>
      </w:r>
      <w:r w:rsidR="002427AD">
        <w:rPr>
          <w:color w:val="000000"/>
        </w:rPr>
        <w:t>Even though the claims-making analysis has these limitations it was still chose</w:t>
      </w:r>
      <w:r w:rsidR="004C7438">
        <w:rPr>
          <w:color w:val="000000"/>
        </w:rPr>
        <w:t>n</w:t>
      </w:r>
      <w:r w:rsidR="002427AD">
        <w:rPr>
          <w:color w:val="000000"/>
        </w:rPr>
        <w:t xml:space="preserve"> because </w:t>
      </w:r>
      <w:r w:rsidR="008353B0">
        <w:rPr>
          <w:color w:val="000000"/>
        </w:rPr>
        <w:t xml:space="preserve">it </w:t>
      </w:r>
      <w:r w:rsidR="00310E5F">
        <w:rPr>
          <w:color w:val="000000"/>
        </w:rPr>
        <w:t>closely aligns the theories that take a broader view on representation</w:t>
      </w:r>
      <w:r w:rsidR="004F00DE">
        <w:rPr>
          <w:color w:val="000000"/>
        </w:rPr>
        <w:t>,</w:t>
      </w:r>
      <w:r w:rsidR="00310E5F">
        <w:rPr>
          <w:color w:val="000000"/>
        </w:rPr>
        <w:t xml:space="preserve"> and it therefore </w:t>
      </w:r>
      <w:r w:rsidR="008353B0">
        <w:rPr>
          <w:color w:val="000000"/>
        </w:rPr>
        <w:t xml:space="preserve">captures </w:t>
      </w:r>
      <w:r w:rsidR="004E4C4B">
        <w:rPr>
          <w:color w:val="000000"/>
        </w:rPr>
        <w:t xml:space="preserve">many aspects of </w:t>
      </w:r>
      <w:r w:rsidR="00310E5F">
        <w:rPr>
          <w:color w:val="000000"/>
        </w:rPr>
        <w:t>claims made by representatives</w:t>
      </w:r>
      <w:r w:rsidR="004E4C4B">
        <w:rPr>
          <w:color w:val="000000"/>
        </w:rPr>
        <w:t xml:space="preserve">. </w:t>
      </w:r>
    </w:p>
    <w:p w14:paraId="3BACB1C2" w14:textId="67AA45B5" w:rsidR="0069399F" w:rsidRPr="0069399F" w:rsidRDefault="0069399F" w:rsidP="00A457C4">
      <w:pPr>
        <w:pStyle w:val="Geenafstand"/>
        <w:spacing w:line="360" w:lineRule="auto"/>
        <w:ind w:firstLine="708"/>
        <w:jc w:val="both"/>
      </w:pPr>
      <w:r w:rsidRPr="0069399F">
        <w:rPr>
          <w:color w:val="000000"/>
        </w:rPr>
        <w:t xml:space="preserve">In sum, this thesis focussed on substantive claims-making of </w:t>
      </w:r>
      <w:r w:rsidRPr="0069399F">
        <w:rPr>
          <w:color w:val="000000"/>
          <w:highlight w:val="white"/>
        </w:rPr>
        <w:t>Māori</w:t>
      </w:r>
      <w:r w:rsidRPr="0069399F">
        <w:rPr>
          <w:color w:val="000000"/>
        </w:rPr>
        <w:t xml:space="preserve"> people. Future research could broaden this study in several ways. First by including not only parliamentary actors, but also actors in for example the business or cultural world. Second, future research could broaden the scope of the location to other areas, such as the media. Third, the dynamic relationship should be taken into account to capture a full picture of substantive representation. In this way not only the claims</w:t>
      </w:r>
      <w:r w:rsidR="00434264">
        <w:rPr>
          <w:color w:val="000000"/>
        </w:rPr>
        <w:t xml:space="preserve"> </w:t>
      </w:r>
      <w:r w:rsidRPr="0069399F">
        <w:rPr>
          <w:color w:val="000000"/>
        </w:rPr>
        <w:t xml:space="preserve">should </w:t>
      </w:r>
      <w:r w:rsidRPr="0069399F">
        <w:rPr>
          <w:color w:val="000000"/>
        </w:rPr>
        <w:lastRenderedPageBreak/>
        <w:t>be taken into account, but also the policy outcomes and the evaluation and reaction of the electorate to these policies. The next section will conclude this thesis by describing the main findings.</w:t>
      </w:r>
    </w:p>
    <w:p w14:paraId="45B93554" w14:textId="77777777" w:rsidR="00C50198" w:rsidRDefault="00C50198" w:rsidP="003748A1">
      <w:pPr>
        <w:pStyle w:val="Geenafstand"/>
        <w:spacing w:line="360" w:lineRule="auto"/>
        <w:jc w:val="both"/>
      </w:pPr>
      <w:bookmarkStart w:id="274" w:name="_Toc74317135"/>
      <w:bookmarkStart w:id="275" w:name="_Toc74583852"/>
    </w:p>
    <w:p w14:paraId="6B2C29CE" w14:textId="56DBB4F0" w:rsidR="0069399F" w:rsidRPr="00D13F76" w:rsidRDefault="0069399F" w:rsidP="00C50198">
      <w:pPr>
        <w:pStyle w:val="Kop2"/>
        <w:rPr>
          <w:lang w:val="en-GB"/>
        </w:rPr>
      </w:pPr>
      <w:bookmarkStart w:id="276" w:name="_Toc75384122"/>
      <w:r w:rsidRPr="00D13F76">
        <w:rPr>
          <w:lang w:val="en-GB"/>
        </w:rPr>
        <w:t>5.5 Conclusion</w:t>
      </w:r>
      <w:bookmarkEnd w:id="274"/>
      <w:bookmarkEnd w:id="275"/>
      <w:bookmarkEnd w:id="276"/>
    </w:p>
    <w:p w14:paraId="184CA4DF" w14:textId="7ADEA318" w:rsidR="0069399F" w:rsidRPr="0069399F" w:rsidRDefault="0069399F" w:rsidP="003748A1">
      <w:pPr>
        <w:pStyle w:val="Geenafstand"/>
        <w:spacing w:line="360" w:lineRule="auto"/>
        <w:jc w:val="both"/>
      </w:pPr>
      <w:r w:rsidRPr="0069399F">
        <w:tab/>
        <w:t xml:space="preserve">The aim of this thesis was to study the relationship between descriptive representation and substantive claims-making of indigenous peoples in liberal </w:t>
      </w:r>
      <w:r w:rsidR="000360EC">
        <w:t>democra</w:t>
      </w:r>
      <w:r w:rsidR="00B81D87">
        <w:t>cies</w:t>
      </w:r>
      <w:r w:rsidRPr="0069399F">
        <w:t xml:space="preserve">. This link has been found </w:t>
      </w:r>
      <w:r w:rsidR="00ED5BB1">
        <w:t xml:space="preserve">by </w:t>
      </w:r>
      <w:r w:rsidRPr="0069399F">
        <w:t xml:space="preserve">using Aotearoa New Zealand as </w:t>
      </w:r>
      <w:r w:rsidR="00521781">
        <w:t xml:space="preserve">a </w:t>
      </w:r>
      <w:r w:rsidRPr="0069399F">
        <w:t xml:space="preserve">single case study. </w:t>
      </w:r>
      <w:r w:rsidR="00A8248C">
        <w:t>The</w:t>
      </w:r>
      <w:r w:rsidR="0071662E">
        <w:t xml:space="preserve"> starting point of the</w:t>
      </w:r>
      <w:r w:rsidR="00E6746B">
        <w:t xml:space="preserve"> theoretical framework</w:t>
      </w:r>
      <w:r w:rsidR="0071662E">
        <w:t xml:space="preserve"> is provided by the work of Pitkin (1967)</w:t>
      </w:r>
      <w:r w:rsidR="007B4EDD">
        <w:t xml:space="preserve">, who sets out </w:t>
      </w:r>
      <w:r w:rsidR="00E44EEB">
        <w:t>separate</w:t>
      </w:r>
      <w:r w:rsidR="007B4EDD">
        <w:t xml:space="preserve"> forms of </w:t>
      </w:r>
      <w:r w:rsidR="00914D4C">
        <w:t xml:space="preserve">political </w:t>
      </w:r>
      <w:r w:rsidR="007B4EDD">
        <w:t xml:space="preserve">representation. </w:t>
      </w:r>
      <w:r w:rsidR="00EF5290">
        <w:t xml:space="preserve">Other scholars reacted to this by </w:t>
      </w:r>
      <w:r w:rsidR="000F56CD">
        <w:t>finding</w:t>
      </w:r>
      <w:r w:rsidR="00EF5290">
        <w:t xml:space="preserve"> evidence that </w:t>
      </w:r>
      <w:r w:rsidRPr="0069399F">
        <w:t>reveal</w:t>
      </w:r>
      <w:r w:rsidR="00A8248C">
        <w:t>s</w:t>
      </w:r>
      <w:r w:rsidRPr="0069399F">
        <w:t xml:space="preserve"> an important role for descriptive representation in establishing substantive representation </w:t>
      </w:r>
      <w:r w:rsidRPr="0069399F">
        <w:rPr>
          <w:color w:val="000000"/>
        </w:rPr>
        <w:t>(Wängnerud, 2009; Ruedin, 2020; Sawer, Trembay and Trimble, 2006; Curtin, 2008; Mansbridge, 2005; Maddison, 2010; Summersby, 2009</w:t>
      </w:r>
      <w:r w:rsidR="004401C6">
        <w:rPr>
          <w:color w:val="000000"/>
        </w:rPr>
        <w:t xml:space="preserve"> and</w:t>
      </w:r>
      <w:r w:rsidRPr="0069399F">
        <w:rPr>
          <w:color w:val="000000"/>
        </w:rPr>
        <w:t xml:space="preserve"> White, 2017)</w:t>
      </w:r>
      <w:r w:rsidR="00166AE5">
        <w:rPr>
          <w:color w:val="000000"/>
        </w:rPr>
        <w:t xml:space="preserve">. These studies are contradicted by </w:t>
      </w:r>
      <w:r w:rsidR="00EF5290">
        <w:rPr>
          <w:color w:val="000000"/>
        </w:rPr>
        <w:t xml:space="preserve">some </w:t>
      </w:r>
      <w:r w:rsidR="00E05707">
        <w:rPr>
          <w:color w:val="000000"/>
        </w:rPr>
        <w:t>studies</w:t>
      </w:r>
      <w:r w:rsidRPr="0069399F">
        <w:rPr>
          <w:color w:val="000000"/>
        </w:rPr>
        <w:t xml:space="preserve"> that </w:t>
      </w:r>
      <w:r w:rsidR="00166AE5">
        <w:rPr>
          <w:color w:val="000000"/>
        </w:rPr>
        <w:t>do</w:t>
      </w:r>
      <w:r w:rsidR="00501A63">
        <w:rPr>
          <w:color w:val="000000"/>
        </w:rPr>
        <w:t xml:space="preserve"> not find</w:t>
      </w:r>
      <w:r w:rsidRPr="0069399F">
        <w:rPr>
          <w:color w:val="000000"/>
        </w:rPr>
        <w:t xml:space="preserve"> such a link (Snagovsky et al., 2020; Chesterman, 2006)</w:t>
      </w:r>
      <w:r w:rsidR="00A8248C">
        <w:rPr>
          <w:color w:val="000000"/>
        </w:rPr>
        <w:t>.</w:t>
      </w:r>
      <w:r w:rsidRPr="0069399F">
        <w:rPr>
          <w:color w:val="000000"/>
        </w:rPr>
        <w:t xml:space="preserve"> </w:t>
      </w:r>
      <w:r w:rsidR="003579B9">
        <w:rPr>
          <w:color w:val="000000"/>
        </w:rPr>
        <w:t>Finally, o</w:t>
      </w:r>
      <w:r w:rsidRPr="0069399F">
        <w:rPr>
          <w:color w:val="000000"/>
        </w:rPr>
        <w:t>ther scholars that were included in the theoretical framework emphasize the importance of the inclusion of symbolic representation in the study to political representation</w:t>
      </w:r>
      <w:r w:rsidR="00582834">
        <w:rPr>
          <w:color w:val="000000"/>
        </w:rPr>
        <w:t xml:space="preserve"> </w:t>
      </w:r>
      <w:r w:rsidR="00582834" w:rsidRPr="0069399F">
        <w:rPr>
          <w:color w:val="000000"/>
        </w:rPr>
        <w:t>(Saward, 2006, 2008; Schwindt-Bayer and Mishler, 2005; Severs, 2012 and Mackay, 2008)</w:t>
      </w:r>
      <w:r w:rsidRPr="0069399F">
        <w:rPr>
          <w:color w:val="000000"/>
        </w:rPr>
        <w:t xml:space="preserve">. A claims-making analysis was used to identify the 230 claims made on behalf of </w:t>
      </w:r>
      <w:r w:rsidRPr="0069399F">
        <w:t>Māori people in</w:t>
      </w:r>
      <w:r w:rsidRPr="0069399F">
        <w:rPr>
          <w:color w:val="000000"/>
        </w:rPr>
        <w:t xml:space="preserve"> the parliamentary speeches between 23 July 2019 and 17 February 2021. Overall, the main results show that </w:t>
      </w:r>
      <w:r w:rsidRPr="0069399F">
        <w:t>Māori MPs are more likely to make claims on behalf of Māori people than non-Māori MPs. This effect becomes stronger when Māori MPs are chosen on behalf of the Māori roll or Party. The Labour and Māori party turned out to be key in the representation of Māori people. However, future studies should determine whether these substantive claims of the MPs match with their actions.</w:t>
      </w:r>
    </w:p>
    <w:p w14:paraId="5DCBE114" w14:textId="77777777" w:rsidR="004E7D5B" w:rsidRDefault="0069399F" w:rsidP="00A41D52">
      <w:pPr>
        <w:pStyle w:val="Geenafstand"/>
        <w:spacing w:line="360" w:lineRule="auto"/>
        <w:ind w:firstLine="708"/>
        <w:jc w:val="both"/>
      </w:pPr>
      <w:r w:rsidRPr="0069399F">
        <w:t xml:space="preserve">The issues that were mostly addressed were the ‘Treaty of Waitangi/Crown-Māori relation’ and ‘governance, autonomy and self-determination’. </w:t>
      </w:r>
      <w:r w:rsidRPr="0069399F">
        <w:rPr>
          <w:color w:val="000000"/>
        </w:rPr>
        <w:t xml:space="preserve">The object on which behalf the claims were made were </w:t>
      </w:r>
      <w:r w:rsidR="00A27093">
        <w:rPr>
          <w:color w:val="000000"/>
        </w:rPr>
        <w:t>mos</w:t>
      </w:r>
      <w:r w:rsidR="00B8104E">
        <w:rPr>
          <w:color w:val="000000"/>
        </w:rPr>
        <w:t>tl</w:t>
      </w:r>
      <w:r w:rsidR="00A27093">
        <w:rPr>
          <w:color w:val="000000"/>
        </w:rPr>
        <w:t>y</w:t>
      </w:r>
      <w:r w:rsidRPr="0069399F">
        <w:rPr>
          <w:color w:val="000000"/>
        </w:rPr>
        <w:t xml:space="preserve"> the whole Māori population. There were three main addressees</w:t>
      </w:r>
      <w:r w:rsidR="007E4943">
        <w:rPr>
          <w:color w:val="000000"/>
        </w:rPr>
        <w:t>:</w:t>
      </w:r>
      <w:r w:rsidRPr="0069399F">
        <w:rPr>
          <w:color w:val="000000"/>
        </w:rPr>
        <w:t xml:space="preserve"> the government, other MPs/</w:t>
      </w:r>
      <w:r w:rsidR="003430A4" w:rsidRPr="0069399F">
        <w:rPr>
          <w:color w:val="000000"/>
        </w:rPr>
        <w:t>Parliament,</w:t>
      </w:r>
      <w:r w:rsidRPr="0069399F">
        <w:rPr>
          <w:color w:val="000000"/>
        </w:rPr>
        <w:t xml:space="preserve"> and the Māori Affairs Committee. They were mostly positively evaluated by the claimant. A claim was identified as substantive when an addressee, who was asked to </w:t>
      </w:r>
      <w:r w:rsidR="00621058" w:rsidRPr="0069399F">
        <w:rPr>
          <w:color w:val="000000"/>
        </w:rPr>
        <w:t>act</w:t>
      </w:r>
      <w:r w:rsidRPr="0069399F">
        <w:rPr>
          <w:color w:val="000000"/>
        </w:rPr>
        <w:t xml:space="preserve">, was present. This was the case in most instances. However, also a considerable part of the claims did not consist of an addressee and was therefore identified as </w:t>
      </w:r>
      <w:r w:rsidR="00717377">
        <w:rPr>
          <w:color w:val="000000"/>
        </w:rPr>
        <w:t xml:space="preserve">a </w:t>
      </w:r>
      <w:r w:rsidRPr="0069399F">
        <w:rPr>
          <w:color w:val="000000"/>
        </w:rPr>
        <w:t>symbolic</w:t>
      </w:r>
      <w:r w:rsidR="00717377">
        <w:rPr>
          <w:color w:val="000000"/>
        </w:rPr>
        <w:t xml:space="preserve"> claim</w:t>
      </w:r>
      <w:r w:rsidRPr="0069399F">
        <w:rPr>
          <w:color w:val="000000"/>
        </w:rPr>
        <w:t>. In 20% of the claims the claimant identified themselves with the Māori population by making an attempt to unification.</w:t>
      </w:r>
      <w:r w:rsidRPr="0069399F">
        <w:t xml:space="preserve"> The justification </w:t>
      </w:r>
      <w:r w:rsidR="00621058" w:rsidRPr="0069399F">
        <w:t>most used</w:t>
      </w:r>
      <w:r w:rsidRPr="0069399F">
        <w:t xml:space="preserve"> was ‘injustice’. Revealing that </w:t>
      </w:r>
      <w:r w:rsidRPr="0069399F">
        <w:rPr>
          <w:color w:val="000000"/>
        </w:rPr>
        <w:t>Māori people still experience an unjust position in many policy areas. The results display a hopeful picture for the future of the political representation of indigenous peoples.</w:t>
      </w:r>
      <w:r w:rsidRPr="0069399F">
        <w:t xml:space="preserve"> When indigenous peoples are represented in Parliament, they make substantive claims in </w:t>
      </w:r>
      <w:r w:rsidR="005226B0">
        <w:t xml:space="preserve">the </w:t>
      </w:r>
      <w:r w:rsidRPr="0069399F">
        <w:t xml:space="preserve">name of their people. This thesis proves that the descriptive representation leads to substantive claims in case of </w:t>
      </w:r>
      <w:r w:rsidRPr="0069399F">
        <w:rPr>
          <w:color w:val="000000"/>
        </w:rPr>
        <w:t>Māori people.</w:t>
      </w:r>
      <w:r w:rsidRPr="0069399F">
        <w:t xml:space="preserve"> </w:t>
      </w:r>
    </w:p>
    <w:p w14:paraId="34506645" w14:textId="5B3D6801" w:rsidR="003303C3" w:rsidRPr="00922DFF" w:rsidRDefault="00315301" w:rsidP="00A41D52">
      <w:pPr>
        <w:pStyle w:val="Geenafstand"/>
        <w:spacing w:line="360" w:lineRule="auto"/>
        <w:ind w:firstLine="708"/>
        <w:jc w:val="both"/>
        <w:rPr>
          <w:rFonts w:eastAsiaTheme="minorHAnsi"/>
        </w:rPr>
      </w:pPr>
      <w:r>
        <w:lastRenderedPageBreak/>
        <w:t xml:space="preserve">I want to conclude with </w:t>
      </w:r>
      <w:r w:rsidR="00247F2B">
        <w:t xml:space="preserve">the </w:t>
      </w:r>
      <w:r w:rsidR="000F183D">
        <w:t>notion</w:t>
      </w:r>
      <w:r w:rsidR="00247F2B">
        <w:t xml:space="preserve"> that</w:t>
      </w:r>
      <w:r w:rsidR="00A31F50">
        <w:t xml:space="preserve"> political representation is all about equality. Therefore</w:t>
      </w:r>
      <w:r w:rsidR="007E4943">
        <w:t>,</w:t>
      </w:r>
      <w:r w:rsidR="00247F2B">
        <w:t xml:space="preserve"> descriptive representation matters</w:t>
      </w:r>
      <w:r w:rsidR="00A31F50">
        <w:t xml:space="preserve">; </w:t>
      </w:r>
      <w:r w:rsidR="00247F2B">
        <w:t xml:space="preserve">all </w:t>
      </w:r>
      <w:r w:rsidR="00FE7E5F">
        <w:t xml:space="preserve">people </w:t>
      </w:r>
      <w:r w:rsidR="000D216E">
        <w:t>deserve</w:t>
      </w:r>
      <w:r w:rsidR="00FE7E5F">
        <w:t xml:space="preserve"> a voice in politics. </w:t>
      </w:r>
      <w:r w:rsidR="0047691B">
        <w:t xml:space="preserve">This thesis proves that </w:t>
      </w:r>
      <w:r w:rsidR="0093423A">
        <w:t>the descriptive representation</w:t>
      </w:r>
      <w:r w:rsidR="0047691B">
        <w:t xml:space="preserve"> does enhance </w:t>
      </w:r>
      <w:r w:rsidR="00071EE9">
        <w:t>people</w:t>
      </w:r>
      <w:r w:rsidR="007E4943">
        <w:t>’</w:t>
      </w:r>
      <w:r w:rsidR="00071EE9">
        <w:t>s</w:t>
      </w:r>
      <w:r w:rsidR="0047691B">
        <w:t xml:space="preserve"> representation in the discourse of the parliamentary arena. Future research should examine whether this also leads to an improvement of </w:t>
      </w:r>
      <w:r w:rsidR="007E4943">
        <w:t>people’s</w:t>
      </w:r>
      <w:r w:rsidR="0047691B">
        <w:t xml:space="preserve"> everyday lives</w:t>
      </w:r>
      <w:r w:rsidR="001124CC">
        <w:t xml:space="preserve"> resulting in </w:t>
      </w:r>
      <w:r w:rsidR="00DB2250">
        <w:t>practical equality.</w:t>
      </w:r>
      <w:r w:rsidR="003303C3">
        <w:br w:type="page"/>
      </w:r>
    </w:p>
    <w:p w14:paraId="2BE6B6BE" w14:textId="5ACD2930" w:rsidR="008870D3" w:rsidRDefault="00C11021" w:rsidP="008870D3">
      <w:pPr>
        <w:pStyle w:val="Kop1"/>
        <w:rPr>
          <w:lang w:val="en-GB"/>
        </w:rPr>
      </w:pPr>
      <w:bookmarkStart w:id="277" w:name="_Toc74583853"/>
      <w:bookmarkStart w:id="278" w:name="_Toc75384123"/>
      <w:r>
        <w:rPr>
          <w:lang w:val="en-GB"/>
        </w:rPr>
        <w:lastRenderedPageBreak/>
        <w:t>References</w:t>
      </w:r>
      <w:bookmarkEnd w:id="277"/>
      <w:bookmarkEnd w:id="278"/>
    </w:p>
    <w:p w14:paraId="5CF9A6BA" w14:textId="02277829" w:rsidR="00AD0100" w:rsidRDefault="00AD0100" w:rsidP="008870D3">
      <w:pPr>
        <w:rPr>
          <w:lang w:val="en-GB"/>
        </w:rPr>
      </w:pPr>
      <w:r w:rsidRPr="00B02BAA">
        <w:rPr>
          <w:lang w:val="en-GB"/>
        </w:rPr>
        <w:t xml:space="preserve">Adamson, J. (2012). Seeking the corn mother: Transnational Indigenous Organizing And Food Sovereignty In Native North American Literature. In Pulitano, E., </w:t>
      </w:r>
      <w:r w:rsidRPr="00B02BAA">
        <w:rPr>
          <w:i/>
          <w:lang w:val="en-GB"/>
        </w:rPr>
        <w:t>Indigenous Rights in the Age of the UN Declaration</w:t>
      </w:r>
      <w:r w:rsidRPr="00B02BAA">
        <w:rPr>
          <w:lang w:val="en-GB"/>
        </w:rPr>
        <w:t xml:space="preserve"> (pp. 228-249). Cambridge: Cambridge University Press. </w:t>
      </w:r>
    </w:p>
    <w:p w14:paraId="3F3966A1" w14:textId="5E802279" w:rsidR="00D8753E" w:rsidRPr="00D8753E" w:rsidRDefault="00D8753E" w:rsidP="008870D3">
      <w:pPr>
        <w:rPr>
          <w:lang w:val="en-GB"/>
        </w:rPr>
      </w:pPr>
      <w:r w:rsidRPr="00D8753E">
        <w:rPr>
          <w:rFonts w:cs="Arial"/>
          <w:color w:val="222222"/>
          <w:shd w:val="clear" w:color="auto" w:fill="FFFFFF"/>
          <w:lang w:val="en-GB"/>
        </w:rPr>
        <w:t>Adebanwi, W. (2009). Terror, territoriality and the struggle for indigeneity and citizenship in Northern Nigeria. </w:t>
      </w:r>
      <w:r w:rsidRPr="00D8753E">
        <w:rPr>
          <w:rFonts w:cs="Arial"/>
          <w:i/>
          <w:iCs/>
          <w:color w:val="222222"/>
          <w:shd w:val="clear" w:color="auto" w:fill="FFFFFF"/>
        </w:rPr>
        <w:t>Citizenship Studies</w:t>
      </w:r>
      <w:r w:rsidRPr="00D8753E">
        <w:rPr>
          <w:rFonts w:cs="Arial"/>
          <w:color w:val="222222"/>
          <w:shd w:val="clear" w:color="auto" w:fill="FFFFFF"/>
        </w:rPr>
        <w:t>, </w:t>
      </w:r>
      <w:r w:rsidRPr="00D8753E">
        <w:rPr>
          <w:rFonts w:cs="Arial"/>
          <w:i/>
          <w:iCs/>
          <w:color w:val="222222"/>
          <w:shd w:val="clear" w:color="auto" w:fill="FFFFFF"/>
        </w:rPr>
        <w:t>13</w:t>
      </w:r>
      <w:r w:rsidRPr="00D8753E">
        <w:rPr>
          <w:rFonts w:cs="Arial"/>
          <w:color w:val="222222"/>
          <w:shd w:val="clear" w:color="auto" w:fill="FFFFFF"/>
        </w:rPr>
        <w:t>(4), 349-363.</w:t>
      </w:r>
    </w:p>
    <w:p w14:paraId="707E0695" w14:textId="77777777" w:rsidR="00AD0100" w:rsidRPr="008870D3" w:rsidRDefault="00AD0100" w:rsidP="008870D3">
      <w:pPr>
        <w:rPr>
          <w:lang w:val="en-GB"/>
        </w:rPr>
      </w:pPr>
      <w:r w:rsidRPr="008870D3">
        <w:rPr>
          <w:lang w:val="en-GB"/>
        </w:rPr>
        <w:t xml:space="preserve">Australian Institute of Health and Welfare. (2019, September 11). </w:t>
      </w:r>
      <w:r w:rsidRPr="008870D3">
        <w:rPr>
          <w:i/>
          <w:iCs/>
          <w:lang w:val="en-GB"/>
        </w:rPr>
        <w:t xml:space="preserve">Profile of Indigenous Australians. </w:t>
      </w:r>
      <w:r w:rsidRPr="008870D3">
        <w:rPr>
          <w:lang w:val="en-GB"/>
        </w:rPr>
        <w:t xml:space="preserve">Retrieved on 27-5-2021, from </w:t>
      </w:r>
      <w:hyperlink r:id="rId23" w:history="1">
        <w:r w:rsidRPr="008870D3">
          <w:rPr>
            <w:rStyle w:val="Hyperlink"/>
            <w:lang w:val="en-GB"/>
          </w:rPr>
          <w:t>https://www.aihw.gov.au/reports/australias-welfare/profile-of-indigenous-australians</w:t>
        </w:r>
      </w:hyperlink>
      <w:r w:rsidRPr="008870D3">
        <w:rPr>
          <w:lang w:val="en-GB"/>
        </w:rPr>
        <w:t xml:space="preserve">. </w:t>
      </w:r>
    </w:p>
    <w:p w14:paraId="2DCF7A3E" w14:textId="3EBFE530" w:rsidR="00AD0100" w:rsidRPr="008870D3" w:rsidRDefault="00AD0100" w:rsidP="008870D3">
      <w:pPr>
        <w:rPr>
          <w:lang w:val="en-GB"/>
        </w:rPr>
      </w:pPr>
      <w:r w:rsidRPr="008870D3">
        <w:rPr>
          <w:highlight w:val="white"/>
          <w:lang w:val="en-GB"/>
        </w:rPr>
        <w:t xml:space="preserve">Bäck, H., &amp; Debus, M. (2016). How to Analyse Speeches and Legislative Debates. In </w:t>
      </w:r>
      <w:r w:rsidRPr="008870D3">
        <w:rPr>
          <w:i/>
          <w:highlight w:val="white"/>
          <w:lang w:val="en-GB"/>
        </w:rPr>
        <w:t>Political Parties, Parliaments and Legislative Speechmaking</w:t>
      </w:r>
      <w:r w:rsidRPr="008870D3">
        <w:rPr>
          <w:highlight w:val="white"/>
          <w:lang w:val="en-GB"/>
        </w:rPr>
        <w:t xml:space="preserve"> (pp. 48-74). </w:t>
      </w:r>
      <w:r w:rsidR="00290D84">
        <w:rPr>
          <w:highlight w:val="white"/>
          <w:lang w:val="en-GB"/>
        </w:rPr>
        <w:t xml:space="preserve">London: </w:t>
      </w:r>
      <w:r w:rsidRPr="00290D84">
        <w:rPr>
          <w:lang w:val="en-GB"/>
        </w:rPr>
        <w:t>Palgrave Macmillan</w:t>
      </w:r>
      <w:r w:rsidR="00290D84" w:rsidRPr="00290D84">
        <w:rPr>
          <w:lang w:val="en-GB"/>
        </w:rPr>
        <w:t>.</w:t>
      </w:r>
    </w:p>
    <w:p w14:paraId="0B915699" w14:textId="77777777" w:rsidR="00AD0100" w:rsidRPr="00B02BAA" w:rsidRDefault="00AD0100" w:rsidP="008870D3">
      <w:pPr>
        <w:rPr>
          <w:lang w:val="en-GB"/>
        </w:rPr>
      </w:pPr>
      <w:r w:rsidRPr="00B02BAA">
        <w:rPr>
          <w:rFonts w:cs="Arial"/>
          <w:color w:val="222222"/>
          <w:shd w:val="clear" w:color="auto" w:fill="FFFFFF"/>
          <w:lang w:val="en-GB"/>
        </w:rPr>
        <w:t>Bell, A. (2008). Recognition or ethics? De/centering and the legacy of settler colonialism. </w:t>
      </w:r>
      <w:r w:rsidRPr="00B02BAA">
        <w:rPr>
          <w:rFonts w:cs="Arial"/>
          <w:i/>
          <w:iCs/>
          <w:color w:val="222222"/>
          <w:shd w:val="clear" w:color="auto" w:fill="FFFFFF"/>
          <w:lang w:val="en-GB"/>
        </w:rPr>
        <w:t>Cultural Studies</w:t>
      </w:r>
      <w:r w:rsidRPr="00B02BAA">
        <w:rPr>
          <w:rFonts w:cs="Arial"/>
          <w:color w:val="222222"/>
          <w:shd w:val="clear" w:color="auto" w:fill="FFFFFF"/>
          <w:lang w:val="en-GB"/>
        </w:rPr>
        <w:t>, </w:t>
      </w:r>
      <w:r w:rsidRPr="00B02BAA">
        <w:rPr>
          <w:rFonts w:cs="Arial"/>
          <w:i/>
          <w:iCs/>
          <w:color w:val="222222"/>
          <w:shd w:val="clear" w:color="auto" w:fill="FFFFFF"/>
          <w:lang w:val="en-GB"/>
        </w:rPr>
        <w:t>22</w:t>
      </w:r>
      <w:r w:rsidRPr="00B02BAA">
        <w:rPr>
          <w:rFonts w:cs="Arial"/>
          <w:color w:val="222222"/>
          <w:shd w:val="clear" w:color="auto" w:fill="FFFFFF"/>
          <w:lang w:val="en-GB"/>
        </w:rPr>
        <w:t>(6), 850-869.</w:t>
      </w:r>
    </w:p>
    <w:p w14:paraId="61B3D64A" w14:textId="77777777" w:rsidR="00AD0100" w:rsidRPr="00C11021" w:rsidRDefault="00AD0100" w:rsidP="008870D3">
      <w:pPr>
        <w:rPr>
          <w:lang w:val="en-GB"/>
        </w:rPr>
      </w:pPr>
      <w:r w:rsidRPr="00C11021">
        <w:rPr>
          <w:lang w:val="en-GB"/>
        </w:rPr>
        <w:t xml:space="preserve">Bell, A. (2014). </w:t>
      </w:r>
      <w:r w:rsidRPr="00C11021">
        <w:rPr>
          <w:i/>
          <w:lang w:val="en-GB"/>
        </w:rPr>
        <w:t xml:space="preserve">Relating Indigenous and Settler Identities. Beyond Domination. </w:t>
      </w:r>
      <w:r w:rsidRPr="00C11021">
        <w:rPr>
          <w:lang w:val="en-GB"/>
        </w:rPr>
        <w:t>Hampshire: Palgrave Macmillan.</w:t>
      </w:r>
    </w:p>
    <w:p w14:paraId="28BF5D72" w14:textId="77777777" w:rsidR="00AD0100" w:rsidRPr="00C11021" w:rsidRDefault="00AD0100" w:rsidP="008870D3">
      <w:pPr>
        <w:rPr>
          <w:rFonts w:cstheme="minorHAnsi"/>
          <w:lang w:val="en-GB"/>
        </w:rPr>
      </w:pPr>
      <w:r w:rsidRPr="00C11021">
        <w:rPr>
          <w:rFonts w:cstheme="minorHAnsi"/>
          <w:color w:val="222222"/>
          <w:shd w:val="clear" w:color="auto" w:fill="FFFFFF"/>
          <w:lang w:val="en-GB"/>
        </w:rPr>
        <w:t>Brandenburg, H., &amp; Johns, R. (2014). The declining representativeness of the British party system, and why it matters. </w:t>
      </w:r>
      <w:r w:rsidRPr="00C11021">
        <w:rPr>
          <w:rFonts w:cstheme="minorHAnsi"/>
          <w:i/>
          <w:iCs/>
          <w:color w:val="222222"/>
          <w:shd w:val="clear" w:color="auto" w:fill="FFFFFF"/>
          <w:lang w:val="en-GB"/>
        </w:rPr>
        <w:t>Political Studies</w:t>
      </w:r>
      <w:r w:rsidRPr="00C11021">
        <w:rPr>
          <w:rFonts w:cstheme="minorHAnsi"/>
          <w:color w:val="222222"/>
          <w:shd w:val="clear" w:color="auto" w:fill="FFFFFF"/>
          <w:lang w:val="en-GB"/>
        </w:rPr>
        <w:t>, </w:t>
      </w:r>
      <w:r w:rsidRPr="00C11021">
        <w:rPr>
          <w:rFonts w:cstheme="minorHAnsi"/>
          <w:i/>
          <w:iCs/>
          <w:color w:val="222222"/>
          <w:shd w:val="clear" w:color="auto" w:fill="FFFFFF"/>
          <w:lang w:val="en-GB"/>
        </w:rPr>
        <w:t>62</w:t>
      </w:r>
      <w:r w:rsidRPr="00C11021">
        <w:rPr>
          <w:rFonts w:cstheme="minorHAnsi"/>
          <w:color w:val="222222"/>
          <w:shd w:val="clear" w:color="auto" w:fill="FFFFFF"/>
          <w:lang w:val="en-GB"/>
        </w:rPr>
        <w:t>(4), 704-725.</w:t>
      </w:r>
    </w:p>
    <w:p w14:paraId="5070A72B" w14:textId="77777777" w:rsidR="00AD0100" w:rsidRPr="008870D3" w:rsidRDefault="00AD0100" w:rsidP="008870D3">
      <w:pPr>
        <w:rPr>
          <w:lang w:val="en-GB"/>
        </w:rPr>
      </w:pPr>
      <w:r w:rsidRPr="008870D3">
        <w:rPr>
          <w:lang w:val="en-GB"/>
        </w:rPr>
        <w:t xml:space="preserve">Bridges, S. [@simonjbridges]. (2020, November 26). </w:t>
      </w:r>
      <w:r w:rsidRPr="008870D3">
        <w:rPr>
          <w:i/>
          <w:iCs/>
          <w:lang w:val="en-GB"/>
        </w:rPr>
        <w:t xml:space="preserve">It may not be the biggest issue the world faces but men who come to Parliament should wear ties. It’s </w:t>
      </w:r>
      <w:r w:rsidRPr="008870D3">
        <w:rPr>
          <w:lang w:val="en-GB"/>
        </w:rPr>
        <w:t xml:space="preserve">[Tweet]. Retrieved on 27-5-2021, from </w:t>
      </w:r>
      <w:hyperlink r:id="rId24" w:history="1">
        <w:r w:rsidRPr="008870D3">
          <w:rPr>
            <w:rStyle w:val="Hyperlink"/>
            <w:lang w:val="en-GB"/>
          </w:rPr>
          <w:t>https://twitter.com/simonjbridges/status/1331810724134363137?ref_src=twsrc%5Etfw%7Ctwcamp%5Etweetembed%7Ctwterm%5E1331810724134363137%7Ctwgr%5E%7Ctwcon%5Es1_&amp;ref_url=https%3A%2F%2Fwww.nzherald.co.nz%2Fnz%2Fpolitics%2Ftied-to-the-ties-speaker-trevor-mallard-rules-to-keep-jacket-and-necktie-in-the-debating-chamber%2FWJLMYYYDN2I2I2XSUJFJCAPJXY%2F</w:t>
        </w:r>
      </w:hyperlink>
      <w:r w:rsidRPr="008870D3">
        <w:rPr>
          <w:lang w:val="en-GB"/>
        </w:rPr>
        <w:t xml:space="preserve">. </w:t>
      </w:r>
    </w:p>
    <w:p w14:paraId="0CCA04C6" w14:textId="77777777" w:rsidR="00AD0100" w:rsidRPr="00C11021" w:rsidRDefault="00AD0100" w:rsidP="008870D3">
      <w:pPr>
        <w:rPr>
          <w:lang w:val="en-GB"/>
        </w:rPr>
      </w:pPr>
      <w:r w:rsidRPr="00C11021">
        <w:rPr>
          <w:lang w:val="en-GB"/>
        </w:rPr>
        <w:t>Childs, S. and Cowley, P. (2011). The Politics of Local Presence: is there a case for descriptive representation?</w:t>
      </w:r>
      <w:r w:rsidRPr="00C11021">
        <w:rPr>
          <w:i/>
          <w:lang w:val="en-GB"/>
        </w:rPr>
        <w:t xml:space="preserve"> Political Studies, 59</w:t>
      </w:r>
      <w:r w:rsidRPr="00C11021">
        <w:rPr>
          <w:lang w:val="en-GB"/>
        </w:rPr>
        <w:t>, 1-19.</w:t>
      </w:r>
    </w:p>
    <w:p w14:paraId="3D25E5D7" w14:textId="77777777" w:rsidR="00AD0100" w:rsidRPr="00C11021" w:rsidRDefault="00AD0100" w:rsidP="008870D3">
      <w:pPr>
        <w:rPr>
          <w:lang w:val="en-GB"/>
        </w:rPr>
      </w:pPr>
      <w:r w:rsidRPr="00C914E4">
        <w:rPr>
          <w:color w:val="222222"/>
          <w:highlight w:val="white"/>
          <w:lang w:val="en-GB"/>
        </w:rPr>
        <w:t xml:space="preserve">Childs, S., &amp; Krook, M. L. (2009). </w:t>
      </w:r>
      <w:r w:rsidRPr="00C11021">
        <w:rPr>
          <w:color w:val="222222"/>
          <w:highlight w:val="white"/>
          <w:lang w:val="en-GB"/>
        </w:rPr>
        <w:t>Analysing women's substantive representation: From critical mass to critical actors. </w:t>
      </w:r>
      <w:r w:rsidRPr="00C11021">
        <w:rPr>
          <w:i/>
          <w:color w:val="222222"/>
          <w:highlight w:val="white"/>
          <w:lang w:val="en-GB"/>
        </w:rPr>
        <w:t>Government and opposition</w:t>
      </w:r>
      <w:r w:rsidRPr="00C11021">
        <w:rPr>
          <w:color w:val="222222"/>
          <w:highlight w:val="white"/>
          <w:lang w:val="en-GB"/>
        </w:rPr>
        <w:t>, </w:t>
      </w:r>
      <w:r w:rsidRPr="00C11021">
        <w:rPr>
          <w:i/>
          <w:color w:val="222222"/>
          <w:highlight w:val="white"/>
          <w:lang w:val="en-GB"/>
        </w:rPr>
        <w:t>44</w:t>
      </w:r>
      <w:r w:rsidRPr="00C11021">
        <w:rPr>
          <w:color w:val="222222"/>
          <w:highlight w:val="white"/>
          <w:lang w:val="en-GB"/>
        </w:rPr>
        <w:t>(2), 125-145.</w:t>
      </w:r>
      <w:r w:rsidRPr="00C11021">
        <w:rPr>
          <w:lang w:val="en-GB"/>
        </w:rPr>
        <w:t xml:space="preserve"> </w:t>
      </w:r>
    </w:p>
    <w:p w14:paraId="71EF2EA3" w14:textId="4EFE03B1" w:rsidR="00AD0100" w:rsidRPr="00C11021" w:rsidRDefault="00AD0100" w:rsidP="008870D3">
      <w:pPr>
        <w:rPr>
          <w:highlight w:val="yellow"/>
          <w:lang w:val="en-GB"/>
        </w:rPr>
      </w:pPr>
      <w:r w:rsidRPr="00C11021">
        <w:rPr>
          <w:lang w:val="en-GB"/>
        </w:rPr>
        <w:t xml:space="preserve">Commonwealth of Australia. (1997). </w:t>
      </w:r>
      <w:r w:rsidRPr="00C11021">
        <w:rPr>
          <w:i/>
          <w:lang w:val="en-GB"/>
        </w:rPr>
        <w:t>Bringing them home</w:t>
      </w:r>
      <w:r w:rsidRPr="00C11021">
        <w:rPr>
          <w:lang w:val="en-GB"/>
        </w:rPr>
        <w:t xml:space="preserve">.  </w:t>
      </w:r>
      <w:r w:rsidR="00A04649">
        <w:rPr>
          <w:lang w:val="en-GB"/>
        </w:rPr>
        <w:t>Retrieved</w:t>
      </w:r>
      <w:r w:rsidRPr="00C11021">
        <w:rPr>
          <w:lang w:val="en-GB"/>
        </w:rPr>
        <w:t xml:space="preserve"> on 10-2-2021, from </w:t>
      </w:r>
      <w:hyperlink r:id="rId25" w:history="1">
        <w:r w:rsidRPr="00C11021">
          <w:rPr>
            <w:rStyle w:val="Hyperlink"/>
            <w:color w:val="0563C1"/>
            <w:lang w:val="en-GB"/>
          </w:rPr>
          <w:t>https://humanrights.gov.au/sites/default/files/content/pdf/social_justice/bringing_them_home_report.pdf</w:t>
        </w:r>
      </w:hyperlink>
      <w:r w:rsidRPr="00C11021">
        <w:rPr>
          <w:color w:val="0563C1"/>
          <w:u w:val="single"/>
          <w:lang w:val="en-GB"/>
        </w:rPr>
        <w:t>https://humanrights.gov.au/sites/default/files/content/pdf/social_justice/bringing_them_home_report.pdf</w:t>
      </w:r>
      <w:r w:rsidRPr="00C11021">
        <w:rPr>
          <w:lang w:val="en-GB"/>
        </w:rPr>
        <w:t>.</w:t>
      </w:r>
    </w:p>
    <w:p w14:paraId="7FDD12A1" w14:textId="77777777" w:rsidR="00AD0100" w:rsidRPr="008870D3" w:rsidRDefault="00AD0100" w:rsidP="008870D3">
      <w:pPr>
        <w:rPr>
          <w:lang w:val="en-GB"/>
        </w:rPr>
      </w:pPr>
      <w:r w:rsidRPr="008870D3">
        <w:rPr>
          <w:lang w:val="en-GB"/>
        </w:rPr>
        <w:t xml:space="preserve">Cooke, H. (2021, February 1). </w:t>
      </w:r>
      <w:r w:rsidRPr="008870D3">
        <w:rPr>
          <w:i/>
          <w:iCs/>
          <w:lang w:val="en-GB"/>
        </w:rPr>
        <w:t xml:space="preserve">Tied up for good: Speaker Trevor Mallard opts to keep requirement that male MPs wear ties in Parliament’s debating chamber. </w:t>
      </w:r>
      <w:r w:rsidRPr="008870D3">
        <w:rPr>
          <w:lang w:val="en-GB"/>
        </w:rPr>
        <w:t xml:space="preserve">Retrieved on 27-5-2021, from </w:t>
      </w:r>
      <w:hyperlink r:id="rId26" w:history="1">
        <w:r w:rsidRPr="008870D3">
          <w:rPr>
            <w:rStyle w:val="Hyperlink"/>
            <w:lang w:val="en-GB"/>
          </w:rPr>
          <w:t>https://www.stuff.co.nz/national/politics/300219189/tied-up-for-good-speaker-trevor-mallard-opts-to-keep-requirement-that-male-mps-wear-ties-in-parliaments-debating-chamber</w:t>
        </w:r>
      </w:hyperlink>
      <w:r w:rsidRPr="008870D3">
        <w:rPr>
          <w:lang w:val="en-GB"/>
        </w:rPr>
        <w:t xml:space="preserve">. </w:t>
      </w:r>
    </w:p>
    <w:p w14:paraId="5F20AE96" w14:textId="77777777" w:rsidR="00AD0100" w:rsidRPr="008870D3" w:rsidRDefault="00AD0100" w:rsidP="008870D3">
      <w:pPr>
        <w:rPr>
          <w:color w:val="000000"/>
          <w:lang w:val="en-GB"/>
        </w:rPr>
      </w:pPr>
      <w:r w:rsidRPr="008870D3">
        <w:rPr>
          <w:highlight w:val="white"/>
          <w:lang w:val="en-GB"/>
        </w:rPr>
        <w:t>Corntassel, J. (2003). Who is indigenous? ‘Peoplehood’ and ethnonationalist approaches to rearticulating indigenous identity. </w:t>
      </w:r>
      <w:sdt>
        <w:sdtPr>
          <w:tag w:val="goog_rdk_2"/>
          <w:id w:val="-1465187707"/>
        </w:sdtPr>
        <w:sdtEndPr/>
        <w:sdtContent>
          <w:r w:rsidRPr="008870D3">
            <w:rPr>
              <w:i/>
              <w:highlight w:val="white"/>
              <w:lang w:val="en-GB"/>
            </w:rPr>
            <w:t>Nationalism and ethnic politics</w:t>
          </w:r>
        </w:sdtContent>
      </w:sdt>
      <w:sdt>
        <w:sdtPr>
          <w:tag w:val="goog_rdk_3"/>
          <w:id w:val="-373776740"/>
        </w:sdtPr>
        <w:sdtEndPr/>
        <w:sdtContent>
          <w:r w:rsidRPr="008870D3">
            <w:rPr>
              <w:highlight w:val="white"/>
              <w:lang w:val="en-GB"/>
            </w:rPr>
            <w:t>, </w:t>
          </w:r>
        </w:sdtContent>
      </w:sdt>
      <w:sdt>
        <w:sdtPr>
          <w:tag w:val="goog_rdk_4"/>
          <w:id w:val="899484163"/>
        </w:sdtPr>
        <w:sdtEndPr/>
        <w:sdtContent>
          <w:r w:rsidRPr="008870D3">
            <w:rPr>
              <w:i/>
              <w:highlight w:val="white"/>
              <w:lang w:val="en-GB"/>
            </w:rPr>
            <w:t>9</w:t>
          </w:r>
        </w:sdtContent>
      </w:sdt>
      <w:sdt>
        <w:sdtPr>
          <w:tag w:val="goog_rdk_5"/>
          <w:id w:val="1411884862"/>
        </w:sdtPr>
        <w:sdtEndPr/>
        <w:sdtContent>
          <w:r w:rsidRPr="008870D3">
            <w:rPr>
              <w:highlight w:val="white"/>
              <w:lang w:val="en-GB"/>
            </w:rPr>
            <w:t>(1), 75-100.</w:t>
          </w:r>
        </w:sdtContent>
      </w:sdt>
      <w:r w:rsidRPr="008870D3">
        <w:rPr>
          <w:color w:val="000000"/>
          <w:lang w:val="en-GB"/>
        </w:rPr>
        <w:t xml:space="preserve"> </w:t>
      </w:r>
    </w:p>
    <w:p w14:paraId="03D69354" w14:textId="77777777" w:rsidR="00AD0100" w:rsidRPr="008870D3" w:rsidRDefault="00AD0100" w:rsidP="008870D3">
      <w:pPr>
        <w:rPr>
          <w:lang w:val="en-GB"/>
        </w:rPr>
      </w:pPr>
      <w:r w:rsidRPr="008870D3">
        <w:rPr>
          <w:color w:val="000000"/>
          <w:lang w:val="en-GB"/>
        </w:rPr>
        <w:t>Cramer, L. (2021, February 15).</w:t>
      </w:r>
      <w:r w:rsidRPr="008870D3">
        <w:rPr>
          <w:i/>
          <w:iCs/>
          <w:color w:val="000000"/>
          <w:lang w:val="en-GB"/>
        </w:rPr>
        <w:t xml:space="preserve"> The politics of the necktie – ‘colonial noose’, masculine marker or silk status symbol? </w:t>
      </w:r>
      <w:r w:rsidRPr="008870D3">
        <w:rPr>
          <w:color w:val="000000"/>
          <w:lang w:val="en-GB"/>
        </w:rPr>
        <w:t xml:space="preserve">Retrieved on 18-5-2021, from </w:t>
      </w:r>
      <w:hyperlink r:id="rId27">
        <w:r w:rsidRPr="008870D3">
          <w:rPr>
            <w:color w:val="1155CC"/>
            <w:u w:val="single"/>
            <w:lang w:val="en-GB"/>
          </w:rPr>
          <w:t>https://theconversation.com/the-politics-of-the-necktie-colonial-noose-masculine-marker-or-silk-status-symbol-155203</w:t>
        </w:r>
      </w:hyperlink>
      <w:r w:rsidRPr="008870D3">
        <w:rPr>
          <w:color w:val="000000"/>
          <w:lang w:val="en-GB"/>
        </w:rPr>
        <w:t xml:space="preserve">. </w:t>
      </w:r>
    </w:p>
    <w:p w14:paraId="59DEA108" w14:textId="77777777" w:rsidR="00AD0100" w:rsidRPr="00C11021" w:rsidRDefault="00AD0100" w:rsidP="008870D3">
      <w:pPr>
        <w:rPr>
          <w:lang w:val="en-GB"/>
        </w:rPr>
      </w:pPr>
      <w:r w:rsidRPr="00C11021">
        <w:rPr>
          <w:color w:val="222222"/>
          <w:highlight w:val="white"/>
          <w:lang w:val="en-GB"/>
        </w:rPr>
        <w:lastRenderedPageBreak/>
        <w:t>Curtin, J. (2008). Women, political leadership and substantive representation: The case of New Zealand. </w:t>
      </w:r>
      <w:r w:rsidRPr="00C11021">
        <w:rPr>
          <w:i/>
          <w:color w:val="222222"/>
          <w:highlight w:val="white"/>
          <w:lang w:val="en-GB"/>
        </w:rPr>
        <w:t>Parliamentary Affairs</w:t>
      </w:r>
      <w:r w:rsidRPr="00C11021">
        <w:rPr>
          <w:color w:val="222222"/>
          <w:highlight w:val="white"/>
          <w:lang w:val="en-GB"/>
        </w:rPr>
        <w:t>, </w:t>
      </w:r>
      <w:r w:rsidRPr="00C11021">
        <w:rPr>
          <w:i/>
          <w:color w:val="222222"/>
          <w:highlight w:val="white"/>
          <w:lang w:val="en-GB"/>
        </w:rPr>
        <w:t>61</w:t>
      </w:r>
      <w:r w:rsidRPr="00C11021">
        <w:rPr>
          <w:color w:val="222222"/>
          <w:highlight w:val="white"/>
          <w:lang w:val="en-GB"/>
        </w:rPr>
        <w:t>(3), 490-504.</w:t>
      </w:r>
    </w:p>
    <w:p w14:paraId="4CD48D7E" w14:textId="77777777" w:rsidR="00AD0100" w:rsidRPr="00B02BAA" w:rsidRDefault="00AD0100" w:rsidP="008870D3">
      <w:pPr>
        <w:rPr>
          <w:lang w:val="en-GB"/>
        </w:rPr>
      </w:pPr>
      <w:r w:rsidRPr="00B02BAA">
        <w:rPr>
          <w:color w:val="222222"/>
          <w:highlight w:val="white"/>
          <w:lang w:val="en-GB"/>
        </w:rPr>
        <w:t>Dahlberg, T. R. M. (1996). Maori representation in parliament and tino rangatiratanga. </w:t>
      </w:r>
      <w:r w:rsidRPr="00B02BAA">
        <w:rPr>
          <w:i/>
          <w:color w:val="222222"/>
          <w:highlight w:val="white"/>
          <w:lang w:val="en-GB"/>
        </w:rPr>
        <w:t>He Pukenga Korero</w:t>
      </w:r>
      <w:r w:rsidRPr="00B02BAA">
        <w:rPr>
          <w:color w:val="222222"/>
          <w:highlight w:val="white"/>
          <w:lang w:val="en-GB"/>
        </w:rPr>
        <w:t>, </w:t>
      </w:r>
      <w:r w:rsidRPr="00B02BAA">
        <w:rPr>
          <w:i/>
          <w:color w:val="222222"/>
          <w:highlight w:val="white"/>
          <w:lang w:val="en-GB"/>
        </w:rPr>
        <w:t>2</w:t>
      </w:r>
      <w:r w:rsidRPr="00B02BAA">
        <w:rPr>
          <w:color w:val="222222"/>
          <w:highlight w:val="white"/>
          <w:lang w:val="en-GB"/>
        </w:rPr>
        <w:t>(1).</w:t>
      </w:r>
    </w:p>
    <w:p w14:paraId="1144EF98" w14:textId="77777777" w:rsidR="00AD0100" w:rsidRPr="008870D3" w:rsidRDefault="00AD0100" w:rsidP="008870D3">
      <w:pPr>
        <w:rPr>
          <w:lang w:val="en-GB"/>
        </w:rPr>
      </w:pPr>
      <w:r w:rsidRPr="008870D3">
        <w:rPr>
          <w:highlight w:val="white"/>
          <w:lang w:val="en-GB"/>
        </w:rPr>
        <w:t xml:space="preserve">De Wilde, P. (2013). Representative claims analysis: theory meets method. </w:t>
      </w:r>
      <w:r w:rsidRPr="008870D3">
        <w:rPr>
          <w:i/>
          <w:highlight w:val="white"/>
          <w:lang w:val="en-GB"/>
        </w:rPr>
        <w:t>Journal of European Public Policy</w:t>
      </w:r>
      <w:r w:rsidRPr="008870D3">
        <w:rPr>
          <w:highlight w:val="white"/>
          <w:lang w:val="en-GB"/>
        </w:rPr>
        <w:t xml:space="preserve">, </w:t>
      </w:r>
      <w:r w:rsidRPr="008870D3">
        <w:rPr>
          <w:i/>
          <w:highlight w:val="white"/>
          <w:lang w:val="en-GB"/>
        </w:rPr>
        <w:t>20</w:t>
      </w:r>
      <w:r w:rsidRPr="008870D3">
        <w:rPr>
          <w:highlight w:val="white"/>
          <w:lang w:val="en-GB"/>
        </w:rPr>
        <w:t>(2), 278-294.</w:t>
      </w:r>
      <w:r w:rsidRPr="008870D3">
        <w:rPr>
          <w:color w:val="000000"/>
          <w:lang w:val="en-GB"/>
        </w:rPr>
        <w:t> </w:t>
      </w:r>
    </w:p>
    <w:p w14:paraId="280EAD15" w14:textId="2F465A9E" w:rsidR="00AD0100" w:rsidRDefault="00AD0100" w:rsidP="008870D3">
      <w:pPr>
        <w:rPr>
          <w:lang w:val="en-GB"/>
        </w:rPr>
      </w:pPr>
      <w:r w:rsidRPr="00C11021">
        <w:rPr>
          <w:lang w:val="en-GB"/>
        </w:rPr>
        <w:t xml:space="preserve">Dr. Oleh Protsyk. (2010). </w:t>
      </w:r>
      <w:r w:rsidRPr="00C11021">
        <w:rPr>
          <w:i/>
          <w:lang w:val="en-GB"/>
        </w:rPr>
        <w:t>Parliamentary representation of minorities and indigenous peoples</w:t>
      </w:r>
      <w:r w:rsidRPr="00C11021">
        <w:rPr>
          <w:lang w:val="en-GB"/>
        </w:rPr>
        <w:t xml:space="preserve">. </w:t>
      </w:r>
      <w:r w:rsidR="001B2B79">
        <w:rPr>
          <w:lang w:val="en-GB"/>
        </w:rPr>
        <w:t>Retrieved</w:t>
      </w:r>
      <w:r w:rsidRPr="00C11021">
        <w:rPr>
          <w:lang w:val="en-GB"/>
        </w:rPr>
        <w:t xml:space="preserve"> on 11-2-2021, from </w:t>
      </w:r>
      <w:hyperlink r:id="rId28" w:history="1">
        <w:r w:rsidRPr="00C11021">
          <w:rPr>
            <w:rStyle w:val="Hyperlink"/>
            <w:color w:val="0563C1"/>
            <w:lang w:val="en-GB"/>
          </w:rPr>
          <w:t>http://archive.ipu.org/splz-e/chiapas10/overview.pdf</w:t>
        </w:r>
      </w:hyperlink>
      <w:r w:rsidRPr="00C11021">
        <w:rPr>
          <w:lang w:val="en-GB"/>
        </w:rPr>
        <w:t xml:space="preserve">. </w:t>
      </w:r>
    </w:p>
    <w:p w14:paraId="65523CD1" w14:textId="4E9ECA08" w:rsidR="004A6483" w:rsidRPr="004A6483" w:rsidRDefault="004A6483" w:rsidP="008870D3">
      <w:pPr>
        <w:rPr>
          <w:lang w:val="en-GB"/>
        </w:rPr>
      </w:pPr>
      <w:r>
        <w:rPr>
          <w:lang w:val="en-GB"/>
        </w:rPr>
        <w:t xml:space="preserve">Electoral Commission. (2017, October 7). </w:t>
      </w:r>
      <w:r>
        <w:rPr>
          <w:i/>
          <w:iCs/>
          <w:lang w:val="en-GB"/>
        </w:rPr>
        <w:t xml:space="preserve">2017 General Election </w:t>
      </w:r>
      <w:r w:rsidR="00403322">
        <w:rPr>
          <w:i/>
          <w:iCs/>
          <w:lang w:val="en-GB"/>
        </w:rPr>
        <w:t>- O</w:t>
      </w:r>
      <w:r>
        <w:rPr>
          <w:i/>
          <w:iCs/>
          <w:lang w:val="en-GB"/>
        </w:rPr>
        <w:t xml:space="preserve">fficial </w:t>
      </w:r>
      <w:r w:rsidR="00403322">
        <w:rPr>
          <w:i/>
          <w:iCs/>
          <w:lang w:val="en-GB"/>
        </w:rPr>
        <w:t>R</w:t>
      </w:r>
      <w:r>
        <w:rPr>
          <w:i/>
          <w:iCs/>
          <w:lang w:val="en-GB"/>
        </w:rPr>
        <w:t xml:space="preserve">esults. </w:t>
      </w:r>
      <w:r>
        <w:rPr>
          <w:lang w:val="en-GB"/>
        </w:rPr>
        <w:t>Retrieved on 21-6-2021, f</w:t>
      </w:r>
      <w:r w:rsidR="00A11190">
        <w:rPr>
          <w:lang w:val="en-GB"/>
        </w:rPr>
        <w:t>r</w:t>
      </w:r>
      <w:r>
        <w:rPr>
          <w:lang w:val="en-GB"/>
        </w:rPr>
        <w:t xml:space="preserve">om </w:t>
      </w:r>
      <w:hyperlink r:id="rId29" w:history="1">
        <w:r w:rsidRPr="002861B0">
          <w:rPr>
            <w:rStyle w:val="Hyperlink"/>
            <w:lang w:val="en-GB"/>
          </w:rPr>
          <w:t>https://elections.nz/media-and-news/2017/new-zealand-2017-general-election-official-results/</w:t>
        </w:r>
      </w:hyperlink>
      <w:r>
        <w:rPr>
          <w:lang w:val="en-GB"/>
        </w:rPr>
        <w:t xml:space="preserve">. </w:t>
      </w:r>
    </w:p>
    <w:p w14:paraId="5612D027" w14:textId="77777777" w:rsidR="00AD0100" w:rsidRPr="00B02BAA" w:rsidRDefault="00AD0100" w:rsidP="008870D3">
      <w:pPr>
        <w:rPr>
          <w:lang w:val="en-GB"/>
        </w:rPr>
      </w:pPr>
      <w:r w:rsidRPr="00B02BAA">
        <w:rPr>
          <w:lang w:val="en-GB"/>
        </w:rPr>
        <w:t xml:space="preserve">Electoral Commission. (2020, November 6). </w:t>
      </w:r>
      <w:r w:rsidRPr="00B02BAA">
        <w:rPr>
          <w:i/>
          <w:lang w:val="en-GB"/>
        </w:rPr>
        <w:t xml:space="preserve">2020 General Election official results. </w:t>
      </w:r>
      <w:r w:rsidRPr="00B02BAA">
        <w:rPr>
          <w:lang w:val="en-GB"/>
        </w:rPr>
        <w:t xml:space="preserve">Retrieved on 24-5-2021, from </w:t>
      </w:r>
      <w:hyperlink r:id="rId30">
        <w:r w:rsidRPr="00B02BAA">
          <w:rPr>
            <w:color w:val="0563C1"/>
            <w:u w:val="single"/>
            <w:lang w:val="en-GB"/>
          </w:rPr>
          <w:t>https://elections.nz/media-and-news/2020/2020-general-election-official-results/</w:t>
        </w:r>
      </w:hyperlink>
      <w:r w:rsidRPr="00B02BAA">
        <w:rPr>
          <w:lang w:val="en-GB"/>
        </w:rPr>
        <w:t xml:space="preserve">. </w:t>
      </w:r>
    </w:p>
    <w:p w14:paraId="1A961CF6" w14:textId="77777777" w:rsidR="00AD0100" w:rsidRPr="00B02BAA" w:rsidRDefault="00AD0100" w:rsidP="008870D3">
      <w:pPr>
        <w:rPr>
          <w:rFonts w:cs="Arial"/>
          <w:color w:val="222222"/>
          <w:shd w:val="clear" w:color="auto" w:fill="FFFFFF"/>
          <w:lang w:val="en-GB"/>
        </w:rPr>
      </w:pPr>
      <w:r w:rsidRPr="00B02BAA">
        <w:rPr>
          <w:rFonts w:cs="Arial"/>
          <w:color w:val="222222"/>
          <w:shd w:val="clear" w:color="auto" w:fill="FFFFFF"/>
          <w:lang w:val="en-GB"/>
        </w:rPr>
        <w:t>Field, A. (2013). </w:t>
      </w:r>
      <w:r w:rsidRPr="00B02BAA">
        <w:rPr>
          <w:rFonts w:cs="Arial"/>
          <w:i/>
          <w:iCs/>
          <w:color w:val="222222"/>
          <w:shd w:val="clear" w:color="auto" w:fill="FFFFFF"/>
          <w:lang w:val="en-GB"/>
        </w:rPr>
        <w:t xml:space="preserve">Discovering statistics using IBM SPSS statistics </w:t>
      </w:r>
      <w:r w:rsidRPr="00B02BAA">
        <w:rPr>
          <w:rFonts w:cs="Arial"/>
          <w:color w:val="222222"/>
          <w:shd w:val="clear" w:color="auto" w:fill="FFFFFF"/>
          <w:lang w:val="en-GB"/>
        </w:rPr>
        <w:t>(4</w:t>
      </w:r>
      <w:r w:rsidRPr="00B02BAA">
        <w:rPr>
          <w:rFonts w:cs="Arial"/>
          <w:color w:val="222222"/>
          <w:shd w:val="clear" w:color="auto" w:fill="FFFFFF"/>
          <w:vertAlign w:val="superscript"/>
          <w:lang w:val="en-GB"/>
        </w:rPr>
        <w:t>th</w:t>
      </w:r>
      <w:r w:rsidRPr="00B02BAA">
        <w:rPr>
          <w:rFonts w:cs="Arial"/>
          <w:color w:val="222222"/>
          <w:shd w:val="clear" w:color="auto" w:fill="FFFFFF"/>
          <w:lang w:val="en-GB"/>
        </w:rPr>
        <w:t xml:space="preserve"> </w:t>
      </w:r>
      <w:r w:rsidRPr="00977D0D">
        <w:rPr>
          <w:rFonts w:cs="Arial"/>
          <w:color w:val="222222"/>
          <w:shd w:val="clear" w:color="auto" w:fill="FFFFFF"/>
          <w:lang w:val="en-GB"/>
        </w:rPr>
        <w:t>edition). sage.</w:t>
      </w:r>
    </w:p>
    <w:p w14:paraId="0BE1BFC5" w14:textId="77777777" w:rsidR="00AD0100" w:rsidRPr="008870D3" w:rsidRDefault="00AD0100" w:rsidP="008870D3">
      <w:pPr>
        <w:rPr>
          <w:lang w:val="en-GB"/>
        </w:rPr>
      </w:pPr>
      <w:r w:rsidRPr="008870D3">
        <w:rPr>
          <w:lang w:val="en-GB"/>
        </w:rPr>
        <w:t xml:space="preserve">Frost, N. (2021, February 10). </w:t>
      </w:r>
      <w:r w:rsidRPr="008870D3">
        <w:rPr>
          <w:i/>
          <w:iCs/>
          <w:lang w:val="en-GB"/>
        </w:rPr>
        <w:t xml:space="preserve">He Calls the Tie a ‘Colonial Noose.’ Now Parliament Says It’s No Longer Mandatory. </w:t>
      </w:r>
      <w:r w:rsidRPr="008870D3">
        <w:rPr>
          <w:lang w:val="en-GB"/>
        </w:rPr>
        <w:t xml:space="preserve">Retrieved on 27-5-2021, from </w:t>
      </w:r>
      <w:hyperlink r:id="rId31" w:history="1">
        <w:r w:rsidRPr="008870D3">
          <w:rPr>
            <w:rStyle w:val="Hyperlink"/>
            <w:lang w:val="en-GB"/>
          </w:rPr>
          <w:t>https://www.nytimes.com/2021/02/10/world/asia/new-zealand-rawiri-waititi-tie.html</w:t>
        </w:r>
      </w:hyperlink>
      <w:r w:rsidRPr="008870D3">
        <w:rPr>
          <w:lang w:val="en-GB"/>
        </w:rPr>
        <w:t xml:space="preserve">. </w:t>
      </w:r>
    </w:p>
    <w:p w14:paraId="6E869718" w14:textId="77777777" w:rsidR="00AD0100" w:rsidRPr="00B02BAA" w:rsidRDefault="00AD0100" w:rsidP="008870D3">
      <w:pPr>
        <w:rPr>
          <w:color w:val="222222"/>
          <w:highlight w:val="white"/>
          <w:lang w:val="en-GB"/>
        </w:rPr>
      </w:pPr>
      <w:r w:rsidRPr="00B02BAA">
        <w:rPr>
          <w:color w:val="222222"/>
          <w:highlight w:val="white"/>
          <w:lang w:val="en-GB"/>
        </w:rPr>
        <w:t>Geddis, A. (2006). A dual track democracy? The symbolic role of the Māori seats in New Zealand's electoral system. </w:t>
      </w:r>
      <w:r w:rsidRPr="00B02BAA">
        <w:rPr>
          <w:i/>
          <w:color w:val="222222"/>
          <w:highlight w:val="white"/>
          <w:lang w:val="en-GB"/>
        </w:rPr>
        <w:t>Election Law Journal</w:t>
      </w:r>
      <w:r w:rsidRPr="00B02BAA">
        <w:rPr>
          <w:color w:val="222222"/>
          <w:highlight w:val="white"/>
          <w:lang w:val="en-GB"/>
        </w:rPr>
        <w:t>, </w:t>
      </w:r>
      <w:r w:rsidRPr="00B02BAA">
        <w:rPr>
          <w:i/>
          <w:color w:val="222222"/>
          <w:highlight w:val="white"/>
          <w:lang w:val="en-GB"/>
        </w:rPr>
        <w:t>5</w:t>
      </w:r>
      <w:r w:rsidRPr="00B02BAA">
        <w:rPr>
          <w:color w:val="222222"/>
          <w:highlight w:val="white"/>
          <w:lang w:val="en-GB"/>
        </w:rPr>
        <w:t>(4), 347-371.</w:t>
      </w:r>
    </w:p>
    <w:p w14:paraId="3C5F6C34" w14:textId="649AC048" w:rsidR="00AD0100" w:rsidRPr="008870D3" w:rsidRDefault="00AD0100" w:rsidP="008870D3">
      <w:pPr>
        <w:rPr>
          <w:lang w:val="en-GB"/>
        </w:rPr>
      </w:pPr>
      <w:r w:rsidRPr="008870D3">
        <w:rPr>
          <w:highlight w:val="white"/>
          <w:lang w:val="en-GB"/>
        </w:rPr>
        <w:t xml:space="preserve">Gerring, J. (2016). </w:t>
      </w:r>
      <w:r w:rsidRPr="008870D3">
        <w:rPr>
          <w:i/>
          <w:highlight w:val="white"/>
          <w:lang w:val="en-GB"/>
        </w:rPr>
        <w:t xml:space="preserve">Case study research: Principles and </w:t>
      </w:r>
      <w:r w:rsidRPr="00067913">
        <w:rPr>
          <w:i/>
          <w:lang w:val="en-GB"/>
        </w:rPr>
        <w:t>practices</w:t>
      </w:r>
      <w:r w:rsidRPr="00067913">
        <w:rPr>
          <w:lang w:val="en-GB"/>
        </w:rPr>
        <w:t xml:space="preserve">. </w:t>
      </w:r>
      <w:r w:rsidR="00067913" w:rsidRPr="00067913">
        <w:rPr>
          <w:lang w:val="en-GB"/>
        </w:rPr>
        <w:t xml:space="preserve">New York: </w:t>
      </w:r>
      <w:r w:rsidRPr="00067913">
        <w:rPr>
          <w:lang w:val="en-GB"/>
        </w:rPr>
        <w:t>Cambridge University Press.</w:t>
      </w:r>
    </w:p>
    <w:p w14:paraId="33C6E3BA" w14:textId="77777777" w:rsidR="00AD0100" w:rsidRPr="008870D3" w:rsidRDefault="00AD0100" w:rsidP="008870D3">
      <w:pPr>
        <w:rPr>
          <w:lang w:val="en-GB"/>
        </w:rPr>
      </w:pPr>
      <w:r w:rsidRPr="008870D3">
        <w:rPr>
          <w:color w:val="000000"/>
          <w:lang w:val="en-GB"/>
        </w:rPr>
        <w:t xml:space="preserve">Gora and De Wilde. (2019). </w:t>
      </w:r>
      <w:r w:rsidRPr="008870D3">
        <w:rPr>
          <w:i/>
          <w:iCs/>
          <w:color w:val="000000"/>
          <w:lang w:val="en-GB"/>
        </w:rPr>
        <w:t xml:space="preserve">Handbook for Representative Claims Analysis. </w:t>
      </w:r>
      <w:r w:rsidRPr="008870D3">
        <w:rPr>
          <w:color w:val="000000"/>
          <w:lang w:val="en-GB"/>
        </w:rPr>
        <w:t xml:space="preserve">Retrieved on 27-5-2021, from </w:t>
      </w:r>
      <w:hyperlink r:id="rId32" w:history="1">
        <w:r w:rsidRPr="008870D3">
          <w:rPr>
            <w:rStyle w:val="Hyperlink"/>
            <w:lang w:val="en-GB"/>
          </w:rPr>
          <w:t>https://reconnect-europe.eu/wp-content/uploads/2019/09/D2.2-update-July-2019.pdf</w:t>
        </w:r>
      </w:hyperlink>
      <w:r w:rsidRPr="008870D3">
        <w:rPr>
          <w:color w:val="1155CC"/>
          <w:u w:val="single"/>
          <w:lang w:val="en-GB"/>
        </w:rPr>
        <w:t xml:space="preserve">. </w:t>
      </w:r>
    </w:p>
    <w:p w14:paraId="701B326E" w14:textId="77777777" w:rsidR="00AD0100" w:rsidRPr="00C11021" w:rsidRDefault="00AD0100" w:rsidP="008870D3">
      <w:pPr>
        <w:rPr>
          <w:lang w:val="en-GB"/>
        </w:rPr>
      </w:pPr>
      <w:r w:rsidRPr="00C11021">
        <w:rPr>
          <w:color w:val="222222"/>
          <w:highlight w:val="white"/>
          <w:lang w:val="en-GB"/>
        </w:rPr>
        <w:t>Griffiths, A. P., &amp; Wollheim, R. (1960). Symposium: How Can One Person Represent Another?. </w:t>
      </w:r>
      <w:r w:rsidRPr="00C11021">
        <w:rPr>
          <w:i/>
          <w:color w:val="222222"/>
          <w:highlight w:val="white"/>
          <w:lang w:val="en-GB"/>
        </w:rPr>
        <w:t>Proceedings of the Aristotelian Society, supplementary volumes</w:t>
      </w:r>
      <w:r w:rsidRPr="00C11021">
        <w:rPr>
          <w:color w:val="222222"/>
          <w:highlight w:val="white"/>
          <w:lang w:val="en-GB"/>
        </w:rPr>
        <w:t>, </w:t>
      </w:r>
      <w:r w:rsidRPr="00C11021">
        <w:rPr>
          <w:i/>
          <w:color w:val="222222"/>
          <w:highlight w:val="white"/>
          <w:lang w:val="en-GB"/>
        </w:rPr>
        <w:t>34</w:t>
      </w:r>
      <w:r w:rsidRPr="00C11021">
        <w:rPr>
          <w:color w:val="222222"/>
          <w:highlight w:val="white"/>
          <w:lang w:val="en-GB"/>
        </w:rPr>
        <w:t>, 187-224.</w:t>
      </w:r>
    </w:p>
    <w:p w14:paraId="5E6A9A53" w14:textId="77777777" w:rsidR="00AD0100" w:rsidRPr="008870D3" w:rsidRDefault="00AD0100" w:rsidP="008870D3">
      <w:pPr>
        <w:rPr>
          <w:lang w:val="en-GB"/>
        </w:rPr>
      </w:pPr>
      <w:r w:rsidRPr="008870D3">
        <w:rPr>
          <w:color w:val="000000"/>
          <w:lang w:val="en-GB"/>
        </w:rPr>
        <w:t xml:space="preserve">Griffiths, K. (2018, September 19-21). </w:t>
      </w:r>
      <w:r w:rsidRPr="008870D3">
        <w:rPr>
          <w:i/>
          <w:iCs/>
          <w:color w:val="000000"/>
          <w:lang w:val="en-GB"/>
        </w:rPr>
        <w:t xml:space="preserve">Statistics, rights and recognition: the identification of Indigenous peoples. </w:t>
      </w:r>
      <w:r w:rsidRPr="008870D3">
        <w:rPr>
          <w:color w:val="000000"/>
          <w:lang w:val="en-GB"/>
        </w:rPr>
        <w:t xml:space="preserve">Retrieved on 27-5-2021, from  </w:t>
      </w:r>
      <w:hyperlink r:id="rId33">
        <w:r w:rsidRPr="008870D3">
          <w:rPr>
            <w:color w:val="1155CC"/>
            <w:u w:val="single"/>
            <w:lang w:val="en-GB"/>
          </w:rPr>
          <w:t>https://www.oecd.org/iaos2018/programme/IAOS-OECD2018_Griffiths.pdf</w:t>
        </w:r>
      </w:hyperlink>
      <w:r w:rsidRPr="008870D3">
        <w:rPr>
          <w:color w:val="000000"/>
          <w:lang w:val="en-GB"/>
        </w:rPr>
        <w:t xml:space="preserve">. </w:t>
      </w:r>
    </w:p>
    <w:p w14:paraId="3AAF3F70" w14:textId="77777777" w:rsidR="00AD0100" w:rsidRPr="008870D3" w:rsidRDefault="00AD0100" w:rsidP="008870D3">
      <w:pPr>
        <w:rPr>
          <w:highlight w:val="white"/>
          <w:lang w:val="en-GB"/>
        </w:rPr>
      </w:pPr>
      <w:r w:rsidRPr="008870D3">
        <w:rPr>
          <w:highlight w:val="white"/>
          <w:lang w:val="en-GB"/>
        </w:rPr>
        <w:t>Guasti, P., &amp; Geissel, B. (2019). Saward’s concept of the representative claim revisited: An empirical perspective. </w:t>
      </w:r>
      <w:r w:rsidRPr="008870D3">
        <w:rPr>
          <w:i/>
          <w:highlight w:val="white"/>
          <w:lang w:val="en-GB"/>
        </w:rPr>
        <w:t>Politics and Governance</w:t>
      </w:r>
      <w:r w:rsidRPr="008870D3">
        <w:rPr>
          <w:highlight w:val="white"/>
          <w:lang w:val="en-GB"/>
        </w:rPr>
        <w:t>, </w:t>
      </w:r>
      <w:r w:rsidRPr="008870D3">
        <w:rPr>
          <w:i/>
          <w:highlight w:val="white"/>
          <w:lang w:val="en-GB"/>
        </w:rPr>
        <w:t>7</w:t>
      </w:r>
      <w:r w:rsidRPr="008870D3">
        <w:rPr>
          <w:highlight w:val="white"/>
          <w:lang w:val="en-GB"/>
        </w:rPr>
        <w:t>(3), 98-111.</w:t>
      </w:r>
    </w:p>
    <w:p w14:paraId="51DE3446" w14:textId="77777777" w:rsidR="00AD0100" w:rsidRPr="008870D3" w:rsidRDefault="00AD0100" w:rsidP="008870D3">
      <w:pPr>
        <w:rPr>
          <w:color w:val="000000"/>
          <w:lang w:val="en-GB"/>
        </w:rPr>
      </w:pPr>
      <w:r w:rsidRPr="008870D3">
        <w:rPr>
          <w:highlight w:val="white"/>
          <w:lang w:val="en-GB"/>
        </w:rPr>
        <w:t>Heinisch, R., &amp; Werner, A. (2019). Who do populist radical right parties stand for? Representative claims, claim acceptance and descriptive representation in the Austrian FPÖ and German AfD. </w:t>
      </w:r>
      <w:r w:rsidRPr="008870D3">
        <w:rPr>
          <w:i/>
          <w:highlight w:val="white"/>
          <w:lang w:val="en-GB"/>
        </w:rPr>
        <w:t>Representation</w:t>
      </w:r>
      <w:r w:rsidRPr="008870D3">
        <w:rPr>
          <w:highlight w:val="white"/>
          <w:lang w:val="en-GB"/>
        </w:rPr>
        <w:t>, </w:t>
      </w:r>
      <w:r w:rsidRPr="008870D3">
        <w:rPr>
          <w:i/>
          <w:highlight w:val="white"/>
          <w:lang w:val="en-GB"/>
        </w:rPr>
        <w:t>55</w:t>
      </w:r>
      <w:r w:rsidRPr="008870D3">
        <w:rPr>
          <w:highlight w:val="white"/>
          <w:lang w:val="en-GB"/>
        </w:rPr>
        <w:t>(4), 475-492.</w:t>
      </w:r>
      <w:r w:rsidRPr="008870D3">
        <w:rPr>
          <w:color w:val="000000"/>
          <w:lang w:val="en-GB"/>
        </w:rPr>
        <w:t xml:space="preserve"> </w:t>
      </w:r>
    </w:p>
    <w:p w14:paraId="548840F6" w14:textId="77777777" w:rsidR="00AD0100" w:rsidRPr="00B02BAA" w:rsidRDefault="00AD0100" w:rsidP="008870D3">
      <w:pPr>
        <w:rPr>
          <w:lang w:val="en-GB"/>
        </w:rPr>
      </w:pPr>
      <w:r w:rsidRPr="00B02BAA">
        <w:rPr>
          <w:color w:val="222222"/>
          <w:highlight w:val="white"/>
          <w:lang w:val="en-GB"/>
        </w:rPr>
        <w:t>Humpage, L. (2006). An ‘inclusive’society: a ‘leap forward’for Māori in New Zealand?. </w:t>
      </w:r>
      <w:r w:rsidRPr="00B02BAA">
        <w:rPr>
          <w:i/>
          <w:color w:val="222222"/>
          <w:highlight w:val="white"/>
          <w:lang w:val="en-GB"/>
        </w:rPr>
        <w:t>Critical Social Policy</w:t>
      </w:r>
      <w:r w:rsidRPr="00B02BAA">
        <w:rPr>
          <w:color w:val="222222"/>
          <w:highlight w:val="white"/>
          <w:lang w:val="en-GB"/>
        </w:rPr>
        <w:t>, </w:t>
      </w:r>
      <w:r w:rsidRPr="00B02BAA">
        <w:rPr>
          <w:i/>
          <w:color w:val="222222"/>
          <w:highlight w:val="white"/>
          <w:lang w:val="en-GB"/>
        </w:rPr>
        <w:t>26</w:t>
      </w:r>
      <w:r w:rsidRPr="00B02BAA">
        <w:rPr>
          <w:color w:val="222222"/>
          <w:highlight w:val="white"/>
          <w:lang w:val="en-GB"/>
        </w:rPr>
        <w:t>(1), 220-242.</w:t>
      </w:r>
    </w:p>
    <w:p w14:paraId="0A310DEA" w14:textId="77777777" w:rsidR="00AD0100" w:rsidRPr="008870D3" w:rsidRDefault="00AD0100" w:rsidP="008870D3">
      <w:pPr>
        <w:rPr>
          <w:lang w:val="en-GB"/>
        </w:rPr>
      </w:pPr>
      <w:r w:rsidRPr="008870D3">
        <w:rPr>
          <w:lang w:val="en-GB"/>
        </w:rPr>
        <w:t xml:space="preserve">IWGIA. (2016, May). </w:t>
      </w:r>
      <w:r w:rsidRPr="008870D3">
        <w:rPr>
          <w:i/>
          <w:iCs/>
          <w:lang w:val="en-GB"/>
        </w:rPr>
        <w:t xml:space="preserve">Indigenous Peoples in the United States. </w:t>
      </w:r>
      <w:r w:rsidRPr="008870D3">
        <w:rPr>
          <w:lang w:val="en-GB"/>
        </w:rPr>
        <w:t xml:space="preserve">Retrieved on 10-6-2021, from </w:t>
      </w:r>
      <w:hyperlink r:id="rId34" w:anchor=":~:text=Around%206.6%20million%20people%20in,American%20or%20Alaska%20Native%20alone" w:history="1">
        <w:r w:rsidRPr="008870D3">
          <w:rPr>
            <w:rStyle w:val="Hyperlink"/>
            <w:lang w:val="en-GB"/>
          </w:rPr>
          <w:t>https://www.iwgia.org/en/usa.html#:~:text=Around%206.6%20million%20people%20in,American%20or%20Alaska%20Native%20alone</w:t>
        </w:r>
      </w:hyperlink>
      <w:r w:rsidRPr="008870D3">
        <w:rPr>
          <w:lang w:val="en-GB"/>
        </w:rPr>
        <w:t xml:space="preserve">. </w:t>
      </w:r>
    </w:p>
    <w:p w14:paraId="16EF76BE" w14:textId="77777777" w:rsidR="00AD0100" w:rsidRPr="008870D3" w:rsidRDefault="00AD0100" w:rsidP="008870D3">
      <w:pPr>
        <w:rPr>
          <w:highlight w:val="white"/>
          <w:lang w:val="en-GB"/>
        </w:rPr>
      </w:pPr>
      <w:r w:rsidRPr="008870D3">
        <w:rPr>
          <w:highlight w:val="white"/>
          <w:lang w:val="en-GB"/>
        </w:rPr>
        <w:lastRenderedPageBreak/>
        <w:t>Johnson, R. B., &amp; Onwuegbuzie, A. J. (2004). Mixed methods research: A research paradigm whose time has come. </w:t>
      </w:r>
      <w:r w:rsidRPr="008870D3">
        <w:rPr>
          <w:i/>
          <w:highlight w:val="white"/>
          <w:lang w:val="en-GB"/>
        </w:rPr>
        <w:t>Educational researcher</w:t>
      </w:r>
      <w:r w:rsidRPr="008870D3">
        <w:rPr>
          <w:highlight w:val="white"/>
          <w:lang w:val="en-GB"/>
        </w:rPr>
        <w:t>, </w:t>
      </w:r>
      <w:r w:rsidRPr="008870D3">
        <w:rPr>
          <w:i/>
          <w:highlight w:val="white"/>
          <w:lang w:val="en-GB"/>
        </w:rPr>
        <w:t>33</w:t>
      </w:r>
      <w:r w:rsidRPr="008870D3">
        <w:rPr>
          <w:highlight w:val="white"/>
          <w:lang w:val="en-GB"/>
        </w:rPr>
        <w:t xml:space="preserve">(7), 14-26. </w:t>
      </w:r>
    </w:p>
    <w:p w14:paraId="7BAB1B5B" w14:textId="77777777" w:rsidR="00AD0100" w:rsidRPr="008870D3" w:rsidRDefault="00AD0100" w:rsidP="008870D3">
      <w:pPr>
        <w:rPr>
          <w:lang w:val="en-GB"/>
        </w:rPr>
      </w:pPr>
      <w:r w:rsidRPr="008870D3">
        <w:rPr>
          <w:highlight w:val="white"/>
          <w:lang w:val="en-GB"/>
        </w:rPr>
        <w:t xml:space="preserve">Joschko, V., &amp; Glaser, L. (2019). A new approach to map and quantify representative claims and measure their validation: A case study analysis. </w:t>
      </w:r>
      <w:r w:rsidRPr="008870D3">
        <w:rPr>
          <w:i/>
          <w:highlight w:val="white"/>
          <w:lang w:val="en-GB"/>
        </w:rPr>
        <w:t>Politics and Governance</w:t>
      </w:r>
      <w:r w:rsidRPr="008870D3">
        <w:rPr>
          <w:highlight w:val="white"/>
          <w:lang w:val="en-GB"/>
        </w:rPr>
        <w:t xml:space="preserve">, </w:t>
      </w:r>
      <w:r w:rsidRPr="008870D3">
        <w:rPr>
          <w:i/>
          <w:highlight w:val="white"/>
          <w:lang w:val="en-GB"/>
        </w:rPr>
        <w:t>7</w:t>
      </w:r>
      <w:r w:rsidRPr="008870D3">
        <w:rPr>
          <w:highlight w:val="white"/>
          <w:lang w:val="en-GB"/>
        </w:rPr>
        <w:t>(3), 137.</w:t>
      </w:r>
    </w:p>
    <w:p w14:paraId="6E456512" w14:textId="77777777" w:rsidR="00AD0100" w:rsidRPr="00212815" w:rsidRDefault="00AD0100" w:rsidP="008870D3">
      <w:pPr>
        <w:rPr>
          <w:color w:val="222222"/>
          <w:lang w:val="en-GB"/>
        </w:rPr>
      </w:pPr>
      <w:r w:rsidRPr="00212815">
        <w:rPr>
          <w:color w:val="222222"/>
          <w:lang w:val="en-GB"/>
        </w:rPr>
        <w:t>Joseph, P. A. (2008). The Maori Seats in Parliament. </w:t>
      </w:r>
      <w:r w:rsidRPr="00212815">
        <w:rPr>
          <w:i/>
          <w:color w:val="222222"/>
          <w:lang w:val="en-GB"/>
        </w:rPr>
        <w:t>New Zealand Business Roundtable. May</w:t>
      </w:r>
      <w:r w:rsidRPr="00212815">
        <w:rPr>
          <w:color w:val="222222"/>
          <w:lang w:val="en-GB"/>
        </w:rPr>
        <w:t>.</w:t>
      </w:r>
    </w:p>
    <w:p w14:paraId="6E4DCDAA" w14:textId="77777777" w:rsidR="00AD0100" w:rsidRPr="00C11021" w:rsidRDefault="00AD0100" w:rsidP="008870D3">
      <w:pPr>
        <w:rPr>
          <w:color w:val="222222"/>
          <w:highlight w:val="white"/>
          <w:lang w:val="en-GB"/>
        </w:rPr>
      </w:pPr>
      <w:bookmarkStart w:id="279" w:name="_heading=h.26in1rg" w:colFirst="0" w:colLast="0"/>
      <w:bookmarkEnd w:id="279"/>
      <w:r w:rsidRPr="00C11021">
        <w:rPr>
          <w:color w:val="222222"/>
          <w:highlight w:val="white"/>
          <w:lang w:val="en-GB"/>
        </w:rPr>
        <w:t xml:space="preserve">Kurebwa, J. (2015). A Review of Hannah Pitkin’s (1967) Conception of Women’s Political Representation. </w:t>
      </w:r>
      <w:r w:rsidRPr="00C11021">
        <w:rPr>
          <w:i/>
          <w:color w:val="222222"/>
          <w:highlight w:val="white"/>
          <w:lang w:val="en-GB"/>
        </w:rPr>
        <w:t>International Journal of Scientific and Research Publication, 5</w:t>
      </w:r>
      <w:r w:rsidRPr="00C11021">
        <w:rPr>
          <w:color w:val="222222"/>
          <w:highlight w:val="white"/>
          <w:lang w:val="en-GB"/>
        </w:rPr>
        <w:t xml:space="preserve">(11), 50-60. </w:t>
      </w:r>
    </w:p>
    <w:p w14:paraId="2CE1157F" w14:textId="77777777" w:rsidR="00AD0100" w:rsidRPr="00212815" w:rsidRDefault="00AD0100" w:rsidP="008870D3">
      <w:pPr>
        <w:rPr>
          <w:lang w:val="en-GB"/>
        </w:rPr>
      </w:pPr>
      <w:r w:rsidRPr="008870D3">
        <w:rPr>
          <w:lang w:val="en-GB"/>
        </w:rPr>
        <w:t xml:space="preserve">Lim, J. and Gibson, V. (2019, October 4). </w:t>
      </w:r>
      <w:r w:rsidRPr="008870D3">
        <w:rPr>
          <w:i/>
          <w:iCs/>
          <w:lang w:val="en-GB"/>
        </w:rPr>
        <w:t xml:space="preserve">Gender, minorities, parenthood: Here’s how the next Parliament compares to Canada today. </w:t>
      </w:r>
      <w:r w:rsidRPr="008870D3">
        <w:rPr>
          <w:lang w:val="en-GB"/>
        </w:rPr>
        <w:t xml:space="preserve">Retrieved on 27-5-2021, from </w:t>
      </w:r>
      <w:hyperlink r:id="rId35" w:history="1">
        <w:r w:rsidRPr="00212815">
          <w:rPr>
            <w:rStyle w:val="Hyperlink"/>
            <w:lang w:val="en-GB"/>
          </w:rPr>
          <w:t>https://ipolitics.ca/2019/10/24/gender-minorities-parenthood-heres-how-the-next-parliament-compares-to-canada-today/</w:t>
        </w:r>
      </w:hyperlink>
      <w:r w:rsidRPr="00212815">
        <w:rPr>
          <w:lang w:val="en-GB"/>
        </w:rPr>
        <w:t xml:space="preserve">. </w:t>
      </w:r>
    </w:p>
    <w:p w14:paraId="520262D5" w14:textId="77777777" w:rsidR="00AD0100" w:rsidRPr="00212815" w:rsidRDefault="00AD0100" w:rsidP="008870D3">
      <w:pPr>
        <w:rPr>
          <w:color w:val="222222"/>
          <w:lang w:val="en-GB"/>
        </w:rPr>
      </w:pPr>
      <w:r w:rsidRPr="00212815">
        <w:rPr>
          <w:color w:val="222222"/>
          <w:lang w:val="en-GB"/>
        </w:rPr>
        <w:t>Lloyd, B. (2009). </w:t>
      </w:r>
      <w:r w:rsidRPr="00212815">
        <w:rPr>
          <w:i/>
          <w:color w:val="222222"/>
          <w:lang w:val="en-GB"/>
        </w:rPr>
        <w:t>Dedicated Indigenous representation in the Australian Parliament</w:t>
      </w:r>
      <w:r w:rsidRPr="00212815">
        <w:rPr>
          <w:color w:val="222222"/>
          <w:lang w:val="en-GB"/>
        </w:rPr>
        <w:t>. Department of Parliamentary Services, Parliamentary Library.</w:t>
      </w:r>
    </w:p>
    <w:p w14:paraId="409659F9" w14:textId="77777777" w:rsidR="00AD0100" w:rsidRPr="00C11021" w:rsidRDefault="00AD0100" w:rsidP="008870D3">
      <w:pPr>
        <w:rPr>
          <w:color w:val="222222"/>
          <w:lang w:val="en-GB"/>
        </w:rPr>
      </w:pPr>
      <w:r w:rsidRPr="00C11021">
        <w:rPr>
          <w:color w:val="222222"/>
          <w:highlight w:val="white"/>
          <w:lang w:val="en-GB"/>
        </w:rPr>
        <w:t>Maddison, S. (2010). White parliament, black politics: the dilemmas of Indigenous parliamentary representation. </w:t>
      </w:r>
      <w:r w:rsidRPr="00C11021">
        <w:rPr>
          <w:i/>
          <w:color w:val="222222"/>
          <w:highlight w:val="white"/>
          <w:lang w:val="en-GB"/>
        </w:rPr>
        <w:t>Australian Journal of Political Science</w:t>
      </w:r>
      <w:r w:rsidRPr="00C11021">
        <w:rPr>
          <w:color w:val="222222"/>
          <w:highlight w:val="white"/>
          <w:lang w:val="en-GB"/>
        </w:rPr>
        <w:t>, </w:t>
      </w:r>
      <w:r w:rsidRPr="00C11021">
        <w:rPr>
          <w:i/>
          <w:color w:val="222222"/>
          <w:highlight w:val="white"/>
          <w:lang w:val="en-GB"/>
        </w:rPr>
        <w:t>45</w:t>
      </w:r>
      <w:r w:rsidRPr="00C11021">
        <w:rPr>
          <w:color w:val="222222"/>
          <w:highlight w:val="white"/>
          <w:lang w:val="en-GB"/>
        </w:rPr>
        <w:t>(4), 663-680.</w:t>
      </w:r>
    </w:p>
    <w:p w14:paraId="63068211" w14:textId="77777777" w:rsidR="00AD0100" w:rsidRPr="00B02BAA" w:rsidRDefault="00AD0100" w:rsidP="008870D3">
      <w:pPr>
        <w:rPr>
          <w:rFonts w:cs="Open Sans"/>
          <w:color w:val="000000"/>
          <w:lang w:val="en-GB"/>
        </w:rPr>
      </w:pPr>
      <w:r w:rsidRPr="00B02BAA">
        <w:rPr>
          <w:lang w:val="en-GB"/>
        </w:rPr>
        <w:t xml:space="preserve">Mahuta, N. (2021, 23 February). </w:t>
      </w:r>
      <w:r w:rsidRPr="00B02BAA">
        <w:rPr>
          <w:rFonts w:cs="Open Sans"/>
          <w:i/>
          <w:iCs/>
          <w:color w:val="000000"/>
          <w:lang w:val="en-GB"/>
        </w:rPr>
        <w:t xml:space="preserve">Local Electoral (Māori Wards and Māori Constituencies) Amendment Bill — Second Reading. </w:t>
      </w:r>
      <w:r w:rsidRPr="00B02BAA">
        <w:rPr>
          <w:rFonts w:cs="Open Sans"/>
          <w:color w:val="000000"/>
          <w:lang w:val="en-GB"/>
        </w:rPr>
        <w:t xml:space="preserve">Retrieved on 7-6-2021, from </w:t>
      </w:r>
      <w:hyperlink r:id="rId36" w:history="1">
        <w:r w:rsidRPr="00B02BAA">
          <w:rPr>
            <w:rStyle w:val="Hyperlink"/>
            <w:rFonts w:cs="Open Sans"/>
            <w:lang w:val="en-GB"/>
          </w:rPr>
          <w:t>https://www.parliament.nz/en/pb/hansard-debates/rhr/combined/HansDeb_20210223_20210223_28</w:t>
        </w:r>
      </w:hyperlink>
      <w:r w:rsidRPr="00B02BAA">
        <w:rPr>
          <w:rFonts w:cs="Open Sans"/>
          <w:color w:val="000000"/>
          <w:lang w:val="en-GB"/>
        </w:rPr>
        <w:t xml:space="preserve">. </w:t>
      </w:r>
    </w:p>
    <w:p w14:paraId="0BB8B380" w14:textId="77777777" w:rsidR="00AD0100" w:rsidRPr="00C11021" w:rsidRDefault="00AD0100" w:rsidP="008870D3">
      <w:pPr>
        <w:rPr>
          <w:lang w:val="en-GB"/>
        </w:rPr>
      </w:pPr>
      <w:r w:rsidRPr="00C11021">
        <w:rPr>
          <w:lang w:val="en-GB"/>
        </w:rPr>
        <w:t xml:space="preserve">Mansbridge, J. (1999). Should Blacks Represent Blacks and Women Represent Women? A Contingent “Yes”. </w:t>
      </w:r>
      <w:r w:rsidRPr="00C11021">
        <w:rPr>
          <w:i/>
          <w:lang w:val="en-GB"/>
        </w:rPr>
        <w:t>The Journal of Politics</w:t>
      </w:r>
      <w:r w:rsidRPr="00C11021">
        <w:rPr>
          <w:lang w:val="en-GB"/>
        </w:rPr>
        <w:t xml:space="preserve">, </w:t>
      </w:r>
      <w:r w:rsidRPr="00C11021">
        <w:rPr>
          <w:i/>
          <w:lang w:val="en-GB"/>
        </w:rPr>
        <w:t>61</w:t>
      </w:r>
      <w:r w:rsidRPr="00C11021">
        <w:rPr>
          <w:lang w:val="en-GB"/>
        </w:rPr>
        <w:t>(3), 628–57.</w:t>
      </w:r>
    </w:p>
    <w:p w14:paraId="47CAE980" w14:textId="77777777" w:rsidR="00AD0100" w:rsidRPr="00C11021" w:rsidRDefault="00AD0100" w:rsidP="008870D3">
      <w:pPr>
        <w:rPr>
          <w:lang w:val="en-GB"/>
        </w:rPr>
      </w:pPr>
      <w:r w:rsidRPr="00C11021">
        <w:rPr>
          <w:color w:val="222222"/>
          <w:highlight w:val="white"/>
          <w:lang w:val="en-GB"/>
        </w:rPr>
        <w:t>Mansbridge, J. (2003). Rethinking representation. </w:t>
      </w:r>
      <w:r w:rsidRPr="00C11021">
        <w:rPr>
          <w:i/>
          <w:color w:val="222222"/>
          <w:highlight w:val="white"/>
          <w:lang w:val="en-GB"/>
        </w:rPr>
        <w:t>American political science review</w:t>
      </w:r>
      <w:r w:rsidRPr="00C11021">
        <w:rPr>
          <w:color w:val="222222"/>
          <w:highlight w:val="white"/>
          <w:lang w:val="en-GB"/>
        </w:rPr>
        <w:t>, 515-528.</w:t>
      </w:r>
    </w:p>
    <w:p w14:paraId="4E6CAF96" w14:textId="77777777" w:rsidR="00AD0100" w:rsidRPr="00C11021" w:rsidRDefault="00AD0100" w:rsidP="008870D3">
      <w:pPr>
        <w:rPr>
          <w:lang w:val="en-GB"/>
        </w:rPr>
      </w:pPr>
      <w:r w:rsidRPr="00C11021">
        <w:rPr>
          <w:lang w:val="en-GB"/>
        </w:rPr>
        <w:t xml:space="preserve">Mansbridge, J. (2005). Quota problems: Combating the dangers of essentialism. </w:t>
      </w:r>
      <w:r w:rsidRPr="00C11021">
        <w:rPr>
          <w:i/>
          <w:lang w:val="en-GB"/>
        </w:rPr>
        <w:t>Politics &amp; Gender, 1</w:t>
      </w:r>
      <w:r w:rsidRPr="00C11021">
        <w:rPr>
          <w:lang w:val="en-GB"/>
        </w:rPr>
        <w:t xml:space="preserve">(4), 622-638. </w:t>
      </w:r>
    </w:p>
    <w:p w14:paraId="184B49E8" w14:textId="77777777" w:rsidR="00AD0100" w:rsidRPr="008870D3" w:rsidRDefault="00AD0100" w:rsidP="008870D3">
      <w:pPr>
        <w:rPr>
          <w:lang w:val="en-GB"/>
        </w:rPr>
      </w:pPr>
      <w:r w:rsidRPr="008870D3">
        <w:rPr>
          <w:color w:val="000000"/>
          <w:lang w:val="en-GB"/>
        </w:rPr>
        <w:t xml:space="preserve">Menon, P. (2019, July 30). </w:t>
      </w:r>
      <w:r w:rsidRPr="008870D3">
        <w:rPr>
          <w:i/>
          <w:iCs/>
          <w:color w:val="000000"/>
          <w:lang w:val="en-GB"/>
        </w:rPr>
        <w:t xml:space="preserve">New Zealand’s indigenous Maori protest of ‘stolen children’. </w:t>
      </w:r>
      <w:r w:rsidRPr="008870D3">
        <w:rPr>
          <w:color w:val="000000"/>
          <w:lang w:val="en-GB"/>
        </w:rPr>
        <w:t xml:space="preserve">Retrieved on 18-5-2021, from </w:t>
      </w:r>
      <w:hyperlink r:id="rId37" w:history="1">
        <w:r w:rsidRPr="008870D3">
          <w:rPr>
            <w:rStyle w:val="Hyperlink"/>
            <w:lang w:val="en-GB"/>
          </w:rPr>
          <w:t>https://www.reuters.com/article/us-newzealand-politics-idUSKCN1UP0PA</w:t>
        </w:r>
      </w:hyperlink>
      <w:r w:rsidRPr="008870D3">
        <w:rPr>
          <w:color w:val="1155CC"/>
          <w:u w:val="single"/>
          <w:lang w:val="en-GB"/>
        </w:rPr>
        <w:t xml:space="preserve">. </w:t>
      </w:r>
    </w:p>
    <w:p w14:paraId="1B5EFC63" w14:textId="77777777" w:rsidR="00AD0100" w:rsidRPr="008870D3" w:rsidRDefault="00AD0100" w:rsidP="008870D3">
      <w:pPr>
        <w:rPr>
          <w:lang w:val="en-GB"/>
        </w:rPr>
      </w:pPr>
      <w:r w:rsidRPr="008870D3">
        <w:rPr>
          <w:highlight w:val="white"/>
          <w:lang w:val="en-GB"/>
        </w:rPr>
        <w:t>Morden, M. D. (2018). Parliament and the Representation of Indigenous Issues: The Canadian Case. </w:t>
      </w:r>
      <w:r w:rsidRPr="008870D3">
        <w:rPr>
          <w:i/>
          <w:highlight w:val="white"/>
          <w:lang w:val="en-GB"/>
        </w:rPr>
        <w:t>Parliamentary Affairs</w:t>
      </w:r>
      <w:r w:rsidRPr="008870D3">
        <w:rPr>
          <w:highlight w:val="white"/>
          <w:lang w:val="en-GB"/>
        </w:rPr>
        <w:t>, </w:t>
      </w:r>
      <w:r w:rsidRPr="008870D3">
        <w:rPr>
          <w:i/>
          <w:highlight w:val="white"/>
          <w:lang w:val="en-GB"/>
        </w:rPr>
        <w:t>71</w:t>
      </w:r>
      <w:r w:rsidRPr="008870D3">
        <w:rPr>
          <w:highlight w:val="white"/>
          <w:lang w:val="en-GB"/>
        </w:rPr>
        <w:t>(1), 124-143.</w:t>
      </w:r>
      <w:r w:rsidRPr="008870D3">
        <w:rPr>
          <w:color w:val="000000"/>
          <w:highlight w:val="white"/>
          <w:lang w:val="en-GB"/>
        </w:rPr>
        <w:t> </w:t>
      </w:r>
    </w:p>
    <w:p w14:paraId="260510CC" w14:textId="77777777" w:rsidR="00AD0100" w:rsidRPr="00C11021" w:rsidRDefault="00AD0100" w:rsidP="008870D3">
      <w:pPr>
        <w:rPr>
          <w:lang w:val="en-GB"/>
        </w:rPr>
      </w:pPr>
      <w:r w:rsidRPr="00C11021">
        <w:rPr>
          <w:color w:val="222222"/>
          <w:highlight w:val="white"/>
          <w:lang w:val="en-GB"/>
        </w:rPr>
        <w:t>Morris, S. (2014). Lessons from New Zealand: Towards a better working relationship between indigenous peoples and the state. </w:t>
      </w:r>
      <w:r w:rsidRPr="00C11021">
        <w:rPr>
          <w:i/>
          <w:color w:val="222222"/>
          <w:highlight w:val="white"/>
          <w:lang w:val="en-GB"/>
        </w:rPr>
        <w:t>Australian Indigenous Law Review</w:t>
      </w:r>
      <w:r w:rsidRPr="00C11021">
        <w:rPr>
          <w:color w:val="222222"/>
          <w:highlight w:val="white"/>
          <w:lang w:val="en-GB"/>
        </w:rPr>
        <w:t>, </w:t>
      </w:r>
      <w:r w:rsidRPr="00C11021">
        <w:rPr>
          <w:i/>
          <w:color w:val="222222"/>
          <w:highlight w:val="white"/>
          <w:lang w:val="en-GB"/>
        </w:rPr>
        <w:t>18</w:t>
      </w:r>
      <w:r w:rsidRPr="00C11021">
        <w:rPr>
          <w:color w:val="222222"/>
          <w:highlight w:val="white"/>
          <w:lang w:val="en-GB"/>
        </w:rPr>
        <w:t>(2), 67-87.</w:t>
      </w:r>
    </w:p>
    <w:p w14:paraId="6FE82A5F" w14:textId="77777777" w:rsidR="00AD0100" w:rsidRPr="00B02BAA" w:rsidRDefault="00AD0100" w:rsidP="008870D3">
      <w:pPr>
        <w:rPr>
          <w:lang w:val="en-GB"/>
        </w:rPr>
      </w:pPr>
      <w:r w:rsidRPr="00B02BAA">
        <w:rPr>
          <w:color w:val="222222"/>
          <w:highlight w:val="white"/>
          <w:lang w:val="en-GB"/>
        </w:rPr>
        <w:t>Mutu, M. (2018). Behind the smoke and mirrors of the Treaty of Waitangi claims settlement process in New Zealand: No prospect for justice and reconciliation for Māori without constitutional transformation. </w:t>
      </w:r>
      <w:r w:rsidRPr="00B02BAA">
        <w:rPr>
          <w:i/>
          <w:color w:val="222222"/>
          <w:highlight w:val="white"/>
          <w:lang w:val="en-GB"/>
        </w:rPr>
        <w:t>Journal of Global Ethics</w:t>
      </w:r>
      <w:r w:rsidRPr="00B02BAA">
        <w:rPr>
          <w:color w:val="222222"/>
          <w:highlight w:val="white"/>
          <w:lang w:val="en-GB"/>
        </w:rPr>
        <w:t>, </w:t>
      </w:r>
      <w:r w:rsidRPr="00B02BAA">
        <w:rPr>
          <w:i/>
          <w:color w:val="222222"/>
          <w:highlight w:val="white"/>
          <w:lang w:val="en-GB"/>
        </w:rPr>
        <w:t>14</w:t>
      </w:r>
      <w:r w:rsidRPr="00B02BAA">
        <w:rPr>
          <w:color w:val="222222"/>
          <w:highlight w:val="white"/>
          <w:lang w:val="en-GB"/>
        </w:rPr>
        <w:t>(2), 208-221.</w:t>
      </w:r>
    </w:p>
    <w:p w14:paraId="06DF562A" w14:textId="77777777" w:rsidR="00AD0100" w:rsidRPr="00B02BAA" w:rsidRDefault="00AD0100" w:rsidP="008870D3">
      <w:pPr>
        <w:rPr>
          <w:lang w:val="en-GB"/>
        </w:rPr>
      </w:pPr>
      <w:r w:rsidRPr="00B02BAA">
        <w:rPr>
          <w:lang w:val="en-GB"/>
        </w:rPr>
        <w:t xml:space="preserve">New Zealand Parliament. (2020a, November 9). </w:t>
      </w:r>
      <w:r w:rsidRPr="00B02BAA">
        <w:rPr>
          <w:i/>
          <w:lang w:val="en-GB"/>
        </w:rPr>
        <w:t>Governments in New Zealand since 1856.</w:t>
      </w:r>
      <w:r w:rsidRPr="00B02BAA">
        <w:rPr>
          <w:lang w:val="en-GB"/>
        </w:rPr>
        <w:t xml:space="preserve"> Retrieved on 25-5-2021, from </w:t>
      </w:r>
      <w:hyperlink r:id="rId38">
        <w:r w:rsidRPr="00B02BAA">
          <w:rPr>
            <w:color w:val="0563C1"/>
            <w:u w:val="single"/>
            <w:lang w:val="en-GB"/>
          </w:rPr>
          <w:t>https://www.parliament.nz/en/visit-and-learn/mps-and-parliaments-1854-onwards/governments-in-new-zealand-since-1856/</w:t>
        </w:r>
      </w:hyperlink>
      <w:r w:rsidRPr="00B02BAA">
        <w:rPr>
          <w:lang w:val="en-GB"/>
        </w:rPr>
        <w:t xml:space="preserve">. </w:t>
      </w:r>
    </w:p>
    <w:p w14:paraId="40F93A7C" w14:textId="77777777" w:rsidR="00AD0100" w:rsidRPr="00B02BAA" w:rsidRDefault="00AD0100" w:rsidP="008870D3">
      <w:pPr>
        <w:rPr>
          <w:lang w:val="en-GB"/>
        </w:rPr>
      </w:pPr>
      <w:r w:rsidRPr="00B02BAA">
        <w:rPr>
          <w:lang w:val="en-GB"/>
        </w:rPr>
        <w:t xml:space="preserve">New Zealand Parliament. (2020b, November 26). </w:t>
      </w:r>
      <w:r w:rsidRPr="00B02BAA">
        <w:rPr>
          <w:i/>
          <w:lang w:val="en-GB"/>
        </w:rPr>
        <w:t xml:space="preserve">What is the Address in Reply debate? </w:t>
      </w:r>
      <w:r w:rsidRPr="00B02BAA">
        <w:rPr>
          <w:lang w:val="en-GB"/>
        </w:rPr>
        <w:t xml:space="preserve">Retrieved on 21-5-2021, from </w:t>
      </w:r>
      <w:hyperlink r:id="rId39">
        <w:r w:rsidRPr="00B02BAA">
          <w:rPr>
            <w:color w:val="0563C1"/>
            <w:u w:val="single"/>
            <w:lang w:val="en-GB"/>
          </w:rPr>
          <w:t>https://www.parliament.nz/en/get-involved/features/what-is-the-address-in-reply-debate/</w:t>
        </w:r>
      </w:hyperlink>
      <w:r w:rsidRPr="00B02BAA">
        <w:rPr>
          <w:lang w:val="en-GB"/>
        </w:rPr>
        <w:t xml:space="preserve">. </w:t>
      </w:r>
    </w:p>
    <w:p w14:paraId="4E80E530" w14:textId="77777777" w:rsidR="00AD0100" w:rsidRPr="008870D3" w:rsidRDefault="00AD0100" w:rsidP="008870D3">
      <w:pPr>
        <w:rPr>
          <w:lang w:val="en-GB"/>
        </w:rPr>
      </w:pPr>
      <w:r w:rsidRPr="008870D3">
        <w:rPr>
          <w:lang w:val="en-GB"/>
        </w:rPr>
        <w:lastRenderedPageBreak/>
        <w:t xml:space="preserve">NZ Herald. (2021, February 8). </w:t>
      </w:r>
      <w:r w:rsidRPr="008870D3">
        <w:rPr>
          <w:i/>
          <w:iCs/>
          <w:lang w:val="en-GB"/>
        </w:rPr>
        <w:t>Rawiri Waititi: It’s not about a tie – it’s about P</w:t>
      </w:r>
      <w:r w:rsidRPr="008870D3">
        <w:rPr>
          <w:i/>
          <w:color w:val="000000"/>
          <w:lang w:val="en-GB"/>
        </w:rPr>
        <w:t>ā</w:t>
      </w:r>
      <w:r w:rsidRPr="008870D3">
        <w:rPr>
          <w:i/>
          <w:iCs/>
          <w:lang w:val="en-GB"/>
        </w:rPr>
        <w:t>keh</w:t>
      </w:r>
      <w:r w:rsidRPr="008870D3">
        <w:rPr>
          <w:i/>
          <w:color w:val="000000"/>
          <w:lang w:val="en-GB"/>
        </w:rPr>
        <w:t>ā</w:t>
      </w:r>
      <w:r w:rsidRPr="008870D3">
        <w:rPr>
          <w:i/>
          <w:iCs/>
          <w:lang w:val="en-GB"/>
        </w:rPr>
        <w:t xml:space="preserve"> power. </w:t>
      </w:r>
      <w:r w:rsidRPr="008870D3">
        <w:rPr>
          <w:lang w:val="en-GB"/>
        </w:rPr>
        <w:t xml:space="preserve">Retrieved on 27-5-2021, from </w:t>
      </w:r>
      <w:hyperlink r:id="rId40" w:history="1">
        <w:r w:rsidRPr="008870D3">
          <w:rPr>
            <w:rStyle w:val="Hyperlink"/>
            <w:lang w:val="en-GB"/>
          </w:rPr>
          <w:t>https://www.nzherald.co.nz/nz/rawiri-waititi-its-not-about-a-tie-its-about-pakeha-power/HECCXMLEYBW5WQ4FF75ASNFP5E/</w:t>
        </w:r>
      </w:hyperlink>
      <w:r w:rsidRPr="008870D3">
        <w:rPr>
          <w:lang w:val="en-GB"/>
        </w:rPr>
        <w:t xml:space="preserve">. </w:t>
      </w:r>
    </w:p>
    <w:p w14:paraId="3E0861DE" w14:textId="77777777" w:rsidR="0046656B" w:rsidRDefault="0046656B" w:rsidP="008870D3">
      <w:pPr>
        <w:rPr>
          <w:lang w:val="en-GB"/>
        </w:rPr>
      </w:pPr>
    </w:p>
    <w:p w14:paraId="1485279A" w14:textId="2D840D8B" w:rsidR="00AD0100" w:rsidRPr="00B02BAA" w:rsidRDefault="00AD0100" w:rsidP="008870D3">
      <w:pPr>
        <w:rPr>
          <w:lang w:val="en-GB"/>
        </w:rPr>
      </w:pPr>
      <w:r w:rsidRPr="00B02BAA">
        <w:rPr>
          <w:lang w:val="en-GB"/>
        </w:rPr>
        <w:t xml:space="preserve">Orange, C. (2012, June 20). </w:t>
      </w:r>
      <w:r w:rsidRPr="00B02BAA">
        <w:rPr>
          <w:i/>
          <w:lang w:val="en-GB"/>
        </w:rPr>
        <w:t xml:space="preserve">Story: Treaty of Waitangi. </w:t>
      </w:r>
      <w:r w:rsidRPr="00B02BAA">
        <w:rPr>
          <w:lang w:val="en-GB"/>
        </w:rPr>
        <w:t xml:space="preserve">Retrieved on 19-5-2021, from </w:t>
      </w:r>
      <w:hyperlink r:id="rId41" w:anchor=":~:text=Reasons%20why%20chiefs%20signed%20the,would%20stop%20fighting%20between%20tribes">
        <w:r w:rsidRPr="00B02BAA">
          <w:rPr>
            <w:color w:val="0563C1"/>
            <w:u w:val="single"/>
            <w:lang w:val="en-GB"/>
          </w:rPr>
          <w:t>https://teara.govt.nz/en/treaty-of-waitangi#:~:text=Reasons%20why%20chiefs%20signed%20the,would%20stop%20fighting%20between%20tribes</w:t>
        </w:r>
      </w:hyperlink>
    </w:p>
    <w:p w14:paraId="534D05C0" w14:textId="77777777" w:rsidR="00AD0100" w:rsidRPr="008870D3" w:rsidRDefault="00AD0100" w:rsidP="008870D3">
      <w:pPr>
        <w:rPr>
          <w:lang w:val="en-GB"/>
        </w:rPr>
      </w:pPr>
      <w:r w:rsidRPr="008870D3">
        <w:rPr>
          <w:lang w:val="en-GB"/>
        </w:rPr>
        <w:t xml:space="preserve">Parliament of Australia. (2017, July 11). </w:t>
      </w:r>
      <w:r w:rsidRPr="008870D3">
        <w:rPr>
          <w:i/>
          <w:iCs/>
          <w:lang w:val="en-GB"/>
        </w:rPr>
        <w:t xml:space="preserve">Indigenous parliamentarians, federal and state: a quick guide. </w:t>
      </w:r>
      <w:r w:rsidRPr="008870D3">
        <w:rPr>
          <w:lang w:val="en-GB"/>
        </w:rPr>
        <w:t xml:space="preserve">Retrieved on 27-5-2021, from </w:t>
      </w:r>
      <w:hyperlink r:id="rId42" w:history="1">
        <w:r w:rsidRPr="008870D3">
          <w:rPr>
            <w:rStyle w:val="Hyperlink"/>
            <w:lang w:val="en-GB"/>
          </w:rPr>
          <w:t>https://www.aph.gov.au/About_Parliament/Parliamentary_Departments/Parliamentary_Library/pubs/rp/rp1718/Quick_Guides/IndigenousParliamentarians</w:t>
        </w:r>
      </w:hyperlink>
      <w:r w:rsidRPr="008870D3">
        <w:rPr>
          <w:lang w:val="en-GB"/>
        </w:rPr>
        <w:t xml:space="preserve">. </w:t>
      </w:r>
    </w:p>
    <w:p w14:paraId="29C35777" w14:textId="77777777" w:rsidR="00AD0100" w:rsidRPr="00B02BAA" w:rsidRDefault="00AD0100" w:rsidP="008870D3">
      <w:pPr>
        <w:rPr>
          <w:lang w:val="en-GB"/>
        </w:rPr>
      </w:pPr>
      <w:r w:rsidRPr="00B02BAA">
        <w:rPr>
          <w:lang w:val="en-GB"/>
        </w:rPr>
        <w:t xml:space="preserve">Parliamentary Library. (2017). </w:t>
      </w:r>
      <w:r w:rsidRPr="00F76084">
        <w:rPr>
          <w:i/>
          <w:iCs/>
          <w:lang w:val="en-GB"/>
        </w:rPr>
        <w:t>Final results for the 2017 New Zealand General Election</w:t>
      </w:r>
      <w:r w:rsidRPr="00B02BAA">
        <w:rPr>
          <w:lang w:val="en-GB"/>
        </w:rPr>
        <w:t xml:space="preserve">. Retrieved on 25-5-2021, from </w:t>
      </w:r>
      <w:hyperlink r:id="rId43">
        <w:r w:rsidRPr="00B02BAA">
          <w:rPr>
            <w:color w:val="0563C1"/>
            <w:u w:val="single"/>
            <w:lang w:val="en-GB"/>
          </w:rPr>
          <w:t>https://apo.org.au/sites/default/files/resource-files/2017-12/apo-nid127646.pdf</w:t>
        </w:r>
      </w:hyperlink>
      <w:r w:rsidRPr="00B02BAA">
        <w:rPr>
          <w:lang w:val="en-GB"/>
        </w:rPr>
        <w:t xml:space="preserve">. </w:t>
      </w:r>
    </w:p>
    <w:p w14:paraId="45FF2C06" w14:textId="77777777" w:rsidR="00AD0100" w:rsidRPr="00C11021" w:rsidRDefault="00AD0100" w:rsidP="008870D3">
      <w:pPr>
        <w:rPr>
          <w:color w:val="FF0000"/>
          <w:lang w:val="en-GB"/>
        </w:rPr>
      </w:pPr>
      <w:r w:rsidRPr="00C11021">
        <w:rPr>
          <w:color w:val="222222"/>
          <w:highlight w:val="white"/>
          <w:lang w:val="en-GB"/>
        </w:rPr>
        <w:t>Phillips, A. (1995). </w:t>
      </w:r>
      <w:r w:rsidRPr="00C11021">
        <w:rPr>
          <w:i/>
          <w:color w:val="222222"/>
          <w:highlight w:val="white"/>
          <w:lang w:val="en-GB"/>
        </w:rPr>
        <w:t>The politics of presence</w:t>
      </w:r>
      <w:r w:rsidRPr="00C11021">
        <w:rPr>
          <w:color w:val="222222"/>
          <w:highlight w:val="white"/>
          <w:lang w:val="en-GB"/>
        </w:rPr>
        <w:t>. Oxford: Clarendon Press.</w:t>
      </w:r>
    </w:p>
    <w:p w14:paraId="6948BA12" w14:textId="77777777" w:rsidR="00AD0100" w:rsidRPr="00C11021" w:rsidRDefault="00AD0100" w:rsidP="008870D3">
      <w:pPr>
        <w:rPr>
          <w:lang w:val="en-GB"/>
        </w:rPr>
      </w:pPr>
      <w:r w:rsidRPr="00C11021">
        <w:rPr>
          <w:lang w:val="en-GB"/>
        </w:rPr>
        <w:t xml:space="preserve">Phillips, A. (2019). Descriptive representation revisited. In Rohrschneider, and Thomassen (eds.), </w:t>
      </w:r>
      <w:r w:rsidRPr="00C11021">
        <w:rPr>
          <w:i/>
          <w:lang w:val="en-GB"/>
        </w:rPr>
        <w:t>Oxford Handbook of Political Representation in Liberal Democracies</w:t>
      </w:r>
      <w:r w:rsidRPr="00C11021">
        <w:rPr>
          <w:lang w:val="en-GB"/>
        </w:rPr>
        <w:t xml:space="preserve">. Oxford: Oxford University Press. </w:t>
      </w:r>
    </w:p>
    <w:p w14:paraId="261720DA" w14:textId="77777777" w:rsidR="00AD0100" w:rsidRPr="00C11021" w:rsidRDefault="00AD0100" w:rsidP="008870D3">
      <w:pPr>
        <w:rPr>
          <w:lang w:val="en-GB"/>
        </w:rPr>
      </w:pPr>
      <w:r w:rsidRPr="00C11021">
        <w:rPr>
          <w:lang w:val="en-GB"/>
        </w:rPr>
        <w:t xml:space="preserve">Pitkin, H. F. (1967). </w:t>
      </w:r>
      <w:r w:rsidRPr="00C11021">
        <w:rPr>
          <w:i/>
          <w:lang w:val="en-GB"/>
        </w:rPr>
        <w:t xml:space="preserve">The Concept of Representation. </w:t>
      </w:r>
      <w:r w:rsidRPr="00C11021">
        <w:rPr>
          <w:lang w:val="en-GB"/>
        </w:rPr>
        <w:t>Los Angeles: University of California Press.</w:t>
      </w:r>
    </w:p>
    <w:p w14:paraId="60541CA4" w14:textId="77777777" w:rsidR="00AD0100" w:rsidRPr="00B02BAA" w:rsidRDefault="00AD0100" w:rsidP="008870D3">
      <w:pPr>
        <w:rPr>
          <w:lang w:val="en-GB"/>
        </w:rPr>
      </w:pPr>
      <w:r w:rsidRPr="00B02BAA">
        <w:rPr>
          <w:lang w:val="en-GB"/>
        </w:rPr>
        <w:t xml:space="preserve">Power, Simon. (2010). </w:t>
      </w:r>
      <w:r w:rsidRPr="00B02BAA">
        <w:rPr>
          <w:i/>
          <w:lang w:val="en-GB"/>
        </w:rPr>
        <w:t>Ministerial Statements — UN Declaration on the Rights of Indigenous Peoples—Government Support - New Zealand Parliament</w:t>
      </w:r>
      <w:r w:rsidRPr="00B02BAA">
        <w:rPr>
          <w:lang w:val="en-GB"/>
        </w:rPr>
        <w:t xml:space="preserve">. Retrieved on 25-5-2021, from </w:t>
      </w:r>
      <w:hyperlink r:id="rId44">
        <w:r w:rsidRPr="00B02BAA">
          <w:rPr>
            <w:color w:val="0563C1"/>
            <w:u w:val="single"/>
            <w:lang w:val="en-GB"/>
          </w:rPr>
          <w:t>https://www.parliament.nz/en/pb/hansard-debates/rhr/document/49HansD_20100420_00000071/ministerial-statements-un-declaration-on-the-rights-of</w:t>
        </w:r>
      </w:hyperlink>
      <w:r w:rsidRPr="00B02BAA">
        <w:rPr>
          <w:lang w:val="en-GB"/>
        </w:rPr>
        <w:t xml:space="preserve">. </w:t>
      </w:r>
    </w:p>
    <w:p w14:paraId="2725F230" w14:textId="77777777" w:rsidR="00AD0100" w:rsidRPr="00B02BAA" w:rsidRDefault="00AD0100" w:rsidP="008870D3">
      <w:pPr>
        <w:rPr>
          <w:color w:val="222222"/>
          <w:highlight w:val="white"/>
          <w:lang w:val="en-GB"/>
        </w:rPr>
      </w:pPr>
      <w:r w:rsidRPr="00B02BAA">
        <w:rPr>
          <w:color w:val="222222"/>
          <w:highlight w:val="white"/>
          <w:lang w:val="en-GB"/>
        </w:rPr>
        <w:t>Renwick, W. B. (1991). The undermining of a national myth: the Treaty of Waitangi 1970-1990. </w:t>
      </w:r>
      <w:r w:rsidRPr="00B02BAA">
        <w:rPr>
          <w:i/>
          <w:color w:val="222222"/>
          <w:highlight w:val="white"/>
          <w:lang w:val="en-GB"/>
        </w:rPr>
        <w:t>The Journal of New Zealand Studies</w:t>
      </w:r>
      <w:r w:rsidRPr="00B02BAA">
        <w:rPr>
          <w:color w:val="222222"/>
          <w:highlight w:val="white"/>
          <w:lang w:val="en-GB"/>
        </w:rPr>
        <w:t>, </w:t>
      </w:r>
      <w:r w:rsidRPr="00B02BAA">
        <w:rPr>
          <w:i/>
          <w:color w:val="222222"/>
          <w:highlight w:val="white"/>
          <w:lang w:val="en-GB"/>
        </w:rPr>
        <w:t>1</w:t>
      </w:r>
      <w:r w:rsidRPr="00B02BAA">
        <w:rPr>
          <w:color w:val="222222"/>
          <w:highlight w:val="white"/>
          <w:lang w:val="en-GB"/>
        </w:rPr>
        <w:t>(4).</w:t>
      </w:r>
    </w:p>
    <w:p w14:paraId="75C8E610" w14:textId="77777777" w:rsidR="00AD0100" w:rsidRPr="008870D3" w:rsidRDefault="00AD0100" w:rsidP="008870D3">
      <w:pPr>
        <w:rPr>
          <w:lang w:val="en-GB"/>
        </w:rPr>
      </w:pPr>
      <w:r w:rsidRPr="008870D3">
        <w:rPr>
          <w:color w:val="000000"/>
          <w:lang w:val="en-GB"/>
        </w:rPr>
        <w:t xml:space="preserve">Reuters. (2020, October 19). </w:t>
      </w:r>
      <w:r w:rsidRPr="008870D3">
        <w:rPr>
          <w:i/>
          <w:iCs/>
          <w:color w:val="000000"/>
          <w:lang w:val="en-GB"/>
        </w:rPr>
        <w:t>New Zealand elects most diverse parliament boosting female, LGBTIQ+ and M</w:t>
      </w:r>
      <w:r w:rsidRPr="008870D3">
        <w:rPr>
          <w:i/>
          <w:color w:val="000000"/>
          <w:lang w:val="en-GB"/>
        </w:rPr>
        <w:t xml:space="preserve">āori MPs. </w:t>
      </w:r>
      <w:r w:rsidRPr="008870D3">
        <w:rPr>
          <w:iCs/>
          <w:color w:val="000000"/>
          <w:lang w:val="en-GB"/>
        </w:rPr>
        <w:t xml:space="preserve">Retrieved on 29-4-2021, from </w:t>
      </w:r>
      <w:r w:rsidRPr="008870D3">
        <w:rPr>
          <w:color w:val="000000"/>
          <w:lang w:val="en-GB"/>
        </w:rPr>
        <w:t xml:space="preserve"> </w:t>
      </w:r>
      <w:hyperlink r:id="rId45">
        <w:r w:rsidRPr="008870D3">
          <w:rPr>
            <w:color w:val="1155CC"/>
            <w:u w:val="single"/>
            <w:lang w:val="en-GB"/>
          </w:rPr>
          <w:t>https://www.theguardian.com/world/2020/oct/19/new-zealand-elects-most-diverse-parliament-boosting-female-lgbtiq-and-maori-mps</w:t>
        </w:r>
      </w:hyperlink>
      <w:r w:rsidRPr="008870D3">
        <w:rPr>
          <w:color w:val="1155CC"/>
          <w:u w:val="single"/>
          <w:lang w:val="en-GB"/>
        </w:rPr>
        <w:t xml:space="preserve">. </w:t>
      </w:r>
    </w:p>
    <w:p w14:paraId="372EF0B8" w14:textId="767900FA" w:rsidR="00AD0100" w:rsidRDefault="00AD0100" w:rsidP="008870D3">
      <w:pPr>
        <w:rPr>
          <w:color w:val="000000"/>
          <w:lang w:val="en-GB"/>
        </w:rPr>
      </w:pPr>
      <w:r w:rsidRPr="008870D3">
        <w:rPr>
          <w:color w:val="000000"/>
          <w:lang w:val="en-GB"/>
        </w:rPr>
        <w:t xml:space="preserve">RNZ. (2020, November 16). </w:t>
      </w:r>
      <w:r w:rsidRPr="008870D3">
        <w:rPr>
          <w:i/>
          <w:iCs/>
          <w:color w:val="000000"/>
          <w:lang w:val="en-GB"/>
        </w:rPr>
        <w:t>The rise – and fall – and rise – of the M</w:t>
      </w:r>
      <w:r w:rsidRPr="008870D3">
        <w:rPr>
          <w:i/>
          <w:color w:val="000000"/>
          <w:lang w:val="en-GB"/>
        </w:rPr>
        <w:t xml:space="preserve">āori Party. </w:t>
      </w:r>
      <w:r w:rsidRPr="008870D3">
        <w:rPr>
          <w:iCs/>
          <w:color w:val="000000"/>
          <w:lang w:val="en-GB"/>
        </w:rPr>
        <w:t xml:space="preserve">Retrieved on 1-5-2021, from </w:t>
      </w:r>
      <w:hyperlink r:id="rId46" w:history="1">
        <w:r w:rsidRPr="008870D3">
          <w:rPr>
            <w:rStyle w:val="Hyperlink"/>
            <w:lang w:val="en-GB"/>
          </w:rPr>
          <w:t>https://www.rnz.co.nz/programmes/the-detail/story/2018772335/the-rise-and-fall-and-rise-of-the-maori-party</w:t>
        </w:r>
      </w:hyperlink>
      <w:r w:rsidRPr="008870D3">
        <w:rPr>
          <w:color w:val="000000"/>
          <w:lang w:val="en-GB"/>
        </w:rPr>
        <w:t xml:space="preserve">. </w:t>
      </w:r>
    </w:p>
    <w:p w14:paraId="1B277E85" w14:textId="081C175E" w:rsidR="00AB242C" w:rsidRPr="003D2315" w:rsidRDefault="00AB242C" w:rsidP="008870D3">
      <w:pPr>
        <w:rPr>
          <w:lang w:val="en-GB"/>
        </w:rPr>
      </w:pPr>
      <w:r w:rsidRPr="00AB242C">
        <w:rPr>
          <w:rFonts w:cs="Arial"/>
          <w:color w:val="222222"/>
          <w:shd w:val="clear" w:color="auto" w:fill="FFFFFF"/>
          <w:lang w:val="en-GB"/>
        </w:rPr>
        <w:t>Roach, D., &amp; Eagan, A. (2008). The Equivocal Definition of Indigeneity and Ambivalent Government Policy toward Self-Determination in New Zealand’s Health and Foreign Policy Apparatus. </w:t>
      </w:r>
      <w:r w:rsidRPr="003D2315">
        <w:rPr>
          <w:rFonts w:cs="Arial"/>
          <w:i/>
          <w:iCs/>
          <w:color w:val="222222"/>
          <w:shd w:val="clear" w:color="auto" w:fill="FFFFFF"/>
          <w:lang w:val="en-GB"/>
        </w:rPr>
        <w:t>Junctures: The Journal for Thematic Dialogue</w:t>
      </w:r>
      <w:r w:rsidRPr="003D2315">
        <w:rPr>
          <w:rFonts w:cs="Arial"/>
          <w:color w:val="222222"/>
          <w:shd w:val="clear" w:color="auto" w:fill="FFFFFF"/>
          <w:lang w:val="en-GB"/>
        </w:rPr>
        <w:t>, (11).</w:t>
      </w:r>
    </w:p>
    <w:p w14:paraId="1ED594E5" w14:textId="77777777" w:rsidR="00AD0100" w:rsidRPr="00C11021" w:rsidRDefault="00AD0100" w:rsidP="008870D3">
      <w:pPr>
        <w:rPr>
          <w:rFonts w:cstheme="minorHAnsi"/>
          <w:lang w:val="en-GB"/>
        </w:rPr>
      </w:pPr>
      <w:r w:rsidRPr="003D2315">
        <w:rPr>
          <w:rFonts w:cstheme="minorHAnsi"/>
          <w:color w:val="222222"/>
          <w:shd w:val="clear" w:color="auto" w:fill="FFFFFF"/>
          <w:lang w:val="en-GB"/>
        </w:rPr>
        <w:t>Rohrschneider, R., &amp; Thomassen, J. (Eds.). (2020). The Oxford Handbook of Political Representation in Liberal Democracies.</w:t>
      </w:r>
    </w:p>
    <w:p w14:paraId="452FC0A6" w14:textId="77777777" w:rsidR="00AD0100" w:rsidRPr="00C11021" w:rsidRDefault="00AD0100" w:rsidP="008870D3">
      <w:pPr>
        <w:rPr>
          <w:lang w:val="en-GB"/>
        </w:rPr>
      </w:pPr>
      <w:r w:rsidRPr="00C11021">
        <w:rPr>
          <w:lang w:val="en-GB"/>
        </w:rPr>
        <w:t xml:space="preserve">Ruedin, D. (2020). Regional and Ethnic Minorities. In Rohrschneider, and Thomassen (eds.), </w:t>
      </w:r>
      <w:r w:rsidRPr="00C11021">
        <w:rPr>
          <w:i/>
          <w:lang w:val="en-GB"/>
        </w:rPr>
        <w:t>Oxford Handbook of Political Representation in Liberal Democracies</w:t>
      </w:r>
      <w:r w:rsidRPr="00C11021">
        <w:rPr>
          <w:lang w:val="en-GB"/>
        </w:rPr>
        <w:t>. Oxford: Oxford University Press.</w:t>
      </w:r>
    </w:p>
    <w:p w14:paraId="53FE6DEF" w14:textId="77777777" w:rsidR="00AD0100" w:rsidRPr="00C11021" w:rsidRDefault="00AD0100" w:rsidP="008870D3">
      <w:pPr>
        <w:rPr>
          <w:lang w:val="en-GB"/>
        </w:rPr>
      </w:pPr>
      <w:r w:rsidRPr="00C11021">
        <w:rPr>
          <w:lang w:val="en-GB"/>
        </w:rPr>
        <w:t xml:space="preserve">Saward, M. (2006). The representative claim. </w:t>
      </w:r>
      <w:r w:rsidRPr="00C11021">
        <w:rPr>
          <w:i/>
          <w:lang w:val="en-GB"/>
        </w:rPr>
        <w:t>Contemporary Political Theory, 5</w:t>
      </w:r>
      <w:r w:rsidRPr="00C11021">
        <w:rPr>
          <w:lang w:val="en-GB"/>
        </w:rPr>
        <w:t xml:space="preserve">(3), 297-318. </w:t>
      </w:r>
    </w:p>
    <w:p w14:paraId="62CC3B32" w14:textId="77777777" w:rsidR="00AD0100" w:rsidRPr="00C11021" w:rsidRDefault="00AD0100" w:rsidP="008870D3">
      <w:pPr>
        <w:rPr>
          <w:lang w:val="en-GB"/>
        </w:rPr>
      </w:pPr>
      <w:r w:rsidRPr="00C11021">
        <w:rPr>
          <w:lang w:val="en-GB"/>
        </w:rPr>
        <w:lastRenderedPageBreak/>
        <w:t xml:space="preserve">Saward, M. (2008) The subject of representation. </w:t>
      </w:r>
      <w:r w:rsidRPr="00C11021">
        <w:rPr>
          <w:i/>
          <w:lang w:val="en-GB"/>
        </w:rPr>
        <w:t>Representation, 44</w:t>
      </w:r>
      <w:r w:rsidRPr="00C11021">
        <w:rPr>
          <w:lang w:val="en-GB"/>
        </w:rPr>
        <w:t xml:space="preserve">(2), 93-97. </w:t>
      </w:r>
    </w:p>
    <w:p w14:paraId="5007D10B" w14:textId="77777777" w:rsidR="00AD0100" w:rsidRPr="00C11021" w:rsidRDefault="00AD0100" w:rsidP="008870D3">
      <w:pPr>
        <w:rPr>
          <w:sz w:val="24"/>
          <w:szCs w:val="24"/>
          <w:lang w:val="en-GB"/>
        </w:rPr>
      </w:pPr>
      <w:r w:rsidRPr="00C11021">
        <w:rPr>
          <w:color w:val="222222"/>
          <w:highlight w:val="white"/>
          <w:lang w:val="en-GB"/>
        </w:rPr>
        <w:t>Sawer, M. (2012). What makes the substantive representation of women possible in a Westminster parliament? The story of RU486 in Australia. </w:t>
      </w:r>
      <w:r w:rsidRPr="00C11021">
        <w:rPr>
          <w:i/>
          <w:color w:val="222222"/>
          <w:highlight w:val="white"/>
          <w:lang w:val="en-GB"/>
        </w:rPr>
        <w:t>International Political Science Review</w:t>
      </w:r>
      <w:r w:rsidRPr="00C11021">
        <w:rPr>
          <w:color w:val="222222"/>
          <w:highlight w:val="white"/>
          <w:lang w:val="en-GB"/>
        </w:rPr>
        <w:t>, </w:t>
      </w:r>
      <w:r w:rsidRPr="00C11021">
        <w:rPr>
          <w:i/>
          <w:color w:val="222222"/>
          <w:highlight w:val="white"/>
          <w:lang w:val="en-GB"/>
        </w:rPr>
        <w:t>33</w:t>
      </w:r>
      <w:r w:rsidRPr="00C11021">
        <w:rPr>
          <w:color w:val="222222"/>
          <w:highlight w:val="white"/>
          <w:lang w:val="en-GB"/>
        </w:rPr>
        <w:t>(3), 320-335.</w:t>
      </w:r>
    </w:p>
    <w:p w14:paraId="56EB71B4" w14:textId="77777777" w:rsidR="00AD0100" w:rsidRPr="00C11021" w:rsidRDefault="00AD0100" w:rsidP="008870D3">
      <w:pPr>
        <w:rPr>
          <w:color w:val="222222"/>
          <w:highlight w:val="white"/>
          <w:lang w:val="en-GB"/>
        </w:rPr>
      </w:pPr>
      <w:r w:rsidRPr="00C11021">
        <w:rPr>
          <w:color w:val="222222"/>
          <w:highlight w:val="white"/>
          <w:lang w:val="en-GB"/>
        </w:rPr>
        <w:t>Sawer, M., Tremblay, M., &amp; Trimble, L. (Eds.). (2006). </w:t>
      </w:r>
      <w:r w:rsidRPr="00C11021">
        <w:rPr>
          <w:i/>
          <w:color w:val="222222"/>
          <w:highlight w:val="white"/>
          <w:lang w:val="en-GB"/>
        </w:rPr>
        <w:t>Representing women in parliament: a comparative study</w:t>
      </w:r>
      <w:r w:rsidRPr="00C11021">
        <w:rPr>
          <w:color w:val="222222"/>
          <w:highlight w:val="white"/>
          <w:lang w:val="en-GB"/>
        </w:rPr>
        <w:t>. New York: Routledge.</w:t>
      </w:r>
    </w:p>
    <w:p w14:paraId="2175F703" w14:textId="77777777" w:rsidR="00AD0100" w:rsidRPr="00C11021" w:rsidRDefault="00AD0100" w:rsidP="008870D3">
      <w:pPr>
        <w:rPr>
          <w:lang w:val="en-GB"/>
        </w:rPr>
      </w:pPr>
      <w:r w:rsidRPr="00C11021">
        <w:rPr>
          <w:color w:val="222222"/>
          <w:highlight w:val="white"/>
          <w:lang w:val="en-GB"/>
        </w:rPr>
        <w:t>Schwindt-Bayer, L. A., &amp; Mishler, W. (2005). An integrated model of women's representation. </w:t>
      </w:r>
      <w:r w:rsidRPr="00C11021">
        <w:rPr>
          <w:i/>
          <w:color w:val="222222"/>
          <w:highlight w:val="white"/>
          <w:lang w:val="en-GB"/>
        </w:rPr>
        <w:t>The Journal of politics</w:t>
      </w:r>
      <w:r w:rsidRPr="00C11021">
        <w:rPr>
          <w:color w:val="222222"/>
          <w:highlight w:val="white"/>
          <w:lang w:val="en-GB"/>
        </w:rPr>
        <w:t>, </w:t>
      </w:r>
      <w:r w:rsidRPr="00C11021">
        <w:rPr>
          <w:i/>
          <w:color w:val="222222"/>
          <w:highlight w:val="white"/>
          <w:lang w:val="en-GB"/>
        </w:rPr>
        <w:t>67</w:t>
      </w:r>
      <w:r w:rsidRPr="00C11021">
        <w:rPr>
          <w:color w:val="222222"/>
          <w:highlight w:val="white"/>
          <w:lang w:val="en-GB"/>
        </w:rPr>
        <w:t>(2), 407-428.</w:t>
      </w:r>
      <w:r w:rsidRPr="00C11021">
        <w:rPr>
          <w:lang w:val="en-GB"/>
        </w:rPr>
        <w:t xml:space="preserve"> </w:t>
      </w:r>
    </w:p>
    <w:p w14:paraId="4591E1CA" w14:textId="22DB8B77" w:rsidR="00AD0100" w:rsidRDefault="00AD0100" w:rsidP="008870D3">
      <w:pPr>
        <w:rPr>
          <w:rFonts w:cs="Arial"/>
          <w:color w:val="222222"/>
          <w:shd w:val="clear" w:color="auto" w:fill="FFFFFF"/>
          <w:lang w:val="en-GB"/>
        </w:rPr>
      </w:pPr>
      <w:bookmarkStart w:id="280" w:name="_Hlk70506969"/>
      <w:r w:rsidRPr="00C11021">
        <w:rPr>
          <w:rFonts w:cs="Arial"/>
          <w:color w:val="222222"/>
          <w:shd w:val="clear" w:color="auto" w:fill="FFFFFF"/>
          <w:lang w:val="en-GB"/>
        </w:rPr>
        <w:t>Severs, E. (2012). Substantive representation through a claims-making lens: A strategy for the identification and analysis of substantive claims. </w:t>
      </w:r>
      <w:r w:rsidRPr="00C11021">
        <w:rPr>
          <w:rFonts w:cs="Arial"/>
          <w:i/>
          <w:iCs/>
          <w:color w:val="222222"/>
          <w:shd w:val="clear" w:color="auto" w:fill="FFFFFF"/>
          <w:lang w:val="en-GB"/>
        </w:rPr>
        <w:t>Representation</w:t>
      </w:r>
      <w:r w:rsidRPr="00C11021">
        <w:rPr>
          <w:rFonts w:cs="Arial"/>
          <w:color w:val="222222"/>
          <w:shd w:val="clear" w:color="auto" w:fill="FFFFFF"/>
          <w:lang w:val="en-GB"/>
        </w:rPr>
        <w:t>, </w:t>
      </w:r>
      <w:r w:rsidRPr="00C11021">
        <w:rPr>
          <w:rFonts w:cs="Arial"/>
          <w:i/>
          <w:iCs/>
          <w:color w:val="222222"/>
          <w:shd w:val="clear" w:color="auto" w:fill="FFFFFF"/>
          <w:lang w:val="en-GB"/>
        </w:rPr>
        <w:t>48</w:t>
      </w:r>
      <w:r w:rsidRPr="00C11021">
        <w:rPr>
          <w:rFonts w:cs="Arial"/>
          <w:color w:val="222222"/>
          <w:shd w:val="clear" w:color="auto" w:fill="FFFFFF"/>
          <w:lang w:val="en-GB"/>
        </w:rPr>
        <w:t>(2), 169-181.</w:t>
      </w:r>
    </w:p>
    <w:p w14:paraId="5B8214D1" w14:textId="7658DB21" w:rsidR="0090146C" w:rsidRPr="0090146C" w:rsidRDefault="0090146C" w:rsidP="008870D3">
      <w:pPr>
        <w:rPr>
          <w:lang w:val="en-GB"/>
        </w:rPr>
      </w:pPr>
      <w:r w:rsidRPr="0090146C">
        <w:rPr>
          <w:rFonts w:cs="Arial"/>
          <w:color w:val="222222"/>
          <w:shd w:val="clear" w:color="auto" w:fill="FFFFFF"/>
          <w:lang w:val="en-GB"/>
        </w:rPr>
        <w:t>Shaw, K. (2008). </w:t>
      </w:r>
      <w:r w:rsidRPr="0090146C">
        <w:rPr>
          <w:rFonts w:cs="Arial"/>
          <w:i/>
          <w:iCs/>
          <w:color w:val="222222"/>
          <w:shd w:val="clear" w:color="auto" w:fill="FFFFFF"/>
          <w:lang w:val="en-GB"/>
        </w:rPr>
        <w:t>Indigeneity and political theory: Sovereignty and the limits of the political</w:t>
      </w:r>
      <w:r w:rsidRPr="0090146C">
        <w:rPr>
          <w:rFonts w:cs="Arial"/>
          <w:color w:val="222222"/>
          <w:shd w:val="clear" w:color="auto" w:fill="FFFFFF"/>
          <w:lang w:val="en-GB"/>
        </w:rPr>
        <w:t xml:space="preserve">. </w:t>
      </w:r>
      <w:r w:rsidR="0032604D">
        <w:rPr>
          <w:rFonts w:cs="Arial"/>
          <w:color w:val="222222"/>
          <w:shd w:val="clear" w:color="auto" w:fill="FFFFFF"/>
          <w:lang w:val="en-GB"/>
        </w:rPr>
        <w:t xml:space="preserve">Oxon: </w:t>
      </w:r>
      <w:r w:rsidRPr="0090146C">
        <w:rPr>
          <w:rFonts w:cs="Arial"/>
          <w:color w:val="222222"/>
          <w:shd w:val="clear" w:color="auto" w:fill="FFFFFF"/>
        </w:rPr>
        <w:t>Routledge.</w:t>
      </w:r>
    </w:p>
    <w:bookmarkEnd w:id="280"/>
    <w:p w14:paraId="088FE8F7" w14:textId="77777777" w:rsidR="00AD0100" w:rsidRPr="00C11021" w:rsidRDefault="00AD0100" w:rsidP="008870D3">
      <w:pPr>
        <w:rPr>
          <w:lang w:val="en-GB"/>
        </w:rPr>
      </w:pPr>
      <w:r w:rsidRPr="00C11021">
        <w:rPr>
          <w:lang w:val="en-GB"/>
        </w:rPr>
        <w:t xml:space="preserve">Snagovsky, F, Chang Kang, W., Sheppard, J. and Biddle, N. (2020). Does descriptive representation increase perceptions of legitimacy? Evidence from Australia. </w:t>
      </w:r>
      <w:r w:rsidRPr="00C11021">
        <w:rPr>
          <w:i/>
          <w:lang w:val="en-GB"/>
        </w:rPr>
        <w:t>Australian Journal of Political Science, 55</w:t>
      </w:r>
      <w:r w:rsidRPr="00C11021">
        <w:rPr>
          <w:lang w:val="en-GB"/>
        </w:rPr>
        <w:t xml:space="preserve">(4), 378-398.  </w:t>
      </w:r>
    </w:p>
    <w:p w14:paraId="13E8F266" w14:textId="77777777" w:rsidR="00AD0100" w:rsidRPr="00B02BAA" w:rsidRDefault="00AD0100" w:rsidP="008870D3">
      <w:pPr>
        <w:rPr>
          <w:lang w:val="en-GB"/>
        </w:rPr>
      </w:pPr>
      <w:r w:rsidRPr="00B02BAA">
        <w:rPr>
          <w:lang w:val="en-GB"/>
        </w:rPr>
        <w:t xml:space="preserve">Stats NZ. (2020, Nov 16). </w:t>
      </w:r>
      <w:r w:rsidRPr="00B02BAA">
        <w:rPr>
          <w:i/>
          <w:color w:val="000000"/>
          <w:lang w:val="en-GB"/>
        </w:rPr>
        <w:t xml:space="preserve">Māori population estimates: At 30 June 2020. </w:t>
      </w:r>
      <w:r w:rsidRPr="00B02BAA">
        <w:rPr>
          <w:color w:val="000000"/>
          <w:lang w:val="en-GB"/>
        </w:rPr>
        <w:t>Retrieved on 25-5-2021, from</w:t>
      </w:r>
      <w:r w:rsidRPr="00B02BAA">
        <w:rPr>
          <w:lang w:val="en-GB"/>
        </w:rPr>
        <w:t xml:space="preserve"> </w:t>
      </w:r>
      <w:hyperlink r:id="rId47" w:anchor=":~:text=New%20Zealand's%20estimated%20M%C4%81ori%20ethnic,males%20and%20426%2C800%20M%C4%81ori%20females">
        <w:r w:rsidRPr="00B02BAA">
          <w:rPr>
            <w:color w:val="0563C1"/>
            <w:u w:val="single"/>
            <w:lang w:val="en-GB"/>
          </w:rPr>
          <w:t>https://www.stats.govt.nz/information-releases/maori-population-estimates-at-30-june-2020#:~:text=New%20Zealand's%20estimated%20M%C4%81ori%20ethnic,males%20and%20426%2C800%20M%C4%81ori%20females</w:t>
        </w:r>
      </w:hyperlink>
      <w:r w:rsidRPr="00B02BAA">
        <w:rPr>
          <w:lang w:val="en-GB"/>
        </w:rPr>
        <w:t xml:space="preserve">. </w:t>
      </w:r>
    </w:p>
    <w:p w14:paraId="6AA7DC0A" w14:textId="77777777" w:rsidR="00AD0100" w:rsidRPr="00B02BAA" w:rsidRDefault="00AD0100" w:rsidP="008870D3">
      <w:pPr>
        <w:rPr>
          <w:color w:val="222222"/>
          <w:highlight w:val="white"/>
          <w:lang w:val="en-GB"/>
        </w:rPr>
      </w:pPr>
      <w:r w:rsidRPr="00B02BAA">
        <w:rPr>
          <w:color w:val="222222"/>
          <w:highlight w:val="white"/>
          <w:lang w:val="en-GB"/>
        </w:rPr>
        <w:t>Stokes, E. (1992). The treaty of Waitangi and the Waitangi tribunal: Maori claims in New Zealand. </w:t>
      </w:r>
      <w:r w:rsidRPr="00B02BAA">
        <w:rPr>
          <w:i/>
          <w:color w:val="222222"/>
          <w:highlight w:val="white"/>
          <w:lang w:val="en-GB"/>
        </w:rPr>
        <w:t>Applied Geography</w:t>
      </w:r>
      <w:r w:rsidRPr="00B02BAA">
        <w:rPr>
          <w:color w:val="222222"/>
          <w:highlight w:val="white"/>
          <w:lang w:val="en-GB"/>
        </w:rPr>
        <w:t>, </w:t>
      </w:r>
      <w:r w:rsidRPr="00B02BAA">
        <w:rPr>
          <w:i/>
          <w:color w:val="222222"/>
          <w:highlight w:val="white"/>
          <w:lang w:val="en-GB"/>
        </w:rPr>
        <w:t>12</w:t>
      </w:r>
      <w:r w:rsidRPr="00B02BAA">
        <w:rPr>
          <w:color w:val="222222"/>
          <w:highlight w:val="white"/>
          <w:lang w:val="en-GB"/>
        </w:rPr>
        <w:t>(2), 176-191.</w:t>
      </w:r>
    </w:p>
    <w:p w14:paraId="44B1532F" w14:textId="77777777" w:rsidR="00AD0100" w:rsidRPr="00C11021" w:rsidRDefault="00AD0100" w:rsidP="008870D3">
      <w:pPr>
        <w:rPr>
          <w:lang w:val="en-GB"/>
        </w:rPr>
      </w:pPr>
      <w:r w:rsidRPr="00205031">
        <w:rPr>
          <w:color w:val="222222"/>
          <w:lang w:val="en-GB"/>
        </w:rPr>
        <w:t>Summersby, K. M. (2009). </w:t>
      </w:r>
      <w:r w:rsidRPr="00205031">
        <w:rPr>
          <w:i/>
          <w:color w:val="222222"/>
          <w:lang w:val="en-GB"/>
        </w:rPr>
        <w:t>Does Māori Representation Matter?: an analysis of the relationship between Māori descriptive and substantive political representation in parliament and local government</w:t>
      </w:r>
      <w:r w:rsidRPr="00205031">
        <w:rPr>
          <w:color w:val="222222"/>
          <w:lang w:val="en-GB"/>
        </w:rPr>
        <w:t> (Doctoral dissertation, ResearchSpace Auckland).</w:t>
      </w:r>
      <w:r w:rsidRPr="00C11021">
        <w:rPr>
          <w:lang w:val="en-GB"/>
        </w:rPr>
        <w:t xml:space="preserve"> </w:t>
      </w:r>
    </w:p>
    <w:p w14:paraId="2BEB1FDF" w14:textId="5A4DCF75" w:rsidR="00AD0100" w:rsidRPr="00AB74C0" w:rsidRDefault="00AD0100" w:rsidP="008870D3">
      <w:pPr>
        <w:rPr>
          <w:color w:val="000000"/>
          <w:lang w:val="en-GB"/>
        </w:rPr>
      </w:pPr>
      <w:r w:rsidRPr="00205031">
        <w:rPr>
          <w:color w:val="000000"/>
          <w:lang w:val="en-GB"/>
        </w:rPr>
        <w:t xml:space="preserve">Taonui, R. (2017). </w:t>
      </w:r>
      <w:r w:rsidRPr="00205031">
        <w:rPr>
          <w:i/>
          <w:color w:val="000000"/>
          <w:lang w:val="en-GB"/>
        </w:rPr>
        <w:t xml:space="preserve">New Zealand elections: Māori seats once again focus of debate. </w:t>
      </w:r>
      <w:r w:rsidRPr="00205031">
        <w:rPr>
          <w:color w:val="000000"/>
          <w:lang w:val="en-GB"/>
        </w:rPr>
        <w:t xml:space="preserve">Retrieved on 19-4-2021, from </w:t>
      </w:r>
      <w:hyperlink r:id="rId48" w:history="1">
        <w:r w:rsidR="00AB74C0" w:rsidRPr="00205031">
          <w:rPr>
            <w:rStyle w:val="Hyperlink"/>
            <w:lang w:val="en-GB"/>
          </w:rPr>
          <w:t>https://theconversation.com/new-zealand-elections-maori-seats-once-again-focus-of-debate-83293</w:t>
        </w:r>
      </w:hyperlink>
      <w:r w:rsidR="00AB74C0" w:rsidRPr="00205031">
        <w:rPr>
          <w:lang w:val="en-GB"/>
        </w:rPr>
        <w:t>.</w:t>
      </w:r>
      <w:r w:rsidR="00AB74C0">
        <w:rPr>
          <w:lang w:val="en-GB"/>
        </w:rPr>
        <w:t xml:space="preserve"> </w:t>
      </w:r>
    </w:p>
    <w:p w14:paraId="76327411" w14:textId="3031EF69" w:rsidR="00AD0100" w:rsidRPr="005833D2" w:rsidRDefault="00AD0100" w:rsidP="008870D3">
      <w:pPr>
        <w:rPr>
          <w:color w:val="222222"/>
          <w:highlight w:val="yellow"/>
          <w:lang w:val="en-GB"/>
        </w:rPr>
      </w:pPr>
      <w:r w:rsidRPr="00B02BAA">
        <w:rPr>
          <w:color w:val="222222"/>
          <w:highlight w:val="white"/>
          <w:lang w:val="en-GB"/>
        </w:rPr>
        <w:t>Tawhai, V., &amp; Gray-Sharp, K. (2011). </w:t>
      </w:r>
      <w:r w:rsidRPr="00B02BAA">
        <w:rPr>
          <w:i/>
          <w:color w:val="222222"/>
          <w:highlight w:val="white"/>
          <w:lang w:val="en-GB"/>
        </w:rPr>
        <w:t>Always speaking: The Treaty of Waitangi and public policy</w:t>
      </w:r>
      <w:r w:rsidRPr="00B02BAA">
        <w:rPr>
          <w:color w:val="222222"/>
          <w:highlight w:val="white"/>
          <w:lang w:val="en-GB"/>
        </w:rPr>
        <w:t xml:space="preserve">. </w:t>
      </w:r>
      <w:r w:rsidR="00205031" w:rsidRPr="004127E2">
        <w:rPr>
          <w:color w:val="222222"/>
          <w:lang w:val="en-GB"/>
        </w:rPr>
        <w:t xml:space="preserve">Wellington: </w:t>
      </w:r>
      <w:r w:rsidRPr="004127E2">
        <w:rPr>
          <w:color w:val="222222"/>
          <w:lang w:val="en-GB"/>
        </w:rPr>
        <w:t>Huia Publishers.</w:t>
      </w:r>
    </w:p>
    <w:p w14:paraId="089BAA03" w14:textId="77777777" w:rsidR="00AD0100" w:rsidRPr="008870D3" w:rsidRDefault="00AD0100" w:rsidP="008870D3">
      <w:pPr>
        <w:rPr>
          <w:lang w:val="en-GB"/>
        </w:rPr>
      </w:pPr>
      <w:r w:rsidRPr="008870D3">
        <w:rPr>
          <w:color w:val="000000"/>
          <w:highlight w:val="white"/>
          <w:lang w:val="en-GB"/>
        </w:rPr>
        <w:t xml:space="preserve">Terrell, S. R. (2012). Mixed-methods research methodologies. </w:t>
      </w:r>
      <w:r w:rsidRPr="008870D3">
        <w:rPr>
          <w:i/>
          <w:color w:val="000000"/>
          <w:highlight w:val="white"/>
          <w:lang w:val="en-GB"/>
        </w:rPr>
        <w:t>Qualitative report</w:t>
      </w:r>
      <w:r w:rsidRPr="008870D3">
        <w:rPr>
          <w:color w:val="000000"/>
          <w:highlight w:val="white"/>
          <w:lang w:val="en-GB"/>
        </w:rPr>
        <w:t xml:space="preserve">, </w:t>
      </w:r>
      <w:r w:rsidRPr="008870D3">
        <w:rPr>
          <w:i/>
          <w:color w:val="000000"/>
          <w:highlight w:val="white"/>
          <w:lang w:val="en-GB"/>
        </w:rPr>
        <w:t>17</w:t>
      </w:r>
      <w:r w:rsidRPr="008870D3">
        <w:rPr>
          <w:color w:val="000000"/>
          <w:highlight w:val="white"/>
          <w:lang w:val="en-GB"/>
        </w:rPr>
        <w:t>(1), 254-280. </w:t>
      </w:r>
    </w:p>
    <w:p w14:paraId="56D5F60D" w14:textId="77777777" w:rsidR="00AD0100" w:rsidRPr="00B02BAA" w:rsidRDefault="00AD0100" w:rsidP="008870D3">
      <w:pPr>
        <w:rPr>
          <w:rFonts w:cstheme="minorHAnsi"/>
          <w:color w:val="333333"/>
          <w:lang w:val="en-GB"/>
        </w:rPr>
      </w:pPr>
      <w:r w:rsidRPr="00B02BAA">
        <w:rPr>
          <w:rFonts w:cstheme="minorHAnsi"/>
          <w:color w:val="222222"/>
          <w:shd w:val="clear" w:color="auto" w:fill="FFFFFF"/>
          <w:lang w:val="en-GB"/>
        </w:rPr>
        <w:t>Terruhn, J. (2019). Settler Colonialism and Biculturalism in Aotearoa/New Zealand. </w:t>
      </w:r>
      <w:r w:rsidRPr="00B02BAA">
        <w:rPr>
          <w:rFonts w:cstheme="minorHAnsi"/>
          <w:i/>
          <w:iCs/>
          <w:color w:val="222222"/>
          <w:shd w:val="clear" w:color="auto" w:fill="FFFFFF"/>
          <w:lang w:val="en-GB"/>
        </w:rPr>
        <w:t>The Palgrave Handbook of Ethnicity</w:t>
      </w:r>
      <w:r w:rsidRPr="00B02BAA">
        <w:rPr>
          <w:rFonts w:cstheme="minorHAnsi"/>
          <w:color w:val="222222"/>
          <w:shd w:val="clear" w:color="auto" w:fill="FFFFFF"/>
          <w:lang w:val="en-GB"/>
        </w:rPr>
        <w:t>, 1-17.</w:t>
      </w:r>
      <w:r w:rsidRPr="00B02BAA">
        <w:rPr>
          <w:rFonts w:cstheme="minorHAnsi"/>
          <w:color w:val="333333"/>
          <w:lang w:val="en-GB"/>
        </w:rPr>
        <w:t xml:space="preserve"> </w:t>
      </w:r>
    </w:p>
    <w:p w14:paraId="694D3D11" w14:textId="77777777" w:rsidR="00AD0100" w:rsidRPr="00B02BAA" w:rsidRDefault="00AD0100" w:rsidP="008870D3">
      <w:pPr>
        <w:rPr>
          <w:lang w:val="en-GB"/>
        </w:rPr>
      </w:pPr>
      <w:r w:rsidRPr="00B02BAA">
        <w:rPr>
          <w:lang w:val="en-GB"/>
        </w:rPr>
        <w:t xml:space="preserve">United Nations Committee on Economic, Social and Cultural Rights. (2018). </w:t>
      </w:r>
      <w:r w:rsidRPr="00B02BAA">
        <w:rPr>
          <w:i/>
          <w:iCs/>
          <w:lang w:val="en-GB"/>
        </w:rPr>
        <w:t>Concluding Observations on the Fourth Periodic Report of New Zealand. Geneva: United Nations Human Rights Office of the High Commissioner, United Nations.</w:t>
      </w:r>
      <w:r w:rsidRPr="00B02BAA">
        <w:rPr>
          <w:lang w:val="en-GB"/>
        </w:rPr>
        <w:t xml:space="preserve"> Retrieved on 7-6-2021, from </w:t>
      </w:r>
      <w:hyperlink r:id="rId49" w:history="1">
        <w:r w:rsidRPr="00B02BAA">
          <w:rPr>
            <w:rStyle w:val="Hyperlink"/>
            <w:lang w:val="en-GB"/>
          </w:rPr>
          <w:t>https://digitallibrary.un.org/record/1485440</w:t>
        </w:r>
      </w:hyperlink>
      <w:r w:rsidRPr="00B02BAA">
        <w:rPr>
          <w:lang w:val="en-GB"/>
        </w:rPr>
        <w:t xml:space="preserve">. </w:t>
      </w:r>
    </w:p>
    <w:p w14:paraId="532CA80A" w14:textId="77777777" w:rsidR="00AD0100" w:rsidRPr="00B02BAA" w:rsidRDefault="00AD0100" w:rsidP="008870D3">
      <w:pPr>
        <w:rPr>
          <w:color w:val="222222"/>
          <w:highlight w:val="white"/>
          <w:lang w:val="en-GB"/>
        </w:rPr>
      </w:pPr>
      <w:r w:rsidRPr="00B02BAA">
        <w:rPr>
          <w:lang w:val="en-GB"/>
        </w:rPr>
        <w:t xml:space="preserve">United Nations Committee on the Elimination of Racial Discrimination. (2017). </w:t>
      </w:r>
      <w:r w:rsidRPr="00B02BAA">
        <w:rPr>
          <w:i/>
          <w:iCs/>
          <w:lang w:val="en-GB"/>
        </w:rPr>
        <w:t>Concluding Observations on the Combined Twenty-first and Twenty-second Periodic Reports of New Zealand, CERD/C/NZL/C/ 21-22. Geneva: United Nations Human Rights Council, United Nations.</w:t>
      </w:r>
      <w:r w:rsidRPr="00B02BAA">
        <w:rPr>
          <w:lang w:val="en-GB"/>
        </w:rPr>
        <w:t xml:space="preserve"> Retrieved on 7-6-2021, from </w:t>
      </w:r>
      <w:hyperlink r:id="rId50" w:history="1">
        <w:r w:rsidRPr="00B02BAA">
          <w:rPr>
            <w:rStyle w:val="Hyperlink"/>
            <w:lang w:val="en-GB"/>
          </w:rPr>
          <w:t>https://tbinternet.ohchr.org/_layouts/15/treatybodyexternal/Download.aspx?symbolno=CERD/C/%20NZL/CO/21-22&amp;Lang=En</w:t>
        </w:r>
      </w:hyperlink>
      <w:r w:rsidRPr="00B02BAA">
        <w:rPr>
          <w:lang w:val="en-GB"/>
        </w:rPr>
        <w:t xml:space="preserve">.  </w:t>
      </w:r>
    </w:p>
    <w:p w14:paraId="733772ED" w14:textId="77777777" w:rsidR="00AD0100" w:rsidRPr="00B02BAA" w:rsidRDefault="00AD0100" w:rsidP="008870D3">
      <w:pPr>
        <w:rPr>
          <w:lang w:val="en-GB"/>
        </w:rPr>
      </w:pPr>
      <w:r w:rsidRPr="00B02BAA">
        <w:rPr>
          <w:lang w:val="en-GB"/>
        </w:rPr>
        <w:t xml:space="preserve">United Nations General Assembly. (2014). </w:t>
      </w:r>
      <w:r w:rsidRPr="00B02BAA">
        <w:rPr>
          <w:i/>
          <w:iCs/>
          <w:lang w:val="en-GB"/>
        </w:rPr>
        <w:t>Universal Periodic Review: New Zealand.</w:t>
      </w:r>
      <w:r w:rsidRPr="00B02BAA">
        <w:rPr>
          <w:lang w:val="en-GB"/>
        </w:rPr>
        <w:t xml:space="preserve"> Retrieved on 7-6-2021, from  </w:t>
      </w:r>
      <w:hyperlink r:id="rId51" w:history="1">
        <w:r w:rsidRPr="00B02BAA">
          <w:rPr>
            <w:rStyle w:val="Hyperlink"/>
            <w:lang w:val="en-GB"/>
          </w:rPr>
          <w:t>https://www.ohchr.org/EN/HRBodies/UPR/Pages/NZIndex.aspx</w:t>
        </w:r>
      </w:hyperlink>
      <w:r w:rsidRPr="00B02BAA">
        <w:rPr>
          <w:lang w:val="en-GB"/>
        </w:rPr>
        <w:t xml:space="preserve">. </w:t>
      </w:r>
    </w:p>
    <w:p w14:paraId="3140F27F" w14:textId="09C76C29" w:rsidR="00AD0100" w:rsidRPr="00C11021" w:rsidRDefault="00AD0100" w:rsidP="008870D3">
      <w:pPr>
        <w:rPr>
          <w:color w:val="000000"/>
          <w:highlight w:val="white"/>
          <w:lang w:val="en-GB"/>
        </w:rPr>
      </w:pPr>
      <w:r w:rsidRPr="00C11021">
        <w:rPr>
          <w:color w:val="000000"/>
          <w:highlight w:val="white"/>
          <w:lang w:val="en-GB"/>
        </w:rPr>
        <w:t>United Nations. (2007).</w:t>
      </w:r>
      <w:r w:rsidRPr="00C11021">
        <w:rPr>
          <w:i/>
          <w:color w:val="000000"/>
          <w:highlight w:val="white"/>
          <w:lang w:val="en-GB"/>
        </w:rPr>
        <w:t xml:space="preserve"> United Nations Declaration on the Rights of Indigenous Peoples</w:t>
      </w:r>
      <w:r w:rsidRPr="00C11021">
        <w:rPr>
          <w:i/>
          <w:lang w:val="en-GB"/>
        </w:rPr>
        <w:t xml:space="preserve">. </w:t>
      </w:r>
      <w:r w:rsidR="007976B5">
        <w:rPr>
          <w:lang w:val="en-GB"/>
        </w:rPr>
        <w:t>Retrieved</w:t>
      </w:r>
      <w:r w:rsidRPr="00C11021">
        <w:rPr>
          <w:lang w:val="en-GB"/>
        </w:rPr>
        <w:t xml:space="preserve"> on 11-2-2021, from </w:t>
      </w:r>
      <w:hyperlink r:id="rId52" w:history="1">
        <w:r w:rsidRPr="00C11021">
          <w:rPr>
            <w:rStyle w:val="Hyperlink"/>
            <w:color w:val="0563C1"/>
            <w:highlight w:val="white"/>
            <w:lang w:val="en-GB"/>
          </w:rPr>
          <w:t>https://undocs.org/A/RES/61/295</w:t>
        </w:r>
      </w:hyperlink>
      <w:r w:rsidRPr="00C11021">
        <w:rPr>
          <w:color w:val="000000"/>
          <w:highlight w:val="white"/>
          <w:lang w:val="en-GB"/>
        </w:rPr>
        <w:t xml:space="preserve">. </w:t>
      </w:r>
    </w:p>
    <w:p w14:paraId="5D9B8A14" w14:textId="605EA21C" w:rsidR="00AD0100" w:rsidRPr="006C5DA2" w:rsidRDefault="00AD0100" w:rsidP="008870D3">
      <w:pPr>
        <w:rPr>
          <w:color w:val="333333"/>
          <w:lang w:val="en-GB"/>
        </w:rPr>
      </w:pPr>
      <w:r w:rsidRPr="008870D3">
        <w:rPr>
          <w:lang w:val="en-GB"/>
        </w:rPr>
        <w:t>United Nations. 2007. </w:t>
      </w:r>
      <w:r w:rsidRPr="008870D3">
        <w:rPr>
          <w:i/>
          <w:lang w:val="en-GB"/>
        </w:rPr>
        <w:t>The Declaration on the Rights of Indigenous Peoples</w:t>
      </w:r>
      <w:r w:rsidRPr="008870D3">
        <w:rPr>
          <w:lang w:val="en-GB"/>
        </w:rPr>
        <w:t>. New York: United Nations. Retrieved on 25-5-2021, from </w:t>
      </w:r>
      <w:hyperlink r:id="rId53" w:history="1">
        <w:r w:rsidR="006C5DA2" w:rsidRPr="00764D60">
          <w:rPr>
            <w:rStyle w:val="Hyperlink"/>
            <w:lang w:val="en-GB"/>
          </w:rPr>
          <w:t>https://www.un.org/esa/socdev/unpfii/documents/DRIPS_en.pdf</w:t>
        </w:r>
      </w:hyperlink>
      <w:r w:rsidR="006C5DA2">
        <w:rPr>
          <w:lang w:val="en-GB"/>
        </w:rPr>
        <w:t xml:space="preserve">. </w:t>
      </w:r>
    </w:p>
    <w:p w14:paraId="1BBA2953" w14:textId="77777777" w:rsidR="00AD0100" w:rsidRPr="002F395D" w:rsidRDefault="00AD0100" w:rsidP="008870D3">
      <w:pPr>
        <w:rPr>
          <w:lang w:val="en-GB"/>
        </w:rPr>
      </w:pPr>
      <w:r>
        <w:rPr>
          <w:lang w:val="en-GB"/>
        </w:rPr>
        <w:t xml:space="preserve">Waititi, R. (2021, May 12). </w:t>
      </w:r>
      <w:r>
        <w:rPr>
          <w:rFonts w:eastAsia="Times New Roman" w:cstheme="minorHAnsi"/>
          <w:i/>
          <w:iCs/>
          <w:color w:val="121212"/>
          <w:kern w:val="36"/>
          <w:lang w:val="en-GB" w:eastAsia="en-GB"/>
        </w:rPr>
        <w:t xml:space="preserve">Oral Questions – Questions to Ministers. </w:t>
      </w:r>
      <w:r>
        <w:rPr>
          <w:rFonts w:eastAsia="Times New Roman" w:cstheme="minorHAnsi"/>
          <w:color w:val="121212"/>
          <w:kern w:val="36"/>
          <w:lang w:val="en-GB" w:eastAsia="en-GB"/>
        </w:rPr>
        <w:t xml:space="preserve">Retrieved on 10-6-2021, from </w:t>
      </w:r>
      <w:hyperlink r:id="rId54" w:history="1">
        <w:r w:rsidRPr="000B5046">
          <w:rPr>
            <w:rStyle w:val="Hyperlink"/>
            <w:rFonts w:eastAsia="Times New Roman" w:cstheme="minorHAnsi"/>
            <w:kern w:val="36"/>
            <w:lang w:val="en-GB" w:eastAsia="en-GB"/>
          </w:rPr>
          <w:t>https://www.parliament.nz/en/pb/hansard-debates/rhr/document/HansS_20210512_050520000/1-question-no-1-prime-minister</w:t>
        </w:r>
      </w:hyperlink>
      <w:r>
        <w:rPr>
          <w:rFonts w:eastAsia="Times New Roman" w:cstheme="minorHAnsi"/>
          <w:color w:val="121212"/>
          <w:kern w:val="36"/>
          <w:lang w:val="en-GB" w:eastAsia="en-GB"/>
        </w:rPr>
        <w:t xml:space="preserve">. </w:t>
      </w:r>
    </w:p>
    <w:p w14:paraId="4FD01092" w14:textId="77777777" w:rsidR="00AD0100" w:rsidRPr="00C11021" w:rsidRDefault="00AD0100" w:rsidP="008870D3">
      <w:pPr>
        <w:rPr>
          <w:color w:val="222222"/>
          <w:highlight w:val="white"/>
          <w:lang w:val="en-GB"/>
        </w:rPr>
      </w:pPr>
      <w:r w:rsidRPr="00C11021">
        <w:rPr>
          <w:color w:val="222222"/>
          <w:highlight w:val="white"/>
          <w:lang w:val="en-GB"/>
        </w:rPr>
        <w:t>Wängnerud, L. (2009). Women in parliaments: Descriptive and substantive representation. </w:t>
      </w:r>
      <w:r w:rsidRPr="00C11021">
        <w:rPr>
          <w:i/>
          <w:color w:val="222222"/>
          <w:highlight w:val="white"/>
          <w:lang w:val="en-GB"/>
        </w:rPr>
        <w:t>Annual Review of Political Science</w:t>
      </w:r>
      <w:r w:rsidRPr="00C11021">
        <w:rPr>
          <w:color w:val="222222"/>
          <w:highlight w:val="white"/>
          <w:lang w:val="en-GB"/>
        </w:rPr>
        <w:t>, </w:t>
      </w:r>
      <w:r w:rsidRPr="00C11021">
        <w:rPr>
          <w:i/>
          <w:color w:val="222222"/>
          <w:highlight w:val="white"/>
          <w:lang w:val="en-GB"/>
        </w:rPr>
        <w:t>12</w:t>
      </w:r>
      <w:r w:rsidRPr="00C11021">
        <w:rPr>
          <w:color w:val="222222"/>
          <w:highlight w:val="white"/>
          <w:lang w:val="en-GB"/>
        </w:rPr>
        <w:t>, 51-69.</w:t>
      </w:r>
    </w:p>
    <w:p w14:paraId="7C188C73" w14:textId="77777777" w:rsidR="00AD0100" w:rsidRPr="00C11021" w:rsidRDefault="00AD0100" w:rsidP="008870D3">
      <w:pPr>
        <w:rPr>
          <w:rFonts w:cstheme="minorHAnsi"/>
          <w:color w:val="222222"/>
          <w:highlight w:val="white"/>
          <w:lang w:val="en-GB"/>
        </w:rPr>
      </w:pPr>
      <w:r w:rsidRPr="00C11021">
        <w:rPr>
          <w:rFonts w:cstheme="minorHAnsi"/>
          <w:color w:val="222222"/>
          <w:shd w:val="clear" w:color="auto" w:fill="FFFFFF"/>
          <w:lang w:val="en-GB"/>
        </w:rPr>
        <w:t>White, T. H. (2016). A difference of perspective? Māori Members of Parliament and te ao Māori in Parliament. </w:t>
      </w:r>
      <w:r w:rsidRPr="00C11021">
        <w:rPr>
          <w:rFonts w:cstheme="minorHAnsi"/>
          <w:i/>
          <w:iCs/>
          <w:color w:val="222222"/>
          <w:shd w:val="clear" w:color="auto" w:fill="FFFFFF"/>
          <w:lang w:val="en-GB"/>
        </w:rPr>
        <w:t>Political Science</w:t>
      </w:r>
      <w:r w:rsidRPr="00C11021">
        <w:rPr>
          <w:rFonts w:cstheme="minorHAnsi"/>
          <w:color w:val="222222"/>
          <w:shd w:val="clear" w:color="auto" w:fill="FFFFFF"/>
          <w:lang w:val="en-GB"/>
        </w:rPr>
        <w:t>, </w:t>
      </w:r>
      <w:r w:rsidRPr="00C11021">
        <w:rPr>
          <w:rFonts w:cstheme="minorHAnsi"/>
          <w:i/>
          <w:iCs/>
          <w:color w:val="222222"/>
          <w:shd w:val="clear" w:color="auto" w:fill="FFFFFF"/>
          <w:lang w:val="en-GB"/>
        </w:rPr>
        <w:t>68</w:t>
      </w:r>
      <w:r w:rsidRPr="00C11021">
        <w:rPr>
          <w:rFonts w:cstheme="minorHAnsi"/>
          <w:color w:val="222222"/>
          <w:shd w:val="clear" w:color="auto" w:fill="FFFFFF"/>
          <w:lang w:val="en-GB"/>
        </w:rPr>
        <w:t>(2), 175-191.</w:t>
      </w:r>
    </w:p>
    <w:p w14:paraId="54D108B1" w14:textId="77777777" w:rsidR="00AD0100" w:rsidRPr="00C11021" w:rsidRDefault="00AD0100" w:rsidP="008870D3">
      <w:pPr>
        <w:rPr>
          <w:lang w:val="en-GB"/>
        </w:rPr>
      </w:pPr>
      <w:r w:rsidRPr="00C11021">
        <w:rPr>
          <w:lang w:val="en-GB"/>
        </w:rPr>
        <w:t xml:space="preserve">Williams, M. (1998). </w:t>
      </w:r>
      <w:r w:rsidRPr="00C11021">
        <w:rPr>
          <w:i/>
          <w:lang w:val="en-GB"/>
        </w:rPr>
        <w:t>Voice, Trust, and Memory: Marginalized Groups and the Failings of Liberal Representation.</w:t>
      </w:r>
      <w:r w:rsidRPr="00C11021">
        <w:rPr>
          <w:lang w:val="en-GB"/>
        </w:rPr>
        <w:t xml:space="preserve"> Princeton, NJ: Princeton University.</w:t>
      </w:r>
    </w:p>
    <w:p w14:paraId="7247644F" w14:textId="77777777" w:rsidR="00AD0100" w:rsidRPr="00A0705A" w:rsidRDefault="00AD0100" w:rsidP="008870D3">
      <w:pPr>
        <w:rPr>
          <w:lang w:val="en-GB"/>
        </w:rPr>
      </w:pPr>
      <w:r w:rsidRPr="008870D3">
        <w:rPr>
          <w:color w:val="000000"/>
          <w:lang w:val="en-GB"/>
        </w:rPr>
        <w:t xml:space="preserve">Wilson, J. (2009). </w:t>
      </w:r>
      <w:r w:rsidRPr="008870D3">
        <w:rPr>
          <w:i/>
          <w:color w:val="000000"/>
          <w:lang w:val="en-GB"/>
        </w:rPr>
        <w:t>The Origins of the Māori Seats</w:t>
      </w:r>
      <w:r w:rsidRPr="008870D3">
        <w:rPr>
          <w:color w:val="000000"/>
          <w:lang w:val="en-GB"/>
        </w:rPr>
        <w:t xml:space="preserve">. </w:t>
      </w:r>
      <w:r w:rsidRPr="00A0705A">
        <w:rPr>
          <w:color w:val="000000"/>
          <w:lang w:val="en-GB"/>
        </w:rPr>
        <w:t xml:space="preserve">Retrieved on 25-5-2021, from </w:t>
      </w:r>
      <w:hyperlink r:id="rId55" w:history="1">
        <w:r w:rsidRPr="00A0705A">
          <w:rPr>
            <w:rStyle w:val="Hyperlink"/>
            <w:lang w:val="en-GB"/>
          </w:rPr>
          <w:t>https://www.parliament.nz/resource/en-NZ/00PLLawRP03141/e27e432e971eb1f60ea75b00c987a39e4b2e62ce</w:t>
        </w:r>
      </w:hyperlink>
      <w:r w:rsidRPr="00A0705A">
        <w:rPr>
          <w:color w:val="000000"/>
          <w:lang w:val="en-GB"/>
        </w:rPr>
        <w:t xml:space="preserve">. </w:t>
      </w:r>
    </w:p>
    <w:p w14:paraId="2E564C2E" w14:textId="77777777" w:rsidR="00AD0100" w:rsidRPr="00B02BAA" w:rsidRDefault="00AD0100" w:rsidP="008870D3">
      <w:pPr>
        <w:rPr>
          <w:color w:val="222222"/>
          <w:highlight w:val="white"/>
          <w:lang w:val="en-GB"/>
        </w:rPr>
      </w:pPr>
      <w:r w:rsidRPr="00B02BAA">
        <w:rPr>
          <w:color w:val="222222"/>
          <w:highlight w:val="white"/>
          <w:lang w:val="en-GB"/>
        </w:rPr>
        <w:t>Xanthaki, A., &amp; O'Sullivan, D. (2009). Indigenous participation in elective bodies: The Maori in New Zealand. </w:t>
      </w:r>
      <w:r w:rsidRPr="00B02BAA">
        <w:rPr>
          <w:i/>
          <w:color w:val="222222"/>
          <w:highlight w:val="white"/>
          <w:lang w:val="en-GB"/>
        </w:rPr>
        <w:t>International Journal on Minority and Group Rights</w:t>
      </w:r>
      <w:r w:rsidRPr="00B02BAA">
        <w:rPr>
          <w:color w:val="222222"/>
          <w:highlight w:val="white"/>
          <w:lang w:val="en-GB"/>
        </w:rPr>
        <w:t>, </w:t>
      </w:r>
      <w:r w:rsidRPr="00B02BAA">
        <w:rPr>
          <w:i/>
          <w:color w:val="222222"/>
          <w:highlight w:val="white"/>
          <w:lang w:val="en-GB"/>
        </w:rPr>
        <w:t>16</w:t>
      </w:r>
      <w:r w:rsidRPr="00B02BAA">
        <w:rPr>
          <w:color w:val="222222"/>
          <w:highlight w:val="white"/>
          <w:lang w:val="en-GB"/>
        </w:rPr>
        <w:t>(2), 181-207.</w:t>
      </w:r>
    </w:p>
    <w:p w14:paraId="3FB55049" w14:textId="77777777" w:rsidR="00AD0100" w:rsidRPr="00C11021" w:rsidRDefault="00AD0100" w:rsidP="008870D3">
      <w:pPr>
        <w:rPr>
          <w:rFonts w:cstheme="minorHAnsi"/>
          <w:color w:val="222222"/>
          <w:shd w:val="clear" w:color="auto" w:fill="FFFFFF"/>
          <w:lang w:val="en-GB"/>
        </w:rPr>
      </w:pPr>
      <w:r w:rsidRPr="00C11021">
        <w:rPr>
          <w:lang w:val="en-GB"/>
        </w:rPr>
        <w:t xml:space="preserve">Young, I. M. (1990). </w:t>
      </w:r>
      <w:r w:rsidRPr="00C11021">
        <w:rPr>
          <w:i/>
          <w:lang w:val="en-GB"/>
        </w:rPr>
        <w:t>Justice and the Politics of Difference</w:t>
      </w:r>
      <w:r w:rsidRPr="00C11021">
        <w:rPr>
          <w:lang w:val="en-GB"/>
        </w:rPr>
        <w:t>. Princeton: Princeton University Press.</w:t>
      </w:r>
    </w:p>
    <w:p w14:paraId="29D5D69D" w14:textId="77777777" w:rsidR="00AD0100" w:rsidRPr="00C11021" w:rsidRDefault="00AD0100" w:rsidP="008870D3">
      <w:pPr>
        <w:rPr>
          <w:rFonts w:cstheme="minorHAnsi"/>
          <w:color w:val="222222"/>
          <w:shd w:val="clear" w:color="auto" w:fill="FFFFFF"/>
          <w:lang w:val="en-GB"/>
        </w:rPr>
      </w:pPr>
      <w:r w:rsidRPr="00C11021">
        <w:rPr>
          <w:rFonts w:cstheme="minorHAnsi"/>
          <w:color w:val="222222"/>
          <w:shd w:val="clear" w:color="auto" w:fill="FFFFFF"/>
          <w:lang w:val="en-GB"/>
        </w:rPr>
        <w:t>Young, I. M. (1997). Deferring group representation. </w:t>
      </w:r>
      <w:r w:rsidRPr="00C11021">
        <w:rPr>
          <w:rFonts w:cstheme="minorHAnsi"/>
          <w:i/>
          <w:iCs/>
          <w:color w:val="222222"/>
          <w:shd w:val="clear" w:color="auto" w:fill="FFFFFF"/>
          <w:lang w:val="en-GB"/>
        </w:rPr>
        <w:t>NOMOS: American Society for Political and Legal Philosophy</w:t>
      </w:r>
      <w:r w:rsidRPr="00C11021">
        <w:rPr>
          <w:rFonts w:cstheme="minorHAnsi"/>
          <w:color w:val="222222"/>
          <w:shd w:val="clear" w:color="auto" w:fill="FFFFFF"/>
          <w:lang w:val="en-GB"/>
        </w:rPr>
        <w:t>, </w:t>
      </w:r>
      <w:r w:rsidRPr="00C11021">
        <w:rPr>
          <w:rFonts w:cstheme="minorHAnsi"/>
          <w:i/>
          <w:iCs/>
          <w:color w:val="222222"/>
          <w:shd w:val="clear" w:color="auto" w:fill="FFFFFF"/>
          <w:lang w:val="en-GB"/>
        </w:rPr>
        <w:t>39</w:t>
      </w:r>
      <w:r w:rsidRPr="00C11021">
        <w:rPr>
          <w:rFonts w:cstheme="minorHAnsi"/>
          <w:color w:val="222222"/>
          <w:shd w:val="clear" w:color="auto" w:fill="FFFFFF"/>
          <w:lang w:val="en-GB"/>
        </w:rPr>
        <w:t>, 349-376.</w:t>
      </w:r>
    </w:p>
    <w:p w14:paraId="0B971390" w14:textId="3E35216E" w:rsidR="00444A93" w:rsidRDefault="00AD0100" w:rsidP="008870D3">
      <w:pPr>
        <w:rPr>
          <w:lang w:val="en-GB"/>
        </w:rPr>
      </w:pPr>
      <w:r w:rsidRPr="00C11021">
        <w:rPr>
          <w:lang w:val="en-GB"/>
        </w:rPr>
        <w:t xml:space="preserve">Young, I. M. (2002). </w:t>
      </w:r>
      <w:r w:rsidRPr="00C11021">
        <w:rPr>
          <w:i/>
          <w:lang w:val="en-GB"/>
        </w:rPr>
        <w:t>Inclusion and Democracy</w:t>
      </w:r>
      <w:r w:rsidR="00CC52A0">
        <w:rPr>
          <w:lang w:val="en-GB"/>
        </w:rPr>
        <w:t>.</w:t>
      </w:r>
      <w:r w:rsidRPr="00C11021">
        <w:rPr>
          <w:lang w:val="en-GB"/>
        </w:rPr>
        <w:t xml:space="preserve"> Oxford: Oxford University Press.</w:t>
      </w:r>
    </w:p>
    <w:p w14:paraId="5A574968" w14:textId="77777777" w:rsidR="00444A93" w:rsidRDefault="00444A93">
      <w:pPr>
        <w:rPr>
          <w:lang w:val="en-GB"/>
        </w:rPr>
      </w:pPr>
      <w:r>
        <w:rPr>
          <w:lang w:val="en-GB"/>
        </w:rPr>
        <w:br w:type="page"/>
      </w:r>
    </w:p>
    <w:p w14:paraId="5291A571" w14:textId="3FAAA40E" w:rsidR="00AD0100" w:rsidRPr="00C3475D" w:rsidRDefault="00444A93" w:rsidP="00FE38EF">
      <w:pPr>
        <w:pStyle w:val="Kop1"/>
        <w:rPr>
          <w:lang w:val="en-GB"/>
        </w:rPr>
      </w:pPr>
      <w:bookmarkStart w:id="281" w:name="_Toc74583854"/>
      <w:bookmarkStart w:id="282" w:name="_Toc75384124"/>
      <w:r w:rsidRPr="00C3475D">
        <w:rPr>
          <w:lang w:val="en-GB"/>
        </w:rPr>
        <w:lastRenderedPageBreak/>
        <w:t>Appendix A Codebook</w:t>
      </w:r>
      <w:bookmarkEnd w:id="281"/>
      <w:bookmarkEnd w:id="282"/>
    </w:p>
    <w:p w14:paraId="10648A60" w14:textId="77777777" w:rsidR="00AB74C0" w:rsidRPr="00AB74C0" w:rsidRDefault="00AB74C0" w:rsidP="00FE38EF">
      <w:pPr>
        <w:pStyle w:val="Geenafstand"/>
        <w:spacing w:line="360" w:lineRule="auto"/>
        <w:jc w:val="both"/>
      </w:pPr>
    </w:p>
    <w:p w14:paraId="2BD7503C" w14:textId="77777777" w:rsidR="00444A93" w:rsidRPr="00C3475D" w:rsidRDefault="00444A93" w:rsidP="00FE38EF">
      <w:pPr>
        <w:pStyle w:val="Kop2"/>
        <w:rPr>
          <w:lang w:val="en-GB"/>
        </w:rPr>
      </w:pPr>
      <w:bookmarkStart w:id="283" w:name="_Toc73969252"/>
      <w:bookmarkStart w:id="284" w:name="_Toc74583855"/>
      <w:bookmarkStart w:id="285" w:name="_Toc75384125"/>
      <w:r w:rsidRPr="00C3475D">
        <w:rPr>
          <w:lang w:val="en-GB"/>
        </w:rPr>
        <w:t>Introduction</w:t>
      </w:r>
      <w:bookmarkEnd w:id="283"/>
      <w:bookmarkEnd w:id="284"/>
      <w:bookmarkEnd w:id="285"/>
    </w:p>
    <w:p w14:paraId="7E2DEADB" w14:textId="436EAAD4" w:rsidR="00444A93" w:rsidRPr="00444A93" w:rsidRDefault="00444A93" w:rsidP="00FE38EF">
      <w:pPr>
        <w:pStyle w:val="Geenafstand"/>
        <w:spacing w:line="360" w:lineRule="auto"/>
        <w:ind w:firstLine="708"/>
        <w:jc w:val="both"/>
      </w:pPr>
      <w:r w:rsidRPr="00444A93">
        <w:t>This codebook is created with the aim of performing a claim</w:t>
      </w:r>
      <w:r w:rsidR="00DB60C9">
        <w:t>s</w:t>
      </w:r>
      <w:r w:rsidRPr="00444A93">
        <w:t xml:space="preserve">-making analysis </w:t>
      </w:r>
      <w:r w:rsidR="00621058" w:rsidRPr="00444A93">
        <w:t>to</w:t>
      </w:r>
      <w:r w:rsidRPr="00444A93">
        <w:t xml:space="preserve"> answer the following research question: </w:t>
      </w:r>
      <w:r w:rsidR="00E74584" w:rsidRPr="0008508D">
        <w:rPr>
          <w:i/>
        </w:rPr>
        <w:t xml:space="preserve">Does descriptive representation lead to substantive </w:t>
      </w:r>
      <w:r w:rsidR="00E74584">
        <w:rPr>
          <w:i/>
        </w:rPr>
        <w:t>representative claims</w:t>
      </w:r>
      <w:r w:rsidR="00E74584" w:rsidRPr="0008508D">
        <w:rPr>
          <w:i/>
        </w:rPr>
        <w:t xml:space="preserve"> of indigenous populations of liberal </w:t>
      </w:r>
      <w:r w:rsidR="000360EC">
        <w:rPr>
          <w:i/>
        </w:rPr>
        <w:t>democra</w:t>
      </w:r>
      <w:r w:rsidR="00B81D87">
        <w:rPr>
          <w:i/>
        </w:rPr>
        <w:t>cies</w:t>
      </w:r>
      <w:r w:rsidR="00E74584" w:rsidRPr="0008508D">
        <w:rPr>
          <w:i/>
        </w:rPr>
        <w:t xml:space="preserve">? </w:t>
      </w:r>
      <w:r w:rsidR="00E74584" w:rsidRPr="0008508D">
        <w:t xml:space="preserve"> </w:t>
      </w:r>
      <w:r w:rsidR="00621058" w:rsidRPr="00444A93">
        <w:t>To</w:t>
      </w:r>
      <w:r w:rsidRPr="00444A93">
        <w:t xml:space="preserve"> answer this question</w:t>
      </w:r>
      <w:r w:rsidR="003608E6">
        <w:t>,</w:t>
      </w:r>
      <w:r w:rsidRPr="00444A93">
        <w:t xml:space="preserve"> the claims of Aotearoa New Zealand’s parliamentary speeches are analysed. The goal of the claim</w:t>
      </w:r>
      <w:r w:rsidR="000A5E39">
        <w:t>s</w:t>
      </w:r>
      <w:r w:rsidRPr="00444A93">
        <w:t xml:space="preserve">-making analysis is to study whether there is a difference between </w:t>
      </w:r>
      <w:r w:rsidR="005558EF">
        <w:t>MPs (</w:t>
      </w:r>
      <w:r w:rsidRPr="00444A93">
        <w:t>Members of Parliament</w:t>
      </w:r>
      <w:r w:rsidR="005558EF">
        <w:t>)</w:t>
      </w:r>
      <w:r w:rsidRPr="00444A93">
        <w:t xml:space="preserve"> that claim to speak for Māori. More specifically, whether the presence of Māori</w:t>
      </w:r>
      <w:r w:rsidR="005558EF">
        <w:t xml:space="preserve"> MPs</w:t>
      </w:r>
      <w:r w:rsidRPr="00444A93">
        <w:t xml:space="preserve"> leads to an increase of claims about Māori people. This claim</w:t>
      </w:r>
      <w:r w:rsidR="00E74584">
        <w:t>s</w:t>
      </w:r>
      <w:r w:rsidRPr="00444A93">
        <w:t xml:space="preserve">-making analysis will lead to a broader understanding of the representation of Māori people in parliament. </w:t>
      </w:r>
    </w:p>
    <w:p w14:paraId="4297C453" w14:textId="77777777" w:rsidR="00444A93" w:rsidRPr="00444A93" w:rsidRDefault="00444A93" w:rsidP="00FE38EF">
      <w:pPr>
        <w:pStyle w:val="Geenafstand"/>
        <w:spacing w:line="360" w:lineRule="auto"/>
        <w:ind w:firstLine="708"/>
        <w:jc w:val="both"/>
      </w:pPr>
      <w:r w:rsidRPr="00444A93">
        <w:t xml:space="preserve">In the following sections the case and the data gathering are explained after which the concept of a representative claim will be defined. When this is established the coding guide will follow. This coding guide guarantees the validity of the analysis. A pre-coding analysis has been performed to make sure the codes capture the correct interpretation of the claims. </w:t>
      </w:r>
    </w:p>
    <w:p w14:paraId="71D63731" w14:textId="77777777" w:rsidR="00A55683" w:rsidRDefault="00A55683" w:rsidP="00FE38EF">
      <w:pPr>
        <w:pStyle w:val="Geenafstand"/>
        <w:spacing w:line="360" w:lineRule="auto"/>
        <w:jc w:val="both"/>
      </w:pPr>
      <w:bookmarkStart w:id="286" w:name="_Toc73969253"/>
      <w:bookmarkStart w:id="287" w:name="_Toc74583856"/>
    </w:p>
    <w:p w14:paraId="53538C3A" w14:textId="35CF6EB0" w:rsidR="00444A93" w:rsidRPr="00444A93" w:rsidRDefault="00444A93" w:rsidP="00A55683">
      <w:pPr>
        <w:pStyle w:val="Kop3"/>
      </w:pPr>
      <w:bookmarkStart w:id="288" w:name="_Toc75384126"/>
      <w:r w:rsidRPr="00444A93">
        <w:t>Case and data gathering</w:t>
      </w:r>
      <w:bookmarkEnd w:id="286"/>
      <w:bookmarkEnd w:id="287"/>
      <w:bookmarkEnd w:id="288"/>
    </w:p>
    <w:p w14:paraId="47377260" w14:textId="7A77D243" w:rsidR="00444A93" w:rsidRPr="00444A93" w:rsidRDefault="00444A93" w:rsidP="00FE38EF">
      <w:pPr>
        <w:pStyle w:val="Geenafstand"/>
        <w:spacing w:line="360" w:lineRule="auto"/>
        <w:jc w:val="both"/>
      </w:pPr>
      <w:r w:rsidRPr="00444A93">
        <w:tab/>
        <w:t>Aotearoa New Zealand is selected as a single case study on which the claim</w:t>
      </w:r>
      <w:r w:rsidR="005E01CA">
        <w:t>s</w:t>
      </w:r>
      <w:r w:rsidRPr="00444A93">
        <w:t xml:space="preserve">-making analysis is performed. Aotearoa New Zealand provides a fruitful case to analyse due to their high degree of </w:t>
      </w:r>
      <w:r w:rsidR="006C274C">
        <w:t>MPs</w:t>
      </w:r>
      <w:r w:rsidRPr="00444A93">
        <w:t xml:space="preserve"> </w:t>
      </w:r>
      <w:r w:rsidR="002C2F4C">
        <w:t xml:space="preserve">from </w:t>
      </w:r>
      <w:r w:rsidRPr="00444A93">
        <w:t xml:space="preserve">Māori </w:t>
      </w:r>
      <w:r w:rsidR="002C2F4C">
        <w:t>descent</w:t>
      </w:r>
      <w:r w:rsidRPr="00444A93">
        <w:t xml:space="preserve">. This is mainly due to the implementation of dedicated seats in their electoral system. </w:t>
      </w:r>
    </w:p>
    <w:p w14:paraId="352B9688" w14:textId="195ED95B" w:rsidR="00444A93" w:rsidRPr="00444A93" w:rsidRDefault="00444A93" w:rsidP="00FE38EF">
      <w:pPr>
        <w:pStyle w:val="Geenafstand"/>
        <w:spacing w:line="360" w:lineRule="auto"/>
        <w:jc w:val="both"/>
      </w:pPr>
      <w:r w:rsidRPr="00444A93">
        <w:tab/>
        <w:t>The data gathering is based on the Hansard records</w:t>
      </w:r>
      <w:r w:rsidR="003550F8">
        <w:rPr>
          <w:rStyle w:val="Voetnootmarkering"/>
        </w:rPr>
        <w:footnoteReference w:id="30"/>
      </w:r>
      <w:r w:rsidRPr="00444A93">
        <w:t>, which are the official records of Aotearoa New Zealand’s parliamentary debates. The search strings select two things</w:t>
      </w:r>
      <w:r w:rsidR="003608E6">
        <w:t>:</w:t>
      </w:r>
      <w:r w:rsidRPr="00444A93">
        <w:t xml:space="preserve"> document type and keyword. </w:t>
      </w:r>
      <w:r w:rsidR="009B1A43">
        <w:t>The d</w:t>
      </w:r>
      <w:r w:rsidRPr="00444A93">
        <w:t>ocument type displays a choice between four categories</w:t>
      </w:r>
      <w:r w:rsidR="003608E6">
        <w:t>:</w:t>
      </w:r>
      <w:r w:rsidRPr="00444A93">
        <w:t xml:space="preserve"> event, question, </w:t>
      </w:r>
      <w:r w:rsidR="003430A4" w:rsidRPr="00444A93">
        <w:t>speech,</w:t>
      </w:r>
      <w:r w:rsidRPr="00444A93">
        <w:t xml:space="preserve"> and vote. Hereby is chosen for speech. </w:t>
      </w:r>
      <w:r w:rsidR="003608E6" w:rsidRPr="00444A93">
        <w:t>Regarding</w:t>
      </w:r>
      <w:r w:rsidRPr="00444A93">
        <w:t xml:space="preserve"> the keyword, the word ‘Māori’ is typed in to find all speeches that possibly make a claim about Māori people. A selection of speeches between </w:t>
      </w:r>
      <w:r w:rsidR="0090571F">
        <w:t xml:space="preserve">23 </w:t>
      </w:r>
      <w:r w:rsidRPr="00444A93">
        <w:t>July 2019 and</w:t>
      </w:r>
      <w:r w:rsidR="0090571F">
        <w:t xml:space="preserve"> 17</w:t>
      </w:r>
      <w:r w:rsidRPr="00444A93">
        <w:t xml:space="preserve"> February 2021 will be analysed. To be precise, 114 of the previous government period (52</w:t>
      </w:r>
      <w:r w:rsidRPr="00444A93">
        <w:rPr>
          <w:vertAlign w:val="superscript"/>
        </w:rPr>
        <w:t>nd</w:t>
      </w:r>
      <w:r w:rsidRPr="00444A93">
        <w:t xml:space="preserve"> </w:t>
      </w:r>
      <w:r w:rsidR="00BA42A4">
        <w:t>government period</w:t>
      </w:r>
      <w:r w:rsidRPr="00444A93">
        <w:t>) and 131 speeches from the current government period (53</w:t>
      </w:r>
      <w:r w:rsidRPr="00444A93">
        <w:rPr>
          <w:vertAlign w:val="superscript"/>
        </w:rPr>
        <w:t>rd</w:t>
      </w:r>
      <w:r w:rsidRPr="00444A93">
        <w:t xml:space="preserve"> government</w:t>
      </w:r>
      <w:r w:rsidR="00BA42A4">
        <w:t xml:space="preserve"> period</w:t>
      </w:r>
      <w:r w:rsidRPr="00444A93">
        <w:t>).</w:t>
      </w:r>
    </w:p>
    <w:p w14:paraId="643AA816" w14:textId="2AA1AFAC" w:rsidR="00444A93" w:rsidRPr="00444A93" w:rsidRDefault="00444A93" w:rsidP="00FE38EF">
      <w:pPr>
        <w:pStyle w:val="Geenafstand"/>
        <w:spacing w:line="360" w:lineRule="auto"/>
        <w:jc w:val="both"/>
      </w:pPr>
      <w:r w:rsidRPr="00444A93">
        <w:tab/>
        <w:t xml:space="preserve">Most of the speeches are in English. Sometimes a part of a speech is stated in Māori. These parts are always followed by an English translation in the Hansard records. However, there are some Māori words which are commonly used in New Zealand’s English language which are not translated in </w:t>
      </w:r>
      <w:r w:rsidRPr="00444A93">
        <w:lastRenderedPageBreak/>
        <w:t>the Hansard records. For example, whanau, meaning family and Te Reo Māori, meaning Māori language. The website of the Māori dictionary</w:t>
      </w:r>
      <w:r w:rsidR="00093E2A">
        <w:rPr>
          <w:rStyle w:val="Voetnootmarkering"/>
        </w:rPr>
        <w:footnoteReference w:id="31"/>
      </w:r>
      <w:r w:rsidRPr="00444A93">
        <w:t xml:space="preserve"> is used to translate these words. </w:t>
      </w:r>
    </w:p>
    <w:p w14:paraId="0C67CEA2" w14:textId="77777777" w:rsidR="001C3225" w:rsidRDefault="001C3225" w:rsidP="00FE38EF">
      <w:pPr>
        <w:pStyle w:val="Geenafstand"/>
        <w:spacing w:line="360" w:lineRule="auto"/>
        <w:jc w:val="both"/>
      </w:pPr>
      <w:bookmarkStart w:id="289" w:name="_Toc73969254"/>
      <w:bookmarkStart w:id="290" w:name="_Toc74583857"/>
    </w:p>
    <w:p w14:paraId="394F352D" w14:textId="7614860E" w:rsidR="00444A93" w:rsidRPr="00444A93" w:rsidRDefault="00444A93" w:rsidP="001C3225">
      <w:pPr>
        <w:pStyle w:val="Kop3"/>
      </w:pPr>
      <w:bookmarkStart w:id="291" w:name="_Toc75384127"/>
      <w:r w:rsidRPr="00444A93">
        <w:t>Coding of a representative claim</w:t>
      </w:r>
      <w:bookmarkEnd w:id="289"/>
      <w:bookmarkEnd w:id="290"/>
      <w:bookmarkEnd w:id="291"/>
    </w:p>
    <w:p w14:paraId="2EB7C961" w14:textId="5D77E73E" w:rsidR="00444A93" w:rsidRPr="00444A93" w:rsidRDefault="00444A93" w:rsidP="00FE38EF">
      <w:pPr>
        <w:pStyle w:val="Geenafstand"/>
        <w:spacing w:line="360" w:lineRule="auto"/>
        <w:jc w:val="both"/>
      </w:pPr>
      <w:r w:rsidRPr="00444A93">
        <w:tab/>
        <w:t xml:space="preserve">The unit of analysis are the claims made by Members of Parliament. </w:t>
      </w:r>
      <w:r w:rsidR="00621058" w:rsidRPr="00444A93">
        <w:t>Regarding</w:t>
      </w:r>
      <w:r w:rsidRPr="00444A93">
        <w:t xml:space="preserve"> this thesis specifically, a representative claim is defined as ‘the expression of a political opinion by verbal action in the parliamentary sphere regarding </w:t>
      </w:r>
      <w:r w:rsidR="00D7697E" w:rsidRPr="00444A93">
        <w:t>Māori</w:t>
      </w:r>
      <w:r w:rsidR="00D7697E">
        <w:t>’s</w:t>
      </w:r>
      <w:r w:rsidRPr="00444A93">
        <w:t xml:space="preserve">. This definition implies three delimitations: (1) instances of claim-making must be the result of purposive strategic action of the claimant, (2) they must deal with issues that relate to </w:t>
      </w:r>
      <w:r w:rsidR="00D7697E" w:rsidRPr="00444A93">
        <w:t>Māori</w:t>
      </w:r>
      <w:r w:rsidR="00D7697E">
        <w:t>’s</w:t>
      </w:r>
      <w:r w:rsidR="00D7697E" w:rsidRPr="00444A93">
        <w:t xml:space="preserve"> </w:t>
      </w:r>
      <w:r w:rsidRPr="00444A93">
        <w:t xml:space="preserve">and (3) the claims must be made in parliamentary speeches.’ Most parliamentary speeches are having circa 500 words. The claim can be stated in a single sentence or less, but also in one or more paragraphs. A claim covers only one argument. However, one parliamentary speech can consist of multiple claims. </w:t>
      </w:r>
      <w:r w:rsidR="00B12A71" w:rsidRPr="0069399F">
        <w:t xml:space="preserve">A claim </w:t>
      </w:r>
      <w:r w:rsidR="00B12A71">
        <w:t xml:space="preserve">can </w:t>
      </w:r>
      <w:r w:rsidR="00B12A71" w:rsidRPr="0069399F">
        <w:t>consist of the following aspects</w:t>
      </w:r>
      <w:r w:rsidR="00B12A71">
        <w:t xml:space="preserve">: location, claimant, issue, addressee, evaluation of the addressee, object, </w:t>
      </w:r>
      <w:r w:rsidR="003430A4">
        <w:t>unification,</w:t>
      </w:r>
      <w:r w:rsidR="00B12A71">
        <w:t xml:space="preserve"> and justification.</w:t>
      </w:r>
      <w:r w:rsidR="00B12A71" w:rsidRPr="0069399F">
        <w:t xml:space="preserve"> </w:t>
      </w:r>
      <w:r w:rsidRPr="00444A93">
        <w:rPr>
          <w:color w:val="000000"/>
        </w:rPr>
        <w:t xml:space="preserve"> </w:t>
      </w:r>
      <w:r w:rsidRPr="00444A93">
        <w:t>An excel file is used to code all representative claims. Thereby a distinction is made between all above stated different aspects. To start with the first</w:t>
      </w:r>
      <w:r w:rsidR="003608E6">
        <w:t>,</w:t>
      </w:r>
      <w:r w:rsidRPr="00444A93">
        <w:t xml:space="preserve"> the location. The ‘WHERE’ of the location, is already fixed at the parliamentary arena. The ‘WHEN’ is limited to the used time frame between 23 July 2019 and 17 February 2021. Now we turn to the other aspects. </w:t>
      </w:r>
    </w:p>
    <w:p w14:paraId="4013DD58" w14:textId="67928E59" w:rsidR="00444A93" w:rsidRPr="00097BC7" w:rsidRDefault="00444A93" w:rsidP="00FE38EF">
      <w:pPr>
        <w:pStyle w:val="Geenafstand"/>
        <w:spacing w:line="360" w:lineRule="auto"/>
        <w:jc w:val="both"/>
      </w:pPr>
      <w:r w:rsidRPr="00444A93">
        <w:tab/>
        <w:t xml:space="preserve">A distinction is made between a symbolic and a substantive claim. </w:t>
      </w:r>
      <w:r w:rsidR="00621058" w:rsidRPr="00444A93">
        <w:t>To</w:t>
      </w:r>
      <w:r w:rsidRPr="00444A93">
        <w:t xml:space="preserve"> speak of a symbolic claim</w:t>
      </w:r>
      <w:r w:rsidR="003608E6">
        <w:t>,</w:t>
      </w:r>
      <w:r w:rsidRPr="00444A93">
        <w:t xml:space="preserve"> the following aspects need to be present:</w:t>
      </w:r>
      <w:r w:rsidR="0041449A">
        <w:t xml:space="preserve"> c</w:t>
      </w:r>
      <w:r w:rsidRPr="00381F99">
        <w:rPr>
          <w:color w:val="000000"/>
        </w:rPr>
        <w:t>laimant</w:t>
      </w:r>
      <w:r w:rsidR="0041449A">
        <w:rPr>
          <w:color w:val="000000"/>
        </w:rPr>
        <w:t xml:space="preserve">, issue, and object. </w:t>
      </w:r>
      <w:r w:rsidRPr="00444A93">
        <w:t xml:space="preserve">To speak of a substantive claim the additional aspect of an addressee needs to be present. A claim can also consist of </w:t>
      </w:r>
      <w:r w:rsidR="006F7AFA">
        <w:t>three</w:t>
      </w:r>
      <w:r w:rsidRPr="00444A93">
        <w:t xml:space="preserve"> other aspects, namely an evaluation of the addressee</w:t>
      </w:r>
      <w:r w:rsidR="006F7AFA">
        <w:t>, an unification</w:t>
      </w:r>
      <w:r w:rsidRPr="00444A93">
        <w:t xml:space="preserve"> and a justification.</w:t>
      </w:r>
      <w:r w:rsidRPr="00444A93">
        <w:rPr>
          <w:color w:val="000000"/>
        </w:rPr>
        <w:t xml:space="preserve"> </w:t>
      </w:r>
      <w:r w:rsidRPr="00444A93">
        <w:t xml:space="preserve">Table </w:t>
      </w:r>
      <w:r w:rsidR="0075345C">
        <w:t>A.</w:t>
      </w:r>
      <w:r w:rsidRPr="00444A93">
        <w:t xml:space="preserve">1 gives a complete overview of all aspects. In the next section, all different aspects with the corresponding variables will be discussed. </w:t>
      </w:r>
    </w:p>
    <w:p w14:paraId="551F4791" w14:textId="4D109CBD" w:rsidR="00444A93" w:rsidRPr="00B04335" w:rsidRDefault="00444A93" w:rsidP="00B04335">
      <w:pPr>
        <w:pStyle w:val="Kop3"/>
        <w:rPr>
          <w:sz w:val="20"/>
          <w:szCs w:val="20"/>
        </w:rPr>
      </w:pPr>
      <w:bookmarkStart w:id="292" w:name="_Toc73969255"/>
      <w:bookmarkStart w:id="293" w:name="_Toc74503518"/>
      <w:bookmarkStart w:id="294" w:name="_Toc74583858"/>
      <w:bookmarkStart w:id="295" w:name="_Toc75384128"/>
      <w:r w:rsidRPr="00B04335">
        <w:rPr>
          <w:sz w:val="20"/>
          <w:szCs w:val="20"/>
        </w:rPr>
        <w:t xml:space="preserve">Table </w:t>
      </w:r>
      <w:r w:rsidR="00B253BB" w:rsidRPr="00B04335">
        <w:rPr>
          <w:sz w:val="20"/>
          <w:szCs w:val="20"/>
        </w:rPr>
        <w:t>A.</w:t>
      </w:r>
      <w:r w:rsidRPr="00B04335">
        <w:rPr>
          <w:sz w:val="20"/>
          <w:szCs w:val="20"/>
        </w:rPr>
        <w:t>1. Aspect of a claim.</w:t>
      </w:r>
      <w:bookmarkEnd w:id="292"/>
      <w:bookmarkEnd w:id="293"/>
      <w:bookmarkEnd w:id="294"/>
      <w:bookmarkEnd w:id="295"/>
      <w:r w:rsidRPr="00B04335">
        <w:rPr>
          <w:sz w:val="20"/>
          <w:szCs w:val="20"/>
        </w:rPr>
        <w:t xml:space="preserve"> </w:t>
      </w:r>
    </w:p>
    <w:tbl>
      <w:tblPr>
        <w:tblStyle w:val="Lijsttabel1licht"/>
        <w:tblW w:w="9072" w:type="dxa"/>
        <w:tblLayout w:type="fixed"/>
        <w:tblLook w:val="04A0" w:firstRow="1" w:lastRow="0" w:firstColumn="1" w:lastColumn="0" w:noHBand="0" w:noVBand="1"/>
      </w:tblPr>
      <w:tblGrid>
        <w:gridCol w:w="1460"/>
        <w:gridCol w:w="3807"/>
        <w:gridCol w:w="3805"/>
      </w:tblGrid>
      <w:tr w:rsidR="00444A93" w14:paraId="005A015A" w14:textId="77777777" w:rsidTr="00187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2C097445" w14:textId="77777777" w:rsidR="00444A93" w:rsidRPr="00B04335" w:rsidRDefault="00444A93" w:rsidP="00B04335">
            <w:pPr>
              <w:pStyle w:val="Geenafstand"/>
            </w:pPr>
            <w:r w:rsidRPr="00B04335">
              <w:t>Aspects claim</w:t>
            </w:r>
          </w:p>
        </w:tc>
        <w:tc>
          <w:tcPr>
            <w:tcW w:w="3807" w:type="dxa"/>
          </w:tcPr>
          <w:p w14:paraId="01BE58CE" w14:textId="77777777" w:rsidR="00444A93" w:rsidRPr="00B04335" w:rsidRDefault="00444A93" w:rsidP="00B04335">
            <w:pPr>
              <w:pStyle w:val="Geenafstand"/>
              <w:cnfStyle w:val="100000000000" w:firstRow="1" w:lastRow="0" w:firstColumn="0" w:lastColumn="0" w:oddVBand="0" w:evenVBand="0" w:oddHBand="0" w:evenHBand="0" w:firstRowFirstColumn="0" w:firstRowLastColumn="0" w:lastRowFirstColumn="0" w:lastRowLastColumn="0"/>
            </w:pPr>
            <w:r w:rsidRPr="00B04335">
              <w:t>Description</w:t>
            </w:r>
          </w:p>
        </w:tc>
        <w:tc>
          <w:tcPr>
            <w:tcW w:w="3805" w:type="dxa"/>
          </w:tcPr>
          <w:p w14:paraId="7E61933A" w14:textId="77777777" w:rsidR="00444A93" w:rsidRPr="00B04335" w:rsidRDefault="00444A93" w:rsidP="00B04335">
            <w:pPr>
              <w:pStyle w:val="Geenafstand"/>
              <w:cnfStyle w:val="100000000000" w:firstRow="1" w:lastRow="0" w:firstColumn="0" w:lastColumn="0" w:oddVBand="0" w:evenVBand="0" w:oddHBand="0" w:evenHBand="0" w:firstRowFirstColumn="0" w:firstRowLastColumn="0" w:lastRowFirstColumn="0" w:lastRowLastColumn="0"/>
            </w:pPr>
            <w:r w:rsidRPr="00B04335">
              <w:t>Variables</w:t>
            </w:r>
          </w:p>
        </w:tc>
      </w:tr>
      <w:tr w:rsidR="00444A93" w14:paraId="6FD03867"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17F285AE" w14:textId="77777777" w:rsidR="00444A93" w:rsidRPr="00B04335" w:rsidRDefault="00444A93" w:rsidP="00B04335">
            <w:pPr>
              <w:pStyle w:val="Geenafstand"/>
            </w:pPr>
            <w:r w:rsidRPr="00B04335">
              <w:t>Location</w:t>
            </w:r>
          </w:p>
        </w:tc>
        <w:tc>
          <w:tcPr>
            <w:tcW w:w="3807" w:type="dxa"/>
          </w:tcPr>
          <w:p w14:paraId="4DFF2F97"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Where and when is the claim made?</w:t>
            </w:r>
          </w:p>
        </w:tc>
        <w:tc>
          <w:tcPr>
            <w:tcW w:w="3805" w:type="dxa"/>
          </w:tcPr>
          <w:p w14:paraId="51D191B9"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DATE, TITLE</w:t>
            </w:r>
          </w:p>
        </w:tc>
      </w:tr>
      <w:tr w:rsidR="00444A93" w14:paraId="36879D02" w14:textId="77777777" w:rsidTr="00187024">
        <w:tc>
          <w:tcPr>
            <w:cnfStyle w:val="001000000000" w:firstRow="0" w:lastRow="0" w:firstColumn="1" w:lastColumn="0" w:oddVBand="0" w:evenVBand="0" w:oddHBand="0" w:evenHBand="0" w:firstRowFirstColumn="0" w:firstRowLastColumn="0" w:lastRowFirstColumn="0" w:lastRowLastColumn="0"/>
            <w:tcW w:w="1460" w:type="dxa"/>
          </w:tcPr>
          <w:p w14:paraId="2210AB39" w14:textId="77777777" w:rsidR="00444A93" w:rsidRPr="00B04335" w:rsidRDefault="00444A93" w:rsidP="00B04335">
            <w:pPr>
              <w:pStyle w:val="Geenafstand"/>
            </w:pPr>
            <w:r w:rsidRPr="00B04335">
              <w:t>Claimant</w:t>
            </w:r>
          </w:p>
        </w:tc>
        <w:tc>
          <w:tcPr>
            <w:tcW w:w="3807" w:type="dxa"/>
          </w:tcPr>
          <w:p w14:paraId="74858172"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Who made the claim?</w:t>
            </w:r>
          </w:p>
        </w:tc>
        <w:tc>
          <w:tcPr>
            <w:tcW w:w="3805" w:type="dxa"/>
          </w:tcPr>
          <w:p w14:paraId="40C3E727"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CLAIMANT, CLAIMANTNAME, CLAIMANTPAR, CLAIMANTGEN</w:t>
            </w:r>
          </w:p>
        </w:tc>
      </w:tr>
      <w:tr w:rsidR="00444A93" w14:paraId="06774B56"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0B9F2767" w14:textId="77777777" w:rsidR="00444A93" w:rsidRPr="00B04335" w:rsidRDefault="00444A93" w:rsidP="00B04335">
            <w:pPr>
              <w:pStyle w:val="Geenafstand"/>
            </w:pPr>
            <w:r w:rsidRPr="00B04335">
              <w:t>Issue</w:t>
            </w:r>
          </w:p>
        </w:tc>
        <w:tc>
          <w:tcPr>
            <w:tcW w:w="3807" w:type="dxa"/>
          </w:tcPr>
          <w:p w14:paraId="73B74D71"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What issue does the claim refer to?</w:t>
            </w:r>
          </w:p>
        </w:tc>
        <w:tc>
          <w:tcPr>
            <w:tcW w:w="3805" w:type="dxa"/>
          </w:tcPr>
          <w:p w14:paraId="5A22DCA3"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ISSUE</w:t>
            </w:r>
          </w:p>
        </w:tc>
      </w:tr>
      <w:tr w:rsidR="00444A93" w14:paraId="798032AE" w14:textId="77777777" w:rsidTr="00187024">
        <w:tc>
          <w:tcPr>
            <w:cnfStyle w:val="001000000000" w:firstRow="0" w:lastRow="0" w:firstColumn="1" w:lastColumn="0" w:oddVBand="0" w:evenVBand="0" w:oddHBand="0" w:evenHBand="0" w:firstRowFirstColumn="0" w:firstRowLastColumn="0" w:lastRowFirstColumn="0" w:lastRowLastColumn="0"/>
            <w:tcW w:w="1460" w:type="dxa"/>
          </w:tcPr>
          <w:p w14:paraId="2991C7DC" w14:textId="77777777" w:rsidR="00444A93" w:rsidRPr="00B04335" w:rsidRDefault="00444A93" w:rsidP="00B04335">
            <w:pPr>
              <w:pStyle w:val="Geenafstand"/>
            </w:pPr>
            <w:r w:rsidRPr="00B04335">
              <w:t>Object</w:t>
            </w:r>
          </w:p>
        </w:tc>
        <w:tc>
          <w:tcPr>
            <w:tcW w:w="3807" w:type="dxa"/>
          </w:tcPr>
          <w:p w14:paraId="58ACFD71"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On whose behalf is the claim made?</w:t>
            </w:r>
          </w:p>
        </w:tc>
        <w:tc>
          <w:tcPr>
            <w:tcW w:w="3805" w:type="dxa"/>
          </w:tcPr>
          <w:p w14:paraId="7F83AC91"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OBJECT</w:t>
            </w:r>
          </w:p>
        </w:tc>
      </w:tr>
      <w:tr w:rsidR="00444A93" w14:paraId="4B1940D2"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46252EBA" w14:textId="77777777" w:rsidR="00444A93" w:rsidRPr="00B04335" w:rsidRDefault="00444A93" w:rsidP="00B04335">
            <w:pPr>
              <w:pStyle w:val="Geenafstand"/>
            </w:pPr>
            <w:r w:rsidRPr="00B04335">
              <w:t>Addressee</w:t>
            </w:r>
          </w:p>
        </w:tc>
        <w:tc>
          <w:tcPr>
            <w:tcW w:w="3807" w:type="dxa"/>
          </w:tcPr>
          <w:p w14:paraId="1B7E769B"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At whom is the claim directed at?</w:t>
            </w:r>
          </w:p>
        </w:tc>
        <w:tc>
          <w:tcPr>
            <w:tcW w:w="3805" w:type="dxa"/>
          </w:tcPr>
          <w:p w14:paraId="5D98D466"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ADDRES</w:t>
            </w:r>
          </w:p>
        </w:tc>
      </w:tr>
      <w:tr w:rsidR="00444A93" w14:paraId="4B064854" w14:textId="77777777" w:rsidTr="00187024">
        <w:tc>
          <w:tcPr>
            <w:cnfStyle w:val="001000000000" w:firstRow="0" w:lastRow="0" w:firstColumn="1" w:lastColumn="0" w:oddVBand="0" w:evenVBand="0" w:oddHBand="0" w:evenHBand="0" w:firstRowFirstColumn="0" w:firstRowLastColumn="0" w:lastRowFirstColumn="0" w:lastRowLastColumn="0"/>
            <w:tcW w:w="1460" w:type="dxa"/>
          </w:tcPr>
          <w:p w14:paraId="22D8841E" w14:textId="77777777" w:rsidR="00444A93" w:rsidRPr="00B04335" w:rsidRDefault="00444A93" w:rsidP="00B04335">
            <w:pPr>
              <w:pStyle w:val="Geenafstand"/>
            </w:pPr>
            <w:r w:rsidRPr="00B04335">
              <w:t>Unification</w:t>
            </w:r>
          </w:p>
        </w:tc>
        <w:tc>
          <w:tcPr>
            <w:tcW w:w="3807" w:type="dxa"/>
          </w:tcPr>
          <w:p w14:paraId="675145D8"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Is there a reference being made to togetherness?</w:t>
            </w:r>
          </w:p>
        </w:tc>
        <w:tc>
          <w:tcPr>
            <w:tcW w:w="3805" w:type="dxa"/>
          </w:tcPr>
          <w:p w14:paraId="33F14C3B"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UNI</w:t>
            </w:r>
          </w:p>
        </w:tc>
      </w:tr>
      <w:tr w:rsidR="00444A93" w14:paraId="0FD908A5"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4B1190A3" w14:textId="77777777" w:rsidR="00444A93" w:rsidRPr="00B04335" w:rsidRDefault="00444A93" w:rsidP="00B04335">
            <w:pPr>
              <w:pStyle w:val="Geenafstand"/>
            </w:pPr>
            <w:r w:rsidRPr="00B04335">
              <w:t>Evaluation</w:t>
            </w:r>
          </w:p>
        </w:tc>
        <w:tc>
          <w:tcPr>
            <w:tcW w:w="3807" w:type="dxa"/>
          </w:tcPr>
          <w:p w14:paraId="7BE69A0C"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How does the claimant evaluate the addressee?</w:t>
            </w:r>
          </w:p>
        </w:tc>
        <w:tc>
          <w:tcPr>
            <w:tcW w:w="3805" w:type="dxa"/>
          </w:tcPr>
          <w:p w14:paraId="58B0C095" w14:textId="77777777" w:rsidR="00444A93" w:rsidRPr="00B04335" w:rsidRDefault="00444A93" w:rsidP="00B04335">
            <w:pPr>
              <w:pStyle w:val="Geenafstand"/>
              <w:cnfStyle w:val="000000100000" w:firstRow="0" w:lastRow="0" w:firstColumn="0" w:lastColumn="0" w:oddVBand="0" w:evenVBand="0" w:oddHBand="1" w:evenHBand="0" w:firstRowFirstColumn="0" w:firstRowLastColumn="0" w:lastRowFirstColumn="0" w:lastRowLastColumn="0"/>
            </w:pPr>
            <w:r w:rsidRPr="00B04335">
              <w:t>EVAL</w:t>
            </w:r>
          </w:p>
        </w:tc>
      </w:tr>
      <w:tr w:rsidR="00444A93" w14:paraId="0AD8DD88" w14:textId="77777777" w:rsidTr="00187024">
        <w:tc>
          <w:tcPr>
            <w:cnfStyle w:val="001000000000" w:firstRow="0" w:lastRow="0" w:firstColumn="1" w:lastColumn="0" w:oddVBand="0" w:evenVBand="0" w:oddHBand="0" w:evenHBand="0" w:firstRowFirstColumn="0" w:firstRowLastColumn="0" w:lastRowFirstColumn="0" w:lastRowLastColumn="0"/>
            <w:tcW w:w="1460" w:type="dxa"/>
          </w:tcPr>
          <w:p w14:paraId="142D66BB" w14:textId="77777777" w:rsidR="00444A93" w:rsidRPr="00B04335" w:rsidRDefault="00444A93" w:rsidP="00B04335">
            <w:pPr>
              <w:pStyle w:val="Geenafstand"/>
            </w:pPr>
            <w:r w:rsidRPr="00B04335">
              <w:t>Justification</w:t>
            </w:r>
          </w:p>
        </w:tc>
        <w:tc>
          <w:tcPr>
            <w:tcW w:w="3807" w:type="dxa"/>
          </w:tcPr>
          <w:p w14:paraId="2CCABDAC"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What justification or frame is used for the claim?</w:t>
            </w:r>
          </w:p>
        </w:tc>
        <w:tc>
          <w:tcPr>
            <w:tcW w:w="3805" w:type="dxa"/>
          </w:tcPr>
          <w:p w14:paraId="78DB29A0" w14:textId="77777777" w:rsidR="00444A93" w:rsidRPr="00B04335" w:rsidRDefault="00444A93" w:rsidP="00B04335">
            <w:pPr>
              <w:pStyle w:val="Geenafstand"/>
              <w:cnfStyle w:val="000000000000" w:firstRow="0" w:lastRow="0" w:firstColumn="0" w:lastColumn="0" w:oddVBand="0" w:evenVBand="0" w:oddHBand="0" w:evenHBand="0" w:firstRowFirstColumn="0" w:firstRowLastColumn="0" w:lastRowFirstColumn="0" w:lastRowLastColumn="0"/>
            </w:pPr>
            <w:r w:rsidRPr="00B04335">
              <w:t>JUST</w:t>
            </w:r>
          </w:p>
        </w:tc>
      </w:tr>
    </w:tbl>
    <w:p w14:paraId="6411DC52" w14:textId="77777777" w:rsidR="00444A93" w:rsidRDefault="00444A93" w:rsidP="00FE38EF">
      <w:pPr>
        <w:pStyle w:val="Geenafstand"/>
        <w:spacing w:line="360" w:lineRule="auto"/>
        <w:jc w:val="both"/>
      </w:pPr>
    </w:p>
    <w:p w14:paraId="1C3E1D44" w14:textId="77777777" w:rsidR="00444A93" w:rsidRPr="00B04335" w:rsidRDefault="00444A93" w:rsidP="00FE38EF">
      <w:pPr>
        <w:pStyle w:val="Geenafstand"/>
        <w:spacing w:line="360" w:lineRule="auto"/>
        <w:jc w:val="both"/>
        <w:rPr>
          <w:rFonts w:ascii="Times New Roman" w:eastAsia="Times New Roman" w:hAnsi="Times New Roman" w:cs="Times New Roman"/>
          <w:i/>
          <w:iCs/>
        </w:rPr>
      </w:pPr>
      <w:bookmarkStart w:id="296" w:name="_Toc73969256"/>
      <w:bookmarkStart w:id="297" w:name="_Toc74583859"/>
      <w:r w:rsidRPr="00B04335">
        <w:rPr>
          <w:i/>
          <w:iCs/>
        </w:rPr>
        <w:lastRenderedPageBreak/>
        <w:t>Location</w:t>
      </w:r>
      <w:bookmarkEnd w:id="296"/>
      <w:bookmarkEnd w:id="297"/>
    </w:p>
    <w:p w14:paraId="15F58DA0" w14:textId="31292FC1" w:rsidR="00444A93" w:rsidRPr="00444A93" w:rsidRDefault="00444A93" w:rsidP="00B04335">
      <w:pPr>
        <w:pStyle w:val="Geenafstand"/>
        <w:spacing w:line="360" w:lineRule="auto"/>
        <w:ind w:firstLine="708"/>
        <w:jc w:val="both"/>
      </w:pPr>
      <w:r w:rsidRPr="00444A93">
        <w:rPr>
          <w:color w:val="000000"/>
        </w:rPr>
        <w:t xml:space="preserve">The location answers the question </w:t>
      </w:r>
      <w:r w:rsidRPr="00444A93">
        <w:rPr>
          <w:i/>
          <w:color w:val="000000"/>
        </w:rPr>
        <w:t xml:space="preserve">when </w:t>
      </w:r>
      <w:r w:rsidRPr="00444A93">
        <w:rPr>
          <w:color w:val="000000"/>
        </w:rPr>
        <w:t xml:space="preserve">and </w:t>
      </w:r>
      <w:r w:rsidRPr="00444A93">
        <w:rPr>
          <w:i/>
          <w:color w:val="000000"/>
        </w:rPr>
        <w:t xml:space="preserve">where </w:t>
      </w:r>
      <w:r w:rsidRPr="00444A93">
        <w:rPr>
          <w:color w:val="000000"/>
        </w:rPr>
        <w:t xml:space="preserve">the claim is made. In this thesis the </w:t>
      </w:r>
      <w:r w:rsidRPr="00444A93">
        <w:rPr>
          <w:i/>
          <w:color w:val="000000"/>
        </w:rPr>
        <w:t xml:space="preserve">where </w:t>
      </w:r>
      <w:r w:rsidRPr="00444A93">
        <w:rPr>
          <w:color w:val="000000"/>
        </w:rPr>
        <w:t xml:space="preserve">is fixed beforehand, namely the Parliament of </w:t>
      </w:r>
      <w:r w:rsidRPr="00444A93">
        <w:t>Aotearoa</w:t>
      </w:r>
      <w:r w:rsidRPr="00444A93">
        <w:rPr>
          <w:color w:val="000000"/>
        </w:rPr>
        <w:t xml:space="preserve"> New Zealand. The </w:t>
      </w:r>
      <w:r w:rsidRPr="00444A93">
        <w:rPr>
          <w:i/>
          <w:color w:val="000000"/>
        </w:rPr>
        <w:t>when</w:t>
      </w:r>
      <w:r w:rsidRPr="00444A93">
        <w:rPr>
          <w:color w:val="000000"/>
        </w:rPr>
        <w:t xml:space="preserve"> is limited to the time frame determined in the last section; </w:t>
      </w:r>
      <w:r w:rsidR="003608E6">
        <w:rPr>
          <w:color w:val="000000"/>
        </w:rPr>
        <w:t xml:space="preserve">23 </w:t>
      </w:r>
      <w:r w:rsidRPr="00444A93">
        <w:rPr>
          <w:color w:val="000000"/>
        </w:rPr>
        <w:t>July</w:t>
      </w:r>
      <w:r w:rsidR="003A5262">
        <w:rPr>
          <w:color w:val="000000"/>
        </w:rPr>
        <w:t xml:space="preserve"> </w:t>
      </w:r>
      <w:r w:rsidRPr="00444A93">
        <w:rPr>
          <w:color w:val="000000"/>
        </w:rPr>
        <w:t>2019</w:t>
      </w:r>
      <w:r w:rsidR="00A23D98">
        <w:rPr>
          <w:color w:val="000000"/>
        </w:rPr>
        <w:t xml:space="preserve"> – </w:t>
      </w:r>
      <w:r w:rsidR="003A5262">
        <w:rPr>
          <w:color w:val="000000"/>
        </w:rPr>
        <w:t xml:space="preserve">17 </w:t>
      </w:r>
      <w:r w:rsidRPr="00444A93">
        <w:rPr>
          <w:color w:val="000000"/>
        </w:rPr>
        <w:t xml:space="preserve">February 2021. The specific date of the speech will be coded using that date. The name of the variable is </w:t>
      </w:r>
      <w:r w:rsidRPr="00444A93">
        <w:rPr>
          <w:i/>
          <w:color w:val="000000"/>
        </w:rPr>
        <w:t xml:space="preserve">DATE. </w:t>
      </w:r>
      <w:r w:rsidRPr="00444A93">
        <w:t xml:space="preserve">The specific dates will be mentioned in the excel file using an eight-digit code; DD-MM-YYYY. Besides the date the title of the speech is mentioned in a separate variable. This will be copied from Aotearoa New Zealand’s website of the Hansard records. The variable is named </w:t>
      </w:r>
      <w:r w:rsidRPr="00444A93">
        <w:rPr>
          <w:i/>
        </w:rPr>
        <w:t xml:space="preserve">TITLE. </w:t>
      </w:r>
    </w:p>
    <w:p w14:paraId="0846F763" w14:textId="77777777" w:rsidR="00444A93" w:rsidRPr="00444A93" w:rsidRDefault="00444A93" w:rsidP="00FE38EF">
      <w:pPr>
        <w:pStyle w:val="Geenafstand"/>
        <w:spacing w:line="360" w:lineRule="auto"/>
        <w:jc w:val="both"/>
        <w:rPr>
          <w:rFonts w:ascii="Times New Roman" w:eastAsia="Times New Roman" w:hAnsi="Times New Roman" w:cs="Times New Roman"/>
          <w:i/>
          <w:sz w:val="24"/>
          <w:szCs w:val="24"/>
        </w:rPr>
      </w:pPr>
    </w:p>
    <w:p w14:paraId="258D56A6" w14:textId="77777777" w:rsidR="00444A93" w:rsidRPr="00B04335" w:rsidRDefault="00444A93" w:rsidP="00FE38EF">
      <w:pPr>
        <w:pStyle w:val="Geenafstand"/>
        <w:spacing w:line="360" w:lineRule="auto"/>
        <w:jc w:val="both"/>
        <w:rPr>
          <w:rFonts w:ascii="Times New Roman" w:eastAsia="Times New Roman" w:hAnsi="Times New Roman" w:cs="Times New Roman"/>
          <w:i/>
          <w:iCs/>
        </w:rPr>
      </w:pPr>
      <w:bookmarkStart w:id="298" w:name="_Toc73969257"/>
      <w:bookmarkStart w:id="299" w:name="_Toc74583860"/>
      <w:r w:rsidRPr="00B04335">
        <w:rPr>
          <w:i/>
          <w:iCs/>
        </w:rPr>
        <w:t>Claimant</w:t>
      </w:r>
      <w:bookmarkEnd w:id="298"/>
      <w:bookmarkEnd w:id="299"/>
    </w:p>
    <w:p w14:paraId="15EEED66" w14:textId="5EC7A34F" w:rsidR="00B04335" w:rsidRDefault="00444A93" w:rsidP="00FE38EF">
      <w:pPr>
        <w:pStyle w:val="Geenafstand"/>
        <w:spacing w:line="360" w:lineRule="auto"/>
        <w:jc w:val="both"/>
        <w:rPr>
          <w:i/>
          <w:color w:val="000000"/>
        </w:rPr>
      </w:pPr>
      <w:r w:rsidRPr="00444A93">
        <w:rPr>
          <w:color w:val="000000"/>
        </w:rPr>
        <w:tab/>
        <w:t>A claimant is the actor that makes the claim. Answering the question: “WHO makes the claim?” The claimant is always a</w:t>
      </w:r>
      <w:r w:rsidR="00A159A5">
        <w:rPr>
          <w:color w:val="000000"/>
        </w:rPr>
        <w:t>n MP.</w:t>
      </w:r>
      <w:r w:rsidRPr="00444A93">
        <w:rPr>
          <w:color w:val="000000"/>
        </w:rPr>
        <w:t xml:space="preserve"> The interest is whether the claimant </w:t>
      </w:r>
      <w:r w:rsidR="007D3E4E">
        <w:rPr>
          <w:color w:val="000000"/>
        </w:rPr>
        <w:t>is from</w:t>
      </w:r>
      <w:r w:rsidR="007353D5">
        <w:rPr>
          <w:color w:val="000000"/>
        </w:rPr>
        <w:t xml:space="preserve"> </w:t>
      </w:r>
      <w:r w:rsidRPr="00444A93">
        <w:rPr>
          <w:color w:val="000000"/>
        </w:rPr>
        <w:t xml:space="preserve">Māori </w:t>
      </w:r>
      <w:r w:rsidR="007D3E4E">
        <w:rPr>
          <w:color w:val="000000"/>
        </w:rPr>
        <w:t>descent</w:t>
      </w:r>
      <w:r w:rsidRPr="00444A93">
        <w:rPr>
          <w:color w:val="000000"/>
        </w:rPr>
        <w:t xml:space="preserve"> or not. This is determined </w:t>
      </w:r>
      <w:r w:rsidR="007353D5" w:rsidRPr="00444A93">
        <w:rPr>
          <w:color w:val="000000"/>
        </w:rPr>
        <w:t>based on</w:t>
      </w:r>
      <w:r w:rsidRPr="00444A93">
        <w:rPr>
          <w:color w:val="000000"/>
        </w:rPr>
        <w:t xml:space="preserve"> self-identification. At the end of th</w:t>
      </w:r>
      <w:r w:rsidR="0033410A">
        <w:rPr>
          <w:color w:val="000000"/>
        </w:rPr>
        <w:t>is</w:t>
      </w:r>
      <w:r w:rsidRPr="00444A93">
        <w:rPr>
          <w:color w:val="000000"/>
        </w:rPr>
        <w:t xml:space="preserve"> appendix, in table </w:t>
      </w:r>
      <w:r w:rsidR="0033410A">
        <w:rPr>
          <w:color w:val="000000"/>
        </w:rPr>
        <w:t>A.</w:t>
      </w:r>
      <w:r w:rsidRPr="00444A93">
        <w:rPr>
          <w:color w:val="000000"/>
        </w:rPr>
        <w:t xml:space="preserve">2 and </w:t>
      </w:r>
      <w:r w:rsidR="0033410A">
        <w:rPr>
          <w:color w:val="000000"/>
        </w:rPr>
        <w:t>A.</w:t>
      </w:r>
      <w:r w:rsidRPr="00444A93">
        <w:rPr>
          <w:color w:val="000000"/>
        </w:rPr>
        <w:t>3, the Māori M</w:t>
      </w:r>
      <w:r w:rsidR="001F3419">
        <w:rPr>
          <w:color w:val="000000"/>
        </w:rPr>
        <w:t>Ps</w:t>
      </w:r>
      <w:r w:rsidRPr="00444A93">
        <w:rPr>
          <w:color w:val="000000"/>
        </w:rPr>
        <w:t xml:space="preserve"> are stated. The information of the other </w:t>
      </w:r>
      <w:r w:rsidR="004257C5">
        <w:rPr>
          <w:color w:val="000000"/>
        </w:rPr>
        <w:t>MPs</w:t>
      </w:r>
      <w:r w:rsidRPr="00444A93">
        <w:rPr>
          <w:color w:val="000000"/>
        </w:rPr>
        <w:t xml:space="preserve"> is gathered from the website ‘New Zealand Parliament’.</w:t>
      </w:r>
      <w:r w:rsidR="00CA6C46">
        <w:rPr>
          <w:rStyle w:val="Voetnootmarkering"/>
          <w:color w:val="000000"/>
        </w:rPr>
        <w:footnoteReference w:id="32"/>
      </w:r>
      <w:r w:rsidRPr="00444A93">
        <w:rPr>
          <w:color w:val="000000"/>
        </w:rPr>
        <w:t xml:space="preserve"> The variables regarding the claimant are </w:t>
      </w:r>
      <w:r w:rsidRPr="00444A93">
        <w:rPr>
          <w:i/>
          <w:color w:val="000000"/>
        </w:rPr>
        <w:t>CLAIMANT, CLAIMANTNAME, CLAIMANTPAR, CLAIMANTGEN.</w:t>
      </w:r>
    </w:p>
    <w:p w14:paraId="0FEB0A0D" w14:textId="77777777" w:rsidR="00B04335" w:rsidRPr="00444A93" w:rsidRDefault="00B04335" w:rsidP="00FE38EF">
      <w:pPr>
        <w:pStyle w:val="Geenafstand"/>
        <w:spacing w:line="360" w:lineRule="auto"/>
        <w:jc w:val="both"/>
        <w:rPr>
          <w:i/>
          <w:color w:val="000000"/>
        </w:rPr>
      </w:pPr>
    </w:p>
    <w:p w14:paraId="0F6C3A08" w14:textId="1345D5F6" w:rsidR="00444A93" w:rsidRPr="00444A93" w:rsidRDefault="00354820" w:rsidP="00FE38EF">
      <w:pPr>
        <w:pStyle w:val="Geenafstand"/>
        <w:spacing w:line="360" w:lineRule="auto"/>
        <w:jc w:val="both"/>
        <w:rPr>
          <w:i/>
          <w:color w:val="000000"/>
        </w:rPr>
      </w:pPr>
      <w:sdt>
        <w:sdtPr>
          <w:tag w:val="goog_rdk_0"/>
          <w:id w:val="1866093343"/>
          <w:showingPlcHdr/>
        </w:sdtPr>
        <w:sdtEndPr/>
        <w:sdtContent>
          <w:r w:rsidR="000A15CA">
            <w:t xml:space="preserve">     </w:t>
          </w:r>
        </w:sdtContent>
      </w:sdt>
      <w:r w:rsidR="00444A93" w:rsidRPr="00444A93">
        <w:rPr>
          <w:i/>
          <w:color w:val="000000"/>
        </w:rPr>
        <w:t xml:space="preserve">CLAIMANT </w:t>
      </w:r>
    </w:p>
    <w:p w14:paraId="45FAFB14" w14:textId="276C6743" w:rsidR="00444A93" w:rsidRPr="00444A93" w:rsidRDefault="00444A93" w:rsidP="00FE38EF">
      <w:pPr>
        <w:pStyle w:val="Geenafstand"/>
        <w:spacing w:line="360" w:lineRule="auto"/>
        <w:jc w:val="both"/>
        <w:rPr>
          <w:color w:val="000000"/>
        </w:rPr>
      </w:pPr>
      <w:r w:rsidRPr="00444A93">
        <w:rPr>
          <w:color w:val="000000"/>
        </w:rPr>
        <w:t>Variable label: ‘</w:t>
      </w:r>
      <w:r w:rsidR="007D3E4E">
        <w:rPr>
          <w:color w:val="000000"/>
        </w:rPr>
        <w:t>descent</w:t>
      </w:r>
      <w:r w:rsidRPr="00444A93">
        <w:rPr>
          <w:color w:val="000000"/>
        </w:rPr>
        <w:t xml:space="preserve"> of Member of Parliament’</w:t>
      </w:r>
    </w:p>
    <w:p w14:paraId="487F149E" w14:textId="77777777" w:rsidR="00444A93" w:rsidRPr="00444A93" w:rsidRDefault="00444A93" w:rsidP="00FE38EF">
      <w:pPr>
        <w:pStyle w:val="Geenafstand"/>
        <w:spacing w:line="360" w:lineRule="auto"/>
        <w:jc w:val="both"/>
        <w:rPr>
          <w:color w:val="000000"/>
        </w:rPr>
      </w:pPr>
      <w:r w:rsidRPr="00444A93">
        <w:rPr>
          <w:color w:val="000000"/>
        </w:rPr>
        <w:t xml:space="preserve">Value label: </w:t>
      </w:r>
    </w:p>
    <w:p w14:paraId="4E46CFE2" w14:textId="77777777" w:rsidR="00444A93" w:rsidRPr="00444A93" w:rsidRDefault="00444A93" w:rsidP="00FE38EF">
      <w:pPr>
        <w:pStyle w:val="Geenafstand"/>
        <w:spacing w:line="360" w:lineRule="auto"/>
        <w:jc w:val="both"/>
        <w:rPr>
          <w:i/>
          <w:color w:val="000000"/>
        </w:rPr>
      </w:pPr>
      <w:r w:rsidRPr="00444A93">
        <w:rPr>
          <w:i/>
          <w:color w:val="000000"/>
        </w:rPr>
        <w:t>List MP (1)</w:t>
      </w:r>
      <w:r w:rsidRPr="00444A93">
        <w:rPr>
          <w:i/>
          <w:color w:val="000000"/>
        </w:rPr>
        <w:tab/>
      </w:r>
      <w:r w:rsidRPr="00444A93">
        <w:rPr>
          <w:i/>
          <w:color w:val="000000"/>
        </w:rPr>
        <w:tab/>
      </w:r>
      <w:r w:rsidRPr="00444A93">
        <w:rPr>
          <w:i/>
          <w:color w:val="000000"/>
        </w:rPr>
        <w:tab/>
      </w:r>
      <w:r w:rsidRPr="00444A93">
        <w:rPr>
          <w:i/>
          <w:color w:val="000000"/>
        </w:rPr>
        <w:tab/>
        <w:t>Electorate MP – general roll (2) or Māori roll (3)</w:t>
      </w:r>
    </w:p>
    <w:p w14:paraId="0DA1ECD1" w14:textId="77777777" w:rsidR="00444A93" w:rsidRPr="00444A93" w:rsidRDefault="00444A93" w:rsidP="00FE38EF">
      <w:pPr>
        <w:pStyle w:val="Geenafstand"/>
        <w:spacing w:line="360" w:lineRule="auto"/>
        <w:jc w:val="both"/>
        <w:rPr>
          <w:color w:val="000000"/>
        </w:rPr>
      </w:pPr>
      <w:r w:rsidRPr="00444A93">
        <w:rPr>
          <w:color w:val="000000"/>
        </w:rPr>
        <w:t>1 – Māori</w:t>
      </w:r>
      <w:r w:rsidRPr="00444A93">
        <w:rPr>
          <w:color w:val="000000"/>
        </w:rPr>
        <w:tab/>
      </w:r>
      <w:r w:rsidRPr="00444A93">
        <w:rPr>
          <w:color w:val="000000"/>
        </w:rPr>
        <w:tab/>
      </w:r>
      <w:r w:rsidRPr="00444A93">
        <w:rPr>
          <w:color w:val="000000"/>
        </w:rPr>
        <w:tab/>
      </w:r>
      <w:r w:rsidRPr="00444A93">
        <w:rPr>
          <w:color w:val="000000"/>
        </w:rPr>
        <w:tab/>
        <w:t>3 – general roll Māori</w:t>
      </w:r>
    </w:p>
    <w:p w14:paraId="1806CDFE" w14:textId="2FD55ED0" w:rsidR="00444A93" w:rsidRPr="00444A93" w:rsidRDefault="00444A93" w:rsidP="00FE38EF">
      <w:pPr>
        <w:pStyle w:val="Geenafstand"/>
        <w:spacing w:line="360" w:lineRule="auto"/>
        <w:jc w:val="both"/>
        <w:rPr>
          <w:color w:val="000000"/>
        </w:rPr>
      </w:pPr>
      <w:r w:rsidRPr="00444A93">
        <w:rPr>
          <w:color w:val="000000"/>
        </w:rPr>
        <w:t xml:space="preserve">2 – </w:t>
      </w:r>
      <w:r w:rsidR="007353D5">
        <w:rPr>
          <w:color w:val="000000"/>
        </w:rPr>
        <w:t>n</w:t>
      </w:r>
      <w:r w:rsidRPr="00444A93">
        <w:rPr>
          <w:color w:val="000000"/>
        </w:rPr>
        <w:t>on-Māori</w:t>
      </w:r>
      <w:r w:rsidRPr="00444A93">
        <w:rPr>
          <w:color w:val="000000"/>
        </w:rPr>
        <w:tab/>
      </w:r>
      <w:r w:rsidRPr="00444A93">
        <w:rPr>
          <w:color w:val="000000"/>
        </w:rPr>
        <w:tab/>
      </w:r>
      <w:r w:rsidRPr="00444A93">
        <w:rPr>
          <w:color w:val="000000"/>
        </w:rPr>
        <w:tab/>
      </w:r>
      <w:r w:rsidRPr="00444A93">
        <w:rPr>
          <w:color w:val="000000"/>
        </w:rPr>
        <w:tab/>
        <w:t>4 – general roll non-Māori</w:t>
      </w:r>
    </w:p>
    <w:p w14:paraId="5819485D" w14:textId="27A311A1" w:rsidR="00444A93" w:rsidRPr="00444A93" w:rsidRDefault="00444A93" w:rsidP="00FE38EF">
      <w:pPr>
        <w:pStyle w:val="Geenafstand"/>
        <w:spacing w:line="360" w:lineRule="auto"/>
        <w:jc w:val="both"/>
        <w:rPr>
          <w:color w:val="000000"/>
        </w:rPr>
      </w:pPr>
      <w:r w:rsidRPr="00444A93">
        <w:rPr>
          <w:color w:val="000000"/>
        </w:rPr>
        <w:t>5 – Māori roll</w:t>
      </w:r>
    </w:p>
    <w:p w14:paraId="5CF9EF60" w14:textId="77777777" w:rsidR="00444A93" w:rsidRPr="00444A93" w:rsidRDefault="00444A93" w:rsidP="00FE38EF">
      <w:pPr>
        <w:pStyle w:val="Geenafstand"/>
        <w:spacing w:line="360" w:lineRule="auto"/>
        <w:jc w:val="both"/>
        <w:rPr>
          <w:color w:val="000000"/>
        </w:rPr>
      </w:pPr>
    </w:p>
    <w:p w14:paraId="7B611CAC" w14:textId="77777777" w:rsidR="00444A93" w:rsidRPr="00444A93" w:rsidRDefault="00444A93" w:rsidP="00FE38EF">
      <w:pPr>
        <w:pStyle w:val="Geenafstand"/>
        <w:spacing w:line="360" w:lineRule="auto"/>
        <w:jc w:val="both"/>
        <w:rPr>
          <w:i/>
          <w:color w:val="000000"/>
        </w:rPr>
      </w:pPr>
      <w:r w:rsidRPr="00444A93">
        <w:rPr>
          <w:i/>
          <w:color w:val="000000"/>
        </w:rPr>
        <w:t>CLAIMANTPAR</w:t>
      </w:r>
    </w:p>
    <w:p w14:paraId="5795FAC7" w14:textId="77777777" w:rsidR="00444A93" w:rsidRPr="00444A93" w:rsidRDefault="00444A93" w:rsidP="00FE38EF">
      <w:pPr>
        <w:pStyle w:val="Geenafstand"/>
        <w:spacing w:line="360" w:lineRule="auto"/>
        <w:jc w:val="both"/>
        <w:rPr>
          <w:color w:val="000000"/>
        </w:rPr>
      </w:pPr>
      <w:r w:rsidRPr="00444A93">
        <w:rPr>
          <w:color w:val="000000"/>
        </w:rPr>
        <w:t>Variable label: ‘party of claimant’</w:t>
      </w:r>
    </w:p>
    <w:p w14:paraId="2FC28DB8" w14:textId="77777777" w:rsidR="00444A93" w:rsidRPr="00444A93" w:rsidRDefault="00444A93" w:rsidP="00FE38EF">
      <w:pPr>
        <w:pStyle w:val="Geenafstand"/>
        <w:spacing w:line="360" w:lineRule="auto"/>
        <w:jc w:val="both"/>
        <w:rPr>
          <w:color w:val="000000"/>
        </w:rPr>
      </w:pPr>
      <w:r w:rsidRPr="00444A93">
        <w:rPr>
          <w:color w:val="000000"/>
        </w:rPr>
        <w:t xml:space="preserve">Value label: </w:t>
      </w:r>
    </w:p>
    <w:p w14:paraId="55C3951F" w14:textId="77777777" w:rsidR="00444A93" w:rsidRPr="00444A93" w:rsidRDefault="00444A93" w:rsidP="00FE38EF">
      <w:pPr>
        <w:pStyle w:val="Geenafstand"/>
        <w:spacing w:line="360" w:lineRule="auto"/>
        <w:jc w:val="both"/>
        <w:rPr>
          <w:color w:val="000000"/>
        </w:rPr>
      </w:pPr>
      <w:r w:rsidRPr="00444A93">
        <w:rPr>
          <w:color w:val="000000"/>
        </w:rPr>
        <w:t>1 – Labour Party</w:t>
      </w:r>
    </w:p>
    <w:p w14:paraId="4B3CB8D4" w14:textId="77777777" w:rsidR="00444A93" w:rsidRPr="00444A93" w:rsidRDefault="00444A93" w:rsidP="00FE38EF">
      <w:pPr>
        <w:pStyle w:val="Geenafstand"/>
        <w:spacing w:line="360" w:lineRule="auto"/>
        <w:jc w:val="both"/>
        <w:rPr>
          <w:color w:val="000000"/>
        </w:rPr>
      </w:pPr>
      <w:r w:rsidRPr="00444A93">
        <w:rPr>
          <w:color w:val="000000"/>
        </w:rPr>
        <w:t>2 – National Party</w:t>
      </w:r>
      <w:r w:rsidRPr="00444A93">
        <w:rPr>
          <w:color w:val="000000"/>
        </w:rPr>
        <w:tab/>
      </w:r>
    </w:p>
    <w:p w14:paraId="738B6C70" w14:textId="77777777" w:rsidR="00444A93" w:rsidRPr="00444A93" w:rsidRDefault="00444A93" w:rsidP="00FE38EF">
      <w:pPr>
        <w:pStyle w:val="Geenafstand"/>
        <w:spacing w:line="360" w:lineRule="auto"/>
        <w:jc w:val="both"/>
        <w:rPr>
          <w:color w:val="000000"/>
        </w:rPr>
      </w:pPr>
      <w:r w:rsidRPr="00444A93">
        <w:rPr>
          <w:color w:val="000000"/>
        </w:rPr>
        <w:t>3 – Green Party</w:t>
      </w:r>
    </w:p>
    <w:p w14:paraId="46CBF335" w14:textId="77777777" w:rsidR="00444A93" w:rsidRPr="00444A93" w:rsidRDefault="00444A93" w:rsidP="00FE38EF">
      <w:pPr>
        <w:pStyle w:val="Geenafstand"/>
        <w:spacing w:line="360" w:lineRule="auto"/>
        <w:jc w:val="both"/>
        <w:rPr>
          <w:color w:val="000000"/>
        </w:rPr>
      </w:pPr>
      <w:r w:rsidRPr="00444A93">
        <w:rPr>
          <w:color w:val="000000"/>
        </w:rPr>
        <w:t>4 – ACT</w:t>
      </w:r>
    </w:p>
    <w:p w14:paraId="193E0F19" w14:textId="77777777" w:rsidR="00444A93" w:rsidRPr="00444A93" w:rsidRDefault="00444A93" w:rsidP="00FE38EF">
      <w:pPr>
        <w:pStyle w:val="Geenafstand"/>
        <w:spacing w:line="360" w:lineRule="auto"/>
        <w:jc w:val="both"/>
        <w:rPr>
          <w:color w:val="000000"/>
        </w:rPr>
      </w:pPr>
      <w:r w:rsidRPr="00444A93">
        <w:rPr>
          <w:color w:val="000000"/>
        </w:rPr>
        <w:lastRenderedPageBreak/>
        <w:t>5 – Māori Party</w:t>
      </w:r>
    </w:p>
    <w:p w14:paraId="7CD5F98F" w14:textId="77777777" w:rsidR="00444A93" w:rsidRPr="00444A93" w:rsidRDefault="00444A93" w:rsidP="00FE38EF">
      <w:pPr>
        <w:pStyle w:val="Geenafstand"/>
        <w:spacing w:line="360" w:lineRule="auto"/>
        <w:jc w:val="both"/>
        <w:rPr>
          <w:color w:val="000000"/>
        </w:rPr>
      </w:pPr>
      <w:r w:rsidRPr="00444A93">
        <w:rPr>
          <w:color w:val="000000"/>
        </w:rPr>
        <w:t xml:space="preserve">6 – independent </w:t>
      </w:r>
    </w:p>
    <w:p w14:paraId="37D3EE18" w14:textId="77777777" w:rsidR="00444A93" w:rsidRPr="00444A93" w:rsidRDefault="00444A93" w:rsidP="00FE38EF">
      <w:pPr>
        <w:pStyle w:val="Geenafstand"/>
        <w:spacing w:line="360" w:lineRule="auto"/>
        <w:jc w:val="both"/>
        <w:rPr>
          <w:color w:val="000000"/>
        </w:rPr>
      </w:pPr>
      <w:r w:rsidRPr="00444A93">
        <w:rPr>
          <w:color w:val="000000"/>
        </w:rPr>
        <w:t>7 – New Zealand First</w:t>
      </w:r>
    </w:p>
    <w:p w14:paraId="5861CE08" w14:textId="499DC680" w:rsidR="00444A93" w:rsidRDefault="00444A93" w:rsidP="00FE38EF">
      <w:pPr>
        <w:pStyle w:val="Geenafstand"/>
        <w:spacing w:line="360" w:lineRule="auto"/>
        <w:jc w:val="both"/>
        <w:rPr>
          <w:color w:val="000000"/>
        </w:rPr>
      </w:pPr>
      <w:r w:rsidRPr="00444A93">
        <w:rPr>
          <w:color w:val="000000"/>
        </w:rPr>
        <w:t xml:space="preserve">999 – absent </w:t>
      </w:r>
    </w:p>
    <w:p w14:paraId="44D5082C" w14:textId="77777777" w:rsidR="004F2262" w:rsidRPr="00444A93" w:rsidRDefault="004F2262" w:rsidP="00FE38EF">
      <w:pPr>
        <w:pStyle w:val="Geenafstand"/>
        <w:spacing w:line="360" w:lineRule="auto"/>
        <w:jc w:val="both"/>
        <w:rPr>
          <w:color w:val="000000"/>
        </w:rPr>
      </w:pPr>
    </w:p>
    <w:p w14:paraId="3B29F567" w14:textId="77777777" w:rsidR="00444A93" w:rsidRPr="00444A93" w:rsidRDefault="00444A93" w:rsidP="00FE38EF">
      <w:pPr>
        <w:pStyle w:val="Geenafstand"/>
        <w:spacing w:line="360" w:lineRule="auto"/>
        <w:jc w:val="both"/>
        <w:rPr>
          <w:i/>
          <w:color w:val="000000"/>
        </w:rPr>
      </w:pPr>
      <w:r w:rsidRPr="00444A93">
        <w:rPr>
          <w:i/>
          <w:color w:val="000000"/>
        </w:rPr>
        <w:t>CLAIMENTGEN</w:t>
      </w:r>
    </w:p>
    <w:p w14:paraId="53B84ADB" w14:textId="77777777" w:rsidR="00444A93" w:rsidRPr="00444A93" w:rsidRDefault="00444A93" w:rsidP="00FE38EF">
      <w:pPr>
        <w:pStyle w:val="Geenafstand"/>
        <w:spacing w:line="360" w:lineRule="auto"/>
        <w:jc w:val="both"/>
        <w:rPr>
          <w:color w:val="000000"/>
        </w:rPr>
      </w:pPr>
      <w:r w:rsidRPr="00444A93">
        <w:rPr>
          <w:color w:val="000000"/>
        </w:rPr>
        <w:t>Variable label: ‘gender of claimant’</w:t>
      </w:r>
    </w:p>
    <w:p w14:paraId="601C969D" w14:textId="77777777" w:rsidR="00444A93" w:rsidRPr="00444A93" w:rsidRDefault="00444A93" w:rsidP="00FE38EF">
      <w:pPr>
        <w:pStyle w:val="Geenafstand"/>
        <w:spacing w:line="360" w:lineRule="auto"/>
        <w:jc w:val="both"/>
        <w:rPr>
          <w:color w:val="000000"/>
        </w:rPr>
      </w:pPr>
      <w:r w:rsidRPr="00444A93">
        <w:rPr>
          <w:color w:val="000000"/>
        </w:rPr>
        <w:t xml:space="preserve">Value label: </w:t>
      </w:r>
    </w:p>
    <w:p w14:paraId="43CAE3D2" w14:textId="77777777" w:rsidR="00444A93" w:rsidRPr="00444A93" w:rsidRDefault="00444A93" w:rsidP="00FE38EF">
      <w:pPr>
        <w:pStyle w:val="Geenafstand"/>
        <w:spacing w:line="360" w:lineRule="auto"/>
        <w:jc w:val="both"/>
        <w:rPr>
          <w:color w:val="000000"/>
        </w:rPr>
      </w:pPr>
      <w:r w:rsidRPr="00444A93">
        <w:rPr>
          <w:color w:val="000000"/>
        </w:rPr>
        <w:t xml:space="preserve">0 </w:t>
      </w:r>
      <w:bookmarkStart w:id="300" w:name="_Hlk71800730"/>
      <w:r w:rsidRPr="00444A93">
        <w:rPr>
          <w:color w:val="000000"/>
        </w:rPr>
        <w:t xml:space="preserve">– </w:t>
      </w:r>
      <w:bookmarkEnd w:id="300"/>
      <w:r w:rsidRPr="00444A93">
        <w:rPr>
          <w:color w:val="000000"/>
        </w:rPr>
        <w:t>men</w:t>
      </w:r>
    </w:p>
    <w:p w14:paraId="5992C083" w14:textId="77777777" w:rsidR="00444A93" w:rsidRPr="00444A93" w:rsidRDefault="00444A93" w:rsidP="00FE38EF">
      <w:pPr>
        <w:pStyle w:val="Geenafstand"/>
        <w:spacing w:line="360" w:lineRule="auto"/>
        <w:jc w:val="both"/>
        <w:rPr>
          <w:color w:val="000000"/>
        </w:rPr>
      </w:pPr>
      <w:r w:rsidRPr="00444A93">
        <w:rPr>
          <w:color w:val="000000"/>
        </w:rPr>
        <w:t>1 – women</w:t>
      </w:r>
    </w:p>
    <w:p w14:paraId="6DF03788" w14:textId="77777777" w:rsidR="00444A93" w:rsidRPr="00444A93" w:rsidRDefault="00444A93" w:rsidP="00FE38EF">
      <w:pPr>
        <w:pStyle w:val="Geenafstand"/>
        <w:spacing w:line="360" w:lineRule="auto"/>
        <w:jc w:val="both"/>
        <w:rPr>
          <w:color w:val="000000"/>
        </w:rPr>
      </w:pPr>
      <w:r w:rsidRPr="00444A93">
        <w:rPr>
          <w:color w:val="000000"/>
        </w:rPr>
        <w:t>999 – no information/ not specified</w:t>
      </w:r>
    </w:p>
    <w:p w14:paraId="338F435C" w14:textId="77777777" w:rsidR="00444A93" w:rsidRPr="00444A93" w:rsidRDefault="00444A93" w:rsidP="00FE38EF">
      <w:pPr>
        <w:pStyle w:val="Geenafstand"/>
        <w:spacing w:line="360" w:lineRule="auto"/>
        <w:jc w:val="both"/>
        <w:rPr>
          <w:color w:val="000000"/>
        </w:rPr>
      </w:pPr>
    </w:p>
    <w:p w14:paraId="1A17EA14" w14:textId="77777777" w:rsidR="00444A93" w:rsidRPr="004F2262" w:rsidRDefault="00444A93" w:rsidP="00FE38EF">
      <w:pPr>
        <w:pStyle w:val="Geenafstand"/>
        <w:spacing w:line="360" w:lineRule="auto"/>
        <w:jc w:val="both"/>
        <w:rPr>
          <w:rFonts w:ascii="Times New Roman" w:eastAsia="Times New Roman" w:hAnsi="Times New Roman" w:cs="Times New Roman"/>
          <w:i/>
          <w:iCs/>
        </w:rPr>
      </w:pPr>
      <w:bookmarkStart w:id="301" w:name="_Toc73969258"/>
      <w:bookmarkStart w:id="302" w:name="_Toc74583861"/>
      <w:r w:rsidRPr="004F2262">
        <w:rPr>
          <w:i/>
          <w:iCs/>
        </w:rPr>
        <w:t>Issue</w:t>
      </w:r>
      <w:bookmarkEnd w:id="301"/>
      <w:bookmarkEnd w:id="302"/>
    </w:p>
    <w:p w14:paraId="01FF2A1A" w14:textId="4A2217C2" w:rsidR="00444A93" w:rsidRPr="00444A93" w:rsidRDefault="00444A93" w:rsidP="004F2262">
      <w:pPr>
        <w:pStyle w:val="Geenafstand"/>
        <w:spacing w:line="360" w:lineRule="auto"/>
        <w:ind w:firstLine="708"/>
        <w:jc w:val="both"/>
        <w:rPr>
          <w:color w:val="000000"/>
        </w:rPr>
      </w:pPr>
      <w:r w:rsidRPr="00444A93">
        <w:rPr>
          <w:color w:val="000000"/>
        </w:rPr>
        <w:t xml:space="preserve">The issue is a core part of the claim. The issue captures the main content of the claim. The variable is named </w:t>
      </w:r>
      <w:r w:rsidRPr="00444A93">
        <w:rPr>
          <w:i/>
          <w:color w:val="000000"/>
        </w:rPr>
        <w:t xml:space="preserve">ISSUE. </w:t>
      </w:r>
      <w:r w:rsidRPr="00444A93">
        <w:rPr>
          <w:color w:val="000000"/>
        </w:rPr>
        <w:t xml:space="preserve">If there are multiple issues addressed in one claim the most important issue will be coded. Most issues speak for themselves, but </w:t>
      </w:r>
      <w:r w:rsidR="002A4F26">
        <w:rPr>
          <w:color w:val="000000"/>
        </w:rPr>
        <w:t>the issue ‘</w:t>
      </w:r>
      <w:r w:rsidRPr="00444A93">
        <w:rPr>
          <w:color w:val="000000"/>
        </w:rPr>
        <w:t>Treaty of Waitangi/ Crown-Māori relation</w:t>
      </w:r>
      <w:r w:rsidR="002A4F26">
        <w:rPr>
          <w:color w:val="000000"/>
        </w:rPr>
        <w:t>’</w:t>
      </w:r>
      <w:r w:rsidRPr="00444A93">
        <w:rPr>
          <w:color w:val="000000"/>
        </w:rPr>
        <w:t xml:space="preserve"> requires some further explanation. Not only claims that explicitly mention the Treaty or the relation of Māori with the Crown are coded here, but also claims consisting of stolen land and government waste or mismanagement, because these are closely related to the Treaty and the Māori-Crown relation. </w:t>
      </w:r>
    </w:p>
    <w:p w14:paraId="2EF764D0" w14:textId="77777777" w:rsidR="00BB2AF8" w:rsidRDefault="00BB2AF8" w:rsidP="00FE38EF">
      <w:pPr>
        <w:pStyle w:val="Geenafstand"/>
        <w:spacing w:line="360" w:lineRule="auto"/>
        <w:jc w:val="both"/>
        <w:rPr>
          <w:i/>
          <w:color w:val="000000"/>
        </w:rPr>
      </w:pPr>
    </w:p>
    <w:p w14:paraId="34FECB1D" w14:textId="7BD17EB8" w:rsidR="00444A93" w:rsidRPr="00444A93" w:rsidRDefault="00444A93" w:rsidP="00FE38EF">
      <w:pPr>
        <w:pStyle w:val="Geenafstand"/>
        <w:spacing w:line="360" w:lineRule="auto"/>
        <w:jc w:val="both"/>
        <w:rPr>
          <w:i/>
          <w:color w:val="000000"/>
        </w:rPr>
      </w:pPr>
      <w:r w:rsidRPr="00444A93">
        <w:rPr>
          <w:i/>
          <w:color w:val="000000"/>
        </w:rPr>
        <w:t>ISSUE</w:t>
      </w:r>
    </w:p>
    <w:p w14:paraId="2DC2DCB3" w14:textId="77777777" w:rsidR="00444A93" w:rsidRPr="00444A93" w:rsidRDefault="00444A93" w:rsidP="00FE38EF">
      <w:pPr>
        <w:pStyle w:val="Geenafstand"/>
        <w:spacing w:line="360" w:lineRule="auto"/>
        <w:jc w:val="both"/>
        <w:rPr>
          <w:color w:val="000000"/>
        </w:rPr>
      </w:pPr>
      <w:r w:rsidRPr="00444A93">
        <w:rPr>
          <w:color w:val="000000"/>
        </w:rPr>
        <w:t>Variable label: ‘main issue of the claim’</w:t>
      </w:r>
    </w:p>
    <w:p w14:paraId="27997C3F" w14:textId="77777777" w:rsidR="00444A93" w:rsidRDefault="00444A93" w:rsidP="00FE38EF">
      <w:pPr>
        <w:pStyle w:val="Geenafstand"/>
        <w:spacing w:line="360" w:lineRule="auto"/>
        <w:jc w:val="both"/>
      </w:pPr>
      <w:r>
        <w:t xml:space="preserve">Value label: </w:t>
      </w:r>
    </w:p>
    <w:p w14:paraId="46403FB9" w14:textId="77777777" w:rsidR="00444A93" w:rsidRDefault="00444A93" w:rsidP="00FE38EF">
      <w:pPr>
        <w:pStyle w:val="Geenafstand"/>
        <w:spacing w:line="360" w:lineRule="auto"/>
        <w:jc w:val="both"/>
        <w:rPr>
          <w:rFonts w:ascii="Times New Roman" w:eastAsia="Times New Roman" w:hAnsi="Times New Roman" w:cs="Times New Roman"/>
          <w:sz w:val="24"/>
          <w:szCs w:val="24"/>
        </w:rPr>
      </w:pPr>
      <w:r>
        <w:rPr>
          <w:color w:val="000000"/>
        </w:rPr>
        <w:t>Universal issues (1)</w:t>
      </w:r>
    </w:p>
    <w:p w14:paraId="29D976F2" w14:textId="29436B81" w:rsidR="00444A93" w:rsidRPr="00241E1D" w:rsidRDefault="00444A93" w:rsidP="004F2262">
      <w:pPr>
        <w:pStyle w:val="Geenafstand"/>
        <w:numPr>
          <w:ilvl w:val="0"/>
          <w:numId w:val="11"/>
        </w:numPr>
        <w:spacing w:line="360" w:lineRule="auto"/>
        <w:jc w:val="both"/>
        <w:rPr>
          <w:color w:val="000000"/>
        </w:rPr>
      </w:pPr>
      <w:r w:rsidRPr="00241E1D">
        <w:rPr>
          <w:color w:val="000000"/>
        </w:rPr>
        <w:t xml:space="preserve">Social policy  </w:t>
      </w:r>
    </w:p>
    <w:p w14:paraId="16B4FA7B" w14:textId="55AE03A5" w:rsidR="00444A93" w:rsidRPr="00241E1D" w:rsidRDefault="00444A93" w:rsidP="004F2262">
      <w:pPr>
        <w:pStyle w:val="Geenafstand"/>
        <w:numPr>
          <w:ilvl w:val="0"/>
          <w:numId w:val="11"/>
        </w:numPr>
        <w:spacing w:line="360" w:lineRule="auto"/>
        <w:jc w:val="both"/>
        <w:rPr>
          <w:color w:val="000000"/>
        </w:rPr>
      </w:pPr>
      <w:r w:rsidRPr="00241E1D">
        <w:rPr>
          <w:color w:val="000000"/>
        </w:rPr>
        <w:t>Health </w:t>
      </w:r>
    </w:p>
    <w:p w14:paraId="37FA0EFC" w14:textId="0FCEBDD1" w:rsidR="00444A93" w:rsidRPr="00241E1D" w:rsidRDefault="00444A93" w:rsidP="004F2262">
      <w:pPr>
        <w:pStyle w:val="Geenafstand"/>
        <w:numPr>
          <w:ilvl w:val="0"/>
          <w:numId w:val="11"/>
        </w:numPr>
        <w:spacing w:line="360" w:lineRule="auto"/>
        <w:jc w:val="both"/>
        <w:rPr>
          <w:color w:val="000000"/>
        </w:rPr>
      </w:pPr>
      <w:r w:rsidRPr="00241E1D">
        <w:rPr>
          <w:color w:val="000000"/>
        </w:rPr>
        <w:t xml:space="preserve">Education, art and language </w:t>
      </w:r>
    </w:p>
    <w:p w14:paraId="0F1DAC45" w14:textId="0954AB7C" w:rsidR="00444A93" w:rsidRPr="00241E1D" w:rsidRDefault="00444A93" w:rsidP="004F2262">
      <w:pPr>
        <w:pStyle w:val="Geenafstand"/>
        <w:numPr>
          <w:ilvl w:val="0"/>
          <w:numId w:val="11"/>
        </w:numPr>
        <w:spacing w:line="360" w:lineRule="auto"/>
        <w:jc w:val="both"/>
        <w:rPr>
          <w:color w:val="000000"/>
        </w:rPr>
      </w:pPr>
      <w:r w:rsidRPr="00241E1D">
        <w:rPr>
          <w:color w:val="000000"/>
        </w:rPr>
        <w:t>Energy, resources and the environment</w:t>
      </w:r>
    </w:p>
    <w:p w14:paraId="00669AED" w14:textId="10435C23" w:rsidR="00444A93" w:rsidRPr="00241E1D" w:rsidRDefault="00444A93" w:rsidP="004F2262">
      <w:pPr>
        <w:pStyle w:val="Geenafstand"/>
        <w:numPr>
          <w:ilvl w:val="0"/>
          <w:numId w:val="11"/>
        </w:numPr>
        <w:spacing w:line="360" w:lineRule="auto"/>
        <w:jc w:val="both"/>
        <w:rPr>
          <w:color w:val="000000"/>
        </w:rPr>
      </w:pPr>
      <w:r w:rsidRPr="00241E1D">
        <w:rPr>
          <w:color w:val="000000"/>
        </w:rPr>
        <w:t>Crime</w:t>
      </w:r>
    </w:p>
    <w:p w14:paraId="7B5230FD" w14:textId="03326503" w:rsidR="00444A93" w:rsidRPr="00241E1D" w:rsidRDefault="00444A93" w:rsidP="004F2262">
      <w:pPr>
        <w:pStyle w:val="Geenafstand"/>
        <w:numPr>
          <w:ilvl w:val="0"/>
          <w:numId w:val="11"/>
        </w:numPr>
        <w:spacing w:line="360" w:lineRule="auto"/>
        <w:jc w:val="both"/>
        <w:rPr>
          <w:color w:val="000000"/>
        </w:rPr>
      </w:pPr>
      <w:r w:rsidRPr="00241E1D">
        <w:rPr>
          <w:color w:val="000000"/>
        </w:rPr>
        <w:t>Trade and economy</w:t>
      </w:r>
    </w:p>
    <w:p w14:paraId="1B2E5146" w14:textId="3F59E3B4" w:rsidR="00444A93" w:rsidRPr="00241E1D" w:rsidRDefault="00444A93" w:rsidP="004F2262">
      <w:pPr>
        <w:pStyle w:val="Geenafstand"/>
        <w:numPr>
          <w:ilvl w:val="0"/>
          <w:numId w:val="11"/>
        </w:numPr>
        <w:spacing w:line="360" w:lineRule="auto"/>
        <w:jc w:val="both"/>
        <w:rPr>
          <w:color w:val="000000"/>
        </w:rPr>
      </w:pPr>
      <w:r w:rsidRPr="00241E1D">
        <w:rPr>
          <w:color w:val="000000"/>
        </w:rPr>
        <w:t>Housing</w:t>
      </w:r>
    </w:p>
    <w:p w14:paraId="5AF0B9ED" w14:textId="77777777" w:rsidR="00444A93" w:rsidRPr="003770B5" w:rsidRDefault="00444A93" w:rsidP="00FE38EF">
      <w:pPr>
        <w:pStyle w:val="Geenafstand"/>
        <w:spacing w:line="360" w:lineRule="auto"/>
        <w:jc w:val="both"/>
        <w:rPr>
          <w:rFonts w:ascii="Times New Roman" w:eastAsia="Times New Roman" w:hAnsi="Times New Roman" w:cs="Times New Roman"/>
          <w:sz w:val="24"/>
          <w:szCs w:val="24"/>
        </w:rPr>
      </w:pPr>
      <w:r w:rsidRPr="003770B5">
        <w:rPr>
          <w:color w:val="000000"/>
        </w:rPr>
        <w:t>Indigenous-specific issues (2)</w:t>
      </w:r>
    </w:p>
    <w:p w14:paraId="6019AE95" w14:textId="6FAB3F52" w:rsidR="00444A93" w:rsidRPr="003770B5" w:rsidRDefault="00444A93" w:rsidP="004F2262">
      <w:pPr>
        <w:pStyle w:val="Geenafstand"/>
        <w:numPr>
          <w:ilvl w:val="0"/>
          <w:numId w:val="11"/>
        </w:numPr>
        <w:spacing w:line="360" w:lineRule="auto"/>
        <w:jc w:val="both"/>
        <w:rPr>
          <w:color w:val="000000"/>
        </w:rPr>
      </w:pPr>
      <w:r w:rsidRPr="003770B5">
        <w:rPr>
          <w:color w:val="000000"/>
        </w:rPr>
        <w:t>Māori rights</w:t>
      </w:r>
    </w:p>
    <w:p w14:paraId="544B8323" w14:textId="17A91325" w:rsidR="00444A93" w:rsidRPr="003770B5" w:rsidRDefault="00444A93" w:rsidP="004F2262">
      <w:pPr>
        <w:pStyle w:val="Geenafstand"/>
        <w:numPr>
          <w:ilvl w:val="0"/>
          <w:numId w:val="11"/>
        </w:numPr>
        <w:spacing w:line="360" w:lineRule="auto"/>
        <w:jc w:val="both"/>
        <w:rPr>
          <w:color w:val="000000"/>
        </w:rPr>
      </w:pPr>
      <w:r w:rsidRPr="003770B5">
        <w:rPr>
          <w:color w:val="000000"/>
        </w:rPr>
        <w:t>Treaty of Waitangi/ Crown-Māori relation</w:t>
      </w:r>
    </w:p>
    <w:p w14:paraId="6FF2BCF7" w14:textId="4C502AB6" w:rsidR="00444A93" w:rsidRPr="003770B5" w:rsidRDefault="00444A93" w:rsidP="004F2262">
      <w:pPr>
        <w:pStyle w:val="Geenafstand"/>
        <w:numPr>
          <w:ilvl w:val="0"/>
          <w:numId w:val="11"/>
        </w:numPr>
        <w:spacing w:line="360" w:lineRule="auto"/>
        <w:jc w:val="both"/>
        <w:rPr>
          <w:color w:val="000000"/>
        </w:rPr>
      </w:pPr>
      <w:r w:rsidRPr="003770B5">
        <w:rPr>
          <w:color w:val="000000"/>
        </w:rPr>
        <w:lastRenderedPageBreak/>
        <w:t>Governance, autonomy and self-determination</w:t>
      </w:r>
    </w:p>
    <w:p w14:paraId="4E48351C" w14:textId="3A8371C4" w:rsidR="00444A93" w:rsidRPr="003770B5" w:rsidRDefault="00444A93" w:rsidP="004F2262">
      <w:pPr>
        <w:pStyle w:val="Geenafstand"/>
        <w:numPr>
          <w:ilvl w:val="0"/>
          <w:numId w:val="11"/>
        </w:numPr>
        <w:spacing w:line="360" w:lineRule="auto"/>
        <w:jc w:val="both"/>
        <w:rPr>
          <w:color w:val="000000"/>
        </w:rPr>
      </w:pPr>
      <w:r w:rsidRPr="003770B5">
        <w:rPr>
          <w:color w:val="000000"/>
        </w:rPr>
        <w:t>Land, wildlife and fisheries</w:t>
      </w:r>
    </w:p>
    <w:p w14:paraId="432A43DF" w14:textId="77777777" w:rsidR="00444A93" w:rsidRPr="003770B5" w:rsidRDefault="00444A93" w:rsidP="00FE38EF">
      <w:pPr>
        <w:pStyle w:val="Geenafstand"/>
        <w:spacing w:line="360" w:lineRule="auto"/>
        <w:jc w:val="both"/>
      </w:pPr>
    </w:p>
    <w:p w14:paraId="477A8D8A" w14:textId="77777777" w:rsidR="00444A93" w:rsidRPr="00E06EAC" w:rsidRDefault="00444A93" w:rsidP="00FE38EF">
      <w:pPr>
        <w:pStyle w:val="Geenafstand"/>
        <w:spacing w:line="360" w:lineRule="auto"/>
        <w:jc w:val="both"/>
        <w:rPr>
          <w:rFonts w:ascii="Times New Roman" w:eastAsia="Times New Roman" w:hAnsi="Times New Roman" w:cs="Times New Roman"/>
          <w:i/>
          <w:iCs/>
        </w:rPr>
      </w:pPr>
      <w:bookmarkStart w:id="303" w:name="_heading=h.xd7p4xch5ui6" w:colFirst="0" w:colLast="0"/>
      <w:bookmarkStart w:id="304" w:name="_Toc73969259"/>
      <w:bookmarkStart w:id="305" w:name="_Toc74583862"/>
      <w:bookmarkEnd w:id="303"/>
      <w:r w:rsidRPr="00E06EAC">
        <w:rPr>
          <w:i/>
          <w:iCs/>
        </w:rPr>
        <w:t>Addressee</w:t>
      </w:r>
      <w:bookmarkEnd w:id="304"/>
      <w:bookmarkEnd w:id="305"/>
      <w:r w:rsidRPr="00E06EAC">
        <w:rPr>
          <w:i/>
          <w:iCs/>
        </w:rPr>
        <w:t> </w:t>
      </w:r>
    </w:p>
    <w:p w14:paraId="71D7822F" w14:textId="6F699107" w:rsidR="00E06EAC" w:rsidRDefault="00444A93" w:rsidP="00FE38EF">
      <w:pPr>
        <w:pStyle w:val="Geenafstand"/>
        <w:spacing w:line="360" w:lineRule="auto"/>
        <w:jc w:val="both"/>
      </w:pPr>
      <w:r w:rsidRPr="00444A93">
        <w:rPr>
          <w:color w:val="000000"/>
        </w:rPr>
        <w:tab/>
        <w:t xml:space="preserve">The addressee shows the group or individual at who the claim is directed. This should answer the question: “WHO should take action?”. The claim should address some person or a group of persons to </w:t>
      </w:r>
      <w:r w:rsidR="00621058" w:rsidRPr="00444A93">
        <w:rPr>
          <w:color w:val="000000"/>
        </w:rPr>
        <w:t>act</w:t>
      </w:r>
      <w:r w:rsidRPr="00444A93">
        <w:rPr>
          <w:color w:val="000000"/>
        </w:rPr>
        <w:t>. An action could for instance be requiring answers from a</w:t>
      </w:r>
      <w:r w:rsidR="008E2648">
        <w:rPr>
          <w:color w:val="000000"/>
        </w:rPr>
        <w:t>n</w:t>
      </w:r>
      <w:r w:rsidRPr="00444A93">
        <w:rPr>
          <w:color w:val="000000"/>
        </w:rPr>
        <w:t xml:space="preserve"> MP, asking the government to </w:t>
      </w:r>
      <w:r w:rsidR="00621058" w:rsidRPr="00444A93">
        <w:rPr>
          <w:color w:val="000000"/>
        </w:rPr>
        <w:t>act</w:t>
      </w:r>
      <w:r w:rsidRPr="00444A93">
        <w:rPr>
          <w:color w:val="000000"/>
        </w:rPr>
        <w:t xml:space="preserve"> on a certain matter or offer a bill to Parliament. The variable is named </w:t>
      </w:r>
      <w:r w:rsidRPr="00444A93">
        <w:rPr>
          <w:i/>
          <w:color w:val="000000"/>
        </w:rPr>
        <w:t xml:space="preserve">ADDRES. </w:t>
      </w:r>
      <w:r w:rsidRPr="00444A93">
        <w:rPr>
          <w:color w:val="000000"/>
        </w:rPr>
        <w:t xml:space="preserve">When there is an addressee in addition to a claimant, an </w:t>
      </w:r>
      <w:r w:rsidR="003430A4" w:rsidRPr="00444A93">
        <w:rPr>
          <w:color w:val="000000"/>
        </w:rPr>
        <w:t>issue,</w:t>
      </w:r>
      <w:r w:rsidRPr="00444A93">
        <w:rPr>
          <w:color w:val="000000"/>
        </w:rPr>
        <w:t xml:space="preserve"> and an object, we speak of a substantive claim, because someone is urged to take action.</w:t>
      </w:r>
      <w:r w:rsidRPr="00444A93">
        <w:t xml:space="preserve"> The action is what distinguishes a symbolic from a substantive claim (Severs, 2012). There are a lot of committees created to execute the work of the government. Therefore</w:t>
      </w:r>
      <w:r w:rsidR="007353D5">
        <w:t>,</w:t>
      </w:r>
      <w:r w:rsidRPr="00444A93">
        <w:t xml:space="preserve"> they are coded under the category ‘government’. </w:t>
      </w:r>
      <w:r w:rsidR="007353D5" w:rsidRPr="00444A93">
        <w:t>Except for</w:t>
      </w:r>
      <w:r w:rsidRPr="00444A93">
        <w:t xml:space="preserve"> the M</w:t>
      </w:r>
      <w:r w:rsidRPr="00444A93">
        <w:rPr>
          <w:color w:val="000000"/>
        </w:rPr>
        <w:t xml:space="preserve">āori Affairs Committee; this is coded separately, because it relates directly to </w:t>
      </w:r>
      <w:r w:rsidRPr="00444A93">
        <w:t>M</w:t>
      </w:r>
      <w:r w:rsidRPr="00444A93">
        <w:rPr>
          <w:color w:val="000000"/>
        </w:rPr>
        <w:t xml:space="preserve">āori policy. </w:t>
      </w:r>
    </w:p>
    <w:p w14:paraId="3FEDAA4F" w14:textId="77777777" w:rsidR="00063E95" w:rsidRPr="00063E95" w:rsidRDefault="00063E95" w:rsidP="00FE38EF">
      <w:pPr>
        <w:pStyle w:val="Geenafstand"/>
        <w:spacing w:line="360" w:lineRule="auto"/>
        <w:jc w:val="both"/>
      </w:pPr>
    </w:p>
    <w:p w14:paraId="3D45DBEC" w14:textId="39D66B19" w:rsidR="00444A93" w:rsidRPr="00444A93" w:rsidRDefault="00444A93" w:rsidP="00FE38EF">
      <w:pPr>
        <w:pStyle w:val="Geenafstand"/>
        <w:spacing w:line="360" w:lineRule="auto"/>
        <w:jc w:val="both"/>
        <w:rPr>
          <w:i/>
          <w:color w:val="000000"/>
        </w:rPr>
      </w:pPr>
      <w:r w:rsidRPr="00444A93">
        <w:rPr>
          <w:i/>
          <w:color w:val="000000"/>
        </w:rPr>
        <w:t>ADDRES</w:t>
      </w:r>
    </w:p>
    <w:p w14:paraId="3C12C021" w14:textId="77777777" w:rsidR="00444A93" w:rsidRPr="00444A93" w:rsidRDefault="00444A93" w:rsidP="00FE38EF">
      <w:pPr>
        <w:pStyle w:val="Geenafstand"/>
        <w:spacing w:line="360" w:lineRule="auto"/>
        <w:jc w:val="both"/>
        <w:rPr>
          <w:color w:val="000000"/>
        </w:rPr>
      </w:pPr>
      <w:r w:rsidRPr="00444A93">
        <w:rPr>
          <w:color w:val="000000"/>
        </w:rPr>
        <w:t xml:space="preserve">Variable label: ‘addressee’  </w:t>
      </w:r>
    </w:p>
    <w:p w14:paraId="36619232" w14:textId="77777777" w:rsidR="00444A93" w:rsidRPr="00444A93" w:rsidRDefault="00444A93" w:rsidP="00FE38EF">
      <w:pPr>
        <w:pStyle w:val="Geenafstand"/>
        <w:spacing w:line="360" w:lineRule="auto"/>
        <w:jc w:val="both"/>
        <w:rPr>
          <w:color w:val="000000"/>
        </w:rPr>
      </w:pPr>
      <w:r w:rsidRPr="00444A93">
        <w:rPr>
          <w:color w:val="000000"/>
        </w:rPr>
        <w:t>Value label:</w:t>
      </w:r>
    </w:p>
    <w:p w14:paraId="58326AB2" w14:textId="77777777" w:rsidR="00444A93" w:rsidRPr="00444A93" w:rsidRDefault="00444A93" w:rsidP="00FE38EF">
      <w:pPr>
        <w:pStyle w:val="Geenafstand"/>
        <w:spacing w:line="360" w:lineRule="auto"/>
        <w:jc w:val="both"/>
        <w:rPr>
          <w:color w:val="000000"/>
        </w:rPr>
      </w:pPr>
      <w:r w:rsidRPr="00444A93">
        <w:rPr>
          <w:color w:val="000000"/>
        </w:rPr>
        <w:t>1 – MP him/herself</w:t>
      </w:r>
    </w:p>
    <w:p w14:paraId="21340309" w14:textId="77777777" w:rsidR="00444A93" w:rsidRPr="00444A93" w:rsidRDefault="00444A93" w:rsidP="00FE38EF">
      <w:pPr>
        <w:pStyle w:val="Geenafstand"/>
        <w:spacing w:line="360" w:lineRule="auto"/>
        <w:jc w:val="both"/>
        <w:rPr>
          <w:color w:val="000000"/>
        </w:rPr>
      </w:pPr>
      <w:r w:rsidRPr="00444A93">
        <w:rPr>
          <w:color w:val="000000"/>
        </w:rPr>
        <w:t>2 – other MP(‘s)/parliament</w:t>
      </w:r>
    </w:p>
    <w:p w14:paraId="636537F9" w14:textId="77777777" w:rsidR="00444A93" w:rsidRPr="00444A93" w:rsidRDefault="00444A93" w:rsidP="00FE38EF">
      <w:pPr>
        <w:pStyle w:val="Geenafstand"/>
        <w:spacing w:line="360" w:lineRule="auto"/>
        <w:jc w:val="both"/>
        <w:rPr>
          <w:color w:val="000000"/>
        </w:rPr>
      </w:pPr>
      <w:r w:rsidRPr="00444A93">
        <w:rPr>
          <w:color w:val="000000"/>
        </w:rPr>
        <w:t>3 – other Māori MP(‘s)</w:t>
      </w:r>
    </w:p>
    <w:p w14:paraId="3D214524" w14:textId="792E0698" w:rsidR="00444A93" w:rsidRPr="00444A93" w:rsidRDefault="00444A93" w:rsidP="00FE38EF">
      <w:pPr>
        <w:pStyle w:val="Geenafstand"/>
        <w:spacing w:line="360" w:lineRule="auto"/>
        <w:jc w:val="both"/>
        <w:rPr>
          <w:color w:val="000000"/>
        </w:rPr>
      </w:pPr>
      <w:r w:rsidRPr="00444A93">
        <w:rPr>
          <w:color w:val="000000"/>
        </w:rPr>
        <w:t>4 – local actors</w:t>
      </w:r>
    </w:p>
    <w:p w14:paraId="40664F51" w14:textId="75BFF950" w:rsidR="00444A93" w:rsidRPr="00444A93" w:rsidRDefault="00444A93" w:rsidP="00FE38EF">
      <w:pPr>
        <w:pStyle w:val="Geenafstand"/>
        <w:spacing w:line="360" w:lineRule="auto"/>
        <w:jc w:val="both"/>
        <w:rPr>
          <w:color w:val="000000"/>
        </w:rPr>
      </w:pPr>
      <w:r w:rsidRPr="00444A93">
        <w:rPr>
          <w:color w:val="000000"/>
        </w:rPr>
        <w:t>5 – government</w:t>
      </w:r>
    </w:p>
    <w:p w14:paraId="2FFDBD14" w14:textId="60CC7B41" w:rsidR="00444A93" w:rsidRPr="00444A93" w:rsidRDefault="00444A93" w:rsidP="00FE38EF">
      <w:pPr>
        <w:pStyle w:val="Geenafstand"/>
        <w:spacing w:line="360" w:lineRule="auto"/>
        <w:jc w:val="both"/>
        <w:rPr>
          <w:color w:val="000000"/>
        </w:rPr>
      </w:pPr>
      <w:r w:rsidRPr="00444A93">
        <w:rPr>
          <w:color w:val="000000"/>
        </w:rPr>
        <w:t>6 – international actors</w:t>
      </w:r>
    </w:p>
    <w:p w14:paraId="344B7C43" w14:textId="1FA15CEF" w:rsidR="00444A93" w:rsidRPr="00444A93" w:rsidRDefault="00444A93" w:rsidP="00FE38EF">
      <w:pPr>
        <w:pStyle w:val="Geenafstand"/>
        <w:spacing w:line="360" w:lineRule="auto"/>
        <w:jc w:val="both"/>
        <w:rPr>
          <w:color w:val="000000"/>
        </w:rPr>
      </w:pPr>
      <w:r w:rsidRPr="00444A93">
        <w:rPr>
          <w:color w:val="000000"/>
        </w:rPr>
        <w:t xml:space="preserve">7 – Māori Affairs Committee </w:t>
      </w:r>
    </w:p>
    <w:p w14:paraId="4EEAE191" w14:textId="0C76FB05" w:rsidR="00444A93" w:rsidRPr="00444A93" w:rsidRDefault="00444A93" w:rsidP="00FE38EF">
      <w:pPr>
        <w:pStyle w:val="Geenafstand"/>
        <w:spacing w:line="360" w:lineRule="auto"/>
        <w:jc w:val="both"/>
      </w:pPr>
      <w:r w:rsidRPr="00444A93">
        <w:t>8 - Māori citizens</w:t>
      </w:r>
    </w:p>
    <w:p w14:paraId="23DC5F9A" w14:textId="4B889927" w:rsidR="00444A93" w:rsidRPr="00444A93" w:rsidRDefault="00444A93" w:rsidP="00FE38EF">
      <w:pPr>
        <w:pStyle w:val="Geenafstand"/>
        <w:spacing w:line="360" w:lineRule="auto"/>
        <w:jc w:val="both"/>
        <w:rPr>
          <w:color w:val="000000"/>
        </w:rPr>
      </w:pPr>
      <w:r w:rsidRPr="00444A93">
        <w:rPr>
          <w:color w:val="000000"/>
        </w:rPr>
        <w:t>999 – absent</w:t>
      </w:r>
    </w:p>
    <w:p w14:paraId="584C6E4F" w14:textId="77777777" w:rsidR="00444A93" w:rsidRPr="00444A93" w:rsidRDefault="00444A93" w:rsidP="00FE38EF">
      <w:pPr>
        <w:pStyle w:val="Geenafstand"/>
        <w:spacing w:line="360" w:lineRule="auto"/>
        <w:jc w:val="both"/>
        <w:rPr>
          <w:color w:val="000000"/>
        </w:rPr>
      </w:pPr>
    </w:p>
    <w:p w14:paraId="0730C4F7" w14:textId="77777777" w:rsidR="00444A93" w:rsidRPr="00E06EAC" w:rsidRDefault="00444A93" w:rsidP="00FE38EF">
      <w:pPr>
        <w:pStyle w:val="Geenafstand"/>
        <w:spacing w:line="360" w:lineRule="auto"/>
        <w:jc w:val="both"/>
        <w:rPr>
          <w:i/>
          <w:iCs/>
        </w:rPr>
      </w:pPr>
      <w:bookmarkStart w:id="306" w:name="_Toc73969260"/>
      <w:bookmarkStart w:id="307" w:name="_Toc74583863"/>
      <w:r w:rsidRPr="00E06EAC">
        <w:rPr>
          <w:i/>
          <w:iCs/>
        </w:rPr>
        <w:t>Evaluation</w:t>
      </w:r>
      <w:bookmarkEnd w:id="306"/>
      <w:bookmarkEnd w:id="307"/>
    </w:p>
    <w:p w14:paraId="7500D94C" w14:textId="10532B7D" w:rsidR="00444A93" w:rsidRPr="00444A93" w:rsidRDefault="00444A93" w:rsidP="00E06EAC">
      <w:pPr>
        <w:pStyle w:val="Geenafstand"/>
        <w:spacing w:line="360" w:lineRule="auto"/>
        <w:ind w:firstLine="708"/>
        <w:jc w:val="both"/>
        <w:rPr>
          <w:color w:val="000000"/>
        </w:rPr>
      </w:pPr>
      <w:r w:rsidRPr="00444A93">
        <w:rPr>
          <w:color w:val="000000"/>
        </w:rPr>
        <w:t xml:space="preserve">Besides the evaluation of the addressee matters. The evaluation captures how the addressee is received by the claimant. This can be positive, negative, </w:t>
      </w:r>
      <w:r w:rsidR="003430A4" w:rsidRPr="00444A93">
        <w:rPr>
          <w:color w:val="000000"/>
        </w:rPr>
        <w:t>neutral,</w:t>
      </w:r>
      <w:r w:rsidRPr="00444A93">
        <w:rPr>
          <w:color w:val="000000"/>
        </w:rPr>
        <w:t xml:space="preserve"> or not present at all. The variable name is </w:t>
      </w:r>
      <w:r w:rsidRPr="00444A93">
        <w:rPr>
          <w:i/>
          <w:color w:val="000000"/>
        </w:rPr>
        <w:t>EVAL</w:t>
      </w:r>
      <w:r w:rsidRPr="00444A93">
        <w:rPr>
          <w:color w:val="000000"/>
        </w:rPr>
        <w:t>.</w:t>
      </w:r>
      <w:r w:rsidR="00D93158">
        <w:rPr>
          <w:color w:val="000000"/>
        </w:rPr>
        <w:t xml:space="preserve"> This variable is solely directed at the evaluation of the addressee, not about the evaluation of other parts of the claim.</w:t>
      </w:r>
    </w:p>
    <w:p w14:paraId="0CA3CB02" w14:textId="77777777" w:rsidR="00DA3B77" w:rsidRDefault="00DA3B77" w:rsidP="00FE38EF">
      <w:pPr>
        <w:pStyle w:val="Geenafstand"/>
        <w:spacing w:line="360" w:lineRule="auto"/>
        <w:jc w:val="both"/>
        <w:rPr>
          <w:i/>
          <w:color w:val="000000"/>
        </w:rPr>
      </w:pPr>
    </w:p>
    <w:p w14:paraId="3C9D20D6" w14:textId="0975F0CE" w:rsidR="00444A93" w:rsidRPr="00444A93" w:rsidRDefault="00444A93" w:rsidP="00FE38EF">
      <w:pPr>
        <w:pStyle w:val="Geenafstand"/>
        <w:spacing w:line="360" w:lineRule="auto"/>
        <w:jc w:val="both"/>
        <w:rPr>
          <w:i/>
          <w:color w:val="000000"/>
        </w:rPr>
      </w:pPr>
      <w:r w:rsidRPr="00444A93">
        <w:rPr>
          <w:i/>
          <w:color w:val="000000"/>
        </w:rPr>
        <w:t>EVAL</w:t>
      </w:r>
    </w:p>
    <w:p w14:paraId="73017EB1" w14:textId="77777777" w:rsidR="00444A93" w:rsidRPr="00444A93" w:rsidRDefault="00444A93" w:rsidP="00FE38EF">
      <w:pPr>
        <w:pStyle w:val="Geenafstand"/>
        <w:spacing w:line="360" w:lineRule="auto"/>
        <w:jc w:val="both"/>
        <w:rPr>
          <w:color w:val="000000"/>
        </w:rPr>
      </w:pPr>
      <w:r w:rsidRPr="00444A93">
        <w:rPr>
          <w:color w:val="000000"/>
        </w:rPr>
        <w:t>Variable label: ‘evaluation of the addressee by the claimant’</w:t>
      </w:r>
    </w:p>
    <w:p w14:paraId="1B663B0C" w14:textId="77777777" w:rsidR="00444A93" w:rsidRPr="00444A93" w:rsidRDefault="00444A93" w:rsidP="00FE38EF">
      <w:pPr>
        <w:pStyle w:val="Geenafstand"/>
        <w:spacing w:line="360" w:lineRule="auto"/>
        <w:jc w:val="both"/>
        <w:rPr>
          <w:color w:val="000000"/>
        </w:rPr>
      </w:pPr>
      <w:r w:rsidRPr="00444A93">
        <w:rPr>
          <w:color w:val="000000"/>
        </w:rPr>
        <w:lastRenderedPageBreak/>
        <w:t>Value label:</w:t>
      </w:r>
    </w:p>
    <w:p w14:paraId="3BF400D2" w14:textId="77777777" w:rsidR="00444A93" w:rsidRPr="00444A93" w:rsidRDefault="00444A93" w:rsidP="00FE38EF">
      <w:pPr>
        <w:pStyle w:val="Geenafstand"/>
        <w:spacing w:line="360" w:lineRule="auto"/>
        <w:jc w:val="both"/>
        <w:rPr>
          <w:color w:val="000000"/>
        </w:rPr>
      </w:pPr>
      <w:r w:rsidRPr="00444A93">
        <w:rPr>
          <w:color w:val="000000"/>
        </w:rPr>
        <w:tab/>
        <w:t>-1 – negative</w:t>
      </w:r>
    </w:p>
    <w:p w14:paraId="1AD03A61" w14:textId="77777777" w:rsidR="00444A93" w:rsidRPr="00444A93" w:rsidRDefault="00444A93" w:rsidP="00FE38EF">
      <w:pPr>
        <w:pStyle w:val="Geenafstand"/>
        <w:spacing w:line="360" w:lineRule="auto"/>
        <w:jc w:val="both"/>
        <w:rPr>
          <w:color w:val="000000"/>
        </w:rPr>
      </w:pPr>
      <w:r w:rsidRPr="00444A93">
        <w:rPr>
          <w:color w:val="000000"/>
        </w:rPr>
        <w:tab/>
        <w:t>0 – neutral</w:t>
      </w:r>
    </w:p>
    <w:p w14:paraId="415C56A8" w14:textId="77777777" w:rsidR="00444A93" w:rsidRPr="00444A93" w:rsidRDefault="00444A93" w:rsidP="00FE38EF">
      <w:pPr>
        <w:pStyle w:val="Geenafstand"/>
        <w:spacing w:line="360" w:lineRule="auto"/>
        <w:jc w:val="both"/>
        <w:rPr>
          <w:color w:val="000000"/>
        </w:rPr>
      </w:pPr>
      <w:r w:rsidRPr="00444A93">
        <w:rPr>
          <w:color w:val="000000"/>
        </w:rPr>
        <w:tab/>
        <w:t>1 – positive  </w:t>
      </w:r>
    </w:p>
    <w:p w14:paraId="0E754672" w14:textId="77777777" w:rsidR="00444A93" w:rsidRPr="00444A93" w:rsidRDefault="00444A93" w:rsidP="00FE38EF">
      <w:pPr>
        <w:pStyle w:val="Geenafstand"/>
        <w:spacing w:line="360" w:lineRule="auto"/>
        <w:jc w:val="both"/>
        <w:rPr>
          <w:color w:val="000000"/>
        </w:rPr>
      </w:pPr>
    </w:p>
    <w:p w14:paraId="441C4DF8" w14:textId="77777777" w:rsidR="00444A93" w:rsidRPr="00DA3B77" w:rsidRDefault="00444A93" w:rsidP="00FE38EF">
      <w:pPr>
        <w:pStyle w:val="Geenafstand"/>
        <w:spacing w:line="360" w:lineRule="auto"/>
        <w:jc w:val="both"/>
        <w:rPr>
          <w:rFonts w:ascii="Times New Roman" w:eastAsia="Times New Roman" w:hAnsi="Times New Roman" w:cs="Times New Roman"/>
          <w:i/>
          <w:iCs/>
        </w:rPr>
      </w:pPr>
      <w:bookmarkStart w:id="308" w:name="_Toc73969261"/>
      <w:bookmarkStart w:id="309" w:name="_Toc74583864"/>
      <w:r w:rsidRPr="00DA3B77">
        <w:rPr>
          <w:i/>
          <w:iCs/>
        </w:rPr>
        <w:t>Object</w:t>
      </w:r>
      <w:bookmarkEnd w:id="308"/>
      <w:bookmarkEnd w:id="309"/>
    </w:p>
    <w:p w14:paraId="0CE7F2AC" w14:textId="04FB5456" w:rsidR="00444A93" w:rsidRPr="00444A93" w:rsidRDefault="00444A93" w:rsidP="00FE38EF">
      <w:pPr>
        <w:pStyle w:val="Geenafstand"/>
        <w:spacing w:line="360" w:lineRule="auto"/>
        <w:jc w:val="both"/>
      </w:pPr>
      <w:r w:rsidRPr="00444A93">
        <w:rPr>
          <w:color w:val="000000"/>
        </w:rPr>
        <w:tab/>
        <w:t xml:space="preserve">The object represents on whose behalf the claim is made. In this thesis this should be on Māori people, otherwise we cannot speak of a claim. </w:t>
      </w:r>
      <w:r w:rsidRPr="00444A93">
        <w:t>Therefore</w:t>
      </w:r>
      <w:r w:rsidR="007353D5">
        <w:t>,</w:t>
      </w:r>
      <w:r w:rsidRPr="00444A93">
        <w:t xml:space="preserve"> the variable</w:t>
      </w:r>
      <w:r w:rsidRPr="00444A93">
        <w:rPr>
          <w:color w:val="000000"/>
        </w:rPr>
        <w:t xml:space="preserve"> </w:t>
      </w:r>
      <w:r w:rsidRPr="00444A93">
        <w:rPr>
          <w:i/>
          <w:color w:val="000000"/>
        </w:rPr>
        <w:t>OBJECT</w:t>
      </w:r>
      <w:r w:rsidRPr="00444A93">
        <w:rPr>
          <w:i/>
        </w:rPr>
        <w:t xml:space="preserve"> </w:t>
      </w:r>
      <w:r w:rsidRPr="00444A93">
        <w:t>is created.</w:t>
      </w:r>
      <w:r w:rsidRPr="00444A93">
        <w:rPr>
          <w:i/>
        </w:rPr>
        <w:t xml:space="preserve"> </w:t>
      </w:r>
      <w:r w:rsidRPr="00444A93">
        <w:t>The</w:t>
      </w:r>
      <w:r w:rsidRPr="00444A93">
        <w:rPr>
          <w:color w:val="000000"/>
        </w:rPr>
        <w:t xml:space="preserve"> variable, </w:t>
      </w:r>
      <w:r w:rsidRPr="00444A93">
        <w:rPr>
          <w:i/>
          <w:color w:val="000000"/>
        </w:rPr>
        <w:t xml:space="preserve">OBJECT, </w:t>
      </w:r>
      <w:r w:rsidRPr="00444A93">
        <w:rPr>
          <w:color w:val="000000"/>
        </w:rPr>
        <w:t>answers the question whether the object consists of the whole Māori population</w:t>
      </w:r>
      <w:r w:rsidRPr="00444A93">
        <w:t xml:space="preserve">, </w:t>
      </w:r>
      <w:r w:rsidRPr="00444A93">
        <w:rPr>
          <w:color w:val="000000"/>
        </w:rPr>
        <w:t xml:space="preserve">a specific Māori group or an individual </w:t>
      </w:r>
      <w:r w:rsidR="00AA3655">
        <w:rPr>
          <w:color w:val="000000"/>
        </w:rPr>
        <w:t>from</w:t>
      </w:r>
      <w:r w:rsidRPr="00444A93">
        <w:rPr>
          <w:color w:val="000000"/>
        </w:rPr>
        <w:t xml:space="preserve"> </w:t>
      </w:r>
      <w:r w:rsidRPr="00444A93">
        <w:t>M</w:t>
      </w:r>
      <w:r w:rsidRPr="00444A93">
        <w:rPr>
          <w:color w:val="000000"/>
        </w:rPr>
        <w:t xml:space="preserve">āori </w:t>
      </w:r>
      <w:r w:rsidR="00AA3655">
        <w:rPr>
          <w:color w:val="000000"/>
        </w:rPr>
        <w:t>descent</w:t>
      </w:r>
      <w:r w:rsidRPr="00444A93">
        <w:rPr>
          <w:color w:val="000000"/>
        </w:rPr>
        <w:t xml:space="preserve">. However, according to the pre-coded speeches claims on behalf of individuals </w:t>
      </w:r>
      <w:r w:rsidR="00AA3655">
        <w:rPr>
          <w:color w:val="000000"/>
        </w:rPr>
        <w:t>from</w:t>
      </w:r>
      <w:r w:rsidRPr="00444A93">
        <w:rPr>
          <w:color w:val="000000"/>
        </w:rPr>
        <w:t xml:space="preserve"> Māori </w:t>
      </w:r>
      <w:r w:rsidR="00AA3655">
        <w:rPr>
          <w:color w:val="000000"/>
        </w:rPr>
        <w:t>descent</w:t>
      </w:r>
      <w:r w:rsidRPr="00444A93">
        <w:rPr>
          <w:color w:val="000000"/>
        </w:rPr>
        <w:t xml:space="preserve"> occur rarely; it is mostly used in the context of a wider Māori group or the whole Māori population. Only when it is purely about one individual </w:t>
      </w:r>
      <w:r w:rsidR="00FB0E2B">
        <w:rPr>
          <w:color w:val="000000"/>
        </w:rPr>
        <w:t>from</w:t>
      </w:r>
      <w:r w:rsidRPr="00444A93">
        <w:rPr>
          <w:color w:val="000000"/>
        </w:rPr>
        <w:t xml:space="preserve"> </w:t>
      </w:r>
      <w:r w:rsidRPr="00444A93">
        <w:t>M</w:t>
      </w:r>
      <w:r w:rsidRPr="00444A93">
        <w:rPr>
          <w:color w:val="000000"/>
        </w:rPr>
        <w:t xml:space="preserve">āori </w:t>
      </w:r>
      <w:r w:rsidR="00FB0E2B">
        <w:rPr>
          <w:color w:val="000000"/>
        </w:rPr>
        <w:t>descent</w:t>
      </w:r>
      <w:r w:rsidRPr="00444A93">
        <w:rPr>
          <w:color w:val="000000"/>
        </w:rPr>
        <w:t xml:space="preserve"> it is coded as such. </w:t>
      </w:r>
    </w:p>
    <w:p w14:paraId="39556037" w14:textId="02AFB9BD" w:rsidR="00444A93" w:rsidRDefault="00444A93" w:rsidP="00DA3B77">
      <w:pPr>
        <w:pStyle w:val="Geenafstand"/>
        <w:spacing w:line="360" w:lineRule="auto"/>
        <w:ind w:firstLine="708"/>
        <w:jc w:val="both"/>
        <w:rPr>
          <w:color w:val="000000"/>
        </w:rPr>
      </w:pPr>
      <w:r w:rsidRPr="00444A93">
        <w:rPr>
          <w:color w:val="000000"/>
        </w:rPr>
        <w:t xml:space="preserve">The object differs from the addressee. The object shows on whose behalf the claim is made, thus about whom is talked, while the addressee mentions the person or group that </w:t>
      </w:r>
      <w:r w:rsidR="007353D5" w:rsidRPr="00444A93">
        <w:t>must</w:t>
      </w:r>
      <w:r w:rsidRPr="00444A93">
        <w:rPr>
          <w:color w:val="000000"/>
        </w:rPr>
        <w:t xml:space="preserve"> </w:t>
      </w:r>
      <w:r w:rsidR="00621058" w:rsidRPr="00444A93">
        <w:rPr>
          <w:color w:val="000000"/>
        </w:rPr>
        <w:t>act</w:t>
      </w:r>
      <w:r w:rsidRPr="00444A93">
        <w:rPr>
          <w:color w:val="000000"/>
        </w:rPr>
        <w:t xml:space="preserve"> according to the claim.</w:t>
      </w:r>
    </w:p>
    <w:p w14:paraId="2A752901" w14:textId="77777777" w:rsidR="00DA3B77" w:rsidRPr="00444A93" w:rsidRDefault="00DA3B77" w:rsidP="00DA3B77">
      <w:pPr>
        <w:pStyle w:val="Geenafstand"/>
        <w:spacing w:line="360" w:lineRule="auto"/>
        <w:ind w:firstLine="708"/>
        <w:jc w:val="both"/>
        <w:rPr>
          <w:color w:val="000000"/>
        </w:rPr>
      </w:pPr>
    </w:p>
    <w:p w14:paraId="1B58EC82" w14:textId="77777777" w:rsidR="00444A93" w:rsidRPr="00444A93" w:rsidRDefault="00444A93" w:rsidP="00FE38EF">
      <w:pPr>
        <w:pStyle w:val="Geenafstand"/>
        <w:spacing w:line="360" w:lineRule="auto"/>
        <w:jc w:val="both"/>
        <w:rPr>
          <w:i/>
          <w:color w:val="000000"/>
        </w:rPr>
      </w:pPr>
      <w:r w:rsidRPr="00444A93">
        <w:rPr>
          <w:i/>
          <w:color w:val="000000"/>
        </w:rPr>
        <w:t>OBJECT</w:t>
      </w:r>
    </w:p>
    <w:p w14:paraId="3D75F87D" w14:textId="77777777" w:rsidR="00444A93" w:rsidRPr="00444A93" w:rsidRDefault="00444A93" w:rsidP="00FE38EF">
      <w:pPr>
        <w:pStyle w:val="Geenafstand"/>
        <w:spacing w:line="360" w:lineRule="auto"/>
        <w:jc w:val="both"/>
        <w:rPr>
          <w:color w:val="000000"/>
        </w:rPr>
      </w:pPr>
      <w:r w:rsidRPr="00444A93">
        <w:rPr>
          <w:color w:val="000000"/>
        </w:rPr>
        <w:t>Variable label: ‘part of Māori population on whose behalf the claim is made’</w:t>
      </w:r>
    </w:p>
    <w:p w14:paraId="71CAB544" w14:textId="77777777" w:rsidR="00444A93" w:rsidRPr="00444A93" w:rsidRDefault="00444A93" w:rsidP="00FE38EF">
      <w:pPr>
        <w:pStyle w:val="Geenafstand"/>
        <w:spacing w:line="360" w:lineRule="auto"/>
        <w:jc w:val="both"/>
        <w:rPr>
          <w:color w:val="000000"/>
        </w:rPr>
      </w:pPr>
      <w:r w:rsidRPr="00444A93">
        <w:rPr>
          <w:color w:val="000000"/>
        </w:rPr>
        <w:t>Value label:</w:t>
      </w:r>
    </w:p>
    <w:p w14:paraId="0898D416" w14:textId="36189F38" w:rsidR="00444A93" w:rsidRPr="00444A93" w:rsidRDefault="00444A93" w:rsidP="00FE38EF">
      <w:pPr>
        <w:pStyle w:val="Geenafstand"/>
        <w:spacing w:line="360" w:lineRule="auto"/>
        <w:jc w:val="both"/>
        <w:rPr>
          <w:color w:val="000000"/>
        </w:rPr>
      </w:pPr>
      <w:r w:rsidRPr="00444A93">
        <w:t>1</w:t>
      </w:r>
      <w:r w:rsidRPr="00444A93">
        <w:rPr>
          <w:color w:val="000000"/>
        </w:rPr>
        <w:t xml:space="preserve"> – whole Māori population</w:t>
      </w:r>
    </w:p>
    <w:p w14:paraId="6A0D167F" w14:textId="4900931D" w:rsidR="00444A93" w:rsidRPr="00444A93" w:rsidRDefault="00444A93" w:rsidP="00FE38EF">
      <w:pPr>
        <w:pStyle w:val="Geenafstand"/>
        <w:spacing w:line="360" w:lineRule="auto"/>
        <w:jc w:val="both"/>
        <w:rPr>
          <w:color w:val="000000"/>
        </w:rPr>
      </w:pPr>
      <w:r w:rsidRPr="00444A93">
        <w:t>2</w:t>
      </w:r>
      <w:r w:rsidRPr="00444A93">
        <w:rPr>
          <w:color w:val="000000"/>
        </w:rPr>
        <w:t xml:space="preserve"> – specific Māori group(s)</w:t>
      </w:r>
    </w:p>
    <w:p w14:paraId="1325036B" w14:textId="7630CB9F" w:rsidR="00444A93" w:rsidRPr="00444A93" w:rsidRDefault="00444A93" w:rsidP="00FE38EF">
      <w:pPr>
        <w:pStyle w:val="Geenafstand"/>
        <w:spacing w:line="360" w:lineRule="auto"/>
        <w:jc w:val="both"/>
        <w:rPr>
          <w:color w:val="000000"/>
        </w:rPr>
      </w:pPr>
      <w:r w:rsidRPr="00444A93">
        <w:rPr>
          <w:color w:val="000000"/>
        </w:rPr>
        <w:t xml:space="preserve">3 – individual </w:t>
      </w:r>
      <w:r w:rsidR="00A52774">
        <w:rPr>
          <w:color w:val="000000"/>
        </w:rPr>
        <w:t>from</w:t>
      </w:r>
      <w:r w:rsidRPr="00444A93">
        <w:rPr>
          <w:color w:val="000000"/>
        </w:rPr>
        <w:t xml:space="preserve"> Māori </w:t>
      </w:r>
      <w:r w:rsidR="00A52774">
        <w:rPr>
          <w:color w:val="000000"/>
        </w:rPr>
        <w:t>descent</w:t>
      </w:r>
      <w:r w:rsidRPr="00444A93">
        <w:rPr>
          <w:color w:val="000000"/>
        </w:rPr>
        <w:t xml:space="preserve"> </w:t>
      </w:r>
    </w:p>
    <w:p w14:paraId="0E00EE53" w14:textId="77777777" w:rsidR="00444A93" w:rsidRPr="00444A93" w:rsidRDefault="00444A93" w:rsidP="00FE38EF">
      <w:pPr>
        <w:pStyle w:val="Geenafstand"/>
        <w:spacing w:line="360" w:lineRule="auto"/>
        <w:jc w:val="both"/>
        <w:rPr>
          <w:color w:val="000000"/>
        </w:rPr>
      </w:pPr>
    </w:p>
    <w:p w14:paraId="54C3A072" w14:textId="7A5648C8" w:rsidR="00444A93" w:rsidRPr="00DA3B77" w:rsidRDefault="006A504C" w:rsidP="00FE38EF">
      <w:pPr>
        <w:pStyle w:val="Geenafstand"/>
        <w:spacing w:line="360" w:lineRule="auto"/>
        <w:jc w:val="both"/>
        <w:rPr>
          <w:rFonts w:ascii="Times New Roman" w:eastAsia="Times New Roman" w:hAnsi="Times New Roman" w:cs="Times New Roman"/>
          <w:i/>
          <w:iCs/>
        </w:rPr>
      </w:pPr>
      <w:bookmarkStart w:id="310" w:name="_Toc73969262"/>
      <w:bookmarkStart w:id="311" w:name="_Toc74583865"/>
      <w:r w:rsidRPr="00DA3B77">
        <w:rPr>
          <w:i/>
          <w:iCs/>
        </w:rPr>
        <w:t>J</w:t>
      </w:r>
      <w:r w:rsidR="00444A93" w:rsidRPr="00DA3B77">
        <w:rPr>
          <w:i/>
          <w:iCs/>
        </w:rPr>
        <w:t>ustification</w:t>
      </w:r>
      <w:bookmarkEnd w:id="310"/>
      <w:bookmarkEnd w:id="311"/>
      <w:r w:rsidR="00444A93" w:rsidRPr="00DA3B77">
        <w:rPr>
          <w:i/>
          <w:iCs/>
        </w:rPr>
        <w:t> </w:t>
      </w:r>
    </w:p>
    <w:p w14:paraId="6FEF1B64" w14:textId="12236B0A" w:rsidR="00444A93" w:rsidRPr="00444A93" w:rsidRDefault="00444A93" w:rsidP="00FE38EF">
      <w:pPr>
        <w:pStyle w:val="Geenafstand"/>
        <w:spacing w:line="360" w:lineRule="auto"/>
        <w:jc w:val="both"/>
      </w:pPr>
      <w:r w:rsidRPr="00444A93">
        <w:rPr>
          <w:i/>
          <w:color w:val="000000"/>
        </w:rPr>
        <w:tab/>
      </w:r>
      <w:r w:rsidRPr="00444A93">
        <w:rPr>
          <w:color w:val="000000"/>
        </w:rPr>
        <w:t xml:space="preserve">The justification of </w:t>
      </w:r>
      <w:r w:rsidR="003A2929">
        <w:rPr>
          <w:color w:val="000000"/>
        </w:rPr>
        <w:t>claims</w:t>
      </w:r>
      <w:r w:rsidRPr="00444A93">
        <w:rPr>
          <w:color w:val="000000"/>
        </w:rPr>
        <w:t xml:space="preserve"> consists of the argument being made. Gora and De Wilde (2019, p.30) define a justification as follows: “justifications are the explicit or implicit reasons given by a claimant to rationalize and/or legitimize his or her claims.” This can be done explicitly or contextually. The j</w:t>
      </w:r>
      <w:r w:rsidRPr="00444A93">
        <w:t xml:space="preserve">ustification reveals the context and deeper argument in which the claim is seated. The justifications are based on the precoding of some parliamentary speeches. This resulted into seven categories: ‘performance’, ‘injustice’, ‘urgence’, ‘substantive’, ‘culture’, ‘economy’ and ‘absent’. The variable for the justifications is named </w:t>
      </w:r>
      <w:r w:rsidRPr="00444A93">
        <w:rPr>
          <w:i/>
        </w:rPr>
        <w:t xml:space="preserve">JUST. </w:t>
      </w:r>
      <w:r w:rsidRPr="00444A93">
        <w:t xml:space="preserve">The first justification, performance, is coded in instances where the claimant praises a person or a group because of their actions. The second justification, injustice, is coded when unfair circumstances are used as the main argument for stating the claim. The third justification, urgence, is coded when the claim is made resulting from time pressure. The fourth </w:t>
      </w:r>
      <w:r w:rsidRPr="00444A93">
        <w:lastRenderedPageBreak/>
        <w:t xml:space="preserve">justification, substantive, is coded when the claim refers to a words-deeds gap. Meaning that more is needed than just talking; action </w:t>
      </w:r>
      <w:r w:rsidR="00621058" w:rsidRPr="00444A93">
        <w:t>must</w:t>
      </w:r>
      <w:r w:rsidRPr="00444A93">
        <w:t xml:space="preserve"> be taken. The fifth justification, culture, is coded when the argument on which the claim relies refers to traditions or other aspects of (</w:t>
      </w:r>
      <w:r w:rsidRPr="00444A93">
        <w:rPr>
          <w:color w:val="000000"/>
        </w:rPr>
        <w:t>Māori) culture. Finally</w:t>
      </w:r>
      <w:r w:rsidR="007353D5">
        <w:rPr>
          <w:color w:val="000000"/>
        </w:rPr>
        <w:t>,</w:t>
      </w:r>
      <w:r w:rsidRPr="00444A93">
        <w:rPr>
          <w:color w:val="000000"/>
        </w:rPr>
        <w:t xml:space="preserve"> there is the justification economy. All justifications referring to economic aspects are coded here. For example economic benefits or budgets.</w:t>
      </w:r>
      <w:r w:rsidRPr="00444A93">
        <w:t xml:space="preserve"> When a claim does not have a justification it is coded as absent. </w:t>
      </w:r>
    </w:p>
    <w:p w14:paraId="5CDCC0FD" w14:textId="77777777" w:rsidR="00DA3B77" w:rsidRDefault="00DA3B77" w:rsidP="00FE38EF">
      <w:pPr>
        <w:pStyle w:val="Geenafstand"/>
        <w:spacing w:line="360" w:lineRule="auto"/>
        <w:jc w:val="both"/>
        <w:rPr>
          <w:i/>
        </w:rPr>
      </w:pPr>
    </w:p>
    <w:p w14:paraId="42FAAD56" w14:textId="35CB8C93" w:rsidR="00444A93" w:rsidRPr="00444A93" w:rsidRDefault="00444A93" w:rsidP="00FE38EF">
      <w:pPr>
        <w:pStyle w:val="Geenafstand"/>
        <w:spacing w:line="360" w:lineRule="auto"/>
        <w:jc w:val="both"/>
        <w:rPr>
          <w:i/>
        </w:rPr>
      </w:pPr>
      <w:r w:rsidRPr="00444A93">
        <w:rPr>
          <w:i/>
        </w:rPr>
        <w:t>JUST</w:t>
      </w:r>
    </w:p>
    <w:p w14:paraId="25D88633" w14:textId="77777777" w:rsidR="00444A93" w:rsidRPr="00444A93" w:rsidRDefault="00444A93" w:rsidP="00FE38EF">
      <w:pPr>
        <w:pStyle w:val="Geenafstand"/>
        <w:spacing w:line="360" w:lineRule="auto"/>
        <w:jc w:val="both"/>
      </w:pPr>
      <w:r w:rsidRPr="00444A93">
        <w:t>Variable label: ‘the reasons given by the claimant to legitimize his or her claims’</w:t>
      </w:r>
    </w:p>
    <w:p w14:paraId="7EA110B7" w14:textId="77777777" w:rsidR="00444A93" w:rsidRPr="00444A93" w:rsidRDefault="00444A93" w:rsidP="00FE38EF">
      <w:pPr>
        <w:pStyle w:val="Geenafstand"/>
        <w:spacing w:line="360" w:lineRule="auto"/>
        <w:jc w:val="both"/>
      </w:pPr>
      <w:r w:rsidRPr="00444A93">
        <w:t>Value label:</w:t>
      </w:r>
    </w:p>
    <w:p w14:paraId="040B338C" w14:textId="526838B2" w:rsidR="00444A93" w:rsidRPr="00444A93" w:rsidRDefault="00444A93" w:rsidP="00FE38EF">
      <w:pPr>
        <w:pStyle w:val="Geenafstand"/>
        <w:spacing w:line="360" w:lineRule="auto"/>
        <w:jc w:val="both"/>
      </w:pPr>
      <w:r w:rsidRPr="00444A93">
        <w:t>1 – performance</w:t>
      </w:r>
    </w:p>
    <w:p w14:paraId="3CC52719" w14:textId="0353E21B" w:rsidR="00444A93" w:rsidRPr="00444A93" w:rsidRDefault="00444A93" w:rsidP="00FE38EF">
      <w:pPr>
        <w:pStyle w:val="Geenafstand"/>
        <w:spacing w:line="360" w:lineRule="auto"/>
        <w:jc w:val="both"/>
      </w:pPr>
      <w:r w:rsidRPr="00444A93">
        <w:t>2 – injustice</w:t>
      </w:r>
    </w:p>
    <w:p w14:paraId="7279CE7C" w14:textId="4415C654" w:rsidR="00444A93" w:rsidRPr="00444A93" w:rsidRDefault="00444A93" w:rsidP="00FE38EF">
      <w:pPr>
        <w:pStyle w:val="Geenafstand"/>
        <w:spacing w:line="360" w:lineRule="auto"/>
        <w:jc w:val="both"/>
      </w:pPr>
      <w:r w:rsidRPr="00444A93">
        <w:t>3 – urgence</w:t>
      </w:r>
    </w:p>
    <w:p w14:paraId="45F3542C" w14:textId="126657EB" w:rsidR="00444A93" w:rsidRPr="00444A93" w:rsidRDefault="00444A93" w:rsidP="00FE38EF">
      <w:pPr>
        <w:pStyle w:val="Geenafstand"/>
        <w:spacing w:line="360" w:lineRule="auto"/>
        <w:jc w:val="both"/>
      </w:pPr>
      <w:r w:rsidRPr="00444A93">
        <w:t>4 – substantive</w:t>
      </w:r>
    </w:p>
    <w:p w14:paraId="22F0EFD5" w14:textId="7B477CDA" w:rsidR="00444A93" w:rsidRPr="00444A93" w:rsidRDefault="00444A93" w:rsidP="00FE38EF">
      <w:pPr>
        <w:pStyle w:val="Geenafstand"/>
        <w:spacing w:line="360" w:lineRule="auto"/>
        <w:jc w:val="both"/>
      </w:pPr>
      <w:r w:rsidRPr="00444A93">
        <w:t>5 – culture</w:t>
      </w:r>
    </w:p>
    <w:p w14:paraId="102D7BAC" w14:textId="008DB707" w:rsidR="00444A93" w:rsidRPr="00444A93" w:rsidRDefault="00444A93" w:rsidP="00FE38EF">
      <w:pPr>
        <w:pStyle w:val="Geenafstand"/>
        <w:spacing w:line="360" w:lineRule="auto"/>
        <w:jc w:val="both"/>
      </w:pPr>
      <w:r w:rsidRPr="00444A93">
        <w:t xml:space="preserve">6 – economy </w:t>
      </w:r>
    </w:p>
    <w:p w14:paraId="3BEE3F4A" w14:textId="57B33686" w:rsidR="00444A93" w:rsidRPr="00444A93" w:rsidRDefault="00444A93" w:rsidP="00FE38EF">
      <w:pPr>
        <w:pStyle w:val="Geenafstand"/>
        <w:spacing w:line="360" w:lineRule="auto"/>
        <w:jc w:val="both"/>
      </w:pPr>
      <w:r w:rsidRPr="00444A93">
        <w:t xml:space="preserve">999 – absent </w:t>
      </w:r>
    </w:p>
    <w:p w14:paraId="3DFED080" w14:textId="77777777" w:rsidR="00444A93" w:rsidRPr="00444A93" w:rsidRDefault="00444A93" w:rsidP="00FE38EF">
      <w:pPr>
        <w:pStyle w:val="Geenafstand"/>
        <w:spacing w:line="360" w:lineRule="auto"/>
        <w:jc w:val="both"/>
      </w:pPr>
    </w:p>
    <w:p w14:paraId="73919770" w14:textId="77777777" w:rsidR="00444A93" w:rsidRPr="00807428" w:rsidRDefault="00444A93" w:rsidP="00FE38EF">
      <w:pPr>
        <w:pStyle w:val="Geenafstand"/>
        <w:spacing w:line="360" w:lineRule="auto"/>
        <w:jc w:val="both"/>
        <w:rPr>
          <w:i/>
          <w:iCs/>
        </w:rPr>
      </w:pPr>
      <w:bookmarkStart w:id="312" w:name="_heading=h.93tsm4t6q0va" w:colFirst="0" w:colLast="0"/>
      <w:bookmarkStart w:id="313" w:name="_Toc73969263"/>
      <w:bookmarkStart w:id="314" w:name="_Toc74583866"/>
      <w:bookmarkEnd w:id="312"/>
      <w:r w:rsidRPr="00807428">
        <w:rPr>
          <w:i/>
          <w:iCs/>
        </w:rPr>
        <w:t>Unification</w:t>
      </w:r>
      <w:bookmarkEnd w:id="313"/>
      <w:bookmarkEnd w:id="314"/>
    </w:p>
    <w:p w14:paraId="336B94D5" w14:textId="065A50A6" w:rsidR="00444A93" w:rsidRPr="00444A93" w:rsidRDefault="00444A93" w:rsidP="00807428">
      <w:pPr>
        <w:pStyle w:val="Geenafstand"/>
        <w:spacing w:line="360" w:lineRule="auto"/>
        <w:ind w:firstLine="708"/>
        <w:jc w:val="both"/>
      </w:pPr>
      <w:r w:rsidRPr="00444A93">
        <w:t xml:space="preserve">The variable unification measures whether Māori people are symbolically represented. The variable is named </w:t>
      </w:r>
      <w:r w:rsidRPr="00444A93">
        <w:rPr>
          <w:i/>
        </w:rPr>
        <w:t xml:space="preserve">UNI </w:t>
      </w:r>
      <w:r w:rsidRPr="00444A93">
        <w:t>and measures whether the claimant identifies with the object he or she claims to stand for. The claimant should create a certain degree of togetherness; the feeling that the claimant and object belong to each other and are facing the same difficulties. This is measured in a binomial variable</w:t>
      </w:r>
      <w:r w:rsidR="005F0988">
        <w:t>, m</w:t>
      </w:r>
      <w:r w:rsidRPr="00444A93">
        <w:t xml:space="preserve">eaning that the unification is either coded as present or absent. Words that are expressing unification need to show </w:t>
      </w:r>
      <w:r w:rsidR="00621058" w:rsidRPr="00444A93">
        <w:t>unity</w:t>
      </w:r>
      <w:r w:rsidRPr="00444A93">
        <w:t xml:space="preserve">, like “our people” or “we as Māori people”. </w:t>
      </w:r>
    </w:p>
    <w:p w14:paraId="2E7FC10B" w14:textId="77777777" w:rsidR="00807428" w:rsidRDefault="00807428" w:rsidP="00FE38EF">
      <w:pPr>
        <w:pStyle w:val="Geenafstand"/>
        <w:spacing w:line="360" w:lineRule="auto"/>
        <w:jc w:val="both"/>
        <w:rPr>
          <w:i/>
        </w:rPr>
      </w:pPr>
    </w:p>
    <w:p w14:paraId="41396DA5" w14:textId="75ADFAE9" w:rsidR="00444A93" w:rsidRPr="00444A93" w:rsidRDefault="00444A93" w:rsidP="00FE38EF">
      <w:pPr>
        <w:pStyle w:val="Geenafstand"/>
        <w:spacing w:line="360" w:lineRule="auto"/>
        <w:jc w:val="both"/>
        <w:rPr>
          <w:i/>
        </w:rPr>
      </w:pPr>
      <w:r w:rsidRPr="00444A93">
        <w:rPr>
          <w:i/>
        </w:rPr>
        <w:t>UNI</w:t>
      </w:r>
    </w:p>
    <w:p w14:paraId="53302A9B" w14:textId="77777777" w:rsidR="00444A93" w:rsidRPr="00444A93" w:rsidRDefault="00444A93" w:rsidP="00FE38EF">
      <w:pPr>
        <w:pStyle w:val="Geenafstand"/>
        <w:spacing w:line="360" w:lineRule="auto"/>
        <w:jc w:val="both"/>
      </w:pPr>
      <w:r w:rsidRPr="00444A93">
        <w:t>Variable label: ‘the claimant identifies with the Māori population’</w:t>
      </w:r>
    </w:p>
    <w:p w14:paraId="79DF6A13" w14:textId="77777777" w:rsidR="00444A93" w:rsidRPr="002A1062" w:rsidRDefault="00444A93" w:rsidP="00FE38EF">
      <w:pPr>
        <w:pStyle w:val="Geenafstand"/>
        <w:spacing w:line="360" w:lineRule="auto"/>
        <w:jc w:val="both"/>
      </w:pPr>
      <w:r w:rsidRPr="002A1062">
        <w:t>Value label:</w:t>
      </w:r>
    </w:p>
    <w:p w14:paraId="0AF55F14" w14:textId="77777777" w:rsidR="00444A93" w:rsidRPr="002A1062" w:rsidRDefault="00444A93" w:rsidP="000A15CA">
      <w:pPr>
        <w:pStyle w:val="Geenafstand"/>
        <w:spacing w:line="360" w:lineRule="auto"/>
        <w:jc w:val="both"/>
      </w:pPr>
      <w:r w:rsidRPr="002A1062">
        <w:t>0 – absent</w:t>
      </w:r>
    </w:p>
    <w:p w14:paraId="5792571A" w14:textId="77777777" w:rsidR="00A942B0" w:rsidRPr="002A1062" w:rsidRDefault="00444A93" w:rsidP="000A15CA">
      <w:pPr>
        <w:pStyle w:val="Geenafstand"/>
        <w:spacing w:line="360" w:lineRule="auto"/>
        <w:jc w:val="both"/>
      </w:pPr>
      <w:r w:rsidRPr="002A1062">
        <w:t>1 – present</w:t>
      </w:r>
    </w:p>
    <w:p w14:paraId="68DD1200" w14:textId="77777777" w:rsidR="00807428" w:rsidRDefault="00807428">
      <w:pPr>
        <w:rPr>
          <w:rFonts w:ascii="Calibri" w:eastAsia="Calibri" w:hAnsi="Calibri" w:cs="Calibri"/>
          <w:sz w:val="20"/>
          <w:szCs w:val="20"/>
          <w:lang w:val="en-GB" w:eastAsia="en-GB"/>
        </w:rPr>
      </w:pPr>
      <w:bookmarkStart w:id="315" w:name="_Toc73969264"/>
      <w:bookmarkStart w:id="316" w:name="_Toc74503527"/>
      <w:bookmarkStart w:id="317" w:name="_Toc74583867"/>
      <w:r w:rsidRPr="00C3475D">
        <w:rPr>
          <w:rFonts w:ascii="Calibri" w:eastAsia="Calibri" w:hAnsi="Calibri" w:cs="Calibri"/>
          <w:sz w:val="20"/>
          <w:szCs w:val="20"/>
          <w:lang w:val="en-GB"/>
        </w:rPr>
        <w:br w:type="page"/>
      </w:r>
    </w:p>
    <w:p w14:paraId="024D45A1" w14:textId="761D9B55" w:rsidR="00444A93" w:rsidRPr="008374FF" w:rsidRDefault="00A942B0" w:rsidP="008374FF">
      <w:pPr>
        <w:pStyle w:val="Kop3"/>
        <w:rPr>
          <w:color w:val="FF0000"/>
          <w:sz w:val="20"/>
          <w:szCs w:val="20"/>
        </w:rPr>
      </w:pPr>
      <w:bookmarkStart w:id="318" w:name="_Toc75384129"/>
      <w:r w:rsidRPr="008374FF">
        <w:rPr>
          <w:rFonts w:ascii="Calibri" w:eastAsia="Calibri" w:hAnsi="Calibri" w:cs="Calibri"/>
          <w:sz w:val="20"/>
          <w:szCs w:val="20"/>
        </w:rPr>
        <w:lastRenderedPageBreak/>
        <w:t xml:space="preserve">Table </w:t>
      </w:r>
      <w:r w:rsidR="00D1170C" w:rsidRPr="008374FF">
        <w:rPr>
          <w:rFonts w:ascii="Calibri" w:eastAsia="Calibri" w:hAnsi="Calibri" w:cs="Calibri"/>
          <w:sz w:val="20"/>
          <w:szCs w:val="20"/>
        </w:rPr>
        <w:t>A.</w:t>
      </w:r>
      <w:r w:rsidRPr="008374FF">
        <w:rPr>
          <w:rFonts w:ascii="Calibri" w:eastAsia="Calibri" w:hAnsi="Calibri" w:cs="Calibri"/>
          <w:sz w:val="20"/>
          <w:szCs w:val="20"/>
        </w:rPr>
        <w:t>2. Māori</w:t>
      </w:r>
      <w:r w:rsidRPr="008374FF">
        <w:rPr>
          <w:sz w:val="20"/>
          <w:szCs w:val="20"/>
        </w:rPr>
        <w:t xml:space="preserve"> identification Members of Parliament (53</w:t>
      </w:r>
      <w:r w:rsidRPr="008374FF">
        <w:rPr>
          <w:sz w:val="20"/>
          <w:szCs w:val="20"/>
          <w:vertAlign w:val="superscript"/>
        </w:rPr>
        <w:t>rd</w:t>
      </w:r>
      <w:r w:rsidRPr="008374FF">
        <w:rPr>
          <w:sz w:val="20"/>
          <w:szCs w:val="20"/>
        </w:rPr>
        <w:t xml:space="preserve"> government).</w:t>
      </w:r>
      <w:bookmarkEnd w:id="315"/>
      <w:bookmarkEnd w:id="316"/>
      <w:bookmarkEnd w:id="317"/>
      <w:bookmarkEnd w:id="318"/>
    </w:p>
    <w:tbl>
      <w:tblPr>
        <w:tblStyle w:val="Lijsttabel1licht"/>
        <w:tblW w:w="9166" w:type="dxa"/>
        <w:tblLayout w:type="fixed"/>
        <w:tblLook w:val="04A0" w:firstRow="1" w:lastRow="0" w:firstColumn="1" w:lastColumn="0" w:noHBand="0" w:noVBand="1"/>
      </w:tblPr>
      <w:tblGrid>
        <w:gridCol w:w="1985"/>
        <w:gridCol w:w="1843"/>
        <w:gridCol w:w="1559"/>
        <w:gridCol w:w="3779"/>
      </w:tblGrid>
      <w:tr w:rsidR="00444A93" w14:paraId="2A92A281" w14:textId="77777777" w:rsidTr="00187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74F047" w14:textId="77777777" w:rsidR="00444A93" w:rsidRDefault="00444A93" w:rsidP="00FE38EF">
            <w:pPr>
              <w:pStyle w:val="Geenafstand"/>
              <w:spacing w:line="360" w:lineRule="auto"/>
              <w:jc w:val="both"/>
            </w:pPr>
            <w:r>
              <w:t>Name</w:t>
            </w:r>
          </w:p>
        </w:tc>
        <w:tc>
          <w:tcPr>
            <w:tcW w:w="1843" w:type="dxa"/>
          </w:tcPr>
          <w:p w14:paraId="4632B5E0"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General/Māori roll or Party list</w:t>
            </w:r>
          </w:p>
        </w:tc>
        <w:tc>
          <w:tcPr>
            <w:tcW w:w="1559" w:type="dxa"/>
          </w:tcPr>
          <w:p w14:paraId="22783A4D"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Party</w:t>
            </w:r>
          </w:p>
        </w:tc>
        <w:tc>
          <w:tcPr>
            <w:tcW w:w="3779" w:type="dxa"/>
          </w:tcPr>
          <w:p w14:paraId="79617356"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Self-identification</w:t>
            </w:r>
          </w:p>
        </w:tc>
      </w:tr>
      <w:tr w:rsidR="00444A93" w:rsidRPr="008F3A1C" w14:paraId="54149BD4"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670F6DE" w14:textId="77777777" w:rsidR="00444A93" w:rsidRDefault="00444A93" w:rsidP="00FE38EF">
            <w:pPr>
              <w:pStyle w:val="Geenafstand"/>
              <w:spacing w:line="360" w:lineRule="auto"/>
              <w:jc w:val="both"/>
            </w:pPr>
            <w:r>
              <w:t>Allan, Kiritapu</w:t>
            </w:r>
          </w:p>
        </w:tc>
        <w:tc>
          <w:tcPr>
            <w:tcW w:w="1843" w:type="dxa"/>
          </w:tcPr>
          <w:p w14:paraId="46BB91D8"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24D6D43A"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609876DB"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56" w:history="1">
              <w:r w:rsidR="00444A93" w:rsidRPr="002E2CA9">
                <w:rPr>
                  <w:rStyle w:val="Hyperlink"/>
                </w:rPr>
                <w:t>https://www.labour.org.nz/kiriallan</w:t>
              </w:r>
            </w:hyperlink>
            <w:r w:rsidR="00444A93">
              <w:t xml:space="preserve"> </w:t>
            </w:r>
          </w:p>
        </w:tc>
      </w:tr>
      <w:tr w:rsidR="00444A93" w:rsidRPr="008F3A1C" w14:paraId="24E41B29"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35AAFFEA" w14:textId="77777777" w:rsidR="00444A93" w:rsidRDefault="00444A93" w:rsidP="00FE38EF">
            <w:pPr>
              <w:pStyle w:val="Geenafstand"/>
              <w:spacing w:line="360" w:lineRule="auto"/>
              <w:jc w:val="both"/>
            </w:pPr>
            <w:r>
              <w:t>Davidson, Marama</w:t>
            </w:r>
          </w:p>
        </w:tc>
        <w:tc>
          <w:tcPr>
            <w:tcW w:w="1843" w:type="dxa"/>
          </w:tcPr>
          <w:p w14:paraId="7C287D0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3852AC7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Green Party</w:t>
            </w:r>
          </w:p>
        </w:tc>
        <w:tc>
          <w:tcPr>
            <w:tcW w:w="3779" w:type="dxa"/>
          </w:tcPr>
          <w:p w14:paraId="56AF79E5"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57">
              <w:r w:rsidR="00444A93">
                <w:rPr>
                  <w:color w:val="1155CC"/>
                  <w:u w:val="single"/>
                </w:rPr>
                <w:t>https://www.greens.org.nz/marama_davidson</w:t>
              </w:r>
            </w:hyperlink>
            <w:r w:rsidR="00444A93">
              <w:t> </w:t>
            </w:r>
          </w:p>
        </w:tc>
      </w:tr>
      <w:tr w:rsidR="00444A93" w:rsidRPr="008F3A1C" w14:paraId="778C7F7D"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F2CCFC" w14:textId="77777777" w:rsidR="00444A93" w:rsidRDefault="00444A93" w:rsidP="00FE38EF">
            <w:pPr>
              <w:pStyle w:val="Geenafstand"/>
              <w:spacing w:line="360" w:lineRule="auto"/>
              <w:jc w:val="both"/>
            </w:pPr>
            <w:r>
              <w:t>Davis, Kelvin</w:t>
            </w:r>
          </w:p>
        </w:tc>
        <w:tc>
          <w:tcPr>
            <w:tcW w:w="1843" w:type="dxa"/>
          </w:tcPr>
          <w:p w14:paraId="46AEB84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w:t>
            </w:r>
          </w:p>
        </w:tc>
        <w:tc>
          <w:tcPr>
            <w:tcW w:w="1559" w:type="dxa"/>
          </w:tcPr>
          <w:p w14:paraId="37DFBE94"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1D9EFE3F"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58" w:history="1">
              <w:r w:rsidR="00444A93" w:rsidRPr="002E2CA9">
                <w:rPr>
                  <w:rStyle w:val="Hyperlink"/>
                </w:rPr>
                <w:t>https://www.parliament.nz/en/mps-and-electorates/members-of-parliament/davis-kelvin/</w:t>
              </w:r>
            </w:hyperlink>
            <w:r w:rsidR="00444A93">
              <w:t xml:space="preserve"> </w:t>
            </w:r>
          </w:p>
        </w:tc>
      </w:tr>
      <w:tr w:rsidR="00444A93" w:rsidRPr="008F3A1C" w14:paraId="51526CB8"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403DEFC" w14:textId="77777777" w:rsidR="00444A93" w:rsidRDefault="00444A93" w:rsidP="00FE38EF">
            <w:pPr>
              <w:pStyle w:val="Geenafstand"/>
              <w:spacing w:line="360" w:lineRule="auto"/>
              <w:jc w:val="both"/>
            </w:pPr>
            <w:r>
              <w:t>Eagle, Paul</w:t>
            </w:r>
          </w:p>
        </w:tc>
        <w:tc>
          <w:tcPr>
            <w:tcW w:w="1843" w:type="dxa"/>
          </w:tcPr>
          <w:p w14:paraId="038E5E10"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General roll</w:t>
            </w:r>
          </w:p>
        </w:tc>
        <w:tc>
          <w:tcPr>
            <w:tcW w:w="1559" w:type="dxa"/>
          </w:tcPr>
          <w:p w14:paraId="07BB509A"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380FCDAE"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59" w:history="1">
              <w:r w:rsidR="00444A93" w:rsidRPr="007C7F0F">
                <w:rPr>
                  <w:rStyle w:val="Hyperlink"/>
                </w:rPr>
                <w:t>https://www.labour.org.nz/pauleagle</w:t>
              </w:r>
            </w:hyperlink>
            <w:r w:rsidR="00444A93">
              <w:t xml:space="preserve"> </w:t>
            </w:r>
          </w:p>
        </w:tc>
      </w:tr>
      <w:tr w:rsidR="00444A93" w:rsidRPr="008F3A1C" w14:paraId="7EF93DB6"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21A6E2" w14:textId="77777777" w:rsidR="00444A93" w:rsidRDefault="00444A93" w:rsidP="00FE38EF">
            <w:pPr>
              <w:pStyle w:val="Geenafstand"/>
              <w:spacing w:line="360" w:lineRule="auto"/>
              <w:jc w:val="both"/>
            </w:pPr>
            <w:r>
              <w:t>Halbert, Shanan</w:t>
            </w:r>
          </w:p>
        </w:tc>
        <w:tc>
          <w:tcPr>
            <w:tcW w:w="1843" w:type="dxa"/>
          </w:tcPr>
          <w:p w14:paraId="400C165A"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2AC243E7"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79B3BA26"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60" w:history="1">
              <w:r w:rsidR="00444A93" w:rsidRPr="002E2CA9">
                <w:rPr>
                  <w:rStyle w:val="Hyperlink"/>
                </w:rPr>
                <w:t>https://www.parliament.nz/en/pb/hansard-debates/rhr/document/HansS_20201201_052740000/mallard-trevor-halbert-shanan</w:t>
              </w:r>
            </w:hyperlink>
            <w:r w:rsidR="00444A93">
              <w:t xml:space="preserve"> </w:t>
            </w:r>
          </w:p>
        </w:tc>
      </w:tr>
      <w:tr w:rsidR="00444A93" w:rsidRPr="008F3A1C" w14:paraId="7BCC9649"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3AC15D56" w14:textId="77777777" w:rsidR="00444A93" w:rsidRDefault="00444A93" w:rsidP="00FE38EF">
            <w:pPr>
              <w:pStyle w:val="Geenafstand"/>
              <w:spacing w:line="360" w:lineRule="auto"/>
              <w:jc w:val="both"/>
            </w:pPr>
            <w:r>
              <w:t>Henare, Peeni</w:t>
            </w:r>
          </w:p>
        </w:tc>
        <w:tc>
          <w:tcPr>
            <w:tcW w:w="1843" w:type="dxa"/>
          </w:tcPr>
          <w:p w14:paraId="27268D93"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0D12185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0A3DB16F"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61">
              <w:r w:rsidR="00444A93">
                <w:rPr>
                  <w:color w:val="0563C1"/>
                  <w:u w:val="single"/>
                </w:rPr>
                <w:t>https://www.parliament.nz/en/mps-and-electorates/members-of-parliament/?PrimaryFilter=M%C4%81ori+electorate+seats&amp;SecondaryFilter=</w:t>
              </w:r>
            </w:hyperlink>
            <w:r w:rsidR="00444A93">
              <w:t xml:space="preserve"> </w:t>
            </w:r>
          </w:p>
        </w:tc>
      </w:tr>
      <w:tr w:rsidR="00444A93" w:rsidRPr="008F3A1C" w14:paraId="2C904D82"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AE59BD" w14:textId="77777777" w:rsidR="00444A93" w:rsidRDefault="00444A93" w:rsidP="00FE38EF">
            <w:pPr>
              <w:pStyle w:val="Geenafstand"/>
              <w:spacing w:line="360" w:lineRule="auto"/>
              <w:jc w:val="both"/>
            </w:pPr>
            <w:r>
              <w:t>Jackson, Willie</w:t>
            </w:r>
          </w:p>
        </w:tc>
        <w:tc>
          <w:tcPr>
            <w:tcW w:w="1843" w:type="dxa"/>
          </w:tcPr>
          <w:p w14:paraId="25B5A52B"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448E1FB0"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1B627E34"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62">
              <w:r w:rsidR="00444A93">
                <w:rPr>
                  <w:color w:val="1155CC"/>
                  <w:u w:val="single"/>
                </w:rPr>
                <w:t>https://www.labour.org.nz/williejackson</w:t>
              </w:r>
            </w:hyperlink>
            <w:r w:rsidR="00444A93">
              <w:t> </w:t>
            </w:r>
          </w:p>
        </w:tc>
      </w:tr>
      <w:tr w:rsidR="00444A93" w:rsidRPr="008F3A1C" w14:paraId="67C02A9D"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36FA4C0B" w14:textId="77777777" w:rsidR="00444A93" w:rsidRDefault="00444A93" w:rsidP="00FE38EF">
            <w:pPr>
              <w:pStyle w:val="Geenafstand"/>
              <w:spacing w:line="360" w:lineRule="auto"/>
              <w:jc w:val="both"/>
            </w:pPr>
            <w:r>
              <w:t>Kerekere, Elizabeth</w:t>
            </w:r>
          </w:p>
        </w:tc>
        <w:tc>
          <w:tcPr>
            <w:tcW w:w="1843" w:type="dxa"/>
          </w:tcPr>
          <w:p w14:paraId="3B441757"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3E403A2D"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Green Party</w:t>
            </w:r>
          </w:p>
        </w:tc>
        <w:tc>
          <w:tcPr>
            <w:tcW w:w="3779" w:type="dxa"/>
          </w:tcPr>
          <w:p w14:paraId="41049475"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63">
              <w:r w:rsidR="00444A93">
                <w:rPr>
                  <w:color w:val="1155CC"/>
                  <w:u w:val="single"/>
                </w:rPr>
                <w:t>https://www.greens.org.nz/elizabeth_kerekere</w:t>
              </w:r>
            </w:hyperlink>
            <w:r w:rsidR="00444A93">
              <w:t> </w:t>
            </w:r>
          </w:p>
        </w:tc>
      </w:tr>
      <w:tr w:rsidR="00444A93" w:rsidRPr="008F3A1C" w14:paraId="0CFCFA25"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2FA845" w14:textId="77777777" w:rsidR="00444A93" w:rsidRDefault="00444A93" w:rsidP="00FE38EF">
            <w:pPr>
              <w:pStyle w:val="Geenafstand"/>
              <w:spacing w:line="360" w:lineRule="auto"/>
              <w:jc w:val="both"/>
            </w:pPr>
            <w:r>
              <w:t>Luxton, Jo</w:t>
            </w:r>
          </w:p>
        </w:tc>
        <w:tc>
          <w:tcPr>
            <w:tcW w:w="1843" w:type="dxa"/>
          </w:tcPr>
          <w:p w14:paraId="095733BD"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716896E0"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5470F893"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64" w:history="1">
              <w:r w:rsidR="00444A93" w:rsidRPr="002E2CA9">
                <w:rPr>
                  <w:rStyle w:val="Hyperlink"/>
                </w:rPr>
                <w:t>https://www.stuff.co.nz/national/politics/103298466/how-mori-qualifies-as-mori-blueeyed-politician-says-i-feel-like-a-fraud</w:t>
              </w:r>
            </w:hyperlink>
            <w:r w:rsidR="00444A93">
              <w:t xml:space="preserve"> </w:t>
            </w:r>
          </w:p>
        </w:tc>
      </w:tr>
      <w:tr w:rsidR="00444A93" w:rsidRPr="008F3A1C" w14:paraId="35875E48"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0150FA4" w14:textId="77777777" w:rsidR="00444A93" w:rsidRDefault="00444A93" w:rsidP="00FE38EF">
            <w:pPr>
              <w:pStyle w:val="Geenafstand"/>
              <w:spacing w:line="360" w:lineRule="auto"/>
              <w:jc w:val="both"/>
            </w:pPr>
            <w:r>
              <w:t>Mahuta, Nanaia</w:t>
            </w:r>
          </w:p>
        </w:tc>
        <w:tc>
          <w:tcPr>
            <w:tcW w:w="1843" w:type="dxa"/>
          </w:tcPr>
          <w:p w14:paraId="2305FB3E"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 </w:t>
            </w:r>
          </w:p>
        </w:tc>
        <w:tc>
          <w:tcPr>
            <w:tcW w:w="1559" w:type="dxa"/>
          </w:tcPr>
          <w:p w14:paraId="37844C3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696DD4BE"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65">
              <w:r w:rsidR="00444A93">
                <w:rPr>
                  <w:color w:val="0563C1"/>
                  <w:u w:val="single"/>
                </w:rPr>
                <w:t>https://www.parliament.nz/en/mps-and-electorates/members-of-parliament/?PrimaryFilter=M%C4%81ori+electorate+seats&amp;SecondaryFilter=</w:t>
              </w:r>
            </w:hyperlink>
            <w:r w:rsidR="00444A93">
              <w:t xml:space="preserve"> </w:t>
            </w:r>
          </w:p>
        </w:tc>
      </w:tr>
      <w:tr w:rsidR="00444A93" w:rsidRPr="008F3A1C" w14:paraId="76338B56"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38C128" w14:textId="77777777" w:rsidR="00444A93" w:rsidRDefault="00444A93" w:rsidP="00FE38EF">
            <w:pPr>
              <w:pStyle w:val="Geenafstand"/>
              <w:spacing w:line="360" w:lineRule="auto"/>
              <w:jc w:val="both"/>
            </w:pPr>
            <w:r>
              <w:t>McKee, Nicole</w:t>
            </w:r>
          </w:p>
        </w:tc>
        <w:tc>
          <w:tcPr>
            <w:tcW w:w="1843" w:type="dxa"/>
          </w:tcPr>
          <w:p w14:paraId="0D56DC9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585899FD"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ACT Party</w:t>
            </w:r>
          </w:p>
        </w:tc>
        <w:tc>
          <w:tcPr>
            <w:tcW w:w="3779" w:type="dxa"/>
          </w:tcPr>
          <w:p w14:paraId="5A186DA7"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66" w:history="1">
              <w:r w:rsidR="00444A93" w:rsidRPr="002E2CA9">
                <w:rPr>
                  <w:rStyle w:val="Hyperlink"/>
                </w:rPr>
                <w:t>https://www.parliament.nz/en/pb/hansard-debates/rhr/document/HansS_20201208_051960000/mckee-nicole</w:t>
              </w:r>
            </w:hyperlink>
            <w:r w:rsidR="00444A93">
              <w:t xml:space="preserve"> </w:t>
            </w:r>
          </w:p>
        </w:tc>
      </w:tr>
      <w:tr w:rsidR="00444A93" w:rsidRPr="008F3A1C" w14:paraId="7FAD1E16"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3275631F" w14:textId="77777777" w:rsidR="00444A93" w:rsidRDefault="00444A93" w:rsidP="00FE38EF">
            <w:pPr>
              <w:pStyle w:val="Geenafstand"/>
              <w:spacing w:line="360" w:lineRule="auto"/>
              <w:jc w:val="both"/>
            </w:pPr>
            <w:r>
              <w:lastRenderedPageBreak/>
              <w:t>Ngarwea-Packer, Debbie</w:t>
            </w:r>
          </w:p>
        </w:tc>
        <w:tc>
          <w:tcPr>
            <w:tcW w:w="1843" w:type="dxa"/>
          </w:tcPr>
          <w:p w14:paraId="5C685FEC"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2B34BB66"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Te Paati Māori </w:t>
            </w:r>
          </w:p>
        </w:tc>
        <w:tc>
          <w:tcPr>
            <w:tcW w:w="3779" w:type="dxa"/>
          </w:tcPr>
          <w:p w14:paraId="210609A7"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67">
              <w:r w:rsidR="00444A93">
                <w:rPr>
                  <w:color w:val="1155CC"/>
                  <w:u w:val="single"/>
                </w:rPr>
                <w:t>https://www.maoriparty.org.nz/debbie_ngarewa_packer</w:t>
              </w:r>
            </w:hyperlink>
            <w:r w:rsidR="00444A93">
              <w:t> </w:t>
            </w:r>
          </w:p>
        </w:tc>
      </w:tr>
      <w:tr w:rsidR="00444A93" w:rsidRPr="008F3A1C" w14:paraId="3C4F96D2"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F682AB4" w14:textId="77777777" w:rsidR="00444A93" w:rsidRDefault="00444A93" w:rsidP="00FE38EF">
            <w:pPr>
              <w:pStyle w:val="Geenafstand"/>
              <w:spacing w:line="360" w:lineRule="auto"/>
              <w:jc w:val="both"/>
            </w:pPr>
            <w:r>
              <w:t>Prime, Willow-Jean</w:t>
            </w:r>
          </w:p>
        </w:tc>
        <w:tc>
          <w:tcPr>
            <w:tcW w:w="1843" w:type="dxa"/>
          </w:tcPr>
          <w:p w14:paraId="4A3B06D8"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558262E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061A5C32"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68" w:history="1">
              <w:r w:rsidR="00444A93" w:rsidRPr="007C7F0F">
                <w:rPr>
                  <w:rStyle w:val="Hyperlink"/>
                </w:rPr>
                <w:t>https://www.labour.org.nz/willowjeanprime</w:t>
              </w:r>
            </w:hyperlink>
            <w:r w:rsidR="00444A93">
              <w:t xml:space="preserve"> </w:t>
            </w:r>
          </w:p>
        </w:tc>
      </w:tr>
      <w:tr w:rsidR="00444A93" w:rsidRPr="008F3A1C" w14:paraId="458E1FBA"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5459DA05" w14:textId="77777777" w:rsidR="00444A93" w:rsidRDefault="00444A93" w:rsidP="00FE38EF">
            <w:pPr>
              <w:pStyle w:val="Geenafstand"/>
              <w:spacing w:line="360" w:lineRule="auto"/>
              <w:jc w:val="both"/>
            </w:pPr>
            <w:r>
              <w:t>Rurawhe, Adrian</w:t>
            </w:r>
          </w:p>
          <w:p w14:paraId="160DC298" w14:textId="77777777" w:rsidR="00444A93" w:rsidRDefault="00444A93" w:rsidP="00FE38EF">
            <w:pPr>
              <w:pStyle w:val="Geenafstand"/>
              <w:spacing w:line="360" w:lineRule="auto"/>
              <w:jc w:val="both"/>
            </w:pPr>
          </w:p>
          <w:p w14:paraId="28EEED5A" w14:textId="77777777" w:rsidR="00444A93" w:rsidRPr="00F96092" w:rsidRDefault="00444A93" w:rsidP="00FE38EF">
            <w:pPr>
              <w:pStyle w:val="Geenafstand"/>
              <w:spacing w:line="360" w:lineRule="auto"/>
              <w:jc w:val="both"/>
            </w:pPr>
          </w:p>
        </w:tc>
        <w:tc>
          <w:tcPr>
            <w:tcW w:w="1843" w:type="dxa"/>
          </w:tcPr>
          <w:p w14:paraId="71146F02"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37F38D5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15825F49"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69">
              <w:r w:rsidR="00444A93">
                <w:rPr>
                  <w:color w:val="0563C1"/>
                  <w:u w:val="single"/>
                </w:rPr>
                <w:t>https://www.parliament.nz/en/mps-and-electorates/members-of-parliament/?PrimaryFilter=M%C4%81ori+electorate+seats&amp;SecondaryFilter=</w:t>
              </w:r>
            </w:hyperlink>
          </w:p>
        </w:tc>
      </w:tr>
      <w:tr w:rsidR="00444A93" w:rsidRPr="008F3A1C" w14:paraId="782BF927"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86402DA" w14:textId="77777777" w:rsidR="00444A93" w:rsidRDefault="00444A93" w:rsidP="00FE38EF">
            <w:pPr>
              <w:pStyle w:val="Geenafstand"/>
              <w:spacing w:line="360" w:lineRule="auto"/>
              <w:jc w:val="both"/>
            </w:pPr>
            <w:r>
              <w:t>Bridges, Simon</w:t>
            </w:r>
          </w:p>
        </w:tc>
        <w:tc>
          <w:tcPr>
            <w:tcW w:w="1843" w:type="dxa"/>
          </w:tcPr>
          <w:p w14:paraId="2FCE4EB2"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18ADD2EA"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National Party</w:t>
            </w:r>
          </w:p>
        </w:tc>
        <w:tc>
          <w:tcPr>
            <w:tcW w:w="3779" w:type="dxa"/>
          </w:tcPr>
          <w:p w14:paraId="5F812316"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70" w:history="1">
              <w:r w:rsidR="00444A93" w:rsidRPr="002E2CA9">
                <w:rPr>
                  <w:rStyle w:val="Hyperlink"/>
                </w:rPr>
                <w:t>https://www.theguardian.com/world/2018/feb/27/new-zealand-national-party-elects-maori-leader-jacindamania</w:t>
              </w:r>
            </w:hyperlink>
            <w:r w:rsidR="00444A93">
              <w:t xml:space="preserve"> </w:t>
            </w:r>
          </w:p>
        </w:tc>
      </w:tr>
      <w:tr w:rsidR="00444A93" w:rsidRPr="008F3A1C" w14:paraId="68E89CD4"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4A02382A" w14:textId="77777777" w:rsidR="00444A93" w:rsidRDefault="00444A93" w:rsidP="00FE38EF">
            <w:pPr>
              <w:pStyle w:val="Geenafstand"/>
              <w:spacing w:line="360" w:lineRule="auto"/>
              <w:jc w:val="both"/>
            </w:pPr>
            <w:r>
              <w:t>Reti, Shane</w:t>
            </w:r>
          </w:p>
        </w:tc>
        <w:tc>
          <w:tcPr>
            <w:tcW w:w="1843" w:type="dxa"/>
          </w:tcPr>
          <w:p w14:paraId="52318BC8"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51CC6068"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National Party</w:t>
            </w:r>
          </w:p>
        </w:tc>
        <w:tc>
          <w:tcPr>
            <w:tcW w:w="3779" w:type="dxa"/>
          </w:tcPr>
          <w:p w14:paraId="289B4D13"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71" w:history="1">
              <w:r w:rsidR="00444A93" w:rsidRPr="002E2CA9">
                <w:rPr>
                  <w:rStyle w:val="Hyperlink"/>
                </w:rPr>
                <w:t>https://www.parliament.nz/en/pb/hansard-debates/rhr/document/51HansS_20141029_00000979/reti-shane-address-in-reply</w:t>
              </w:r>
            </w:hyperlink>
            <w:r w:rsidR="00444A93">
              <w:t xml:space="preserve"> </w:t>
            </w:r>
          </w:p>
        </w:tc>
      </w:tr>
      <w:tr w:rsidR="00444A93" w:rsidRPr="008F3A1C" w14:paraId="0C887986"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D5636E" w14:textId="77777777" w:rsidR="00444A93" w:rsidRPr="004E6083" w:rsidRDefault="00444A93" w:rsidP="00FE38EF">
            <w:pPr>
              <w:pStyle w:val="Geenafstand"/>
              <w:spacing w:line="360" w:lineRule="auto"/>
              <w:jc w:val="both"/>
            </w:pPr>
            <w:r>
              <w:t>Tamati, Coffey</w:t>
            </w:r>
          </w:p>
        </w:tc>
        <w:tc>
          <w:tcPr>
            <w:tcW w:w="1843" w:type="dxa"/>
          </w:tcPr>
          <w:p w14:paraId="1B545AD0" w14:textId="77777777" w:rsidR="00444A93" w:rsidRPr="004E608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b/>
                <w:bCs/>
              </w:rPr>
            </w:pPr>
            <w:r>
              <w:t>Māori roll</w:t>
            </w:r>
          </w:p>
        </w:tc>
        <w:tc>
          <w:tcPr>
            <w:tcW w:w="1559" w:type="dxa"/>
          </w:tcPr>
          <w:p w14:paraId="0E2CADF7" w14:textId="77777777" w:rsidR="00444A93" w:rsidRPr="004E608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b/>
                <w:bCs/>
              </w:rPr>
            </w:pPr>
            <w:r>
              <w:t>Labour Party</w:t>
            </w:r>
          </w:p>
        </w:tc>
        <w:tc>
          <w:tcPr>
            <w:tcW w:w="3779" w:type="dxa"/>
          </w:tcPr>
          <w:p w14:paraId="631A8C62" w14:textId="77777777" w:rsidR="00444A93" w:rsidRPr="004E608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b/>
                <w:bCs/>
              </w:rPr>
            </w:pPr>
            <w:hyperlink r:id="rId72" w:history="1">
              <w:r w:rsidR="00444A93" w:rsidRPr="002E2CA9">
                <w:rPr>
                  <w:rStyle w:val="Hyperlink"/>
                </w:rPr>
                <w:t>https://www.parliament.nz/en/mps-and-electorates/members-of-parliament/coffey-tamati/</w:t>
              </w:r>
            </w:hyperlink>
            <w:r w:rsidR="00444A93">
              <w:t xml:space="preserve"> </w:t>
            </w:r>
          </w:p>
        </w:tc>
      </w:tr>
      <w:tr w:rsidR="00444A93" w:rsidRPr="008F3A1C" w14:paraId="10FCE58C"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AAACF10" w14:textId="77777777" w:rsidR="00444A93" w:rsidRDefault="00444A93" w:rsidP="00FE38EF">
            <w:pPr>
              <w:pStyle w:val="Geenafstand"/>
              <w:spacing w:line="360" w:lineRule="auto"/>
              <w:jc w:val="both"/>
            </w:pPr>
            <w:r>
              <w:t>Tirikatene, Rino</w:t>
            </w:r>
          </w:p>
        </w:tc>
        <w:tc>
          <w:tcPr>
            <w:tcW w:w="1843" w:type="dxa"/>
          </w:tcPr>
          <w:p w14:paraId="35D67A4C"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001E7527"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2B810DD8"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73">
              <w:r w:rsidR="00444A93">
                <w:rPr>
                  <w:color w:val="0563C1"/>
                  <w:u w:val="single"/>
                </w:rPr>
                <w:t>https://www.parliament.nz/en/mps-and-electorates/members-of-parliament/?PrimaryFilter=M%C4%81ori+electorate+seats&amp;SecondaryFilter=</w:t>
              </w:r>
            </w:hyperlink>
          </w:p>
        </w:tc>
      </w:tr>
      <w:tr w:rsidR="00444A93" w:rsidRPr="008F3A1C" w14:paraId="7D59DDAD"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0FEF810" w14:textId="77777777" w:rsidR="00444A93" w:rsidRDefault="00444A93" w:rsidP="00FE38EF">
            <w:pPr>
              <w:pStyle w:val="Geenafstand"/>
              <w:spacing w:line="360" w:lineRule="auto"/>
              <w:jc w:val="both"/>
            </w:pPr>
            <w:r>
              <w:t>Tuiono, Teanau</w:t>
            </w:r>
          </w:p>
        </w:tc>
        <w:tc>
          <w:tcPr>
            <w:tcW w:w="1843" w:type="dxa"/>
          </w:tcPr>
          <w:p w14:paraId="607F4D3C"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0EC2E552"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Green Party</w:t>
            </w:r>
          </w:p>
        </w:tc>
        <w:tc>
          <w:tcPr>
            <w:tcW w:w="3779" w:type="dxa"/>
          </w:tcPr>
          <w:p w14:paraId="65E42B31"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74">
              <w:r w:rsidR="00444A93">
                <w:rPr>
                  <w:color w:val="1155CC"/>
                  <w:u w:val="single"/>
                </w:rPr>
                <w:t>https://www.greens.org.nz/teanau_tuiono_mp</w:t>
              </w:r>
            </w:hyperlink>
            <w:r w:rsidR="00444A93">
              <w:t> </w:t>
            </w:r>
          </w:p>
        </w:tc>
      </w:tr>
      <w:tr w:rsidR="00444A93" w:rsidRPr="008F3A1C" w14:paraId="75FA7071"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7B9A1EBE" w14:textId="77777777" w:rsidR="00444A93" w:rsidRDefault="00444A93" w:rsidP="00FE38EF">
            <w:pPr>
              <w:pStyle w:val="Geenafstand"/>
              <w:spacing w:line="360" w:lineRule="auto"/>
              <w:jc w:val="both"/>
            </w:pPr>
            <w:r>
              <w:t>Wall, Louisa</w:t>
            </w:r>
          </w:p>
        </w:tc>
        <w:tc>
          <w:tcPr>
            <w:tcW w:w="1843" w:type="dxa"/>
          </w:tcPr>
          <w:p w14:paraId="629A6A9D"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58F8F22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616EE2AA"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75" w:history="1">
              <w:r w:rsidR="00444A93" w:rsidRPr="002E2CA9">
                <w:rPr>
                  <w:rStyle w:val="Hyperlink"/>
                </w:rPr>
                <w:t>https://www.parliament.nz/en/pb/hansard-debates/rhr/document/48HansS_20080304_00001030/wall-louisa-maiden-statement</w:t>
              </w:r>
            </w:hyperlink>
            <w:r w:rsidR="00444A93">
              <w:t xml:space="preserve"> </w:t>
            </w:r>
          </w:p>
        </w:tc>
      </w:tr>
      <w:tr w:rsidR="00444A93" w:rsidRPr="008F3A1C" w14:paraId="14E175D7"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3B89357" w14:textId="77777777" w:rsidR="00444A93" w:rsidRDefault="00444A93" w:rsidP="00FE38EF">
            <w:pPr>
              <w:pStyle w:val="Geenafstand"/>
              <w:spacing w:line="360" w:lineRule="auto"/>
              <w:jc w:val="both"/>
            </w:pPr>
            <w:r>
              <w:t>Waititi, Rawiri</w:t>
            </w:r>
          </w:p>
        </w:tc>
        <w:tc>
          <w:tcPr>
            <w:tcW w:w="1843" w:type="dxa"/>
          </w:tcPr>
          <w:p w14:paraId="7AF946D8"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w:t>
            </w:r>
          </w:p>
        </w:tc>
        <w:tc>
          <w:tcPr>
            <w:tcW w:w="1559" w:type="dxa"/>
          </w:tcPr>
          <w:p w14:paraId="481FCF4B"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Te Paati Māori </w:t>
            </w:r>
          </w:p>
        </w:tc>
        <w:tc>
          <w:tcPr>
            <w:tcW w:w="3779" w:type="dxa"/>
          </w:tcPr>
          <w:p w14:paraId="07604FC9"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76">
              <w:r w:rsidR="00444A93">
                <w:rPr>
                  <w:color w:val="0563C1"/>
                  <w:u w:val="single"/>
                </w:rPr>
                <w:t>https://www.parliament.nz/en/mps-and-electorates/members-of-parliament/?PrimaryFilter=M%C4%81ori+electorate+seats&amp;SecondaryFilter=</w:t>
              </w:r>
            </w:hyperlink>
          </w:p>
        </w:tc>
      </w:tr>
      <w:tr w:rsidR="00444A93" w:rsidRPr="008F3A1C" w14:paraId="30033022"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287265D7" w14:textId="77777777" w:rsidR="00444A93" w:rsidRDefault="00444A93" w:rsidP="00FE38EF">
            <w:pPr>
              <w:pStyle w:val="Geenafstand"/>
              <w:spacing w:line="360" w:lineRule="auto"/>
              <w:jc w:val="both"/>
            </w:pPr>
            <w:r>
              <w:lastRenderedPageBreak/>
              <w:t>Whaitiri, Meka</w:t>
            </w:r>
          </w:p>
        </w:tc>
        <w:tc>
          <w:tcPr>
            <w:tcW w:w="1843" w:type="dxa"/>
          </w:tcPr>
          <w:p w14:paraId="47B9AD71"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393F94B4"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57389043"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77">
              <w:r w:rsidR="00444A93">
                <w:rPr>
                  <w:color w:val="0563C1"/>
                  <w:u w:val="single"/>
                </w:rPr>
                <w:t>https://www.parliament.nz/en/mps-and-electorates/members-of-parliament/?PrimaryFilter=M%C4%81ori+electorate+seats&amp;SecondaryFilter=</w:t>
              </w:r>
            </w:hyperlink>
            <w:r w:rsidR="00444A93">
              <w:t xml:space="preserve"> </w:t>
            </w:r>
          </w:p>
        </w:tc>
      </w:tr>
      <w:tr w:rsidR="00444A93" w:rsidRPr="008F3A1C" w14:paraId="0A5CAE63"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5A615F" w14:textId="77777777" w:rsidR="00444A93" w:rsidRDefault="00444A93" w:rsidP="00FE38EF">
            <w:pPr>
              <w:pStyle w:val="Geenafstand"/>
              <w:spacing w:line="360" w:lineRule="auto"/>
              <w:jc w:val="both"/>
            </w:pPr>
            <w:r>
              <w:t>Williams, Arena</w:t>
            </w:r>
          </w:p>
        </w:tc>
        <w:tc>
          <w:tcPr>
            <w:tcW w:w="1843" w:type="dxa"/>
          </w:tcPr>
          <w:p w14:paraId="775624E4"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3ED2458D"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23C2FC7B"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78" w:history="1">
              <w:r w:rsidR="00444A93" w:rsidRPr="002E2CA9">
                <w:rPr>
                  <w:rStyle w:val="Hyperlink"/>
                </w:rPr>
                <w:t>https://www.parliament.nz/en/pb/hansard-debates/rhr/document/HansS_20201126_051540000/williams-arena</w:t>
              </w:r>
            </w:hyperlink>
            <w:r w:rsidR="00444A93">
              <w:t xml:space="preserve"> </w:t>
            </w:r>
          </w:p>
        </w:tc>
      </w:tr>
    </w:tbl>
    <w:p w14:paraId="209ACC2E" w14:textId="68E3D826" w:rsidR="00444A93" w:rsidRPr="00444A93" w:rsidRDefault="00444A93" w:rsidP="00FE38EF">
      <w:pPr>
        <w:pStyle w:val="Geenafstand"/>
        <w:spacing w:line="360" w:lineRule="auto"/>
        <w:jc w:val="both"/>
      </w:pPr>
      <w:r w:rsidRPr="00444A93">
        <w:t xml:space="preserve">*This table is created </w:t>
      </w:r>
      <w:r w:rsidR="00621058" w:rsidRPr="00444A93">
        <w:t>based on</w:t>
      </w:r>
      <w:r w:rsidRPr="00444A93">
        <w:t xml:space="preserve"> a variety of sources. They are stated separately in the references.</w:t>
      </w:r>
    </w:p>
    <w:p w14:paraId="0AAB640C" w14:textId="77777777" w:rsidR="00B376AA" w:rsidRDefault="00B376AA" w:rsidP="00416643">
      <w:pPr>
        <w:pStyle w:val="Geenafstand"/>
        <w:spacing w:line="360" w:lineRule="auto"/>
        <w:jc w:val="center"/>
        <w:rPr>
          <w:rFonts w:ascii="Calibri" w:eastAsia="Calibri" w:hAnsi="Calibri" w:cs="Calibri"/>
          <w:sz w:val="20"/>
          <w:szCs w:val="20"/>
        </w:rPr>
      </w:pPr>
      <w:bookmarkStart w:id="319" w:name="_Toc73969265"/>
      <w:bookmarkStart w:id="320" w:name="_Toc74503528"/>
    </w:p>
    <w:p w14:paraId="2E5A9D67" w14:textId="77777777" w:rsidR="00D5427B" w:rsidRDefault="00D5427B">
      <w:pPr>
        <w:rPr>
          <w:rFonts w:ascii="Calibri" w:eastAsia="Calibri" w:hAnsi="Calibri" w:cs="Calibri"/>
          <w:color w:val="1F3763" w:themeColor="accent1" w:themeShade="7F"/>
          <w:sz w:val="20"/>
          <w:szCs w:val="20"/>
          <w:lang w:val="en-GB" w:eastAsia="en-GB"/>
        </w:rPr>
      </w:pPr>
      <w:bookmarkStart w:id="321" w:name="_Toc74583868"/>
      <w:r w:rsidRPr="00A32CA7">
        <w:rPr>
          <w:rFonts w:ascii="Calibri" w:eastAsia="Calibri" w:hAnsi="Calibri" w:cs="Calibri"/>
          <w:sz w:val="20"/>
          <w:szCs w:val="20"/>
          <w:lang w:val="en-GB"/>
        </w:rPr>
        <w:br w:type="page"/>
      </w:r>
    </w:p>
    <w:p w14:paraId="73BC9B02" w14:textId="1960B709" w:rsidR="00444A93" w:rsidRPr="00D354FE" w:rsidRDefault="00B376AA" w:rsidP="00D354FE">
      <w:pPr>
        <w:pStyle w:val="Kop3"/>
        <w:rPr>
          <w:sz w:val="20"/>
          <w:szCs w:val="20"/>
        </w:rPr>
      </w:pPr>
      <w:bookmarkStart w:id="322" w:name="_Toc75384130"/>
      <w:r w:rsidRPr="00D354FE">
        <w:rPr>
          <w:rFonts w:ascii="Calibri" w:eastAsia="Calibri" w:hAnsi="Calibri" w:cs="Calibri"/>
          <w:sz w:val="20"/>
          <w:szCs w:val="20"/>
        </w:rPr>
        <w:lastRenderedPageBreak/>
        <w:t xml:space="preserve">Table </w:t>
      </w:r>
      <w:r w:rsidR="00D1170C" w:rsidRPr="00D354FE">
        <w:rPr>
          <w:rFonts w:ascii="Calibri" w:eastAsia="Calibri" w:hAnsi="Calibri" w:cs="Calibri"/>
          <w:sz w:val="20"/>
          <w:szCs w:val="20"/>
        </w:rPr>
        <w:t>A.</w:t>
      </w:r>
      <w:r w:rsidRPr="00D354FE">
        <w:rPr>
          <w:rFonts w:ascii="Calibri" w:eastAsia="Calibri" w:hAnsi="Calibri" w:cs="Calibri"/>
          <w:sz w:val="20"/>
          <w:szCs w:val="20"/>
        </w:rPr>
        <w:t>3. Māori</w:t>
      </w:r>
      <w:r w:rsidRPr="00D354FE">
        <w:rPr>
          <w:sz w:val="20"/>
          <w:szCs w:val="20"/>
        </w:rPr>
        <w:t xml:space="preserve"> identification Members of Parliament (52</w:t>
      </w:r>
      <w:r w:rsidRPr="00D354FE">
        <w:rPr>
          <w:sz w:val="20"/>
          <w:szCs w:val="20"/>
          <w:vertAlign w:val="superscript"/>
        </w:rPr>
        <w:t>nd</w:t>
      </w:r>
      <w:r w:rsidRPr="00D354FE">
        <w:rPr>
          <w:sz w:val="20"/>
          <w:szCs w:val="20"/>
        </w:rPr>
        <w:t xml:space="preserve"> government).</w:t>
      </w:r>
      <w:bookmarkEnd w:id="319"/>
      <w:bookmarkEnd w:id="320"/>
      <w:bookmarkEnd w:id="321"/>
      <w:bookmarkEnd w:id="322"/>
    </w:p>
    <w:tbl>
      <w:tblPr>
        <w:tblStyle w:val="Lijsttabel1licht"/>
        <w:tblW w:w="9166" w:type="dxa"/>
        <w:tblLayout w:type="fixed"/>
        <w:tblLook w:val="04A0" w:firstRow="1" w:lastRow="0" w:firstColumn="1" w:lastColumn="0" w:noHBand="0" w:noVBand="1"/>
      </w:tblPr>
      <w:tblGrid>
        <w:gridCol w:w="1985"/>
        <w:gridCol w:w="1843"/>
        <w:gridCol w:w="1559"/>
        <w:gridCol w:w="3779"/>
      </w:tblGrid>
      <w:tr w:rsidR="00444A93" w14:paraId="7B8BBD2C" w14:textId="77777777" w:rsidTr="00187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93835B" w14:textId="77777777" w:rsidR="00444A93" w:rsidRDefault="00444A93" w:rsidP="00FE38EF">
            <w:pPr>
              <w:pStyle w:val="Geenafstand"/>
              <w:spacing w:line="360" w:lineRule="auto"/>
              <w:jc w:val="both"/>
            </w:pPr>
            <w:r>
              <w:t>Name</w:t>
            </w:r>
          </w:p>
        </w:tc>
        <w:tc>
          <w:tcPr>
            <w:tcW w:w="1843" w:type="dxa"/>
          </w:tcPr>
          <w:p w14:paraId="2722F5A1"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General/Māori roll or Party list</w:t>
            </w:r>
          </w:p>
        </w:tc>
        <w:tc>
          <w:tcPr>
            <w:tcW w:w="1559" w:type="dxa"/>
          </w:tcPr>
          <w:p w14:paraId="0335E47A"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Party</w:t>
            </w:r>
          </w:p>
        </w:tc>
        <w:tc>
          <w:tcPr>
            <w:tcW w:w="3779" w:type="dxa"/>
          </w:tcPr>
          <w:p w14:paraId="458ADEA2" w14:textId="77777777" w:rsidR="00444A93" w:rsidRDefault="00444A93" w:rsidP="00FE38EF">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pPr>
            <w:r>
              <w:t>Self-identification</w:t>
            </w:r>
          </w:p>
        </w:tc>
      </w:tr>
      <w:tr w:rsidR="00444A93" w:rsidRPr="008F3A1C" w14:paraId="6FBA986F"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AE54D67" w14:textId="77777777" w:rsidR="00444A93" w:rsidRDefault="00444A93" w:rsidP="00FE38EF">
            <w:pPr>
              <w:pStyle w:val="Geenafstand"/>
              <w:spacing w:line="360" w:lineRule="auto"/>
              <w:jc w:val="both"/>
            </w:pPr>
            <w:r>
              <w:t>Allan, Kiritapu</w:t>
            </w:r>
          </w:p>
        </w:tc>
        <w:tc>
          <w:tcPr>
            <w:tcW w:w="1843" w:type="dxa"/>
          </w:tcPr>
          <w:p w14:paraId="09D72B2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1EA0577C"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0848E660"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79" w:history="1">
              <w:r w:rsidR="00444A93" w:rsidRPr="002E2CA9">
                <w:rPr>
                  <w:rStyle w:val="Hyperlink"/>
                </w:rPr>
                <w:t>https://www.labour.org.nz/kiriallan</w:t>
              </w:r>
            </w:hyperlink>
          </w:p>
        </w:tc>
      </w:tr>
      <w:tr w:rsidR="00444A93" w:rsidRPr="008F3A1C" w14:paraId="78CCF67A"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476D6EE" w14:textId="77777777" w:rsidR="00444A93" w:rsidRDefault="00444A93" w:rsidP="00FE38EF">
            <w:pPr>
              <w:pStyle w:val="Geenafstand"/>
              <w:spacing w:line="360" w:lineRule="auto"/>
              <w:jc w:val="both"/>
            </w:pPr>
            <w:r>
              <w:t>Bennett, Paula</w:t>
            </w:r>
          </w:p>
        </w:tc>
        <w:tc>
          <w:tcPr>
            <w:tcW w:w="1843" w:type="dxa"/>
          </w:tcPr>
          <w:p w14:paraId="3E2044F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General roll</w:t>
            </w:r>
          </w:p>
        </w:tc>
        <w:tc>
          <w:tcPr>
            <w:tcW w:w="1559" w:type="dxa"/>
          </w:tcPr>
          <w:p w14:paraId="7703D0FC"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National Party</w:t>
            </w:r>
          </w:p>
        </w:tc>
        <w:tc>
          <w:tcPr>
            <w:tcW w:w="3779" w:type="dxa"/>
          </w:tcPr>
          <w:p w14:paraId="68755865"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80" w:history="1">
              <w:r w:rsidR="00444A93" w:rsidRPr="002E2CA9">
                <w:rPr>
                  <w:rStyle w:val="Hyperlink"/>
                </w:rPr>
                <w:t>https://www.parliament.nz/en/pb/hansard-debates/rhr/document/48HansS_20051116_00000852/bennett-paula-address-in-reply</w:t>
              </w:r>
            </w:hyperlink>
            <w:r w:rsidR="00444A93">
              <w:t xml:space="preserve"> </w:t>
            </w:r>
          </w:p>
        </w:tc>
      </w:tr>
      <w:tr w:rsidR="00444A93" w:rsidRPr="008F3A1C" w14:paraId="4D81027A"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1893B7" w14:textId="77777777" w:rsidR="00444A93" w:rsidRPr="00C45B86" w:rsidRDefault="00444A93" w:rsidP="00FE38EF">
            <w:pPr>
              <w:pStyle w:val="Geenafstand"/>
              <w:spacing w:line="360" w:lineRule="auto"/>
              <w:jc w:val="both"/>
            </w:pPr>
            <w:r>
              <w:t>Bidois, Dan</w:t>
            </w:r>
          </w:p>
        </w:tc>
        <w:tc>
          <w:tcPr>
            <w:tcW w:w="1843" w:type="dxa"/>
          </w:tcPr>
          <w:p w14:paraId="4BE7B4D0"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13106788"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National Party</w:t>
            </w:r>
          </w:p>
        </w:tc>
        <w:tc>
          <w:tcPr>
            <w:tcW w:w="3779" w:type="dxa"/>
          </w:tcPr>
          <w:p w14:paraId="77608952"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81" w:history="1">
              <w:r w:rsidR="00444A93" w:rsidRPr="002E2CA9">
                <w:rPr>
                  <w:rStyle w:val="Hyperlink"/>
                </w:rPr>
                <w:t>https://www.parliament.nz/en/pb/hansard-debates/rhr/combined/HansDeb_20180703_20180703_24</w:t>
              </w:r>
            </w:hyperlink>
            <w:r w:rsidR="00444A93">
              <w:t xml:space="preserve"> </w:t>
            </w:r>
          </w:p>
        </w:tc>
      </w:tr>
      <w:tr w:rsidR="00444A93" w:rsidRPr="008F3A1C" w14:paraId="58C7B8C7"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948ED8A" w14:textId="77777777" w:rsidR="00444A93" w:rsidRDefault="00444A93" w:rsidP="00FE38EF">
            <w:pPr>
              <w:pStyle w:val="Geenafstand"/>
              <w:spacing w:line="360" w:lineRule="auto"/>
              <w:jc w:val="both"/>
            </w:pPr>
            <w:r>
              <w:t>Bridges, Simon</w:t>
            </w:r>
          </w:p>
        </w:tc>
        <w:tc>
          <w:tcPr>
            <w:tcW w:w="1843" w:type="dxa"/>
          </w:tcPr>
          <w:p w14:paraId="2DCDC490"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General roll</w:t>
            </w:r>
          </w:p>
        </w:tc>
        <w:tc>
          <w:tcPr>
            <w:tcW w:w="1559" w:type="dxa"/>
          </w:tcPr>
          <w:p w14:paraId="49FAA4B3"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National Party</w:t>
            </w:r>
          </w:p>
        </w:tc>
        <w:tc>
          <w:tcPr>
            <w:tcW w:w="3779" w:type="dxa"/>
          </w:tcPr>
          <w:p w14:paraId="2F8D3F72"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82" w:history="1">
              <w:r w:rsidR="00444A93" w:rsidRPr="002E2CA9">
                <w:rPr>
                  <w:rStyle w:val="Hyperlink"/>
                </w:rPr>
                <w:t>https://www.theguardian.com/world/2018/feb/27/new-zealand-national-party-elects-maori-leader-jacindamania</w:t>
              </w:r>
            </w:hyperlink>
            <w:r w:rsidR="00444A93">
              <w:t xml:space="preserve"> </w:t>
            </w:r>
          </w:p>
        </w:tc>
      </w:tr>
      <w:tr w:rsidR="00444A93" w:rsidRPr="008F3A1C" w14:paraId="0FD64735"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088543" w14:textId="77777777" w:rsidR="00444A93" w:rsidRDefault="00444A93" w:rsidP="00FE38EF">
            <w:pPr>
              <w:pStyle w:val="Geenafstand"/>
              <w:spacing w:line="360" w:lineRule="auto"/>
              <w:jc w:val="both"/>
            </w:pPr>
            <w:r>
              <w:t>Davidson, Marama</w:t>
            </w:r>
          </w:p>
        </w:tc>
        <w:tc>
          <w:tcPr>
            <w:tcW w:w="1843" w:type="dxa"/>
          </w:tcPr>
          <w:p w14:paraId="3EECFC15"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248F99E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Green Party</w:t>
            </w:r>
          </w:p>
        </w:tc>
        <w:tc>
          <w:tcPr>
            <w:tcW w:w="3779" w:type="dxa"/>
          </w:tcPr>
          <w:p w14:paraId="34111EC5"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83">
              <w:r w:rsidR="00444A93">
                <w:rPr>
                  <w:color w:val="1155CC"/>
                  <w:u w:val="single"/>
                </w:rPr>
                <w:t>https://www.greens.org.nz/marama_davidson</w:t>
              </w:r>
            </w:hyperlink>
            <w:r w:rsidR="00444A93">
              <w:t> </w:t>
            </w:r>
          </w:p>
        </w:tc>
      </w:tr>
      <w:tr w:rsidR="00444A93" w:rsidRPr="008F3A1C" w14:paraId="3FF8DC1E"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2A76755A" w14:textId="77777777" w:rsidR="00444A93" w:rsidRDefault="00444A93" w:rsidP="00FE38EF">
            <w:pPr>
              <w:pStyle w:val="Geenafstand"/>
              <w:spacing w:line="360" w:lineRule="auto"/>
              <w:jc w:val="both"/>
            </w:pPr>
            <w:r>
              <w:t>Davidson, Marama</w:t>
            </w:r>
          </w:p>
        </w:tc>
        <w:tc>
          <w:tcPr>
            <w:tcW w:w="1843" w:type="dxa"/>
          </w:tcPr>
          <w:p w14:paraId="1D80C0E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6F755B7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Green Party</w:t>
            </w:r>
          </w:p>
        </w:tc>
        <w:tc>
          <w:tcPr>
            <w:tcW w:w="3779" w:type="dxa"/>
          </w:tcPr>
          <w:p w14:paraId="04440177" w14:textId="77777777" w:rsidR="00444A93" w:rsidRPr="0040571C"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84">
              <w:r w:rsidR="00444A93">
                <w:rPr>
                  <w:color w:val="1155CC"/>
                  <w:u w:val="single"/>
                </w:rPr>
                <w:t>https://www.greens.org.nz/marama_davidson</w:t>
              </w:r>
            </w:hyperlink>
            <w:r w:rsidR="00444A93">
              <w:t> </w:t>
            </w:r>
          </w:p>
        </w:tc>
      </w:tr>
      <w:tr w:rsidR="00444A93" w:rsidRPr="008F3A1C" w14:paraId="425E158C"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92132FB" w14:textId="77777777" w:rsidR="00444A93" w:rsidRDefault="00444A93" w:rsidP="00FE38EF">
            <w:pPr>
              <w:pStyle w:val="Geenafstand"/>
              <w:spacing w:line="360" w:lineRule="auto"/>
              <w:jc w:val="both"/>
            </w:pPr>
            <w:r>
              <w:t>Davis, Kelvin</w:t>
            </w:r>
          </w:p>
        </w:tc>
        <w:tc>
          <w:tcPr>
            <w:tcW w:w="1843" w:type="dxa"/>
          </w:tcPr>
          <w:p w14:paraId="19AD96FC"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w:t>
            </w:r>
          </w:p>
        </w:tc>
        <w:tc>
          <w:tcPr>
            <w:tcW w:w="1559" w:type="dxa"/>
          </w:tcPr>
          <w:p w14:paraId="3386062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37A7FB3D"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85">
              <w:r w:rsidR="00444A93">
                <w:rPr>
                  <w:color w:val="0563C1"/>
                  <w:u w:val="single"/>
                </w:rPr>
                <w:t>https://www.parliament.nz/en/mps-and-electorates/members-of-parliament/?PrimaryFilter=M%C4%81ori+electorate+seats&amp;SecondaryFilter=</w:t>
              </w:r>
            </w:hyperlink>
          </w:p>
        </w:tc>
      </w:tr>
      <w:tr w:rsidR="00444A93" w:rsidRPr="008F3A1C" w14:paraId="088FD04B"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2E6D7327" w14:textId="77777777" w:rsidR="00444A93" w:rsidRDefault="00444A93" w:rsidP="00FE38EF">
            <w:pPr>
              <w:pStyle w:val="Geenafstand"/>
              <w:spacing w:line="360" w:lineRule="auto"/>
              <w:jc w:val="both"/>
            </w:pPr>
            <w:r>
              <w:t>Eagle, Paul</w:t>
            </w:r>
          </w:p>
        </w:tc>
        <w:tc>
          <w:tcPr>
            <w:tcW w:w="1843" w:type="dxa"/>
          </w:tcPr>
          <w:p w14:paraId="37E76A1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General roll</w:t>
            </w:r>
          </w:p>
        </w:tc>
        <w:tc>
          <w:tcPr>
            <w:tcW w:w="1559" w:type="dxa"/>
          </w:tcPr>
          <w:p w14:paraId="43DE0D22"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38AAB934"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86" w:history="1">
              <w:r w:rsidR="00444A93" w:rsidRPr="007C7F0F">
                <w:rPr>
                  <w:rStyle w:val="Hyperlink"/>
                </w:rPr>
                <w:t>https://www.labour.org.nz/pauleagle</w:t>
              </w:r>
            </w:hyperlink>
            <w:r w:rsidR="00444A93">
              <w:t xml:space="preserve"> </w:t>
            </w:r>
          </w:p>
        </w:tc>
      </w:tr>
      <w:tr w:rsidR="00444A93" w:rsidRPr="008F3A1C" w14:paraId="4432ECFD"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367CE7" w14:textId="77777777" w:rsidR="00444A93" w:rsidRDefault="00444A93" w:rsidP="00FE38EF">
            <w:pPr>
              <w:pStyle w:val="Geenafstand"/>
              <w:spacing w:line="360" w:lineRule="auto"/>
              <w:jc w:val="both"/>
            </w:pPr>
            <w:r>
              <w:t>Hayes, Joanne</w:t>
            </w:r>
          </w:p>
        </w:tc>
        <w:tc>
          <w:tcPr>
            <w:tcW w:w="1843" w:type="dxa"/>
          </w:tcPr>
          <w:p w14:paraId="1562717A"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7CA81AB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National Party</w:t>
            </w:r>
          </w:p>
        </w:tc>
        <w:tc>
          <w:tcPr>
            <w:tcW w:w="3779" w:type="dxa"/>
          </w:tcPr>
          <w:p w14:paraId="58154CDF"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87" w:history="1">
              <w:r w:rsidR="00444A93" w:rsidRPr="002E2CA9">
                <w:rPr>
                  <w:rStyle w:val="Hyperlink"/>
                </w:rPr>
                <w:t>https://www.parliament.nz/en/pb/hansard-debates/rhr/document/50HansS_20140129_00000932/hayes-joanne-maiden-statements</w:t>
              </w:r>
            </w:hyperlink>
            <w:r w:rsidR="00444A93">
              <w:t xml:space="preserve"> </w:t>
            </w:r>
          </w:p>
        </w:tc>
      </w:tr>
      <w:tr w:rsidR="00444A93" w:rsidRPr="008F3A1C" w14:paraId="4ABEF78F"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70BA87EA" w14:textId="77777777" w:rsidR="00444A93" w:rsidRDefault="00444A93" w:rsidP="00FE38EF">
            <w:pPr>
              <w:pStyle w:val="Geenafstand"/>
              <w:spacing w:line="360" w:lineRule="auto"/>
              <w:jc w:val="both"/>
            </w:pPr>
            <w:r>
              <w:t>Henare, Peeni</w:t>
            </w:r>
          </w:p>
        </w:tc>
        <w:tc>
          <w:tcPr>
            <w:tcW w:w="1843" w:type="dxa"/>
          </w:tcPr>
          <w:p w14:paraId="3EFD0C53"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0CCEB0C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7060C052"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88">
              <w:r w:rsidR="00444A93">
                <w:rPr>
                  <w:color w:val="0563C1"/>
                  <w:u w:val="single"/>
                </w:rPr>
                <w:t>https://www.parliament.nz/en/mps-and-electorates/members-of-parliament/?PrimaryFilter=M%C4%81ori+electorate+seats&amp;SecondaryFilter=</w:t>
              </w:r>
            </w:hyperlink>
            <w:r w:rsidR="00444A93">
              <w:t xml:space="preserve"> </w:t>
            </w:r>
          </w:p>
        </w:tc>
      </w:tr>
      <w:tr w:rsidR="00444A93" w:rsidRPr="008F3A1C" w14:paraId="188F609E"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2C06D6" w14:textId="77777777" w:rsidR="00444A93" w:rsidRDefault="00444A93" w:rsidP="00FE38EF">
            <w:pPr>
              <w:pStyle w:val="Geenafstand"/>
              <w:spacing w:line="360" w:lineRule="auto"/>
              <w:jc w:val="both"/>
            </w:pPr>
            <w:r>
              <w:lastRenderedPageBreak/>
              <w:t>Hipango, Harete</w:t>
            </w:r>
          </w:p>
        </w:tc>
        <w:tc>
          <w:tcPr>
            <w:tcW w:w="1843" w:type="dxa"/>
          </w:tcPr>
          <w:p w14:paraId="030F0A1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General roll</w:t>
            </w:r>
          </w:p>
        </w:tc>
        <w:tc>
          <w:tcPr>
            <w:tcW w:w="1559" w:type="dxa"/>
          </w:tcPr>
          <w:p w14:paraId="73023592"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National Party</w:t>
            </w:r>
          </w:p>
        </w:tc>
        <w:tc>
          <w:tcPr>
            <w:tcW w:w="3779" w:type="dxa"/>
          </w:tcPr>
          <w:p w14:paraId="36CE0480"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89" w:history="1">
              <w:r w:rsidR="00444A93" w:rsidRPr="002E2CA9">
                <w:rPr>
                  <w:rStyle w:val="Hyperlink"/>
                </w:rPr>
                <w:t>https://www.parliament.nz/en/pb/hansard-debates/rhr/document/HansS_20171116_055575000/hipango-harete-mallard-trevor</w:t>
              </w:r>
            </w:hyperlink>
            <w:r w:rsidR="00444A93">
              <w:t xml:space="preserve"> </w:t>
            </w:r>
          </w:p>
        </w:tc>
      </w:tr>
      <w:tr w:rsidR="00444A93" w:rsidRPr="008F3A1C" w14:paraId="6FD74229"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4F7A5721" w14:textId="77777777" w:rsidR="00444A93" w:rsidRDefault="00444A93" w:rsidP="00FE38EF">
            <w:pPr>
              <w:pStyle w:val="Geenafstand"/>
              <w:spacing w:line="360" w:lineRule="auto"/>
              <w:jc w:val="both"/>
            </w:pPr>
            <w:r>
              <w:t>Jackson, Willie</w:t>
            </w:r>
          </w:p>
        </w:tc>
        <w:tc>
          <w:tcPr>
            <w:tcW w:w="1843" w:type="dxa"/>
          </w:tcPr>
          <w:p w14:paraId="236D5CA4"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3587B647"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32688C33"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90">
              <w:r w:rsidR="00444A93">
                <w:rPr>
                  <w:color w:val="1155CC"/>
                  <w:u w:val="single"/>
                </w:rPr>
                <w:t>https://www.labour.org.nz/williejackson</w:t>
              </w:r>
            </w:hyperlink>
            <w:r w:rsidR="00444A93">
              <w:t> </w:t>
            </w:r>
          </w:p>
        </w:tc>
      </w:tr>
      <w:tr w:rsidR="00444A93" w:rsidRPr="008F3A1C" w14:paraId="02418B88"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122398" w14:textId="77777777" w:rsidR="00444A93" w:rsidRDefault="00444A93" w:rsidP="00FE38EF">
            <w:pPr>
              <w:pStyle w:val="Geenafstand"/>
              <w:spacing w:line="360" w:lineRule="auto"/>
              <w:jc w:val="both"/>
            </w:pPr>
            <w:r>
              <w:t>Jones, Shane</w:t>
            </w:r>
          </w:p>
        </w:tc>
        <w:tc>
          <w:tcPr>
            <w:tcW w:w="1843" w:type="dxa"/>
          </w:tcPr>
          <w:p w14:paraId="42EC4C12"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7E2F1DC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New Zealand First</w:t>
            </w:r>
          </w:p>
        </w:tc>
        <w:tc>
          <w:tcPr>
            <w:tcW w:w="3779" w:type="dxa"/>
          </w:tcPr>
          <w:p w14:paraId="70979524"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91" w:history="1">
              <w:r w:rsidR="00444A93" w:rsidRPr="002E2CA9">
                <w:rPr>
                  <w:rStyle w:val="Hyperlink"/>
                </w:rPr>
                <w:t>https://web.archive.org/web/20081015150848/http://beehive.govt.nz/minister/shane+jones?bio=1</w:t>
              </w:r>
            </w:hyperlink>
            <w:r w:rsidR="00444A93">
              <w:t xml:space="preserve">  </w:t>
            </w:r>
          </w:p>
        </w:tc>
      </w:tr>
      <w:tr w:rsidR="00444A93" w:rsidRPr="008F3A1C" w14:paraId="309A44FE"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279280DA" w14:textId="77777777" w:rsidR="00444A93" w:rsidRDefault="00444A93" w:rsidP="00FE38EF">
            <w:pPr>
              <w:pStyle w:val="Geenafstand"/>
              <w:spacing w:line="360" w:lineRule="auto"/>
              <w:jc w:val="both"/>
            </w:pPr>
            <w:r>
              <w:t>Luxton, Jo</w:t>
            </w:r>
          </w:p>
        </w:tc>
        <w:tc>
          <w:tcPr>
            <w:tcW w:w="1843" w:type="dxa"/>
          </w:tcPr>
          <w:p w14:paraId="3A65F7A0"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74D98A17"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589393CF"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92" w:history="1">
              <w:r w:rsidR="00444A93" w:rsidRPr="002E2CA9">
                <w:rPr>
                  <w:rStyle w:val="Hyperlink"/>
                </w:rPr>
                <w:t>https://www.stuff.co.nz/national/politics/103298466/how-mori-qualifies-as-mori-blueeyed-politician-says-i-feel-like-a-fraud</w:t>
              </w:r>
            </w:hyperlink>
            <w:r w:rsidR="00444A93">
              <w:t xml:space="preserve"> </w:t>
            </w:r>
          </w:p>
        </w:tc>
      </w:tr>
      <w:tr w:rsidR="00444A93" w:rsidRPr="008F3A1C" w14:paraId="56D27B92"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955811E" w14:textId="77777777" w:rsidR="00444A93" w:rsidRDefault="00444A93" w:rsidP="00FE38EF">
            <w:pPr>
              <w:pStyle w:val="Geenafstand"/>
              <w:spacing w:line="360" w:lineRule="auto"/>
              <w:jc w:val="both"/>
            </w:pPr>
            <w:r>
              <w:t>Mahuta, Nanaia</w:t>
            </w:r>
          </w:p>
        </w:tc>
        <w:tc>
          <w:tcPr>
            <w:tcW w:w="1843" w:type="dxa"/>
          </w:tcPr>
          <w:p w14:paraId="50472241"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 </w:t>
            </w:r>
          </w:p>
        </w:tc>
        <w:tc>
          <w:tcPr>
            <w:tcW w:w="1559" w:type="dxa"/>
          </w:tcPr>
          <w:p w14:paraId="53FA06F5"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39E9BBB2"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93">
              <w:r w:rsidR="00444A93">
                <w:rPr>
                  <w:color w:val="0563C1"/>
                  <w:u w:val="single"/>
                </w:rPr>
                <w:t>https://www.parliament.nz/en/mps-and-electorates/members-of-parliament/?PrimaryFilter=M%C4%81ori+electorate+seats&amp;SecondaryFilter=</w:t>
              </w:r>
            </w:hyperlink>
            <w:r w:rsidR="00444A93">
              <w:t xml:space="preserve"> </w:t>
            </w:r>
          </w:p>
        </w:tc>
      </w:tr>
      <w:tr w:rsidR="00444A93" w:rsidRPr="008F3A1C" w14:paraId="538984B9"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3DB7D0F" w14:textId="77777777" w:rsidR="00444A93" w:rsidRDefault="00444A93" w:rsidP="00FE38EF">
            <w:pPr>
              <w:pStyle w:val="Geenafstand"/>
              <w:spacing w:line="360" w:lineRule="auto"/>
              <w:jc w:val="both"/>
            </w:pPr>
            <w:r>
              <w:t>Marcroft, Jenny</w:t>
            </w:r>
          </w:p>
        </w:tc>
        <w:tc>
          <w:tcPr>
            <w:tcW w:w="1843" w:type="dxa"/>
          </w:tcPr>
          <w:p w14:paraId="76598D4D"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648EAF8B"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New Zealand First</w:t>
            </w:r>
          </w:p>
        </w:tc>
        <w:tc>
          <w:tcPr>
            <w:tcW w:w="3779" w:type="dxa"/>
          </w:tcPr>
          <w:p w14:paraId="50F148FA"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94" w:history="1">
              <w:r w:rsidR="00444A93" w:rsidRPr="002E2CA9">
                <w:rPr>
                  <w:rStyle w:val="Hyperlink"/>
                </w:rPr>
                <w:t>https://www.parliament.nz/en/pb/hansard-debates/rhr/document/HansS_20171109_061425000/marcroft-jenny</w:t>
              </w:r>
            </w:hyperlink>
            <w:r w:rsidR="00444A93">
              <w:t xml:space="preserve"> </w:t>
            </w:r>
          </w:p>
        </w:tc>
      </w:tr>
      <w:tr w:rsidR="00444A93" w:rsidRPr="008F3A1C" w14:paraId="1C6AD967"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B5883E" w14:textId="77777777" w:rsidR="00444A93" w:rsidRDefault="00444A93" w:rsidP="00FE38EF">
            <w:pPr>
              <w:pStyle w:val="Geenafstand"/>
              <w:spacing w:line="360" w:lineRule="auto"/>
              <w:jc w:val="both"/>
            </w:pPr>
            <w:r>
              <w:t>Mark, Ron</w:t>
            </w:r>
          </w:p>
        </w:tc>
        <w:tc>
          <w:tcPr>
            <w:tcW w:w="1843" w:type="dxa"/>
          </w:tcPr>
          <w:p w14:paraId="1838A6F7"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506A0F8C"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New Zealand First</w:t>
            </w:r>
          </w:p>
        </w:tc>
        <w:tc>
          <w:tcPr>
            <w:tcW w:w="3779" w:type="dxa"/>
          </w:tcPr>
          <w:p w14:paraId="0FE34215"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95" w:history="1">
              <w:r w:rsidR="00444A93" w:rsidRPr="002E2CA9">
                <w:rPr>
                  <w:rStyle w:val="Hyperlink"/>
                </w:rPr>
                <w:t>https://www.nzfirst.nz/hon_ron_mark</w:t>
              </w:r>
            </w:hyperlink>
            <w:r w:rsidR="00444A93">
              <w:t xml:space="preserve"> </w:t>
            </w:r>
          </w:p>
        </w:tc>
      </w:tr>
      <w:tr w:rsidR="00444A93" w:rsidRPr="008F3A1C" w14:paraId="38312D24"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4A22F99E" w14:textId="77777777" w:rsidR="00444A93" w:rsidRDefault="00444A93" w:rsidP="00FE38EF">
            <w:pPr>
              <w:pStyle w:val="Geenafstand"/>
              <w:spacing w:line="360" w:lineRule="auto"/>
              <w:jc w:val="both"/>
            </w:pPr>
            <w:r>
              <w:t>Peters, Winston</w:t>
            </w:r>
          </w:p>
        </w:tc>
        <w:tc>
          <w:tcPr>
            <w:tcW w:w="1843" w:type="dxa"/>
          </w:tcPr>
          <w:p w14:paraId="3ACEFAE4"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317BC42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New Zealand First</w:t>
            </w:r>
          </w:p>
        </w:tc>
        <w:tc>
          <w:tcPr>
            <w:tcW w:w="3779" w:type="dxa"/>
          </w:tcPr>
          <w:p w14:paraId="74212FBC"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96" w:history="1">
              <w:r w:rsidR="00444A93" w:rsidRPr="002E2CA9">
                <w:rPr>
                  <w:rStyle w:val="Hyperlink"/>
                </w:rPr>
                <w:t>https://www.nzfirst.nz/rt_hon_winston_peters</w:t>
              </w:r>
            </w:hyperlink>
            <w:r w:rsidR="00444A93">
              <w:t xml:space="preserve"> </w:t>
            </w:r>
          </w:p>
        </w:tc>
      </w:tr>
      <w:tr w:rsidR="00444A93" w:rsidRPr="008F3A1C" w14:paraId="79F96529"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19DA301" w14:textId="77777777" w:rsidR="00444A93" w:rsidRDefault="00444A93" w:rsidP="00FE38EF">
            <w:pPr>
              <w:pStyle w:val="Geenafstand"/>
              <w:spacing w:line="360" w:lineRule="auto"/>
              <w:jc w:val="both"/>
            </w:pPr>
            <w:r>
              <w:t>Prime, Willow-Jean</w:t>
            </w:r>
          </w:p>
        </w:tc>
        <w:tc>
          <w:tcPr>
            <w:tcW w:w="1843" w:type="dxa"/>
          </w:tcPr>
          <w:p w14:paraId="278350E8"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73C38B3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2FC02933"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97" w:history="1">
              <w:r w:rsidR="00444A93" w:rsidRPr="007C7F0F">
                <w:rPr>
                  <w:rStyle w:val="Hyperlink"/>
                </w:rPr>
                <w:t>https://www.labour.org.nz/willowjeanprime</w:t>
              </w:r>
            </w:hyperlink>
            <w:r w:rsidR="00444A93">
              <w:t xml:space="preserve"> </w:t>
            </w:r>
          </w:p>
        </w:tc>
      </w:tr>
      <w:tr w:rsidR="00444A93" w:rsidRPr="008F3A1C" w14:paraId="148F4B15"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FAADBB7" w14:textId="77777777" w:rsidR="00444A93" w:rsidRDefault="00444A93" w:rsidP="00FE38EF">
            <w:pPr>
              <w:pStyle w:val="Geenafstand"/>
              <w:spacing w:line="360" w:lineRule="auto"/>
              <w:jc w:val="both"/>
            </w:pPr>
            <w:r>
              <w:t>Reti, Shane</w:t>
            </w:r>
          </w:p>
        </w:tc>
        <w:tc>
          <w:tcPr>
            <w:tcW w:w="1843" w:type="dxa"/>
          </w:tcPr>
          <w:p w14:paraId="08BBE535"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Party list</w:t>
            </w:r>
          </w:p>
        </w:tc>
        <w:tc>
          <w:tcPr>
            <w:tcW w:w="1559" w:type="dxa"/>
          </w:tcPr>
          <w:p w14:paraId="2B54E11F"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National Party</w:t>
            </w:r>
          </w:p>
        </w:tc>
        <w:tc>
          <w:tcPr>
            <w:tcW w:w="3779" w:type="dxa"/>
          </w:tcPr>
          <w:p w14:paraId="724D24F2"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98" w:history="1">
              <w:r w:rsidR="00444A93" w:rsidRPr="002E2CA9">
                <w:rPr>
                  <w:rStyle w:val="Hyperlink"/>
                </w:rPr>
                <w:t>https://www.parliament.nz/en/pb/hansard-debates/rhr/document/51HansS_20141029_00000979/reti-shane-address-in-reply</w:t>
              </w:r>
            </w:hyperlink>
            <w:r w:rsidR="00444A93">
              <w:t xml:space="preserve"> </w:t>
            </w:r>
          </w:p>
        </w:tc>
      </w:tr>
      <w:tr w:rsidR="00444A93" w:rsidRPr="008F3A1C" w14:paraId="7E49EE93"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401F26" w14:textId="77777777" w:rsidR="00444A93" w:rsidRDefault="00444A93" w:rsidP="00FE38EF">
            <w:pPr>
              <w:pStyle w:val="Geenafstand"/>
              <w:spacing w:line="360" w:lineRule="auto"/>
              <w:jc w:val="both"/>
            </w:pPr>
            <w:r>
              <w:lastRenderedPageBreak/>
              <w:t>Ross, Jami-Lee</w:t>
            </w:r>
          </w:p>
        </w:tc>
        <w:tc>
          <w:tcPr>
            <w:tcW w:w="1843" w:type="dxa"/>
          </w:tcPr>
          <w:p w14:paraId="2EF7C95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 xml:space="preserve">General roll  </w:t>
            </w:r>
          </w:p>
        </w:tc>
        <w:tc>
          <w:tcPr>
            <w:tcW w:w="1559" w:type="dxa"/>
          </w:tcPr>
          <w:p w14:paraId="72F34ACB"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Independent</w:t>
            </w:r>
          </w:p>
        </w:tc>
        <w:tc>
          <w:tcPr>
            <w:tcW w:w="3779" w:type="dxa"/>
          </w:tcPr>
          <w:p w14:paraId="7A893F2F"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99" w:history="1">
              <w:r w:rsidR="00444A93" w:rsidRPr="002E2CA9">
                <w:rPr>
                  <w:rStyle w:val="Hyperlink"/>
                </w:rPr>
                <w:t>https://www.parliament.nz/en/pb/hansard-debates/rhr/document/49HansS_20110406_00001062/ross-jami-lee-maiden-statements</w:t>
              </w:r>
            </w:hyperlink>
            <w:r w:rsidR="00444A93">
              <w:t xml:space="preserve"> </w:t>
            </w:r>
          </w:p>
        </w:tc>
      </w:tr>
      <w:tr w:rsidR="00444A93" w:rsidRPr="008F3A1C" w14:paraId="27DB2DB2"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75526B05" w14:textId="77777777" w:rsidR="00444A93" w:rsidRDefault="00444A93" w:rsidP="00FE38EF">
            <w:pPr>
              <w:pStyle w:val="Geenafstand"/>
              <w:spacing w:line="360" w:lineRule="auto"/>
              <w:jc w:val="both"/>
            </w:pPr>
            <w:r>
              <w:t>Rurawhe, Adrian</w:t>
            </w:r>
          </w:p>
        </w:tc>
        <w:tc>
          <w:tcPr>
            <w:tcW w:w="1843" w:type="dxa"/>
          </w:tcPr>
          <w:p w14:paraId="75E09520"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43C5E5A2"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1A075F2E"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100">
              <w:r w:rsidR="00444A93">
                <w:rPr>
                  <w:color w:val="0563C1"/>
                  <w:u w:val="single"/>
                </w:rPr>
                <w:t>https://www.parliament.nz/en/mps-and-electorates/members-of-parliament/?PrimaryFilter=M%C4%81ori+electorate+seats&amp;SecondaryFilter=</w:t>
              </w:r>
            </w:hyperlink>
          </w:p>
        </w:tc>
      </w:tr>
      <w:tr w:rsidR="00444A93" w:rsidRPr="008F3A1C" w14:paraId="30760556"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E74D22B" w14:textId="77777777" w:rsidR="00444A93" w:rsidRDefault="00444A93" w:rsidP="00FE38EF">
            <w:pPr>
              <w:pStyle w:val="Geenafstand"/>
              <w:spacing w:line="360" w:lineRule="auto"/>
              <w:jc w:val="both"/>
            </w:pPr>
            <w:r>
              <w:t>Tabuteau, Fletcher</w:t>
            </w:r>
          </w:p>
        </w:tc>
        <w:tc>
          <w:tcPr>
            <w:tcW w:w="1843" w:type="dxa"/>
          </w:tcPr>
          <w:p w14:paraId="02AF808F"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Party list</w:t>
            </w:r>
          </w:p>
        </w:tc>
        <w:tc>
          <w:tcPr>
            <w:tcW w:w="1559" w:type="dxa"/>
          </w:tcPr>
          <w:p w14:paraId="21E3A5A0"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New Zealand First</w:t>
            </w:r>
          </w:p>
        </w:tc>
        <w:tc>
          <w:tcPr>
            <w:tcW w:w="3779" w:type="dxa"/>
          </w:tcPr>
          <w:p w14:paraId="35559D08"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101" w:history="1">
              <w:r w:rsidR="00444A93" w:rsidRPr="002E2CA9">
                <w:rPr>
                  <w:rStyle w:val="Hyperlink"/>
                </w:rPr>
                <w:t>https://www.nzherald.co.nz/rotorua-daily-post/news/election-profile-fletcher-tabuteau/KFDLQZ3UJS4F6YIWTFMDKZHXBU/</w:t>
              </w:r>
            </w:hyperlink>
            <w:r w:rsidR="00444A93">
              <w:t xml:space="preserve"> </w:t>
            </w:r>
          </w:p>
        </w:tc>
      </w:tr>
      <w:tr w:rsidR="00444A93" w:rsidRPr="008F3A1C" w14:paraId="49FD1E51"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3AB78E62" w14:textId="77777777" w:rsidR="00444A93" w:rsidRDefault="00444A93" w:rsidP="00FE38EF">
            <w:pPr>
              <w:pStyle w:val="Geenafstand"/>
              <w:spacing w:line="360" w:lineRule="auto"/>
              <w:jc w:val="both"/>
            </w:pPr>
            <w:r>
              <w:t>Tamati, Coffey</w:t>
            </w:r>
          </w:p>
        </w:tc>
        <w:tc>
          <w:tcPr>
            <w:tcW w:w="1843" w:type="dxa"/>
          </w:tcPr>
          <w:p w14:paraId="2EDE0CC9"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Māori roll</w:t>
            </w:r>
          </w:p>
        </w:tc>
        <w:tc>
          <w:tcPr>
            <w:tcW w:w="1559" w:type="dxa"/>
          </w:tcPr>
          <w:p w14:paraId="179D43ED"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0743AAD3"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102" w:history="1">
              <w:r w:rsidR="00444A93" w:rsidRPr="002E2CA9">
                <w:rPr>
                  <w:rStyle w:val="Hyperlink"/>
                </w:rPr>
                <w:t>https://www.parliament.nz/en/mps-and-electorates/members-of-parliament/coffey-tamati/</w:t>
              </w:r>
            </w:hyperlink>
            <w:r w:rsidR="00444A93">
              <w:t xml:space="preserve"> </w:t>
            </w:r>
          </w:p>
        </w:tc>
      </w:tr>
      <w:tr w:rsidR="00444A93" w:rsidRPr="008F3A1C" w14:paraId="6F0359AE"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E80F613" w14:textId="77777777" w:rsidR="00444A93" w:rsidRDefault="00444A93" w:rsidP="00FE38EF">
            <w:pPr>
              <w:pStyle w:val="Geenafstand"/>
              <w:spacing w:line="360" w:lineRule="auto"/>
              <w:jc w:val="both"/>
            </w:pPr>
            <w:r>
              <w:t>Tirikatene, Rino</w:t>
            </w:r>
          </w:p>
        </w:tc>
        <w:tc>
          <w:tcPr>
            <w:tcW w:w="1843" w:type="dxa"/>
          </w:tcPr>
          <w:p w14:paraId="046CF8EB"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w:t>
            </w:r>
          </w:p>
          <w:p w14:paraId="639603D2"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p>
          <w:p w14:paraId="0D1D6ED3"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p>
          <w:p w14:paraId="3D315ED5" w14:textId="77777777" w:rsidR="00444A93" w:rsidRPr="00300905"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2A0FE47A"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3EBCE0A8"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103">
              <w:r w:rsidR="00444A93">
                <w:rPr>
                  <w:color w:val="0563C1"/>
                  <w:u w:val="single"/>
                </w:rPr>
                <w:t>https://www.parliament.nz/en/mps-and-electorates/members-of-parliament/?PrimaryFilter=M%C4%81ori+electorate+seats&amp;SecondaryFilter=</w:t>
              </w:r>
            </w:hyperlink>
          </w:p>
        </w:tc>
      </w:tr>
      <w:tr w:rsidR="00444A93" w:rsidRPr="008F3A1C" w14:paraId="5C310037" w14:textId="77777777" w:rsidTr="00187024">
        <w:tc>
          <w:tcPr>
            <w:cnfStyle w:val="001000000000" w:firstRow="0" w:lastRow="0" w:firstColumn="1" w:lastColumn="0" w:oddVBand="0" w:evenVBand="0" w:oddHBand="0" w:evenHBand="0" w:firstRowFirstColumn="0" w:firstRowLastColumn="0" w:lastRowFirstColumn="0" w:lastRowLastColumn="0"/>
            <w:tcW w:w="1985" w:type="dxa"/>
          </w:tcPr>
          <w:p w14:paraId="6E946171" w14:textId="77777777" w:rsidR="00444A93" w:rsidRDefault="00444A93" w:rsidP="00FE38EF">
            <w:pPr>
              <w:pStyle w:val="Geenafstand"/>
              <w:spacing w:line="360" w:lineRule="auto"/>
              <w:jc w:val="both"/>
            </w:pPr>
            <w:r>
              <w:t>Wall, Louisa</w:t>
            </w:r>
          </w:p>
        </w:tc>
        <w:tc>
          <w:tcPr>
            <w:tcW w:w="1843" w:type="dxa"/>
          </w:tcPr>
          <w:p w14:paraId="4D6B285B"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General roll</w:t>
            </w:r>
          </w:p>
        </w:tc>
        <w:tc>
          <w:tcPr>
            <w:tcW w:w="1559" w:type="dxa"/>
          </w:tcPr>
          <w:p w14:paraId="22F81216" w14:textId="77777777" w:rsidR="00444A93" w:rsidRDefault="00444A93"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r>
              <w:t>Labour Party</w:t>
            </w:r>
          </w:p>
        </w:tc>
        <w:tc>
          <w:tcPr>
            <w:tcW w:w="3779" w:type="dxa"/>
          </w:tcPr>
          <w:p w14:paraId="21DAA678" w14:textId="77777777" w:rsidR="00444A93" w:rsidRDefault="00354820" w:rsidP="00FE38EF">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pPr>
            <w:hyperlink r:id="rId104" w:history="1">
              <w:r w:rsidR="00444A93" w:rsidRPr="002E2CA9">
                <w:rPr>
                  <w:rStyle w:val="Hyperlink"/>
                </w:rPr>
                <w:t>https://www.parliament.nz/en/pb/hansard-debates/rhr/document/48HansS_20080304_00001030/wall-louisa-maiden-statement</w:t>
              </w:r>
            </w:hyperlink>
            <w:r w:rsidR="00444A93">
              <w:t xml:space="preserve"> </w:t>
            </w:r>
          </w:p>
        </w:tc>
      </w:tr>
      <w:tr w:rsidR="00444A93" w:rsidRPr="008F3A1C" w14:paraId="259270BE" w14:textId="77777777" w:rsidTr="0018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EE227C7" w14:textId="77777777" w:rsidR="00444A93" w:rsidRDefault="00444A93" w:rsidP="00FE38EF">
            <w:pPr>
              <w:pStyle w:val="Geenafstand"/>
              <w:spacing w:line="360" w:lineRule="auto"/>
              <w:jc w:val="both"/>
            </w:pPr>
            <w:r>
              <w:t>Whaitiri, Meka</w:t>
            </w:r>
          </w:p>
        </w:tc>
        <w:tc>
          <w:tcPr>
            <w:tcW w:w="1843" w:type="dxa"/>
          </w:tcPr>
          <w:p w14:paraId="251CE96B"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Māori roll</w:t>
            </w:r>
          </w:p>
        </w:tc>
        <w:tc>
          <w:tcPr>
            <w:tcW w:w="1559" w:type="dxa"/>
          </w:tcPr>
          <w:p w14:paraId="61336577" w14:textId="77777777" w:rsidR="00444A93" w:rsidRDefault="00444A93"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Labour Party</w:t>
            </w:r>
          </w:p>
        </w:tc>
        <w:tc>
          <w:tcPr>
            <w:tcW w:w="3779" w:type="dxa"/>
          </w:tcPr>
          <w:p w14:paraId="0BC87DE5" w14:textId="77777777" w:rsidR="00444A93" w:rsidRDefault="00354820" w:rsidP="00FE38EF">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hyperlink r:id="rId105">
              <w:r w:rsidR="00444A93">
                <w:rPr>
                  <w:color w:val="0563C1"/>
                  <w:u w:val="single"/>
                </w:rPr>
                <w:t>https://www.parliament.nz/en/mps-and-electorates/members-of-parliament/?PrimaryFilter=M%C4%81ori+electorate+seats&amp;SecondaryFilter=</w:t>
              </w:r>
            </w:hyperlink>
            <w:r w:rsidR="00444A93">
              <w:t xml:space="preserve"> </w:t>
            </w:r>
          </w:p>
        </w:tc>
      </w:tr>
    </w:tbl>
    <w:p w14:paraId="7DFBE57D" w14:textId="6BF49632" w:rsidR="00444A93" w:rsidRPr="00444A93" w:rsidRDefault="00444A93" w:rsidP="00FE38EF">
      <w:pPr>
        <w:pStyle w:val="Geenafstand"/>
        <w:spacing w:line="360" w:lineRule="auto"/>
        <w:jc w:val="both"/>
      </w:pPr>
      <w:r w:rsidRPr="00444A93">
        <w:t xml:space="preserve">*This table is created </w:t>
      </w:r>
      <w:r w:rsidR="00621058" w:rsidRPr="00444A93">
        <w:t>based on</w:t>
      </w:r>
      <w:r w:rsidRPr="00444A93">
        <w:t xml:space="preserve"> a variety of sources. They are stated separately in the references. </w:t>
      </w:r>
    </w:p>
    <w:p w14:paraId="66E0D067" w14:textId="77777777" w:rsidR="00444A93" w:rsidRPr="00444A93" w:rsidRDefault="00444A93" w:rsidP="00444A93">
      <w:pPr>
        <w:rPr>
          <w:sz w:val="32"/>
          <w:szCs w:val="32"/>
          <w:lang w:val="en-GB"/>
        </w:rPr>
      </w:pPr>
      <w:r w:rsidRPr="00444A93">
        <w:rPr>
          <w:lang w:val="en-GB"/>
        </w:rPr>
        <w:br w:type="page"/>
      </w:r>
    </w:p>
    <w:p w14:paraId="19234673" w14:textId="77777777" w:rsidR="00352BE1" w:rsidRDefault="00352BE1" w:rsidP="00352BE1">
      <w:pPr>
        <w:pStyle w:val="Kop1"/>
        <w:rPr>
          <w:lang w:val="en-GB"/>
        </w:rPr>
      </w:pPr>
      <w:bookmarkStart w:id="323" w:name="_Toc75384131"/>
      <w:bookmarkStart w:id="324" w:name="_Toc74583869"/>
      <w:r>
        <w:rPr>
          <w:lang w:val="en-GB"/>
        </w:rPr>
        <w:lastRenderedPageBreak/>
        <w:t>Appendix B</w:t>
      </w:r>
      <w:bookmarkEnd w:id="323"/>
    </w:p>
    <w:p w14:paraId="571BAEDF" w14:textId="4DC18654" w:rsidR="00A32CB2" w:rsidRDefault="0037205E" w:rsidP="00A64D9A">
      <w:pPr>
        <w:spacing w:line="360" w:lineRule="auto"/>
        <w:jc w:val="both"/>
        <w:rPr>
          <w:lang w:val="en-GB"/>
        </w:rPr>
      </w:pPr>
      <w:r>
        <w:rPr>
          <w:lang w:val="en-GB"/>
        </w:rPr>
        <w:tab/>
      </w:r>
      <w:r w:rsidR="001D01F1">
        <w:rPr>
          <w:lang w:val="en-GB"/>
        </w:rPr>
        <w:t>This appendix consists of the pre-coded speeches. In table</w:t>
      </w:r>
      <w:r w:rsidR="00E04126">
        <w:rPr>
          <w:lang w:val="en-GB"/>
        </w:rPr>
        <w:t>s</w:t>
      </w:r>
      <w:r w:rsidR="001D01F1">
        <w:rPr>
          <w:lang w:val="en-GB"/>
        </w:rPr>
        <w:t xml:space="preserve"> B.1</w:t>
      </w:r>
      <w:r w:rsidR="00E04126">
        <w:rPr>
          <w:lang w:val="en-GB"/>
        </w:rPr>
        <w:t xml:space="preserve"> until B.5</w:t>
      </w:r>
      <w:r w:rsidR="001D01F1">
        <w:rPr>
          <w:lang w:val="en-GB"/>
        </w:rPr>
        <w:t xml:space="preserve"> </w:t>
      </w:r>
      <w:r w:rsidR="00296B90">
        <w:rPr>
          <w:lang w:val="en-GB"/>
        </w:rPr>
        <w:t xml:space="preserve">the text and aspects of the pre-coded speeches are stated. </w:t>
      </w:r>
    </w:p>
    <w:p w14:paraId="1C333D50" w14:textId="39D0B5FC" w:rsidR="00A32CB2" w:rsidRPr="00A32CB2" w:rsidRDefault="00A32CB2" w:rsidP="00A32CB2">
      <w:pPr>
        <w:pStyle w:val="Kop3"/>
        <w:rPr>
          <w:sz w:val="20"/>
          <w:szCs w:val="20"/>
        </w:rPr>
      </w:pPr>
      <w:bookmarkStart w:id="325" w:name="_Toc75384132"/>
      <w:r w:rsidRPr="00A32CB2">
        <w:rPr>
          <w:sz w:val="20"/>
          <w:szCs w:val="20"/>
        </w:rPr>
        <w:t>Table B.1 Pre-coded speech 1.</w:t>
      </w:r>
      <w:bookmarkEnd w:id="325"/>
      <w:r w:rsidRPr="00A32CB2">
        <w:rPr>
          <w:sz w:val="20"/>
          <w:szCs w:val="20"/>
        </w:rPr>
        <w:t xml:space="preserve"> </w:t>
      </w:r>
    </w:p>
    <w:tbl>
      <w:tblPr>
        <w:tblStyle w:val="Tabelraster"/>
        <w:tblW w:w="9918" w:type="dxa"/>
        <w:tblLook w:val="04A0" w:firstRow="1" w:lastRow="0" w:firstColumn="1" w:lastColumn="0" w:noHBand="0" w:noVBand="1"/>
      </w:tblPr>
      <w:tblGrid>
        <w:gridCol w:w="1736"/>
        <w:gridCol w:w="8182"/>
      </w:tblGrid>
      <w:tr w:rsidR="00A32CB2" w14:paraId="49AFD4C4" w14:textId="77777777" w:rsidTr="00A32CB2">
        <w:tc>
          <w:tcPr>
            <w:tcW w:w="1736" w:type="dxa"/>
          </w:tcPr>
          <w:p w14:paraId="3020F9F7" w14:textId="108B7B83" w:rsidR="00A32CB2" w:rsidRPr="003F646B" w:rsidRDefault="00A32CB2" w:rsidP="00F8473D">
            <w:pPr>
              <w:pStyle w:val="Geenafstand"/>
              <w:rPr>
                <w:i/>
                <w:iCs/>
              </w:rPr>
            </w:pPr>
            <w:r w:rsidRPr="003F646B">
              <w:rPr>
                <w:i/>
                <w:iCs/>
              </w:rPr>
              <w:t>TEXT</w:t>
            </w:r>
          </w:p>
        </w:tc>
        <w:tc>
          <w:tcPr>
            <w:tcW w:w="8182" w:type="dxa"/>
          </w:tcPr>
          <w:p w14:paraId="2F3D3969" w14:textId="77777777" w:rsidR="00A32CB2" w:rsidRDefault="00A32CB2" w:rsidP="00F8473D">
            <w:pPr>
              <w:pStyle w:val="Geenafstand"/>
            </w:pPr>
            <w:r w:rsidRPr="0049422C">
              <w:t xml:space="preserve">But within that context, we obviously know that in Aotearoa New Zealand, some of the factors that we have to consider are the cultural factors, and so I do want to highlight that the whole issue of organ donation, particularly for Māori, is incredibly complex. </w:t>
            </w:r>
          </w:p>
          <w:p w14:paraId="7C2244A1" w14:textId="6328CC94" w:rsidR="00A32CB2" w:rsidRDefault="00A32CB2" w:rsidP="00F8473D">
            <w:pPr>
              <w:pStyle w:val="Geenafstand"/>
            </w:pPr>
            <w:r w:rsidRPr="0049422C">
              <w:t>So I think that it was a very good piece of work by our Health Committee. Can I just go back to say what I was saying before, that in having the conversation with my father and telling him that I wanted to donate my organs—one of the issues that will come up specifically for Māori in the future, I think, is the opportunity to maybe not donate generally, but to donate to someone from your hapū or your iwi. I also think this is relevant for the Pacific community, because we have this hard time reconciling losing a part of our body when we go back to Papatūānuku, but if we knew that our organs were going to somebody from our extended whānau, then maybe we'd be a bit more engaged in this issue. Kia ora.</w:t>
            </w:r>
          </w:p>
        </w:tc>
      </w:tr>
      <w:tr w:rsidR="00A32CB2" w14:paraId="14BAC151" w14:textId="77777777" w:rsidTr="00A32CB2">
        <w:tc>
          <w:tcPr>
            <w:tcW w:w="1736" w:type="dxa"/>
          </w:tcPr>
          <w:p w14:paraId="143EA2BD" w14:textId="75BF3EA8" w:rsidR="00A32CB2" w:rsidRPr="003F646B" w:rsidRDefault="00A32CB2" w:rsidP="00F8473D">
            <w:pPr>
              <w:pStyle w:val="Geenafstand"/>
              <w:rPr>
                <w:i/>
                <w:iCs/>
              </w:rPr>
            </w:pPr>
            <w:r w:rsidRPr="003F646B">
              <w:rPr>
                <w:i/>
                <w:iCs/>
              </w:rPr>
              <w:t>DATE</w:t>
            </w:r>
          </w:p>
        </w:tc>
        <w:tc>
          <w:tcPr>
            <w:tcW w:w="8182" w:type="dxa"/>
          </w:tcPr>
          <w:p w14:paraId="41F5FB69" w14:textId="21680769" w:rsidR="00A32CB2" w:rsidRPr="00556077" w:rsidRDefault="00A32CB2" w:rsidP="00F8473D">
            <w:pPr>
              <w:pStyle w:val="Geenafstand"/>
              <w:rPr>
                <w:rFonts w:asciiTheme="minorHAnsi" w:hAnsiTheme="minorHAnsi" w:cstheme="minorHAnsi"/>
                <w:color w:val="000000"/>
              </w:rPr>
            </w:pPr>
            <w:r w:rsidRPr="00556077">
              <w:rPr>
                <w:rFonts w:asciiTheme="minorHAnsi" w:hAnsiTheme="minorHAnsi" w:cstheme="minorHAnsi"/>
                <w:color w:val="000000"/>
              </w:rPr>
              <w:t>17-10-2019</w:t>
            </w:r>
          </w:p>
        </w:tc>
      </w:tr>
      <w:tr w:rsidR="00A32CB2" w14:paraId="2AC74B5A" w14:textId="77777777" w:rsidTr="00A32CB2">
        <w:tc>
          <w:tcPr>
            <w:tcW w:w="1736" w:type="dxa"/>
          </w:tcPr>
          <w:p w14:paraId="4870FE17" w14:textId="53834CDF" w:rsidR="00A32CB2" w:rsidRPr="003F646B" w:rsidRDefault="00A32CB2" w:rsidP="00F8473D">
            <w:pPr>
              <w:pStyle w:val="Geenafstand"/>
              <w:rPr>
                <w:i/>
                <w:iCs/>
              </w:rPr>
            </w:pPr>
            <w:r w:rsidRPr="003F646B">
              <w:rPr>
                <w:i/>
                <w:iCs/>
              </w:rPr>
              <w:t>CLAIMANTNAME</w:t>
            </w:r>
          </w:p>
        </w:tc>
        <w:tc>
          <w:tcPr>
            <w:tcW w:w="8182" w:type="dxa"/>
          </w:tcPr>
          <w:p w14:paraId="31D09A96" w14:textId="7937ACFC" w:rsidR="00A32CB2" w:rsidRPr="00556077" w:rsidRDefault="00A32CB2" w:rsidP="00F8473D">
            <w:pPr>
              <w:pStyle w:val="Geenafstand"/>
              <w:rPr>
                <w:rFonts w:asciiTheme="minorHAnsi" w:hAnsiTheme="minorHAnsi" w:cstheme="minorHAnsi"/>
                <w:color w:val="000000"/>
              </w:rPr>
            </w:pPr>
            <w:r w:rsidRPr="00556077">
              <w:rPr>
                <w:rFonts w:asciiTheme="minorHAnsi" w:hAnsiTheme="minorHAnsi" w:cstheme="minorHAnsi"/>
                <w:color w:val="000000"/>
              </w:rPr>
              <w:t>Wall, Louisa</w:t>
            </w:r>
          </w:p>
        </w:tc>
      </w:tr>
      <w:tr w:rsidR="00A32CB2" w14:paraId="63894AD0" w14:textId="77777777" w:rsidTr="00A32CB2">
        <w:tc>
          <w:tcPr>
            <w:tcW w:w="1736" w:type="dxa"/>
          </w:tcPr>
          <w:p w14:paraId="0A103D4A" w14:textId="302957D7" w:rsidR="00A32CB2" w:rsidRPr="003F646B" w:rsidRDefault="00A32CB2" w:rsidP="00F8473D">
            <w:pPr>
              <w:pStyle w:val="Geenafstand"/>
              <w:rPr>
                <w:i/>
                <w:iCs/>
              </w:rPr>
            </w:pPr>
            <w:r w:rsidRPr="003F646B">
              <w:rPr>
                <w:i/>
                <w:iCs/>
              </w:rPr>
              <w:t>CLAIMANT</w:t>
            </w:r>
          </w:p>
        </w:tc>
        <w:tc>
          <w:tcPr>
            <w:tcW w:w="8182" w:type="dxa"/>
          </w:tcPr>
          <w:p w14:paraId="2C0C00D9" w14:textId="76E3C4DC" w:rsidR="00A32CB2" w:rsidRPr="00556077" w:rsidRDefault="00A32CB2" w:rsidP="00F8473D">
            <w:pPr>
              <w:pStyle w:val="Geenafstand"/>
              <w:rPr>
                <w:rFonts w:asciiTheme="minorHAnsi" w:hAnsiTheme="minorHAnsi" w:cstheme="minorHAnsi"/>
                <w:color w:val="000000"/>
              </w:rPr>
            </w:pPr>
            <w:r w:rsidRPr="00556077">
              <w:rPr>
                <w:rFonts w:asciiTheme="minorHAnsi" w:hAnsiTheme="minorHAnsi" w:cstheme="minorHAnsi"/>
                <w:color w:val="000000"/>
              </w:rPr>
              <w:t>General roll Māori</w:t>
            </w:r>
          </w:p>
        </w:tc>
      </w:tr>
      <w:tr w:rsidR="00A32CB2" w14:paraId="1792DC57" w14:textId="77777777" w:rsidTr="00A32CB2">
        <w:tc>
          <w:tcPr>
            <w:tcW w:w="1736" w:type="dxa"/>
          </w:tcPr>
          <w:p w14:paraId="3F0540E5" w14:textId="418BE45F" w:rsidR="00A32CB2" w:rsidRPr="003F646B" w:rsidRDefault="00A32CB2" w:rsidP="00F8473D">
            <w:pPr>
              <w:pStyle w:val="Geenafstand"/>
              <w:rPr>
                <w:i/>
                <w:iCs/>
              </w:rPr>
            </w:pPr>
            <w:r w:rsidRPr="003F646B">
              <w:rPr>
                <w:i/>
                <w:iCs/>
              </w:rPr>
              <w:t>CLAIMANTGEN</w:t>
            </w:r>
          </w:p>
        </w:tc>
        <w:tc>
          <w:tcPr>
            <w:tcW w:w="8182" w:type="dxa"/>
          </w:tcPr>
          <w:p w14:paraId="47976F3A" w14:textId="7130D3BB" w:rsidR="00A32CB2" w:rsidRPr="00556077" w:rsidRDefault="00A32CB2" w:rsidP="00F8473D">
            <w:pPr>
              <w:pStyle w:val="Geenafstand"/>
              <w:rPr>
                <w:rFonts w:asciiTheme="minorHAnsi" w:hAnsiTheme="minorHAnsi" w:cstheme="minorHAnsi"/>
                <w:color w:val="000000"/>
              </w:rPr>
            </w:pPr>
            <w:r w:rsidRPr="00556077">
              <w:rPr>
                <w:rFonts w:asciiTheme="minorHAnsi" w:hAnsiTheme="minorHAnsi" w:cstheme="minorHAnsi"/>
                <w:color w:val="000000"/>
              </w:rPr>
              <w:t>Women</w:t>
            </w:r>
          </w:p>
        </w:tc>
      </w:tr>
      <w:tr w:rsidR="00A32CB2" w14:paraId="74F28E2B" w14:textId="77777777" w:rsidTr="00A32CB2">
        <w:tc>
          <w:tcPr>
            <w:tcW w:w="1736" w:type="dxa"/>
          </w:tcPr>
          <w:p w14:paraId="580A1E1C" w14:textId="74827D13" w:rsidR="00A32CB2" w:rsidRPr="003F646B" w:rsidRDefault="00A32CB2" w:rsidP="00F8473D">
            <w:pPr>
              <w:pStyle w:val="Geenafstand"/>
              <w:rPr>
                <w:i/>
                <w:iCs/>
              </w:rPr>
            </w:pPr>
            <w:r w:rsidRPr="003F646B">
              <w:rPr>
                <w:i/>
                <w:iCs/>
              </w:rPr>
              <w:t>CLAIMANTPAR</w:t>
            </w:r>
          </w:p>
        </w:tc>
        <w:tc>
          <w:tcPr>
            <w:tcW w:w="8182" w:type="dxa"/>
          </w:tcPr>
          <w:p w14:paraId="173204E5" w14:textId="65077980" w:rsidR="00A32CB2" w:rsidRPr="00556077" w:rsidRDefault="00A32CB2" w:rsidP="00F8473D">
            <w:pPr>
              <w:pStyle w:val="Geenafstand"/>
              <w:rPr>
                <w:rFonts w:asciiTheme="minorHAnsi" w:hAnsiTheme="minorHAnsi" w:cstheme="minorHAnsi"/>
                <w:color w:val="000000"/>
              </w:rPr>
            </w:pPr>
            <w:r w:rsidRPr="00556077">
              <w:rPr>
                <w:rFonts w:asciiTheme="minorHAnsi" w:hAnsiTheme="minorHAnsi" w:cstheme="minorHAnsi"/>
                <w:color w:val="000000"/>
              </w:rPr>
              <w:t>Labour Party</w:t>
            </w:r>
          </w:p>
        </w:tc>
      </w:tr>
      <w:tr w:rsidR="00A32CB2" w14:paraId="784D7C18" w14:textId="77777777" w:rsidTr="00A32CB2">
        <w:tc>
          <w:tcPr>
            <w:tcW w:w="1736" w:type="dxa"/>
          </w:tcPr>
          <w:p w14:paraId="2AD140D5" w14:textId="1C6B00C5" w:rsidR="00A32CB2" w:rsidRPr="003F646B" w:rsidRDefault="00A32CB2" w:rsidP="00F8473D">
            <w:pPr>
              <w:pStyle w:val="Geenafstand"/>
              <w:rPr>
                <w:i/>
                <w:iCs/>
              </w:rPr>
            </w:pPr>
            <w:r w:rsidRPr="003F646B">
              <w:rPr>
                <w:i/>
                <w:iCs/>
              </w:rPr>
              <w:t>ISSUE</w:t>
            </w:r>
          </w:p>
        </w:tc>
        <w:tc>
          <w:tcPr>
            <w:tcW w:w="8182" w:type="dxa"/>
          </w:tcPr>
          <w:p w14:paraId="38B0F901" w14:textId="2DE989D1"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Health</w:t>
            </w:r>
          </w:p>
        </w:tc>
      </w:tr>
      <w:tr w:rsidR="00A32CB2" w14:paraId="609323E1" w14:textId="77777777" w:rsidTr="00A32CB2">
        <w:tc>
          <w:tcPr>
            <w:tcW w:w="1736" w:type="dxa"/>
          </w:tcPr>
          <w:p w14:paraId="114704CC" w14:textId="7D1C5BBC" w:rsidR="00A32CB2" w:rsidRPr="003F646B" w:rsidRDefault="00A32CB2" w:rsidP="00F8473D">
            <w:pPr>
              <w:pStyle w:val="Geenafstand"/>
              <w:rPr>
                <w:i/>
                <w:iCs/>
              </w:rPr>
            </w:pPr>
            <w:r w:rsidRPr="003F646B">
              <w:rPr>
                <w:i/>
                <w:iCs/>
              </w:rPr>
              <w:t>UNI</w:t>
            </w:r>
          </w:p>
        </w:tc>
        <w:tc>
          <w:tcPr>
            <w:tcW w:w="8182" w:type="dxa"/>
          </w:tcPr>
          <w:p w14:paraId="6C8FB802" w14:textId="4189AE35"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 xml:space="preserve">Absent </w:t>
            </w:r>
          </w:p>
        </w:tc>
      </w:tr>
      <w:tr w:rsidR="00A32CB2" w14:paraId="151DDCDD" w14:textId="77777777" w:rsidTr="00A32CB2">
        <w:tc>
          <w:tcPr>
            <w:tcW w:w="1736" w:type="dxa"/>
          </w:tcPr>
          <w:p w14:paraId="095E9033" w14:textId="2FBD4ABF" w:rsidR="00A32CB2" w:rsidRPr="003F646B" w:rsidRDefault="00A32CB2" w:rsidP="00F8473D">
            <w:pPr>
              <w:pStyle w:val="Geenafstand"/>
              <w:rPr>
                <w:i/>
                <w:iCs/>
              </w:rPr>
            </w:pPr>
            <w:r w:rsidRPr="003F646B">
              <w:rPr>
                <w:i/>
                <w:iCs/>
              </w:rPr>
              <w:t>A</w:t>
            </w:r>
            <w:r w:rsidR="000A15CA">
              <w:rPr>
                <w:i/>
                <w:iCs/>
              </w:rPr>
              <w:t>D</w:t>
            </w:r>
            <w:r w:rsidRPr="003F646B">
              <w:rPr>
                <w:i/>
                <w:iCs/>
              </w:rPr>
              <w:t>DRES</w:t>
            </w:r>
          </w:p>
        </w:tc>
        <w:tc>
          <w:tcPr>
            <w:tcW w:w="8182" w:type="dxa"/>
          </w:tcPr>
          <w:p w14:paraId="0BCEBC63" w14:textId="0284FC87"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 xml:space="preserve">Absent </w:t>
            </w:r>
          </w:p>
        </w:tc>
      </w:tr>
      <w:tr w:rsidR="00A32CB2" w14:paraId="3A9DDCE7" w14:textId="77777777" w:rsidTr="00A32CB2">
        <w:tc>
          <w:tcPr>
            <w:tcW w:w="1736" w:type="dxa"/>
          </w:tcPr>
          <w:p w14:paraId="7807110A" w14:textId="433C309F" w:rsidR="00A32CB2" w:rsidRPr="003F646B" w:rsidRDefault="00A32CB2" w:rsidP="00F8473D">
            <w:pPr>
              <w:pStyle w:val="Geenafstand"/>
              <w:rPr>
                <w:i/>
                <w:iCs/>
              </w:rPr>
            </w:pPr>
            <w:r w:rsidRPr="003F646B">
              <w:rPr>
                <w:i/>
                <w:iCs/>
              </w:rPr>
              <w:t>EVAL</w:t>
            </w:r>
          </w:p>
        </w:tc>
        <w:tc>
          <w:tcPr>
            <w:tcW w:w="8182" w:type="dxa"/>
          </w:tcPr>
          <w:p w14:paraId="4225AE55" w14:textId="5617BD06"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Absent</w:t>
            </w:r>
          </w:p>
        </w:tc>
      </w:tr>
      <w:tr w:rsidR="00A32CB2" w14:paraId="292E099E" w14:textId="77777777" w:rsidTr="00A32CB2">
        <w:tc>
          <w:tcPr>
            <w:tcW w:w="1736" w:type="dxa"/>
          </w:tcPr>
          <w:p w14:paraId="597ADB2B" w14:textId="6585A15C" w:rsidR="00A32CB2" w:rsidRPr="003F646B" w:rsidRDefault="00A32CB2" w:rsidP="00F8473D">
            <w:pPr>
              <w:pStyle w:val="Geenafstand"/>
              <w:rPr>
                <w:i/>
                <w:iCs/>
              </w:rPr>
            </w:pPr>
            <w:r w:rsidRPr="003F646B">
              <w:rPr>
                <w:i/>
                <w:iCs/>
              </w:rPr>
              <w:t>OBJECT</w:t>
            </w:r>
          </w:p>
        </w:tc>
        <w:tc>
          <w:tcPr>
            <w:tcW w:w="8182" w:type="dxa"/>
          </w:tcPr>
          <w:p w14:paraId="5936DFA1" w14:textId="59C0E999"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 xml:space="preserve">Whole </w:t>
            </w:r>
            <w:r w:rsidRPr="00556077">
              <w:rPr>
                <w:rFonts w:asciiTheme="minorHAnsi" w:hAnsiTheme="minorHAnsi" w:cstheme="minorHAnsi"/>
                <w:color w:val="000000"/>
              </w:rPr>
              <w:t>Māori population</w:t>
            </w:r>
          </w:p>
        </w:tc>
      </w:tr>
      <w:tr w:rsidR="00A32CB2" w14:paraId="039A6515" w14:textId="77777777" w:rsidTr="00A32CB2">
        <w:tc>
          <w:tcPr>
            <w:tcW w:w="1736" w:type="dxa"/>
          </w:tcPr>
          <w:p w14:paraId="126B295A" w14:textId="37D3E76B" w:rsidR="00A32CB2" w:rsidRPr="003F646B" w:rsidRDefault="00A32CB2" w:rsidP="00F8473D">
            <w:pPr>
              <w:pStyle w:val="Geenafstand"/>
              <w:rPr>
                <w:i/>
                <w:iCs/>
              </w:rPr>
            </w:pPr>
            <w:r w:rsidRPr="003F646B">
              <w:rPr>
                <w:i/>
                <w:iCs/>
              </w:rPr>
              <w:t>JUST</w:t>
            </w:r>
          </w:p>
        </w:tc>
        <w:tc>
          <w:tcPr>
            <w:tcW w:w="8182" w:type="dxa"/>
          </w:tcPr>
          <w:p w14:paraId="341E25BC" w14:textId="7C8AFAEC" w:rsidR="00A32CB2" w:rsidRPr="00556077" w:rsidRDefault="00A32CB2" w:rsidP="00F8473D">
            <w:pPr>
              <w:pStyle w:val="Geenafstand"/>
              <w:rPr>
                <w:rFonts w:asciiTheme="minorHAnsi" w:hAnsiTheme="minorHAnsi" w:cstheme="minorHAnsi"/>
              </w:rPr>
            </w:pPr>
            <w:r w:rsidRPr="00556077">
              <w:rPr>
                <w:rFonts w:asciiTheme="minorHAnsi" w:hAnsiTheme="minorHAnsi" w:cstheme="minorHAnsi"/>
              </w:rPr>
              <w:t xml:space="preserve">Culture </w:t>
            </w:r>
          </w:p>
        </w:tc>
      </w:tr>
    </w:tbl>
    <w:p w14:paraId="22106324" w14:textId="41D7E008" w:rsidR="00352BE1" w:rsidRDefault="00352BE1" w:rsidP="00F8473D">
      <w:pPr>
        <w:pStyle w:val="Geenafstand"/>
        <w:rPr>
          <w:rFonts w:eastAsiaTheme="majorEastAsia"/>
        </w:rPr>
      </w:pPr>
    </w:p>
    <w:p w14:paraId="28E6E908" w14:textId="77777777" w:rsidR="00BB4D96" w:rsidRDefault="00BB4D96">
      <w:pPr>
        <w:rPr>
          <w:rFonts w:asciiTheme="majorHAnsi" w:eastAsiaTheme="majorEastAsia" w:hAnsiTheme="majorHAnsi" w:cstheme="majorBidi"/>
          <w:color w:val="1F3763" w:themeColor="accent1" w:themeShade="7F"/>
          <w:sz w:val="20"/>
          <w:szCs w:val="20"/>
          <w:lang w:val="en-GB" w:eastAsia="en-GB"/>
        </w:rPr>
      </w:pPr>
      <w:r>
        <w:rPr>
          <w:sz w:val="20"/>
          <w:szCs w:val="20"/>
        </w:rPr>
        <w:br w:type="page"/>
      </w:r>
    </w:p>
    <w:p w14:paraId="6257EFF5" w14:textId="27A2BAD9" w:rsidR="00605040" w:rsidRDefault="00FA06EA" w:rsidP="00FA06EA">
      <w:pPr>
        <w:pStyle w:val="Kop3"/>
        <w:rPr>
          <w:sz w:val="20"/>
          <w:szCs w:val="20"/>
        </w:rPr>
      </w:pPr>
      <w:bookmarkStart w:id="326" w:name="_Toc75384133"/>
      <w:r w:rsidRPr="00086583">
        <w:rPr>
          <w:sz w:val="20"/>
          <w:szCs w:val="20"/>
        </w:rPr>
        <w:lastRenderedPageBreak/>
        <w:t>Table B.2. Pre-coded speech 2.</w:t>
      </w:r>
      <w:bookmarkEnd w:id="326"/>
      <w:r w:rsidRPr="00086583">
        <w:rPr>
          <w:sz w:val="20"/>
          <w:szCs w:val="20"/>
        </w:rPr>
        <w:t xml:space="preserve"> </w:t>
      </w:r>
    </w:p>
    <w:tbl>
      <w:tblPr>
        <w:tblStyle w:val="Tabelraster"/>
        <w:tblW w:w="9918" w:type="dxa"/>
        <w:tblLook w:val="04A0" w:firstRow="1" w:lastRow="0" w:firstColumn="1" w:lastColumn="0" w:noHBand="0" w:noVBand="1"/>
      </w:tblPr>
      <w:tblGrid>
        <w:gridCol w:w="1736"/>
        <w:gridCol w:w="8182"/>
      </w:tblGrid>
      <w:tr w:rsidR="00605040" w:rsidRPr="008F3A1C" w14:paraId="462E0F56" w14:textId="77777777" w:rsidTr="00C711CF">
        <w:tc>
          <w:tcPr>
            <w:tcW w:w="1736" w:type="dxa"/>
          </w:tcPr>
          <w:p w14:paraId="629D8782" w14:textId="77777777" w:rsidR="00605040" w:rsidRPr="003F646B" w:rsidRDefault="00605040" w:rsidP="00F8473D">
            <w:pPr>
              <w:pStyle w:val="Geenafstand"/>
              <w:rPr>
                <w:i/>
                <w:iCs/>
              </w:rPr>
            </w:pPr>
            <w:r w:rsidRPr="003F646B">
              <w:rPr>
                <w:i/>
                <w:iCs/>
              </w:rPr>
              <w:t>TEXT</w:t>
            </w:r>
          </w:p>
        </w:tc>
        <w:tc>
          <w:tcPr>
            <w:tcW w:w="8182" w:type="dxa"/>
          </w:tcPr>
          <w:p w14:paraId="37334D6D" w14:textId="6AACCE83" w:rsidR="00605040" w:rsidRDefault="00605040" w:rsidP="00F8473D">
            <w:pPr>
              <w:pStyle w:val="Geenafstand"/>
            </w:pPr>
            <w:r w:rsidRPr="00605040">
              <w:t>I want to talk about the membership of the board as well, because that's important. And if we look at clause 10 of the bill, we can see that that board will have a very broad base. Obviously, we want people with infrastructure and urban development and technical housing expertise, but, equally, we want people with knowledge of Te Ao Māori, with community connections, with perspectives of public housing, with perspectives of being or assisting tenants in public and community housing, because that's all part of understanding how these projects are best delivered. A number of submitters came to us—community submitters—and said, "Well, in some of these projects that Governments have embarked upon we felt left out of the process. We felt we were only taken into account at the last." Well, here we have it that we've got an ability to have those people around the table at Kāinga Ora and making sure that they're absolutely included in the decision-making process.</w:t>
            </w:r>
          </w:p>
        </w:tc>
      </w:tr>
      <w:tr w:rsidR="00605040" w:rsidRPr="00556077" w14:paraId="081E9204" w14:textId="77777777" w:rsidTr="00C711CF">
        <w:tc>
          <w:tcPr>
            <w:tcW w:w="1736" w:type="dxa"/>
          </w:tcPr>
          <w:p w14:paraId="700F2DAE" w14:textId="77777777" w:rsidR="00605040" w:rsidRPr="003F646B" w:rsidRDefault="00605040" w:rsidP="00F8473D">
            <w:pPr>
              <w:pStyle w:val="Geenafstand"/>
              <w:rPr>
                <w:i/>
                <w:iCs/>
              </w:rPr>
            </w:pPr>
            <w:r w:rsidRPr="003F646B">
              <w:rPr>
                <w:i/>
                <w:iCs/>
              </w:rPr>
              <w:t>DATE</w:t>
            </w:r>
          </w:p>
        </w:tc>
        <w:tc>
          <w:tcPr>
            <w:tcW w:w="8182" w:type="dxa"/>
          </w:tcPr>
          <w:p w14:paraId="11586B71" w14:textId="10AB8546" w:rsidR="00605040" w:rsidRPr="00915D88" w:rsidRDefault="00605040" w:rsidP="00F8473D">
            <w:pPr>
              <w:pStyle w:val="Geenafstand"/>
              <w:rPr>
                <w:rFonts w:asciiTheme="minorHAnsi" w:hAnsiTheme="minorHAnsi" w:cstheme="minorHAnsi"/>
                <w:color w:val="000000"/>
              </w:rPr>
            </w:pPr>
            <w:r w:rsidRPr="00915D88">
              <w:rPr>
                <w:rFonts w:asciiTheme="minorHAnsi" w:hAnsiTheme="minorHAnsi" w:cstheme="minorHAnsi"/>
                <w:color w:val="000000"/>
              </w:rPr>
              <w:t>19-</w:t>
            </w:r>
            <w:r w:rsidR="000A15CA">
              <w:rPr>
                <w:rFonts w:asciiTheme="minorHAnsi" w:hAnsiTheme="minorHAnsi" w:cstheme="minorHAnsi"/>
                <w:color w:val="000000"/>
              </w:rPr>
              <w:t>0</w:t>
            </w:r>
            <w:r w:rsidRPr="00915D88">
              <w:rPr>
                <w:rFonts w:asciiTheme="minorHAnsi" w:hAnsiTheme="minorHAnsi" w:cstheme="minorHAnsi"/>
                <w:color w:val="000000"/>
              </w:rPr>
              <w:t>9-2019</w:t>
            </w:r>
          </w:p>
        </w:tc>
      </w:tr>
      <w:tr w:rsidR="00605040" w:rsidRPr="00556077" w14:paraId="3FD127D9" w14:textId="77777777" w:rsidTr="00C711CF">
        <w:tc>
          <w:tcPr>
            <w:tcW w:w="1736" w:type="dxa"/>
          </w:tcPr>
          <w:p w14:paraId="17D44D44" w14:textId="77777777" w:rsidR="00605040" w:rsidRPr="003F646B" w:rsidRDefault="00605040" w:rsidP="00F8473D">
            <w:pPr>
              <w:pStyle w:val="Geenafstand"/>
              <w:rPr>
                <w:i/>
                <w:iCs/>
              </w:rPr>
            </w:pPr>
            <w:r w:rsidRPr="003F646B">
              <w:rPr>
                <w:i/>
                <w:iCs/>
              </w:rPr>
              <w:t>CLAIMANTNAME</w:t>
            </w:r>
          </w:p>
        </w:tc>
        <w:tc>
          <w:tcPr>
            <w:tcW w:w="8182" w:type="dxa"/>
          </w:tcPr>
          <w:p w14:paraId="46A4EAD1" w14:textId="059D7049" w:rsidR="00605040" w:rsidRPr="00915D88" w:rsidRDefault="00605040" w:rsidP="00F8473D">
            <w:pPr>
              <w:pStyle w:val="Geenafstand"/>
              <w:rPr>
                <w:rFonts w:asciiTheme="minorHAnsi" w:hAnsiTheme="minorHAnsi" w:cstheme="minorHAnsi"/>
                <w:color w:val="000000"/>
              </w:rPr>
            </w:pPr>
            <w:r w:rsidRPr="00915D88">
              <w:rPr>
                <w:rFonts w:asciiTheme="minorHAnsi" w:hAnsiTheme="minorHAnsi" w:cstheme="minorHAnsi"/>
                <w:color w:val="000000"/>
              </w:rPr>
              <w:t>Webb, Duncan</w:t>
            </w:r>
          </w:p>
        </w:tc>
      </w:tr>
      <w:tr w:rsidR="00605040" w:rsidRPr="00556077" w14:paraId="65038068" w14:textId="77777777" w:rsidTr="00C711CF">
        <w:tc>
          <w:tcPr>
            <w:tcW w:w="1736" w:type="dxa"/>
          </w:tcPr>
          <w:p w14:paraId="55F27417" w14:textId="77777777" w:rsidR="00605040" w:rsidRPr="003F646B" w:rsidRDefault="00605040" w:rsidP="00F8473D">
            <w:pPr>
              <w:pStyle w:val="Geenafstand"/>
              <w:rPr>
                <w:i/>
                <w:iCs/>
              </w:rPr>
            </w:pPr>
            <w:r w:rsidRPr="003F646B">
              <w:rPr>
                <w:i/>
                <w:iCs/>
              </w:rPr>
              <w:t>CLAIMANT</w:t>
            </w:r>
          </w:p>
        </w:tc>
        <w:tc>
          <w:tcPr>
            <w:tcW w:w="8182" w:type="dxa"/>
          </w:tcPr>
          <w:p w14:paraId="515C8267" w14:textId="77777777" w:rsidR="00605040" w:rsidRPr="00915D88" w:rsidRDefault="00605040" w:rsidP="00F8473D">
            <w:pPr>
              <w:pStyle w:val="Geenafstand"/>
              <w:rPr>
                <w:rFonts w:asciiTheme="minorHAnsi" w:hAnsiTheme="minorHAnsi" w:cstheme="minorHAnsi"/>
                <w:color w:val="000000"/>
              </w:rPr>
            </w:pPr>
            <w:r w:rsidRPr="00915D88">
              <w:rPr>
                <w:rFonts w:asciiTheme="minorHAnsi" w:hAnsiTheme="minorHAnsi" w:cstheme="minorHAnsi"/>
                <w:color w:val="000000"/>
              </w:rPr>
              <w:t>General roll Māori</w:t>
            </w:r>
          </w:p>
        </w:tc>
      </w:tr>
      <w:tr w:rsidR="00605040" w:rsidRPr="00556077" w14:paraId="57DC742F" w14:textId="77777777" w:rsidTr="00C711CF">
        <w:tc>
          <w:tcPr>
            <w:tcW w:w="1736" w:type="dxa"/>
          </w:tcPr>
          <w:p w14:paraId="52621190" w14:textId="77777777" w:rsidR="00605040" w:rsidRPr="003F646B" w:rsidRDefault="00605040" w:rsidP="00F8473D">
            <w:pPr>
              <w:pStyle w:val="Geenafstand"/>
              <w:rPr>
                <w:i/>
                <w:iCs/>
              </w:rPr>
            </w:pPr>
            <w:r w:rsidRPr="003F646B">
              <w:rPr>
                <w:i/>
                <w:iCs/>
              </w:rPr>
              <w:t>CLAIMANTGEN</w:t>
            </w:r>
          </w:p>
        </w:tc>
        <w:tc>
          <w:tcPr>
            <w:tcW w:w="8182" w:type="dxa"/>
          </w:tcPr>
          <w:p w14:paraId="17489DDA" w14:textId="2CF372BA" w:rsidR="00605040" w:rsidRPr="00915D88" w:rsidRDefault="00605040" w:rsidP="00F8473D">
            <w:pPr>
              <w:pStyle w:val="Geenafstand"/>
              <w:rPr>
                <w:rFonts w:asciiTheme="minorHAnsi" w:hAnsiTheme="minorHAnsi" w:cstheme="minorHAnsi"/>
                <w:color w:val="000000"/>
              </w:rPr>
            </w:pPr>
            <w:r w:rsidRPr="00915D88">
              <w:rPr>
                <w:rFonts w:asciiTheme="minorHAnsi" w:hAnsiTheme="minorHAnsi" w:cstheme="minorHAnsi"/>
                <w:color w:val="000000"/>
              </w:rPr>
              <w:t>Men</w:t>
            </w:r>
          </w:p>
        </w:tc>
      </w:tr>
      <w:tr w:rsidR="00605040" w:rsidRPr="00556077" w14:paraId="6805F3D2" w14:textId="77777777" w:rsidTr="00C711CF">
        <w:tc>
          <w:tcPr>
            <w:tcW w:w="1736" w:type="dxa"/>
          </w:tcPr>
          <w:p w14:paraId="3F620D8F" w14:textId="77777777" w:rsidR="00605040" w:rsidRPr="003F646B" w:rsidRDefault="00605040" w:rsidP="00F8473D">
            <w:pPr>
              <w:pStyle w:val="Geenafstand"/>
              <w:rPr>
                <w:i/>
                <w:iCs/>
              </w:rPr>
            </w:pPr>
            <w:r w:rsidRPr="003F646B">
              <w:rPr>
                <w:i/>
                <w:iCs/>
              </w:rPr>
              <w:t>CLAIMANTPAR</w:t>
            </w:r>
          </w:p>
        </w:tc>
        <w:tc>
          <w:tcPr>
            <w:tcW w:w="8182" w:type="dxa"/>
          </w:tcPr>
          <w:p w14:paraId="2FAF02AA" w14:textId="77777777" w:rsidR="00605040" w:rsidRPr="00915D88" w:rsidRDefault="00605040" w:rsidP="00F8473D">
            <w:pPr>
              <w:pStyle w:val="Geenafstand"/>
              <w:rPr>
                <w:rFonts w:asciiTheme="minorHAnsi" w:hAnsiTheme="minorHAnsi" w:cstheme="minorHAnsi"/>
                <w:color w:val="000000"/>
              </w:rPr>
            </w:pPr>
            <w:r w:rsidRPr="00915D88">
              <w:rPr>
                <w:rFonts w:asciiTheme="minorHAnsi" w:hAnsiTheme="minorHAnsi" w:cstheme="minorHAnsi"/>
                <w:color w:val="000000"/>
              </w:rPr>
              <w:t>Labour Party</w:t>
            </w:r>
          </w:p>
        </w:tc>
      </w:tr>
      <w:tr w:rsidR="00605040" w:rsidRPr="00556077" w14:paraId="0B7A41D7" w14:textId="77777777" w:rsidTr="00C711CF">
        <w:tc>
          <w:tcPr>
            <w:tcW w:w="1736" w:type="dxa"/>
          </w:tcPr>
          <w:p w14:paraId="4767A4BE" w14:textId="77777777" w:rsidR="00605040" w:rsidRPr="003F646B" w:rsidRDefault="00605040" w:rsidP="00F8473D">
            <w:pPr>
              <w:pStyle w:val="Geenafstand"/>
              <w:rPr>
                <w:i/>
                <w:iCs/>
              </w:rPr>
            </w:pPr>
            <w:r w:rsidRPr="003F646B">
              <w:rPr>
                <w:i/>
                <w:iCs/>
              </w:rPr>
              <w:t>ISSUE</w:t>
            </w:r>
          </w:p>
        </w:tc>
        <w:tc>
          <w:tcPr>
            <w:tcW w:w="8182" w:type="dxa"/>
          </w:tcPr>
          <w:p w14:paraId="6E27E49D" w14:textId="61724E68" w:rsidR="00605040" w:rsidRPr="00915D88" w:rsidRDefault="00605040" w:rsidP="00F8473D">
            <w:pPr>
              <w:pStyle w:val="Geenafstand"/>
              <w:rPr>
                <w:rFonts w:asciiTheme="minorHAnsi" w:hAnsiTheme="minorHAnsi" w:cstheme="minorHAnsi"/>
              </w:rPr>
            </w:pPr>
            <w:r w:rsidRPr="00915D88">
              <w:rPr>
                <w:rFonts w:asciiTheme="minorHAnsi" w:hAnsiTheme="minorHAnsi" w:cstheme="minorHAnsi"/>
              </w:rPr>
              <w:t>Housing</w:t>
            </w:r>
          </w:p>
        </w:tc>
      </w:tr>
      <w:tr w:rsidR="00605040" w:rsidRPr="00556077" w14:paraId="58117734" w14:textId="77777777" w:rsidTr="00C711CF">
        <w:tc>
          <w:tcPr>
            <w:tcW w:w="1736" w:type="dxa"/>
          </w:tcPr>
          <w:p w14:paraId="6C3C90AC" w14:textId="77777777" w:rsidR="00605040" w:rsidRPr="003F646B" w:rsidRDefault="00605040" w:rsidP="00F8473D">
            <w:pPr>
              <w:pStyle w:val="Geenafstand"/>
              <w:rPr>
                <w:i/>
                <w:iCs/>
              </w:rPr>
            </w:pPr>
            <w:r w:rsidRPr="003F646B">
              <w:rPr>
                <w:i/>
                <w:iCs/>
              </w:rPr>
              <w:t>UNI</w:t>
            </w:r>
          </w:p>
        </w:tc>
        <w:tc>
          <w:tcPr>
            <w:tcW w:w="8182" w:type="dxa"/>
          </w:tcPr>
          <w:p w14:paraId="6A86FFD5" w14:textId="77777777" w:rsidR="00605040" w:rsidRPr="00915D88" w:rsidRDefault="00605040" w:rsidP="00F8473D">
            <w:pPr>
              <w:pStyle w:val="Geenafstand"/>
              <w:rPr>
                <w:rFonts w:asciiTheme="minorHAnsi" w:hAnsiTheme="minorHAnsi" w:cstheme="minorHAnsi"/>
              </w:rPr>
            </w:pPr>
            <w:r w:rsidRPr="00915D88">
              <w:rPr>
                <w:rFonts w:asciiTheme="minorHAnsi" w:hAnsiTheme="minorHAnsi" w:cstheme="minorHAnsi"/>
              </w:rPr>
              <w:t xml:space="preserve">Absent </w:t>
            </w:r>
          </w:p>
        </w:tc>
      </w:tr>
      <w:tr w:rsidR="00605040" w:rsidRPr="00556077" w14:paraId="41B6AD3F" w14:textId="77777777" w:rsidTr="00C711CF">
        <w:tc>
          <w:tcPr>
            <w:tcW w:w="1736" w:type="dxa"/>
          </w:tcPr>
          <w:p w14:paraId="3116E427" w14:textId="0BE94FEA" w:rsidR="00605040" w:rsidRPr="003F646B" w:rsidRDefault="00605040" w:rsidP="00F8473D">
            <w:pPr>
              <w:pStyle w:val="Geenafstand"/>
              <w:rPr>
                <w:i/>
                <w:iCs/>
              </w:rPr>
            </w:pPr>
            <w:r w:rsidRPr="003F646B">
              <w:rPr>
                <w:i/>
                <w:iCs/>
              </w:rPr>
              <w:t>AD</w:t>
            </w:r>
            <w:r w:rsidR="000A15CA">
              <w:rPr>
                <w:i/>
                <w:iCs/>
              </w:rPr>
              <w:t>D</w:t>
            </w:r>
            <w:r w:rsidRPr="003F646B">
              <w:rPr>
                <w:i/>
                <w:iCs/>
              </w:rPr>
              <w:t>RES</w:t>
            </w:r>
          </w:p>
        </w:tc>
        <w:tc>
          <w:tcPr>
            <w:tcW w:w="8182" w:type="dxa"/>
          </w:tcPr>
          <w:p w14:paraId="563B72F9" w14:textId="77777777" w:rsidR="00605040" w:rsidRPr="00915D88" w:rsidRDefault="00605040" w:rsidP="00F8473D">
            <w:pPr>
              <w:pStyle w:val="Geenafstand"/>
              <w:rPr>
                <w:rFonts w:asciiTheme="minorHAnsi" w:hAnsiTheme="minorHAnsi" w:cstheme="minorHAnsi"/>
              </w:rPr>
            </w:pPr>
            <w:r w:rsidRPr="00915D88">
              <w:rPr>
                <w:rFonts w:asciiTheme="minorHAnsi" w:hAnsiTheme="minorHAnsi" w:cstheme="minorHAnsi"/>
              </w:rPr>
              <w:t xml:space="preserve">Absent </w:t>
            </w:r>
          </w:p>
        </w:tc>
      </w:tr>
      <w:tr w:rsidR="00605040" w:rsidRPr="00556077" w14:paraId="5781D49B" w14:textId="77777777" w:rsidTr="00C711CF">
        <w:tc>
          <w:tcPr>
            <w:tcW w:w="1736" w:type="dxa"/>
          </w:tcPr>
          <w:p w14:paraId="18212E38" w14:textId="77777777" w:rsidR="00605040" w:rsidRPr="003F646B" w:rsidRDefault="00605040" w:rsidP="00F8473D">
            <w:pPr>
              <w:pStyle w:val="Geenafstand"/>
              <w:rPr>
                <w:i/>
                <w:iCs/>
              </w:rPr>
            </w:pPr>
            <w:r w:rsidRPr="003F646B">
              <w:rPr>
                <w:i/>
                <w:iCs/>
              </w:rPr>
              <w:t>EVAL</w:t>
            </w:r>
          </w:p>
        </w:tc>
        <w:tc>
          <w:tcPr>
            <w:tcW w:w="8182" w:type="dxa"/>
          </w:tcPr>
          <w:p w14:paraId="4BF6D623" w14:textId="77777777" w:rsidR="00605040" w:rsidRPr="00915D88" w:rsidRDefault="00605040" w:rsidP="00F8473D">
            <w:pPr>
              <w:pStyle w:val="Geenafstand"/>
              <w:rPr>
                <w:rFonts w:asciiTheme="minorHAnsi" w:hAnsiTheme="minorHAnsi" w:cstheme="minorHAnsi"/>
              </w:rPr>
            </w:pPr>
            <w:r w:rsidRPr="00915D88">
              <w:rPr>
                <w:rFonts w:asciiTheme="minorHAnsi" w:hAnsiTheme="minorHAnsi" w:cstheme="minorHAnsi"/>
              </w:rPr>
              <w:t>Absent</w:t>
            </w:r>
          </w:p>
        </w:tc>
      </w:tr>
      <w:tr w:rsidR="00605040" w:rsidRPr="00556077" w14:paraId="249F371B" w14:textId="77777777" w:rsidTr="00C711CF">
        <w:tc>
          <w:tcPr>
            <w:tcW w:w="1736" w:type="dxa"/>
          </w:tcPr>
          <w:p w14:paraId="2AC61A9F" w14:textId="77777777" w:rsidR="00605040" w:rsidRPr="003F646B" w:rsidRDefault="00605040" w:rsidP="00F8473D">
            <w:pPr>
              <w:pStyle w:val="Geenafstand"/>
              <w:rPr>
                <w:i/>
                <w:iCs/>
              </w:rPr>
            </w:pPr>
            <w:r w:rsidRPr="003F646B">
              <w:rPr>
                <w:i/>
                <w:iCs/>
              </w:rPr>
              <w:t>OBJECT</w:t>
            </w:r>
          </w:p>
        </w:tc>
        <w:tc>
          <w:tcPr>
            <w:tcW w:w="8182" w:type="dxa"/>
          </w:tcPr>
          <w:p w14:paraId="0CF81736" w14:textId="77777777" w:rsidR="00605040" w:rsidRPr="00915D88" w:rsidRDefault="00605040" w:rsidP="00F8473D">
            <w:pPr>
              <w:pStyle w:val="Geenafstand"/>
              <w:rPr>
                <w:rFonts w:asciiTheme="minorHAnsi" w:hAnsiTheme="minorHAnsi" w:cstheme="minorHAnsi"/>
              </w:rPr>
            </w:pPr>
            <w:r w:rsidRPr="00915D88">
              <w:rPr>
                <w:rFonts w:asciiTheme="minorHAnsi" w:hAnsiTheme="minorHAnsi" w:cstheme="minorHAnsi"/>
              </w:rPr>
              <w:t xml:space="preserve">Whole </w:t>
            </w:r>
            <w:r w:rsidRPr="00915D88">
              <w:rPr>
                <w:rFonts w:asciiTheme="minorHAnsi" w:hAnsiTheme="minorHAnsi" w:cstheme="minorHAnsi"/>
                <w:color w:val="000000"/>
              </w:rPr>
              <w:t>Māori population</w:t>
            </w:r>
          </w:p>
        </w:tc>
      </w:tr>
      <w:tr w:rsidR="00605040" w:rsidRPr="00556077" w14:paraId="557ED819" w14:textId="77777777" w:rsidTr="00C711CF">
        <w:tc>
          <w:tcPr>
            <w:tcW w:w="1736" w:type="dxa"/>
          </w:tcPr>
          <w:p w14:paraId="0B11BB0A" w14:textId="77777777" w:rsidR="00605040" w:rsidRPr="003F646B" w:rsidRDefault="00605040" w:rsidP="00F8473D">
            <w:pPr>
              <w:pStyle w:val="Geenafstand"/>
              <w:rPr>
                <w:i/>
                <w:iCs/>
              </w:rPr>
            </w:pPr>
            <w:r w:rsidRPr="003F646B">
              <w:rPr>
                <w:i/>
                <w:iCs/>
              </w:rPr>
              <w:t>JUST</w:t>
            </w:r>
          </w:p>
        </w:tc>
        <w:tc>
          <w:tcPr>
            <w:tcW w:w="8182" w:type="dxa"/>
          </w:tcPr>
          <w:p w14:paraId="424112E6" w14:textId="52FD300A" w:rsidR="00605040" w:rsidRPr="00915D88" w:rsidRDefault="00226E4B" w:rsidP="00F8473D">
            <w:pPr>
              <w:pStyle w:val="Geenafstand"/>
              <w:rPr>
                <w:rFonts w:asciiTheme="minorHAnsi" w:hAnsiTheme="minorHAnsi" w:cstheme="minorHAnsi"/>
              </w:rPr>
            </w:pPr>
            <w:r w:rsidRPr="00915D88">
              <w:rPr>
                <w:rFonts w:asciiTheme="minorHAnsi" w:hAnsiTheme="minorHAnsi" w:cstheme="minorHAnsi"/>
              </w:rPr>
              <w:t>Injustice</w:t>
            </w:r>
          </w:p>
        </w:tc>
      </w:tr>
    </w:tbl>
    <w:p w14:paraId="42F2F166" w14:textId="77777777" w:rsidR="00EF51A4" w:rsidRDefault="00EF51A4" w:rsidP="00EF51A4">
      <w:pPr>
        <w:pStyle w:val="Kop3"/>
        <w:rPr>
          <w:sz w:val="20"/>
          <w:szCs w:val="20"/>
        </w:rPr>
      </w:pPr>
    </w:p>
    <w:p w14:paraId="718AE51A" w14:textId="77777777" w:rsidR="00BB131F" w:rsidRDefault="00BB131F">
      <w:pPr>
        <w:rPr>
          <w:rFonts w:asciiTheme="majorHAnsi" w:eastAsiaTheme="majorEastAsia" w:hAnsiTheme="majorHAnsi" w:cstheme="majorBidi"/>
          <w:color w:val="1F3763" w:themeColor="accent1" w:themeShade="7F"/>
          <w:sz w:val="20"/>
          <w:szCs w:val="20"/>
          <w:lang w:val="en-GB" w:eastAsia="en-GB"/>
        </w:rPr>
      </w:pPr>
      <w:r>
        <w:rPr>
          <w:sz w:val="20"/>
          <w:szCs w:val="20"/>
        </w:rPr>
        <w:br w:type="page"/>
      </w:r>
    </w:p>
    <w:p w14:paraId="7D23B50F" w14:textId="4DE8A83C" w:rsidR="00EF51A4" w:rsidRDefault="00EF51A4" w:rsidP="00EF51A4">
      <w:pPr>
        <w:pStyle w:val="Kop3"/>
        <w:rPr>
          <w:sz w:val="20"/>
          <w:szCs w:val="20"/>
        </w:rPr>
      </w:pPr>
      <w:bookmarkStart w:id="327" w:name="_Toc75384134"/>
      <w:r w:rsidRPr="00086583">
        <w:rPr>
          <w:sz w:val="20"/>
          <w:szCs w:val="20"/>
        </w:rPr>
        <w:lastRenderedPageBreak/>
        <w:t>Table B.</w:t>
      </w:r>
      <w:r>
        <w:rPr>
          <w:sz w:val="20"/>
          <w:szCs w:val="20"/>
        </w:rPr>
        <w:t>3</w:t>
      </w:r>
      <w:r w:rsidRPr="00086583">
        <w:rPr>
          <w:sz w:val="20"/>
          <w:szCs w:val="20"/>
        </w:rPr>
        <w:t xml:space="preserve">. Pre-coded speech </w:t>
      </w:r>
      <w:r>
        <w:rPr>
          <w:sz w:val="20"/>
          <w:szCs w:val="20"/>
        </w:rPr>
        <w:t>3</w:t>
      </w:r>
      <w:r w:rsidRPr="00086583">
        <w:rPr>
          <w:sz w:val="20"/>
          <w:szCs w:val="20"/>
        </w:rPr>
        <w:t>.</w:t>
      </w:r>
      <w:bookmarkEnd w:id="327"/>
      <w:r w:rsidRPr="00086583">
        <w:rPr>
          <w:sz w:val="20"/>
          <w:szCs w:val="20"/>
        </w:rPr>
        <w:t xml:space="preserve"> </w:t>
      </w:r>
    </w:p>
    <w:tbl>
      <w:tblPr>
        <w:tblStyle w:val="Tabelraster"/>
        <w:tblW w:w="9918" w:type="dxa"/>
        <w:tblLook w:val="04A0" w:firstRow="1" w:lastRow="0" w:firstColumn="1" w:lastColumn="0" w:noHBand="0" w:noVBand="1"/>
      </w:tblPr>
      <w:tblGrid>
        <w:gridCol w:w="1736"/>
        <w:gridCol w:w="8182"/>
      </w:tblGrid>
      <w:tr w:rsidR="00EF51A4" w:rsidRPr="008F3A1C" w14:paraId="429E10EF" w14:textId="77777777" w:rsidTr="00C711CF">
        <w:tc>
          <w:tcPr>
            <w:tcW w:w="1736" w:type="dxa"/>
          </w:tcPr>
          <w:p w14:paraId="5DE60CF0" w14:textId="77777777" w:rsidR="00EF51A4" w:rsidRPr="003F646B" w:rsidRDefault="00EF51A4" w:rsidP="00F8473D">
            <w:pPr>
              <w:pStyle w:val="Geenafstand"/>
              <w:rPr>
                <w:i/>
                <w:iCs/>
              </w:rPr>
            </w:pPr>
            <w:r w:rsidRPr="003F646B">
              <w:rPr>
                <w:i/>
                <w:iCs/>
              </w:rPr>
              <w:t>TEXT</w:t>
            </w:r>
          </w:p>
        </w:tc>
        <w:tc>
          <w:tcPr>
            <w:tcW w:w="8182" w:type="dxa"/>
          </w:tcPr>
          <w:p w14:paraId="5D8B4334" w14:textId="1D5E96F5" w:rsidR="00EF51A4" w:rsidRDefault="005F6453" w:rsidP="00F8473D">
            <w:pPr>
              <w:pStyle w:val="Geenafstand"/>
            </w:pPr>
            <w:r w:rsidRPr="005F6453">
              <w:t>I move, That the Local Electoral (Māori Wards and Māori Constituencies) Amendment Bill be reported to the House by 15 February 2021 and that the committee have authority to meet at any time while the House is sitting (except during oral questions), during an evening on a day on which there has been a sitting of the House, and on a Friday in a week in which there has been a sitting of the House, despite Standing Orders 193 and 196(1)(b) and (c). I acknowledge that it is unusual to make a change of this nature in such haste. However, the bill must proceed quickly so that the changes affecting councils can apply for the 2022 local body elections. Councils and communities with Māori ward processes already under way will have certainty about what will happen, expensive poll processes will soon become redundant and they do not need to be started, and—to be clear—for those councils who want to reconsider whether they have Māori wards at the 2022 local elections, if they decide to, every council has until 21 May 2021 to create Māori wards for their communities. After that, councils that have resolved to establish Māori wards will need to undertake the representation review process to make sure that their overall representation arrangements are fair and effective. The bill will address a discriminatory provision where a poll of 5 percent of electors can overturn a resolution to create Māori wards and constituencies.</w:t>
            </w:r>
            <w:r w:rsidR="00536881">
              <w:t xml:space="preserve"> </w:t>
            </w:r>
            <w:r w:rsidRPr="005F6453">
              <w:t>This provision does not apply to general wards and constituencies. That's why we are making the changes contained in the bill. Despite the urgency of the bill, the Government values hearing from all New Zealanders about law reform and we encourage people to make submissions. This is why we are proposing that the select committee process does take place and in haste, and I respectfully ask the Māori Affairs Committee to consider the bill thoroughly and report back to the House by 15 February. Giving the committee additional authority to meet outside the usual hours will support it to meet the time frames that I invite the House to support in this motion.</w:t>
            </w:r>
          </w:p>
        </w:tc>
      </w:tr>
      <w:tr w:rsidR="00EF51A4" w:rsidRPr="00556077" w14:paraId="746AE7A2" w14:textId="77777777" w:rsidTr="00C711CF">
        <w:tc>
          <w:tcPr>
            <w:tcW w:w="1736" w:type="dxa"/>
          </w:tcPr>
          <w:p w14:paraId="44FC8202" w14:textId="77777777" w:rsidR="00EF51A4" w:rsidRPr="003F646B" w:rsidRDefault="00EF51A4" w:rsidP="00F8473D">
            <w:pPr>
              <w:pStyle w:val="Geenafstand"/>
              <w:rPr>
                <w:i/>
                <w:iCs/>
              </w:rPr>
            </w:pPr>
            <w:r w:rsidRPr="003F646B">
              <w:rPr>
                <w:i/>
                <w:iCs/>
              </w:rPr>
              <w:t>DATE</w:t>
            </w:r>
          </w:p>
        </w:tc>
        <w:tc>
          <w:tcPr>
            <w:tcW w:w="8182" w:type="dxa"/>
          </w:tcPr>
          <w:p w14:paraId="261450C2" w14:textId="6549DA3C" w:rsidR="00EF51A4" w:rsidRPr="00915D88" w:rsidRDefault="00CB07EC" w:rsidP="00F8473D">
            <w:pPr>
              <w:pStyle w:val="Geenafstand"/>
              <w:rPr>
                <w:rFonts w:asciiTheme="minorHAnsi" w:hAnsiTheme="minorHAnsi" w:cstheme="minorHAnsi"/>
                <w:color w:val="000000"/>
              </w:rPr>
            </w:pPr>
            <w:r>
              <w:rPr>
                <w:rFonts w:asciiTheme="minorHAnsi" w:hAnsiTheme="minorHAnsi" w:cstheme="minorHAnsi"/>
                <w:color w:val="000000"/>
              </w:rPr>
              <w:t>09-02-2021</w:t>
            </w:r>
          </w:p>
        </w:tc>
      </w:tr>
      <w:tr w:rsidR="00EF51A4" w:rsidRPr="00556077" w14:paraId="65E5B8F5" w14:textId="77777777" w:rsidTr="00C711CF">
        <w:tc>
          <w:tcPr>
            <w:tcW w:w="1736" w:type="dxa"/>
          </w:tcPr>
          <w:p w14:paraId="444524CB" w14:textId="77777777" w:rsidR="00EF51A4" w:rsidRPr="003F646B" w:rsidRDefault="00EF51A4" w:rsidP="00F8473D">
            <w:pPr>
              <w:pStyle w:val="Geenafstand"/>
              <w:rPr>
                <w:i/>
                <w:iCs/>
              </w:rPr>
            </w:pPr>
            <w:r w:rsidRPr="003F646B">
              <w:rPr>
                <w:i/>
                <w:iCs/>
              </w:rPr>
              <w:t>CLAIMANTNAME</w:t>
            </w:r>
          </w:p>
        </w:tc>
        <w:tc>
          <w:tcPr>
            <w:tcW w:w="8182" w:type="dxa"/>
          </w:tcPr>
          <w:p w14:paraId="2BA14BCD" w14:textId="18EF3850" w:rsidR="00EF51A4" w:rsidRPr="00915D88" w:rsidRDefault="00CB07EC" w:rsidP="00F8473D">
            <w:pPr>
              <w:pStyle w:val="Geenafstand"/>
              <w:rPr>
                <w:rFonts w:asciiTheme="minorHAnsi" w:hAnsiTheme="minorHAnsi" w:cstheme="minorHAnsi"/>
                <w:color w:val="000000"/>
              </w:rPr>
            </w:pPr>
            <w:r>
              <w:rPr>
                <w:rFonts w:asciiTheme="minorHAnsi" w:hAnsiTheme="minorHAnsi" w:cstheme="minorHAnsi"/>
                <w:color w:val="000000"/>
              </w:rPr>
              <w:t>Nanaia, Mahuta</w:t>
            </w:r>
          </w:p>
        </w:tc>
      </w:tr>
      <w:tr w:rsidR="00EF51A4" w:rsidRPr="00556077" w14:paraId="743F0043" w14:textId="77777777" w:rsidTr="00C711CF">
        <w:tc>
          <w:tcPr>
            <w:tcW w:w="1736" w:type="dxa"/>
          </w:tcPr>
          <w:p w14:paraId="38F585C4" w14:textId="77777777" w:rsidR="00EF51A4" w:rsidRPr="003F646B" w:rsidRDefault="00EF51A4" w:rsidP="00F8473D">
            <w:pPr>
              <w:pStyle w:val="Geenafstand"/>
              <w:rPr>
                <w:i/>
                <w:iCs/>
              </w:rPr>
            </w:pPr>
            <w:r w:rsidRPr="003F646B">
              <w:rPr>
                <w:i/>
                <w:iCs/>
              </w:rPr>
              <w:t>CLAIMANT</w:t>
            </w:r>
          </w:p>
        </w:tc>
        <w:tc>
          <w:tcPr>
            <w:tcW w:w="8182" w:type="dxa"/>
          </w:tcPr>
          <w:p w14:paraId="3E198639" w14:textId="0F409FE3" w:rsidR="00EF51A4" w:rsidRPr="00915D88" w:rsidRDefault="00EF51A4" w:rsidP="00F8473D">
            <w:pPr>
              <w:pStyle w:val="Geenafstand"/>
              <w:rPr>
                <w:rFonts w:asciiTheme="minorHAnsi" w:hAnsiTheme="minorHAnsi" w:cstheme="minorHAnsi"/>
                <w:color w:val="000000"/>
              </w:rPr>
            </w:pPr>
            <w:r w:rsidRPr="00915D88">
              <w:rPr>
                <w:rFonts w:asciiTheme="minorHAnsi" w:hAnsiTheme="minorHAnsi" w:cstheme="minorHAnsi"/>
                <w:color w:val="000000"/>
              </w:rPr>
              <w:t>Māori</w:t>
            </w:r>
            <w:r w:rsidR="00CB07EC">
              <w:rPr>
                <w:rFonts w:asciiTheme="minorHAnsi" w:hAnsiTheme="minorHAnsi" w:cstheme="minorHAnsi"/>
                <w:color w:val="000000"/>
              </w:rPr>
              <w:t xml:space="preserve"> roll</w:t>
            </w:r>
          </w:p>
        </w:tc>
      </w:tr>
      <w:tr w:rsidR="00EF51A4" w:rsidRPr="00556077" w14:paraId="1693469B" w14:textId="77777777" w:rsidTr="00C711CF">
        <w:tc>
          <w:tcPr>
            <w:tcW w:w="1736" w:type="dxa"/>
          </w:tcPr>
          <w:p w14:paraId="2FF9F617" w14:textId="77777777" w:rsidR="00EF51A4" w:rsidRPr="003F646B" w:rsidRDefault="00EF51A4" w:rsidP="00F8473D">
            <w:pPr>
              <w:pStyle w:val="Geenafstand"/>
              <w:rPr>
                <w:i/>
                <w:iCs/>
              </w:rPr>
            </w:pPr>
            <w:r w:rsidRPr="003F646B">
              <w:rPr>
                <w:i/>
                <w:iCs/>
              </w:rPr>
              <w:t>CLAIMANTGEN</w:t>
            </w:r>
          </w:p>
        </w:tc>
        <w:tc>
          <w:tcPr>
            <w:tcW w:w="8182" w:type="dxa"/>
          </w:tcPr>
          <w:p w14:paraId="23628BA0" w14:textId="21EA30F5" w:rsidR="00EF51A4" w:rsidRPr="00915D88" w:rsidRDefault="00CB07EC" w:rsidP="00F8473D">
            <w:pPr>
              <w:pStyle w:val="Geenafstand"/>
              <w:rPr>
                <w:rFonts w:asciiTheme="minorHAnsi" w:hAnsiTheme="minorHAnsi" w:cstheme="minorHAnsi"/>
                <w:color w:val="000000"/>
              </w:rPr>
            </w:pPr>
            <w:r>
              <w:rPr>
                <w:rFonts w:asciiTheme="minorHAnsi" w:hAnsiTheme="minorHAnsi" w:cstheme="minorHAnsi"/>
                <w:color w:val="000000"/>
              </w:rPr>
              <w:t>Woman</w:t>
            </w:r>
          </w:p>
        </w:tc>
      </w:tr>
      <w:tr w:rsidR="00EF51A4" w:rsidRPr="00556077" w14:paraId="354420F8" w14:textId="77777777" w:rsidTr="00C711CF">
        <w:tc>
          <w:tcPr>
            <w:tcW w:w="1736" w:type="dxa"/>
          </w:tcPr>
          <w:p w14:paraId="2B0854BE" w14:textId="77777777" w:rsidR="00EF51A4" w:rsidRPr="003F646B" w:rsidRDefault="00EF51A4" w:rsidP="00F8473D">
            <w:pPr>
              <w:pStyle w:val="Geenafstand"/>
              <w:rPr>
                <w:i/>
                <w:iCs/>
              </w:rPr>
            </w:pPr>
            <w:r w:rsidRPr="003F646B">
              <w:rPr>
                <w:i/>
                <w:iCs/>
              </w:rPr>
              <w:t>CLAIMANTPAR</w:t>
            </w:r>
          </w:p>
        </w:tc>
        <w:tc>
          <w:tcPr>
            <w:tcW w:w="8182" w:type="dxa"/>
          </w:tcPr>
          <w:p w14:paraId="79A7CBD8" w14:textId="77777777" w:rsidR="00EF51A4" w:rsidRPr="00915D88" w:rsidRDefault="00EF51A4" w:rsidP="00F8473D">
            <w:pPr>
              <w:pStyle w:val="Geenafstand"/>
              <w:rPr>
                <w:rFonts w:asciiTheme="minorHAnsi" w:hAnsiTheme="minorHAnsi" w:cstheme="minorHAnsi"/>
                <w:color w:val="000000"/>
              </w:rPr>
            </w:pPr>
            <w:r w:rsidRPr="00915D88">
              <w:rPr>
                <w:rFonts w:asciiTheme="minorHAnsi" w:hAnsiTheme="minorHAnsi" w:cstheme="minorHAnsi"/>
                <w:color w:val="000000"/>
              </w:rPr>
              <w:t>Labour Party</w:t>
            </w:r>
          </w:p>
        </w:tc>
      </w:tr>
      <w:tr w:rsidR="00EF51A4" w:rsidRPr="008F3A1C" w14:paraId="1BD862C6" w14:textId="77777777" w:rsidTr="00C711CF">
        <w:tc>
          <w:tcPr>
            <w:tcW w:w="1736" w:type="dxa"/>
          </w:tcPr>
          <w:p w14:paraId="11B19B8B" w14:textId="77777777" w:rsidR="00EF51A4" w:rsidRPr="003F646B" w:rsidRDefault="00EF51A4" w:rsidP="00F8473D">
            <w:pPr>
              <w:pStyle w:val="Geenafstand"/>
              <w:rPr>
                <w:i/>
                <w:iCs/>
              </w:rPr>
            </w:pPr>
            <w:r w:rsidRPr="003F646B">
              <w:rPr>
                <w:i/>
                <w:iCs/>
              </w:rPr>
              <w:t>ISSUE</w:t>
            </w:r>
          </w:p>
        </w:tc>
        <w:tc>
          <w:tcPr>
            <w:tcW w:w="8182" w:type="dxa"/>
          </w:tcPr>
          <w:p w14:paraId="65A8E7FB" w14:textId="36E98ACD" w:rsidR="00EF51A4" w:rsidRPr="00915D88" w:rsidRDefault="00CB07EC" w:rsidP="00F8473D">
            <w:pPr>
              <w:pStyle w:val="Geenafstand"/>
              <w:rPr>
                <w:rFonts w:asciiTheme="minorHAnsi" w:hAnsiTheme="minorHAnsi" w:cstheme="minorHAnsi"/>
              </w:rPr>
            </w:pPr>
            <w:r>
              <w:rPr>
                <w:rFonts w:asciiTheme="minorHAnsi" w:hAnsiTheme="minorHAnsi" w:cstheme="minorHAnsi"/>
              </w:rPr>
              <w:t>Governance, autonomy and self-determination</w:t>
            </w:r>
          </w:p>
        </w:tc>
      </w:tr>
      <w:tr w:rsidR="00EF51A4" w:rsidRPr="00556077" w14:paraId="21E8F7BF" w14:textId="77777777" w:rsidTr="00C711CF">
        <w:tc>
          <w:tcPr>
            <w:tcW w:w="1736" w:type="dxa"/>
          </w:tcPr>
          <w:p w14:paraId="5752108F" w14:textId="77777777" w:rsidR="00EF51A4" w:rsidRPr="003F646B" w:rsidRDefault="00EF51A4" w:rsidP="00F8473D">
            <w:pPr>
              <w:pStyle w:val="Geenafstand"/>
              <w:rPr>
                <w:i/>
                <w:iCs/>
              </w:rPr>
            </w:pPr>
            <w:r w:rsidRPr="003F646B">
              <w:rPr>
                <w:i/>
                <w:iCs/>
              </w:rPr>
              <w:t>UNI</w:t>
            </w:r>
          </w:p>
        </w:tc>
        <w:tc>
          <w:tcPr>
            <w:tcW w:w="8182" w:type="dxa"/>
          </w:tcPr>
          <w:p w14:paraId="0252147F" w14:textId="624F27A7" w:rsidR="00EF51A4" w:rsidRPr="00915D88" w:rsidRDefault="00F744D9" w:rsidP="00F8473D">
            <w:pPr>
              <w:pStyle w:val="Geenafstand"/>
              <w:rPr>
                <w:rFonts w:asciiTheme="minorHAnsi" w:hAnsiTheme="minorHAnsi" w:cstheme="minorHAnsi"/>
              </w:rPr>
            </w:pPr>
            <w:r>
              <w:rPr>
                <w:rFonts w:asciiTheme="minorHAnsi" w:hAnsiTheme="minorHAnsi" w:cstheme="minorHAnsi"/>
              </w:rPr>
              <w:t>Absent</w:t>
            </w:r>
          </w:p>
        </w:tc>
      </w:tr>
      <w:tr w:rsidR="00EF51A4" w:rsidRPr="00556077" w14:paraId="3AF974AD" w14:textId="77777777" w:rsidTr="00C711CF">
        <w:tc>
          <w:tcPr>
            <w:tcW w:w="1736" w:type="dxa"/>
          </w:tcPr>
          <w:p w14:paraId="0175294B" w14:textId="1F2489ED" w:rsidR="00EF51A4" w:rsidRPr="003F646B" w:rsidRDefault="00EF51A4" w:rsidP="00F8473D">
            <w:pPr>
              <w:pStyle w:val="Geenafstand"/>
              <w:rPr>
                <w:i/>
                <w:iCs/>
              </w:rPr>
            </w:pPr>
            <w:r w:rsidRPr="003F646B">
              <w:rPr>
                <w:i/>
                <w:iCs/>
              </w:rPr>
              <w:t>AD</w:t>
            </w:r>
            <w:r w:rsidR="000A15CA">
              <w:rPr>
                <w:i/>
                <w:iCs/>
              </w:rPr>
              <w:t>D</w:t>
            </w:r>
            <w:r w:rsidRPr="003F646B">
              <w:rPr>
                <w:i/>
                <w:iCs/>
              </w:rPr>
              <w:t>RES</w:t>
            </w:r>
          </w:p>
        </w:tc>
        <w:tc>
          <w:tcPr>
            <w:tcW w:w="8182" w:type="dxa"/>
          </w:tcPr>
          <w:p w14:paraId="06BDD0A1" w14:textId="0884BFE9" w:rsidR="00EF51A4" w:rsidRPr="00915D88" w:rsidRDefault="009017B7" w:rsidP="00F8473D">
            <w:pPr>
              <w:pStyle w:val="Geenafstand"/>
              <w:rPr>
                <w:rFonts w:asciiTheme="minorHAnsi" w:hAnsiTheme="minorHAnsi" w:cstheme="minorHAnsi"/>
              </w:rPr>
            </w:pPr>
            <w:r w:rsidRPr="00915D88">
              <w:rPr>
                <w:rFonts w:asciiTheme="minorHAnsi" w:hAnsiTheme="minorHAnsi" w:cstheme="minorHAnsi"/>
                <w:color w:val="000000"/>
              </w:rPr>
              <w:t>Māori</w:t>
            </w:r>
            <w:r>
              <w:rPr>
                <w:rFonts w:asciiTheme="minorHAnsi" w:hAnsiTheme="minorHAnsi" w:cstheme="minorHAnsi"/>
                <w:color w:val="000000"/>
              </w:rPr>
              <w:t xml:space="preserve"> Affairs Committee</w:t>
            </w:r>
          </w:p>
        </w:tc>
      </w:tr>
      <w:tr w:rsidR="00EF51A4" w:rsidRPr="00556077" w14:paraId="4A6DF2CB" w14:textId="77777777" w:rsidTr="00C711CF">
        <w:tc>
          <w:tcPr>
            <w:tcW w:w="1736" w:type="dxa"/>
          </w:tcPr>
          <w:p w14:paraId="0EFDDB11" w14:textId="77777777" w:rsidR="00EF51A4" w:rsidRPr="003F646B" w:rsidRDefault="00EF51A4" w:rsidP="00F8473D">
            <w:pPr>
              <w:pStyle w:val="Geenafstand"/>
              <w:rPr>
                <w:i/>
                <w:iCs/>
              </w:rPr>
            </w:pPr>
            <w:r w:rsidRPr="003F646B">
              <w:rPr>
                <w:i/>
                <w:iCs/>
              </w:rPr>
              <w:t>EVAL</w:t>
            </w:r>
          </w:p>
        </w:tc>
        <w:tc>
          <w:tcPr>
            <w:tcW w:w="8182" w:type="dxa"/>
          </w:tcPr>
          <w:p w14:paraId="3BC9DE9D" w14:textId="44666FE4" w:rsidR="00EF51A4" w:rsidRPr="00915D88" w:rsidRDefault="009017B7" w:rsidP="00F8473D">
            <w:pPr>
              <w:pStyle w:val="Geenafstand"/>
              <w:rPr>
                <w:rFonts w:asciiTheme="minorHAnsi" w:hAnsiTheme="minorHAnsi" w:cstheme="minorHAnsi"/>
              </w:rPr>
            </w:pPr>
            <w:r>
              <w:rPr>
                <w:rFonts w:asciiTheme="minorHAnsi" w:hAnsiTheme="minorHAnsi" w:cstheme="minorHAnsi"/>
              </w:rPr>
              <w:t>Absent</w:t>
            </w:r>
          </w:p>
        </w:tc>
      </w:tr>
      <w:tr w:rsidR="00EF51A4" w:rsidRPr="00556077" w14:paraId="766E67B5" w14:textId="77777777" w:rsidTr="00C711CF">
        <w:tc>
          <w:tcPr>
            <w:tcW w:w="1736" w:type="dxa"/>
          </w:tcPr>
          <w:p w14:paraId="770833B4" w14:textId="77777777" w:rsidR="00EF51A4" w:rsidRPr="003F646B" w:rsidRDefault="00EF51A4" w:rsidP="00F8473D">
            <w:pPr>
              <w:pStyle w:val="Geenafstand"/>
              <w:rPr>
                <w:i/>
                <w:iCs/>
              </w:rPr>
            </w:pPr>
            <w:r w:rsidRPr="003F646B">
              <w:rPr>
                <w:i/>
                <w:iCs/>
              </w:rPr>
              <w:t>OBJECT</w:t>
            </w:r>
          </w:p>
        </w:tc>
        <w:tc>
          <w:tcPr>
            <w:tcW w:w="8182" w:type="dxa"/>
          </w:tcPr>
          <w:p w14:paraId="10B4780E" w14:textId="48573B88" w:rsidR="00EF51A4" w:rsidRPr="00915D88" w:rsidRDefault="009017B7" w:rsidP="00F8473D">
            <w:pPr>
              <w:pStyle w:val="Geenafstand"/>
              <w:rPr>
                <w:rFonts w:asciiTheme="minorHAnsi" w:hAnsiTheme="minorHAnsi" w:cstheme="minorHAnsi"/>
              </w:rPr>
            </w:pPr>
            <w:r>
              <w:rPr>
                <w:rFonts w:asciiTheme="minorHAnsi" w:hAnsiTheme="minorHAnsi" w:cstheme="minorHAnsi"/>
              </w:rPr>
              <w:t xml:space="preserve">Whole </w:t>
            </w:r>
            <w:r w:rsidRPr="00915D88">
              <w:rPr>
                <w:rFonts w:asciiTheme="minorHAnsi" w:hAnsiTheme="minorHAnsi" w:cstheme="minorHAnsi"/>
                <w:color w:val="000000"/>
              </w:rPr>
              <w:t>Māori</w:t>
            </w:r>
            <w:r>
              <w:rPr>
                <w:rFonts w:asciiTheme="minorHAnsi" w:hAnsiTheme="minorHAnsi" w:cstheme="minorHAnsi"/>
                <w:color w:val="000000"/>
              </w:rPr>
              <w:t xml:space="preserve"> population</w:t>
            </w:r>
          </w:p>
        </w:tc>
      </w:tr>
      <w:tr w:rsidR="00EF51A4" w:rsidRPr="00556077" w14:paraId="121ADAEF" w14:textId="77777777" w:rsidTr="00C711CF">
        <w:tc>
          <w:tcPr>
            <w:tcW w:w="1736" w:type="dxa"/>
          </w:tcPr>
          <w:p w14:paraId="048D748E" w14:textId="77777777" w:rsidR="00EF51A4" w:rsidRPr="003F646B" w:rsidRDefault="00EF51A4" w:rsidP="00F8473D">
            <w:pPr>
              <w:pStyle w:val="Geenafstand"/>
              <w:rPr>
                <w:i/>
                <w:iCs/>
              </w:rPr>
            </w:pPr>
            <w:r w:rsidRPr="003F646B">
              <w:rPr>
                <w:i/>
                <w:iCs/>
              </w:rPr>
              <w:t>JUST</w:t>
            </w:r>
          </w:p>
        </w:tc>
        <w:tc>
          <w:tcPr>
            <w:tcW w:w="8182" w:type="dxa"/>
          </w:tcPr>
          <w:p w14:paraId="41BD3158" w14:textId="70BFCF90" w:rsidR="00EF51A4" w:rsidRPr="00915D88" w:rsidRDefault="009017B7" w:rsidP="00F8473D">
            <w:pPr>
              <w:pStyle w:val="Geenafstand"/>
              <w:rPr>
                <w:rFonts w:asciiTheme="minorHAnsi" w:hAnsiTheme="minorHAnsi" w:cstheme="minorHAnsi"/>
              </w:rPr>
            </w:pPr>
            <w:r>
              <w:rPr>
                <w:rFonts w:asciiTheme="minorHAnsi" w:hAnsiTheme="minorHAnsi" w:cstheme="minorHAnsi"/>
              </w:rPr>
              <w:t>Urgence</w:t>
            </w:r>
          </w:p>
        </w:tc>
      </w:tr>
    </w:tbl>
    <w:p w14:paraId="39E906D5" w14:textId="77777777" w:rsidR="006E4F9B" w:rsidRDefault="006E4F9B" w:rsidP="00EF51A4">
      <w:pPr>
        <w:pStyle w:val="Kop3"/>
        <w:rPr>
          <w:sz w:val="20"/>
          <w:szCs w:val="20"/>
        </w:rPr>
      </w:pPr>
    </w:p>
    <w:p w14:paraId="41380F48" w14:textId="77777777" w:rsidR="006E4F9B" w:rsidRDefault="006E4F9B">
      <w:pPr>
        <w:rPr>
          <w:rFonts w:asciiTheme="majorHAnsi" w:eastAsiaTheme="majorEastAsia" w:hAnsiTheme="majorHAnsi" w:cstheme="majorBidi"/>
          <w:color w:val="1F3763" w:themeColor="accent1" w:themeShade="7F"/>
          <w:sz w:val="20"/>
          <w:szCs w:val="20"/>
          <w:lang w:val="en-GB" w:eastAsia="en-GB"/>
        </w:rPr>
      </w:pPr>
      <w:r>
        <w:rPr>
          <w:sz w:val="20"/>
          <w:szCs w:val="20"/>
        </w:rPr>
        <w:br w:type="page"/>
      </w:r>
    </w:p>
    <w:p w14:paraId="54241269" w14:textId="795DB393" w:rsidR="006E4F9B" w:rsidRPr="00A32CB2" w:rsidRDefault="006E4F9B" w:rsidP="006E4F9B">
      <w:pPr>
        <w:pStyle w:val="Kop3"/>
        <w:rPr>
          <w:sz w:val="20"/>
          <w:szCs w:val="20"/>
        </w:rPr>
      </w:pPr>
      <w:bookmarkStart w:id="328" w:name="_Toc75384135"/>
      <w:r w:rsidRPr="00A32CB2">
        <w:rPr>
          <w:sz w:val="20"/>
          <w:szCs w:val="20"/>
        </w:rPr>
        <w:lastRenderedPageBreak/>
        <w:t>Table B.</w:t>
      </w:r>
      <w:r>
        <w:rPr>
          <w:sz w:val="20"/>
          <w:szCs w:val="20"/>
        </w:rPr>
        <w:t>4</w:t>
      </w:r>
      <w:r w:rsidRPr="00A32CB2">
        <w:rPr>
          <w:sz w:val="20"/>
          <w:szCs w:val="20"/>
        </w:rPr>
        <w:t xml:space="preserve"> Pre-coded speech </w:t>
      </w:r>
      <w:r>
        <w:rPr>
          <w:sz w:val="20"/>
          <w:szCs w:val="20"/>
        </w:rPr>
        <w:t>4</w:t>
      </w:r>
      <w:r w:rsidRPr="00A32CB2">
        <w:rPr>
          <w:sz w:val="20"/>
          <w:szCs w:val="20"/>
        </w:rPr>
        <w:t>.</w:t>
      </w:r>
      <w:bookmarkEnd w:id="328"/>
      <w:r w:rsidRPr="00A32CB2">
        <w:rPr>
          <w:sz w:val="20"/>
          <w:szCs w:val="20"/>
        </w:rPr>
        <w:t xml:space="preserve"> </w:t>
      </w:r>
    </w:p>
    <w:tbl>
      <w:tblPr>
        <w:tblStyle w:val="Tabelraster"/>
        <w:tblW w:w="9918" w:type="dxa"/>
        <w:tblLook w:val="04A0" w:firstRow="1" w:lastRow="0" w:firstColumn="1" w:lastColumn="0" w:noHBand="0" w:noVBand="1"/>
      </w:tblPr>
      <w:tblGrid>
        <w:gridCol w:w="1736"/>
        <w:gridCol w:w="8182"/>
      </w:tblGrid>
      <w:tr w:rsidR="006E4F9B" w:rsidRPr="008F3A1C" w14:paraId="06E561AA" w14:textId="77777777" w:rsidTr="00C711CF">
        <w:tc>
          <w:tcPr>
            <w:tcW w:w="1736" w:type="dxa"/>
          </w:tcPr>
          <w:p w14:paraId="06E333FE" w14:textId="77777777" w:rsidR="006E4F9B" w:rsidRPr="003F646B" w:rsidRDefault="006E4F9B" w:rsidP="00C711CF">
            <w:pPr>
              <w:pStyle w:val="Geenafstand"/>
              <w:rPr>
                <w:i/>
                <w:iCs/>
              </w:rPr>
            </w:pPr>
            <w:r w:rsidRPr="003F646B">
              <w:rPr>
                <w:i/>
                <w:iCs/>
              </w:rPr>
              <w:t>TEXT</w:t>
            </w:r>
          </w:p>
        </w:tc>
        <w:tc>
          <w:tcPr>
            <w:tcW w:w="8182" w:type="dxa"/>
          </w:tcPr>
          <w:p w14:paraId="393A268A" w14:textId="0C2BD58D" w:rsidR="006E4F9B" w:rsidRDefault="00FC523F" w:rsidP="00C711CF">
            <w:pPr>
              <w:pStyle w:val="Geenafstand"/>
            </w:pPr>
            <w:r w:rsidRPr="00FC523F">
              <w:t>In the time that I have, I want to acknowledge the Māori response, particularly in Auckland. I want to acknowledge Turuki Health Care, the Waipareira Trust, and, of course, the Whānau Ora clinic in Manukau, who have come to the fore to ensure the testing, the services support for those vulnerable communities in South Auckland, but in Auckland particularly. They are at their finest, given the 12 months of work that they have undertaken to keep those particular communities safe. I do want to labour that point around the Māori response, not just in Auckland and this recent case but the resilience of those communities throughout Aotearoa in terms of testing and both ensuring communities are communicated with in an appropriate manner but also providing those support services. So I want to acknowledge those particular organisations who are doing a stellar job.</w:t>
            </w:r>
          </w:p>
        </w:tc>
      </w:tr>
      <w:tr w:rsidR="006E4F9B" w14:paraId="2E8E5119" w14:textId="77777777" w:rsidTr="00C711CF">
        <w:tc>
          <w:tcPr>
            <w:tcW w:w="1736" w:type="dxa"/>
          </w:tcPr>
          <w:p w14:paraId="28E06EF5" w14:textId="77777777" w:rsidR="006E4F9B" w:rsidRPr="003F646B" w:rsidRDefault="006E4F9B" w:rsidP="00C711CF">
            <w:pPr>
              <w:pStyle w:val="Geenafstand"/>
              <w:rPr>
                <w:i/>
                <w:iCs/>
              </w:rPr>
            </w:pPr>
            <w:r w:rsidRPr="003F646B">
              <w:rPr>
                <w:i/>
                <w:iCs/>
              </w:rPr>
              <w:t>DATE</w:t>
            </w:r>
          </w:p>
        </w:tc>
        <w:tc>
          <w:tcPr>
            <w:tcW w:w="8182" w:type="dxa"/>
          </w:tcPr>
          <w:p w14:paraId="450D6952" w14:textId="429E722D" w:rsidR="006E4F9B" w:rsidRPr="00556077" w:rsidRDefault="006E4F9B" w:rsidP="00C711CF">
            <w:pPr>
              <w:pStyle w:val="Geenafstand"/>
              <w:rPr>
                <w:rFonts w:asciiTheme="minorHAnsi" w:hAnsiTheme="minorHAnsi" w:cstheme="minorHAnsi"/>
                <w:color w:val="000000"/>
              </w:rPr>
            </w:pPr>
            <w:r w:rsidRPr="00556077">
              <w:rPr>
                <w:rFonts w:asciiTheme="minorHAnsi" w:hAnsiTheme="minorHAnsi" w:cstheme="minorHAnsi"/>
                <w:color w:val="000000"/>
              </w:rPr>
              <w:t>17-</w:t>
            </w:r>
            <w:r w:rsidR="00FC523F">
              <w:rPr>
                <w:rFonts w:asciiTheme="minorHAnsi" w:hAnsiTheme="minorHAnsi" w:cstheme="minorHAnsi"/>
                <w:color w:val="000000"/>
              </w:rPr>
              <w:t>02-2021</w:t>
            </w:r>
          </w:p>
        </w:tc>
      </w:tr>
      <w:tr w:rsidR="006E4F9B" w14:paraId="4514D5A8" w14:textId="77777777" w:rsidTr="00C711CF">
        <w:tc>
          <w:tcPr>
            <w:tcW w:w="1736" w:type="dxa"/>
          </w:tcPr>
          <w:p w14:paraId="24C9EB8C" w14:textId="77777777" w:rsidR="006E4F9B" w:rsidRPr="003F646B" w:rsidRDefault="006E4F9B" w:rsidP="00C711CF">
            <w:pPr>
              <w:pStyle w:val="Geenafstand"/>
              <w:rPr>
                <w:i/>
                <w:iCs/>
              </w:rPr>
            </w:pPr>
            <w:r w:rsidRPr="003F646B">
              <w:rPr>
                <w:i/>
                <w:iCs/>
              </w:rPr>
              <w:t>CLAIMANTNAME</w:t>
            </w:r>
          </w:p>
        </w:tc>
        <w:tc>
          <w:tcPr>
            <w:tcW w:w="8182" w:type="dxa"/>
          </w:tcPr>
          <w:p w14:paraId="715E2DED" w14:textId="57672826" w:rsidR="006E4F9B" w:rsidRPr="00556077" w:rsidRDefault="006E4F9B" w:rsidP="00C711CF">
            <w:pPr>
              <w:pStyle w:val="Geenafstand"/>
              <w:rPr>
                <w:rFonts w:asciiTheme="minorHAnsi" w:hAnsiTheme="minorHAnsi" w:cstheme="minorHAnsi"/>
                <w:color w:val="000000"/>
              </w:rPr>
            </w:pPr>
            <w:r w:rsidRPr="00556077">
              <w:rPr>
                <w:rFonts w:asciiTheme="minorHAnsi" w:hAnsiTheme="minorHAnsi" w:cstheme="minorHAnsi"/>
                <w:color w:val="000000"/>
              </w:rPr>
              <w:t>W</w:t>
            </w:r>
            <w:r w:rsidR="00FC523F">
              <w:rPr>
                <w:rFonts w:asciiTheme="minorHAnsi" w:hAnsiTheme="minorHAnsi" w:cstheme="minorHAnsi"/>
                <w:color w:val="000000"/>
              </w:rPr>
              <w:t>haitiri, Meka</w:t>
            </w:r>
          </w:p>
        </w:tc>
      </w:tr>
      <w:tr w:rsidR="006E4F9B" w14:paraId="1CCF2B51" w14:textId="77777777" w:rsidTr="00C711CF">
        <w:tc>
          <w:tcPr>
            <w:tcW w:w="1736" w:type="dxa"/>
          </w:tcPr>
          <w:p w14:paraId="4B5571E9" w14:textId="77777777" w:rsidR="006E4F9B" w:rsidRPr="003F646B" w:rsidRDefault="006E4F9B" w:rsidP="00C711CF">
            <w:pPr>
              <w:pStyle w:val="Geenafstand"/>
              <w:rPr>
                <w:i/>
                <w:iCs/>
              </w:rPr>
            </w:pPr>
            <w:r w:rsidRPr="003F646B">
              <w:rPr>
                <w:i/>
                <w:iCs/>
              </w:rPr>
              <w:t>CLAIMANT</w:t>
            </w:r>
          </w:p>
        </w:tc>
        <w:tc>
          <w:tcPr>
            <w:tcW w:w="8182" w:type="dxa"/>
          </w:tcPr>
          <w:p w14:paraId="27FFD65B" w14:textId="68B62054" w:rsidR="006E4F9B" w:rsidRPr="00556077" w:rsidRDefault="006E4F9B" w:rsidP="00C711CF">
            <w:pPr>
              <w:pStyle w:val="Geenafstand"/>
              <w:rPr>
                <w:rFonts w:asciiTheme="minorHAnsi" w:hAnsiTheme="minorHAnsi" w:cstheme="minorHAnsi"/>
                <w:color w:val="000000"/>
              </w:rPr>
            </w:pPr>
            <w:r w:rsidRPr="00556077">
              <w:rPr>
                <w:rFonts w:asciiTheme="minorHAnsi" w:hAnsiTheme="minorHAnsi" w:cstheme="minorHAnsi"/>
                <w:color w:val="000000"/>
              </w:rPr>
              <w:t>Māori</w:t>
            </w:r>
            <w:r w:rsidR="00FC523F">
              <w:rPr>
                <w:rFonts w:asciiTheme="minorHAnsi" w:hAnsiTheme="minorHAnsi" w:cstheme="minorHAnsi"/>
                <w:color w:val="000000"/>
              </w:rPr>
              <w:t xml:space="preserve"> roll</w:t>
            </w:r>
          </w:p>
        </w:tc>
      </w:tr>
      <w:tr w:rsidR="006E4F9B" w14:paraId="71CDE7EA" w14:textId="77777777" w:rsidTr="00C711CF">
        <w:tc>
          <w:tcPr>
            <w:tcW w:w="1736" w:type="dxa"/>
          </w:tcPr>
          <w:p w14:paraId="52BD7620" w14:textId="77777777" w:rsidR="006E4F9B" w:rsidRPr="003F646B" w:rsidRDefault="006E4F9B" w:rsidP="00C711CF">
            <w:pPr>
              <w:pStyle w:val="Geenafstand"/>
              <w:rPr>
                <w:i/>
                <w:iCs/>
              </w:rPr>
            </w:pPr>
            <w:r w:rsidRPr="003F646B">
              <w:rPr>
                <w:i/>
                <w:iCs/>
              </w:rPr>
              <w:t>CLAIMANTGEN</w:t>
            </w:r>
          </w:p>
        </w:tc>
        <w:tc>
          <w:tcPr>
            <w:tcW w:w="8182" w:type="dxa"/>
          </w:tcPr>
          <w:p w14:paraId="49699034" w14:textId="77777777" w:rsidR="006E4F9B" w:rsidRPr="00556077" w:rsidRDefault="006E4F9B" w:rsidP="00C711CF">
            <w:pPr>
              <w:pStyle w:val="Geenafstand"/>
              <w:rPr>
                <w:rFonts w:asciiTheme="minorHAnsi" w:hAnsiTheme="minorHAnsi" w:cstheme="minorHAnsi"/>
                <w:color w:val="000000"/>
              </w:rPr>
            </w:pPr>
            <w:r w:rsidRPr="00556077">
              <w:rPr>
                <w:rFonts w:asciiTheme="minorHAnsi" w:hAnsiTheme="minorHAnsi" w:cstheme="minorHAnsi"/>
                <w:color w:val="000000"/>
              </w:rPr>
              <w:t>Women</w:t>
            </w:r>
          </w:p>
        </w:tc>
      </w:tr>
      <w:tr w:rsidR="006E4F9B" w14:paraId="3C8F6874" w14:textId="77777777" w:rsidTr="00C711CF">
        <w:tc>
          <w:tcPr>
            <w:tcW w:w="1736" w:type="dxa"/>
          </w:tcPr>
          <w:p w14:paraId="0346F1B9" w14:textId="77777777" w:rsidR="006E4F9B" w:rsidRPr="003F646B" w:rsidRDefault="006E4F9B" w:rsidP="00C711CF">
            <w:pPr>
              <w:pStyle w:val="Geenafstand"/>
              <w:rPr>
                <w:i/>
                <w:iCs/>
              </w:rPr>
            </w:pPr>
            <w:r w:rsidRPr="003F646B">
              <w:rPr>
                <w:i/>
                <w:iCs/>
              </w:rPr>
              <w:t>CLAIMANTPAR</w:t>
            </w:r>
          </w:p>
        </w:tc>
        <w:tc>
          <w:tcPr>
            <w:tcW w:w="8182" w:type="dxa"/>
          </w:tcPr>
          <w:p w14:paraId="53B40778" w14:textId="77777777" w:rsidR="006E4F9B" w:rsidRPr="00556077" w:rsidRDefault="006E4F9B" w:rsidP="00C711CF">
            <w:pPr>
              <w:pStyle w:val="Geenafstand"/>
              <w:rPr>
                <w:rFonts w:asciiTheme="minorHAnsi" w:hAnsiTheme="minorHAnsi" w:cstheme="minorHAnsi"/>
                <w:color w:val="000000"/>
              </w:rPr>
            </w:pPr>
            <w:r w:rsidRPr="00556077">
              <w:rPr>
                <w:rFonts w:asciiTheme="minorHAnsi" w:hAnsiTheme="minorHAnsi" w:cstheme="minorHAnsi"/>
                <w:color w:val="000000"/>
              </w:rPr>
              <w:t>Labour Party</w:t>
            </w:r>
          </w:p>
        </w:tc>
      </w:tr>
      <w:tr w:rsidR="006E4F9B" w14:paraId="572457E6" w14:textId="77777777" w:rsidTr="00C711CF">
        <w:tc>
          <w:tcPr>
            <w:tcW w:w="1736" w:type="dxa"/>
          </w:tcPr>
          <w:p w14:paraId="64A6FD29" w14:textId="77777777" w:rsidR="006E4F9B" w:rsidRPr="003F646B" w:rsidRDefault="006E4F9B" w:rsidP="00C711CF">
            <w:pPr>
              <w:pStyle w:val="Geenafstand"/>
              <w:rPr>
                <w:i/>
                <w:iCs/>
              </w:rPr>
            </w:pPr>
            <w:r w:rsidRPr="003F646B">
              <w:rPr>
                <w:i/>
                <w:iCs/>
              </w:rPr>
              <w:t>ISSUE</w:t>
            </w:r>
          </w:p>
        </w:tc>
        <w:tc>
          <w:tcPr>
            <w:tcW w:w="8182" w:type="dxa"/>
          </w:tcPr>
          <w:p w14:paraId="754AF19F" w14:textId="77777777" w:rsidR="006E4F9B" w:rsidRPr="00556077" w:rsidRDefault="006E4F9B" w:rsidP="00C711CF">
            <w:pPr>
              <w:pStyle w:val="Geenafstand"/>
              <w:rPr>
                <w:rFonts w:asciiTheme="minorHAnsi" w:hAnsiTheme="minorHAnsi" w:cstheme="minorHAnsi"/>
              </w:rPr>
            </w:pPr>
            <w:r w:rsidRPr="00556077">
              <w:rPr>
                <w:rFonts w:asciiTheme="minorHAnsi" w:hAnsiTheme="minorHAnsi" w:cstheme="minorHAnsi"/>
              </w:rPr>
              <w:t>Health</w:t>
            </w:r>
          </w:p>
        </w:tc>
      </w:tr>
      <w:tr w:rsidR="006E4F9B" w14:paraId="42B403AC" w14:textId="77777777" w:rsidTr="00C711CF">
        <w:tc>
          <w:tcPr>
            <w:tcW w:w="1736" w:type="dxa"/>
          </w:tcPr>
          <w:p w14:paraId="284CE534" w14:textId="77777777" w:rsidR="006E4F9B" w:rsidRPr="003F646B" w:rsidRDefault="006E4F9B" w:rsidP="00C711CF">
            <w:pPr>
              <w:pStyle w:val="Geenafstand"/>
              <w:rPr>
                <w:i/>
                <w:iCs/>
              </w:rPr>
            </w:pPr>
            <w:r w:rsidRPr="003F646B">
              <w:rPr>
                <w:i/>
                <w:iCs/>
              </w:rPr>
              <w:t>UNI</w:t>
            </w:r>
          </w:p>
        </w:tc>
        <w:tc>
          <w:tcPr>
            <w:tcW w:w="8182" w:type="dxa"/>
          </w:tcPr>
          <w:p w14:paraId="2901BCC8" w14:textId="7E81C783" w:rsidR="006E4F9B" w:rsidRPr="00556077" w:rsidRDefault="005C7720" w:rsidP="00C711CF">
            <w:pPr>
              <w:pStyle w:val="Geenafstand"/>
              <w:rPr>
                <w:rFonts w:asciiTheme="minorHAnsi" w:hAnsiTheme="minorHAnsi" w:cstheme="minorHAnsi"/>
              </w:rPr>
            </w:pPr>
            <w:r>
              <w:rPr>
                <w:rFonts w:asciiTheme="minorHAnsi" w:hAnsiTheme="minorHAnsi" w:cstheme="minorHAnsi"/>
              </w:rPr>
              <w:t xml:space="preserve">Absent </w:t>
            </w:r>
          </w:p>
        </w:tc>
      </w:tr>
      <w:tr w:rsidR="006E4F9B" w14:paraId="5579E37D" w14:textId="77777777" w:rsidTr="00C711CF">
        <w:tc>
          <w:tcPr>
            <w:tcW w:w="1736" w:type="dxa"/>
          </w:tcPr>
          <w:p w14:paraId="0EFDAE1C" w14:textId="57CC051D" w:rsidR="006E4F9B" w:rsidRPr="003F646B" w:rsidRDefault="006E4F9B" w:rsidP="00C711CF">
            <w:pPr>
              <w:pStyle w:val="Geenafstand"/>
              <w:rPr>
                <w:i/>
                <w:iCs/>
              </w:rPr>
            </w:pPr>
            <w:r w:rsidRPr="003F646B">
              <w:rPr>
                <w:i/>
                <w:iCs/>
              </w:rPr>
              <w:t>AD</w:t>
            </w:r>
            <w:r w:rsidR="000A15CA">
              <w:rPr>
                <w:i/>
                <w:iCs/>
              </w:rPr>
              <w:t>D</w:t>
            </w:r>
            <w:r w:rsidRPr="003F646B">
              <w:rPr>
                <w:i/>
                <w:iCs/>
              </w:rPr>
              <w:t>RES</w:t>
            </w:r>
          </w:p>
        </w:tc>
        <w:tc>
          <w:tcPr>
            <w:tcW w:w="8182" w:type="dxa"/>
          </w:tcPr>
          <w:p w14:paraId="350D2CBB" w14:textId="77777777" w:rsidR="006E4F9B" w:rsidRPr="00556077" w:rsidRDefault="006E4F9B" w:rsidP="00C711CF">
            <w:pPr>
              <w:pStyle w:val="Geenafstand"/>
              <w:rPr>
                <w:rFonts w:asciiTheme="minorHAnsi" w:hAnsiTheme="minorHAnsi" w:cstheme="minorHAnsi"/>
              </w:rPr>
            </w:pPr>
            <w:r w:rsidRPr="00556077">
              <w:rPr>
                <w:rFonts w:asciiTheme="minorHAnsi" w:hAnsiTheme="minorHAnsi" w:cstheme="minorHAnsi"/>
              </w:rPr>
              <w:t xml:space="preserve">Absent </w:t>
            </w:r>
          </w:p>
        </w:tc>
      </w:tr>
      <w:tr w:rsidR="006E4F9B" w14:paraId="75277B59" w14:textId="77777777" w:rsidTr="00C711CF">
        <w:tc>
          <w:tcPr>
            <w:tcW w:w="1736" w:type="dxa"/>
          </w:tcPr>
          <w:p w14:paraId="40191F48" w14:textId="77777777" w:rsidR="006E4F9B" w:rsidRPr="003F646B" w:rsidRDefault="006E4F9B" w:rsidP="00C711CF">
            <w:pPr>
              <w:pStyle w:val="Geenafstand"/>
              <w:rPr>
                <w:i/>
                <w:iCs/>
              </w:rPr>
            </w:pPr>
            <w:r w:rsidRPr="003F646B">
              <w:rPr>
                <w:i/>
                <w:iCs/>
              </w:rPr>
              <w:t>EVAL</w:t>
            </w:r>
          </w:p>
        </w:tc>
        <w:tc>
          <w:tcPr>
            <w:tcW w:w="8182" w:type="dxa"/>
          </w:tcPr>
          <w:p w14:paraId="1ED1E413" w14:textId="77777777" w:rsidR="006E4F9B" w:rsidRPr="00556077" w:rsidRDefault="006E4F9B" w:rsidP="00C711CF">
            <w:pPr>
              <w:pStyle w:val="Geenafstand"/>
              <w:rPr>
                <w:rFonts w:asciiTheme="minorHAnsi" w:hAnsiTheme="minorHAnsi" w:cstheme="minorHAnsi"/>
              </w:rPr>
            </w:pPr>
            <w:r w:rsidRPr="00556077">
              <w:rPr>
                <w:rFonts w:asciiTheme="minorHAnsi" w:hAnsiTheme="minorHAnsi" w:cstheme="minorHAnsi"/>
              </w:rPr>
              <w:t>Absent</w:t>
            </w:r>
          </w:p>
        </w:tc>
      </w:tr>
      <w:tr w:rsidR="006E4F9B" w14:paraId="02876E3C" w14:textId="77777777" w:rsidTr="00C711CF">
        <w:tc>
          <w:tcPr>
            <w:tcW w:w="1736" w:type="dxa"/>
          </w:tcPr>
          <w:p w14:paraId="06B40C5B" w14:textId="77777777" w:rsidR="006E4F9B" w:rsidRPr="003F646B" w:rsidRDefault="006E4F9B" w:rsidP="00C711CF">
            <w:pPr>
              <w:pStyle w:val="Geenafstand"/>
              <w:rPr>
                <w:i/>
                <w:iCs/>
              </w:rPr>
            </w:pPr>
            <w:r w:rsidRPr="003F646B">
              <w:rPr>
                <w:i/>
                <w:iCs/>
              </w:rPr>
              <w:t>OBJECT</w:t>
            </w:r>
          </w:p>
        </w:tc>
        <w:tc>
          <w:tcPr>
            <w:tcW w:w="8182" w:type="dxa"/>
          </w:tcPr>
          <w:p w14:paraId="444ABED3" w14:textId="77777777" w:rsidR="006E4F9B" w:rsidRPr="00556077" w:rsidRDefault="006E4F9B" w:rsidP="00C711CF">
            <w:pPr>
              <w:pStyle w:val="Geenafstand"/>
              <w:rPr>
                <w:rFonts w:asciiTheme="minorHAnsi" w:hAnsiTheme="minorHAnsi" w:cstheme="minorHAnsi"/>
              </w:rPr>
            </w:pPr>
            <w:r w:rsidRPr="00556077">
              <w:rPr>
                <w:rFonts w:asciiTheme="minorHAnsi" w:hAnsiTheme="minorHAnsi" w:cstheme="minorHAnsi"/>
              </w:rPr>
              <w:t xml:space="preserve">Whole </w:t>
            </w:r>
            <w:r w:rsidRPr="00556077">
              <w:rPr>
                <w:rFonts w:asciiTheme="minorHAnsi" w:hAnsiTheme="minorHAnsi" w:cstheme="minorHAnsi"/>
                <w:color w:val="000000"/>
              </w:rPr>
              <w:t>Māori population</w:t>
            </w:r>
          </w:p>
        </w:tc>
      </w:tr>
      <w:tr w:rsidR="006E4F9B" w14:paraId="1BCF3F11" w14:textId="77777777" w:rsidTr="00C711CF">
        <w:tc>
          <w:tcPr>
            <w:tcW w:w="1736" w:type="dxa"/>
          </w:tcPr>
          <w:p w14:paraId="209CB583" w14:textId="77777777" w:rsidR="006E4F9B" w:rsidRPr="003F646B" w:rsidRDefault="006E4F9B" w:rsidP="00C711CF">
            <w:pPr>
              <w:pStyle w:val="Geenafstand"/>
              <w:rPr>
                <w:i/>
                <w:iCs/>
              </w:rPr>
            </w:pPr>
            <w:r w:rsidRPr="003F646B">
              <w:rPr>
                <w:i/>
                <w:iCs/>
              </w:rPr>
              <w:t>JUST</w:t>
            </w:r>
          </w:p>
        </w:tc>
        <w:tc>
          <w:tcPr>
            <w:tcW w:w="8182" w:type="dxa"/>
          </w:tcPr>
          <w:p w14:paraId="36EC2188" w14:textId="6DD5B9B3" w:rsidR="006E4F9B" w:rsidRPr="00556077" w:rsidRDefault="00660050" w:rsidP="00C711CF">
            <w:pPr>
              <w:pStyle w:val="Geenafstand"/>
              <w:rPr>
                <w:rFonts w:asciiTheme="minorHAnsi" w:hAnsiTheme="minorHAnsi" w:cstheme="minorHAnsi"/>
              </w:rPr>
            </w:pPr>
            <w:r>
              <w:rPr>
                <w:rFonts w:asciiTheme="minorHAnsi" w:hAnsiTheme="minorHAnsi" w:cstheme="minorHAnsi"/>
              </w:rPr>
              <w:t xml:space="preserve">Performance </w:t>
            </w:r>
          </w:p>
        </w:tc>
      </w:tr>
    </w:tbl>
    <w:p w14:paraId="78B32EC9" w14:textId="77777777" w:rsidR="006E4F9B" w:rsidRDefault="006E4F9B" w:rsidP="006E4F9B">
      <w:pPr>
        <w:pStyle w:val="Geenafstand"/>
        <w:rPr>
          <w:rFonts w:eastAsiaTheme="majorEastAsia"/>
        </w:rPr>
      </w:pPr>
    </w:p>
    <w:p w14:paraId="1C828DBB" w14:textId="77777777" w:rsidR="00C25E54" w:rsidRDefault="00C25E54">
      <w:pPr>
        <w:rPr>
          <w:rFonts w:asciiTheme="majorHAnsi" w:eastAsiaTheme="majorEastAsia" w:hAnsiTheme="majorHAnsi" w:cstheme="majorBidi"/>
          <w:color w:val="1F3763" w:themeColor="accent1" w:themeShade="7F"/>
          <w:sz w:val="20"/>
          <w:szCs w:val="20"/>
          <w:lang w:val="en-GB" w:eastAsia="en-GB"/>
        </w:rPr>
      </w:pPr>
      <w:r>
        <w:rPr>
          <w:sz w:val="20"/>
          <w:szCs w:val="20"/>
        </w:rPr>
        <w:br w:type="page"/>
      </w:r>
    </w:p>
    <w:p w14:paraId="00A4E2F4" w14:textId="14FF2D89" w:rsidR="00D34932" w:rsidRPr="00A32CB2" w:rsidRDefault="00D34932" w:rsidP="00D34932">
      <w:pPr>
        <w:pStyle w:val="Kop3"/>
        <w:rPr>
          <w:sz w:val="20"/>
          <w:szCs w:val="20"/>
        </w:rPr>
      </w:pPr>
      <w:bookmarkStart w:id="329" w:name="_Toc75384136"/>
      <w:r w:rsidRPr="00A32CB2">
        <w:rPr>
          <w:sz w:val="20"/>
          <w:szCs w:val="20"/>
        </w:rPr>
        <w:lastRenderedPageBreak/>
        <w:t>Table B.</w:t>
      </w:r>
      <w:r>
        <w:rPr>
          <w:sz w:val="20"/>
          <w:szCs w:val="20"/>
        </w:rPr>
        <w:t>5</w:t>
      </w:r>
      <w:r w:rsidRPr="00A32CB2">
        <w:rPr>
          <w:sz w:val="20"/>
          <w:szCs w:val="20"/>
        </w:rPr>
        <w:t xml:space="preserve"> Pre-coded speech </w:t>
      </w:r>
      <w:r>
        <w:rPr>
          <w:sz w:val="20"/>
          <w:szCs w:val="20"/>
        </w:rPr>
        <w:t>5</w:t>
      </w:r>
      <w:r w:rsidRPr="00A32CB2">
        <w:rPr>
          <w:sz w:val="20"/>
          <w:szCs w:val="20"/>
        </w:rPr>
        <w:t>.</w:t>
      </w:r>
      <w:bookmarkEnd w:id="329"/>
      <w:r w:rsidRPr="00A32CB2">
        <w:rPr>
          <w:sz w:val="20"/>
          <w:szCs w:val="20"/>
        </w:rPr>
        <w:t xml:space="preserve"> </w:t>
      </w:r>
    </w:p>
    <w:tbl>
      <w:tblPr>
        <w:tblStyle w:val="Tabelraster"/>
        <w:tblW w:w="9918" w:type="dxa"/>
        <w:tblLook w:val="04A0" w:firstRow="1" w:lastRow="0" w:firstColumn="1" w:lastColumn="0" w:noHBand="0" w:noVBand="1"/>
      </w:tblPr>
      <w:tblGrid>
        <w:gridCol w:w="1736"/>
        <w:gridCol w:w="8182"/>
      </w:tblGrid>
      <w:tr w:rsidR="00D34932" w:rsidRPr="008F3A1C" w14:paraId="0AA7662C" w14:textId="77777777" w:rsidTr="00C711CF">
        <w:tc>
          <w:tcPr>
            <w:tcW w:w="1736" w:type="dxa"/>
          </w:tcPr>
          <w:p w14:paraId="50A36E60" w14:textId="77777777" w:rsidR="00D34932" w:rsidRPr="003F646B" w:rsidRDefault="00D34932" w:rsidP="00C711CF">
            <w:pPr>
              <w:pStyle w:val="Geenafstand"/>
              <w:rPr>
                <w:i/>
                <w:iCs/>
              </w:rPr>
            </w:pPr>
            <w:r w:rsidRPr="003F646B">
              <w:rPr>
                <w:i/>
                <w:iCs/>
              </w:rPr>
              <w:t>TEXT</w:t>
            </w:r>
          </w:p>
        </w:tc>
        <w:tc>
          <w:tcPr>
            <w:tcW w:w="8182" w:type="dxa"/>
          </w:tcPr>
          <w:p w14:paraId="28CE3A82" w14:textId="30AB75BF" w:rsidR="0079190A" w:rsidRDefault="00D34932" w:rsidP="00C711CF">
            <w:pPr>
              <w:pStyle w:val="Geenafstand"/>
            </w:pPr>
            <w:r w:rsidRPr="00D34932">
              <w:t>We demand a Māori Parliament. We want to implement constitutional transformation based on te Matike Mai report. We want to change racist electoral laws so Māori can switch between the Māori and general rolls at any time. But, first of all, commit Māori to the Māori roll and then they can opt out. Establish a commissioner for Te Tiriti o Waitangi to provide oversight of the Crown. Are you listening, Mr Jackson? We want Māori procurement to put whānau first—for more than 5 percent. We want a by Māori, for Māori, mokopuna Māori entity that takes the place of Oranga Tamariki. We want Whānau Ora to be better resourced and for all its funding to go to the commissioning agencies and not to Crown agencies. We want Māori proprietary rights recognised when it comes to water. Māori own the water. We want to stop onshore and offshore oil exploration and drilling and also deep-sea oil drilling in Aotearoa. We want to officially change the name of New Zealand to Aotearoa and all place names to be changed back to their original names. And, yes, you guessed it—we want the oath changed to also reflect tangata whenua e te Tiriti o Waitangi. Many political commentators and many members in this House have said that these policies are ambitious, but they also said that of the Māori Party's return to Parliament—but we are here.</w:t>
            </w:r>
          </w:p>
        </w:tc>
      </w:tr>
      <w:tr w:rsidR="00D34932" w14:paraId="6B66C47F" w14:textId="77777777" w:rsidTr="00C711CF">
        <w:tc>
          <w:tcPr>
            <w:tcW w:w="1736" w:type="dxa"/>
          </w:tcPr>
          <w:p w14:paraId="53074A66" w14:textId="77777777" w:rsidR="00D34932" w:rsidRPr="003F646B" w:rsidRDefault="00D34932" w:rsidP="00C711CF">
            <w:pPr>
              <w:pStyle w:val="Geenafstand"/>
              <w:rPr>
                <w:i/>
                <w:iCs/>
              </w:rPr>
            </w:pPr>
            <w:r w:rsidRPr="003F646B">
              <w:rPr>
                <w:i/>
                <w:iCs/>
              </w:rPr>
              <w:t>DATE</w:t>
            </w:r>
          </w:p>
        </w:tc>
        <w:tc>
          <w:tcPr>
            <w:tcW w:w="8182" w:type="dxa"/>
          </w:tcPr>
          <w:p w14:paraId="59BE0F88" w14:textId="049A63A6" w:rsidR="00D34932" w:rsidRPr="00556077" w:rsidRDefault="00DA6699" w:rsidP="00C711CF">
            <w:pPr>
              <w:pStyle w:val="Geenafstand"/>
              <w:rPr>
                <w:rFonts w:asciiTheme="minorHAnsi" w:hAnsiTheme="minorHAnsi" w:cstheme="minorHAnsi"/>
                <w:color w:val="000000"/>
              </w:rPr>
            </w:pPr>
            <w:r>
              <w:rPr>
                <w:rFonts w:asciiTheme="minorHAnsi" w:hAnsiTheme="minorHAnsi" w:cstheme="minorHAnsi"/>
                <w:color w:val="000000"/>
              </w:rPr>
              <w:t>03-12-2020</w:t>
            </w:r>
          </w:p>
        </w:tc>
      </w:tr>
      <w:tr w:rsidR="00D34932" w14:paraId="0CC8C6ED" w14:textId="77777777" w:rsidTr="00C711CF">
        <w:tc>
          <w:tcPr>
            <w:tcW w:w="1736" w:type="dxa"/>
          </w:tcPr>
          <w:p w14:paraId="608D3226" w14:textId="77777777" w:rsidR="00D34932" w:rsidRPr="003F646B" w:rsidRDefault="00D34932" w:rsidP="00C711CF">
            <w:pPr>
              <w:pStyle w:val="Geenafstand"/>
              <w:rPr>
                <w:i/>
                <w:iCs/>
              </w:rPr>
            </w:pPr>
            <w:r w:rsidRPr="003F646B">
              <w:rPr>
                <w:i/>
                <w:iCs/>
              </w:rPr>
              <w:t>CLAIMANTNAME</w:t>
            </w:r>
          </w:p>
        </w:tc>
        <w:tc>
          <w:tcPr>
            <w:tcW w:w="8182" w:type="dxa"/>
          </w:tcPr>
          <w:p w14:paraId="23C9B8F1" w14:textId="67D754EE" w:rsidR="00D34932" w:rsidRPr="00556077" w:rsidRDefault="00D34932" w:rsidP="00C711CF">
            <w:pPr>
              <w:pStyle w:val="Geenafstand"/>
              <w:rPr>
                <w:rFonts w:asciiTheme="minorHAnsi" w:hAnsiTheme="minorHAnsi" w:cstheme="minorHAnsi"/>
                <w:color w:val="000000"/>
              </w:rPr>
            </w:pPr>
            <w:r w:rsidRPr="00556077">
              <w:rPr>
                <w:rFonts w:asciiTheme="minorHAnsi" w:hAnsiTheme="minorHAnsi" w:cstheme="minorHAnsi"/>
                <w:color w:val="000000"/>
              </w:rPr>
              <w:t>W</w:t>
            </w:r>
            <w:r w:rsidR="00DA6699">
              <w:rPr>
                <w:rFonts w:asciiTheme="minorHAnsi" w:hAnsiTheme="minorHAnsi" w:cstheme="minorHAnsi"/>
                <w:color w:val="000000"/>
              </w:rPr>
              <w:t>aititi, Rawiri</w:t>
            </w:r>
          </w:p>
        </w:tc>
      </w:tr>
      <w:tr w:rsidR="00D34932" w14:paraId="22DC01A5" w14:textId="77777777" w:rsidTr="00C711CF">
        <w:tc>
          <w:tcPr>
            <w:tcW w:w="1736" w:type="dxa"/>
          </w:tcPr>
          <w:p w14:paraId="0D842F9E" w14:textId="77777777" w:rsidR="00D34932" w:rsidRPr="003F646B" w:rsidRDefault="00D34932" w:rsidP="00C711CF">
            <w:pPr>
              <w:pStyle w:val="Geenafstand"/>
              <w:rPr>
                <w:i/>
                <w:iCs/>
              </w:rPr>
            </w:pPr>
            <w:r w:rsidRPr="003F646B">
              <w:rPr>
                <w:i/>
                <w:iCs/>
              </w:rPr>
              <w:t>CLAIMANT</w:t>
            </w:r>
          </w:p>
        </w:tc>
        <w:tc>
          <w:tcPr>
            <w:tcW w:w="8182" w:type="dxa"/>
          </w:tcPr>
          <w:p w14:paraId="232378BF" w14:textId="77777777" w:rsidR="00D34932" w:rsidRPr="00556077" w:rsidRDefault="00D34932" w:rsidP="00C711CF">
            <w:pPr>
              <w:pStyle w:val="Geenafstand"/>
              <w:rPr>
                <w:rFonts w:asciiTheme="minorHAnsi" w:hAnsiTheme="minorHAnsi" w:cstheme="minorHAnsi"/>
                <w:color w:val="000000"/>
              </w:rPr>
            </w:pPr>
            <w:r w:rsidRPr="00556077">
              <w:rPr>
                <w:rFonts w:asciiTheme="minorHAnsi" w:hAnsiTheme="minorHAnsi" w:cstheme="minorHAnsi"/>
                <w:color w:val="000000"/>
              </w:rPr>
              <w:t>Māori</w:t>
            </w:r>
            <w:r>
              <w:rPr>
                <w:rFonts w:asciiTheme="minorHAnsi" w:hAnsiTheme="minorHAnsi" w:cstheme="minorHAnsi"/>
                <w:color w:val="000000"/>
              </w:rPr>
              <w:t xml:space="preserve"> roll</w:t>
            </w:r>
          </w:p>
        </w:tc>
      </w:tr>
      <w:tr w:rsidR="00D34932" w14:paraId="2EBBB7A2" w14:textId="77777777" w:rsidTr="00C711CF">
        <w:tc>
          <w:tcPr>
            <w:tcW w:w="1736" w:type="dxa"/>
          </w:tcPr>
          <w:p w14:paraId="6D37CAA4" w14:textId="77777777" w:rsidR="00D34932" w:rsidRPr="003F646B" w:rsidRDefault="00D34932" w:rsidP="00C711CF">
            <w:pPr>
              <w:pStyle w:val="Geenafstand"/>
              <w:rPr>
                <w:i/>
                <w:iCs/>
              </w:rPr>
            </w:pPr>
            <w:r w:rsidRPr="003F646B">
              <w:rPr>
                <w:i/>
                <w:iCs/>
              </w:rPr>
              <w:t>CLAIMANTGEN</w:t>
            </w:r>
          </w:p>
        </w:tc>
        <w:tc>
          <w:tcPr>
            <w:tcW w:w="8182" w:type="dxa"/>
          </w:tcPr>
          <w:p w14:paraId="1065DC28" w14:textId="5AF75571" w:rsidR="00D34932" w:rsidRPr="00556077" w:rsidRDefault="00DA6699" w:rsidP="00C711CF">
            <w:pPr>
              <w:pStyle w:val="Geenafstand"/>
              <w:rPr>
                <w:rFonts w:asciiTheme="minorHAnsi" w:hAnsiTheme="minorHAnsi" w:cstheme="minorHAnsi"/>
                <w:color w:val="000000"/>
              </w:rPr>
            </w:pPr>
            <w:r>
              <w:rPr>
                <w:rFonts w:asciiTheme="minorHAnsi" w:hAnsiTheme="minorHAnsi" w:cstheme="minorHAnsi"/>
                <w:color w:val="000000"/>
              </w:rPr>
              <w:t>Men</w:t>
            </w:r>
          </w:p>
        </w:tc>
      </w:tr>
      <w:tr w:rsidR="00D34932" w14:paraId="0EE20710" w14:textId="77777777" w:rsidTr="00C711CF">
        <w:tc>
          <w:tcPr>
            <w:tcW w:w="1736" w:type="dxa"/>
          </w:tcPr>
          <w:p w14:paraId="7280982B" w14:textId="77777777" w:rsidR="00D34932" w:rsidRPr="003F646B" w:rsidRDefault="00D34932" w:rsidP="00C711CF">
            <w:pPr>
              <w:pStyle w:val="Geenafstand"/>
              <w:rPr>
                <w:i/>
                <w:iCs/>
              </w:rPr>
            </w:pPr>
            <w:r w:rsidRPr="003F646B">
              <w:rPr>
                <w:i/>
                <w:iCs/>
              </w:rPr>
              <w:t>CLAIMANTPAR</w:t>
            </w:r>
          </w:p>
        </w:tc>
        <w:tc>
          <w:tcPr>
            <w:tcW w:w="8182" w:type="dxa"/>
          </w:tcPr>
          <w:p w14:paraId="4A5A8D0D" w14:textId="2F456AA9" w:rsidR="00D34932" w:rsidRPr="00556077" w:rsidRDefault="00DA6699" w:rsidP="00C711CF">
            <w:pPr>
              <w:pStyle w:val="Geenafstand"/>
              <w:rPr>
                <w:rFonts w:asciiTheme="minorHAnsi" w:hAnsiTheme="minorHAnsi" w:cstheme="minorHAnsi"/>
                <w:color w:val="000000"/>
              </w:rPr>
            </w:pPr>
            <w:r w:rsidRPr="00556077">
              <w:rPr>
                <w:rFonts w:asciiTheme="minorHAnsi" w:hAnsiTheme="minorHAnsi" w:cstheme="minorHAnsi"/>
                <w:color w:val="000000"/>
              </w:rPr>
              <w:t>Māori</w:t>
            </w:r>
            <w:r>
              <w:rPr>
                <w:rFonts w:asciiTheme="minorHAnsi" w:hAnsiTheme="minorHAnsi" w:cstheme="minorHAnsi"/>
                <w:color w:val="000000"/>
              </w:rPr>
              <w:t xml:space="preserve"> </w:t>
            </w:r>
            <w:r w:rsidR="00D34932" w:rsidRPr="00556077">
              <w:rPr>
                <w:rFonts w:asciiTheme="minorHAnsi" w:hAnsiTheme="minorHAnsi" w:cstheme="minorHAnsi"/>
                <w:color w:val="000000"/>
              </w:rPr>
              <w:t>Party</w:t>
            </w:r>
          </w:p>
        </w:tc>
      </w:tr>
      <w:tr w:rsidR="00D34932" w:rsidRPr="008F3A1C" w14:paraId="4C961B78" w14:textId="77777777" w:rsidTr="00C711CF">
        <w:tc>
          <w:tcPr>
            <w:tcW w:w="1736" w:type="dxa"/>
          </w:tcPr>
          <w:p w14:paraId="1035B467" w14:textId="77777777" w:rsidR="00D34932" w:rsidRPr="003F646B" w:rsidRDefault="00D34932" w:rsidP="00C711CF">
            <w:pPr>
              <w:pStyle w:val="Geenafstand"/>
              <w:rPr>
                <w:i/>
                <w:iCs/>
              </w:rPr>
            </w:pPr>
            <w:r w:rsidRPr="003F646B">
              <w:rPr>
                <w:i/>
                <w:iCs/>
              </w:rPr>
              <w:t>ISSUE</w:t>
            </w:r>
          </w:p>
        </w:tc>
        <w:tc>
          <w:tcPr>
            <w:tcW w:w="8182" w:type="dxa"/>
          </w:tcPr>
          <w:p w14:paraId="775680BF" w14:textId="25283734" w:rsidR="00D34932" w:rsidRPr="00556077" w:rsidRDefault="00DA6699" w:rsidP="00C711CF">
            <w:pPr>
              <w:pStyle w:val="Geenafstand"/>
              <w:rPr>
                <w:rFonts w:asciiTheme="minorHAnsi" w:hAnsiTheme="minorHAnsi" w:cstheme="minorHAnsi"/>
              </w:rPr>
            </w:pPr>
            <w:r>
              <w:rPr>
                <w:rFonts w:asciiTheme="minorHAnsi" w:hAnsiTheme="minorHAnsi" w:cstheme="minorHAnsi"/>
              </w:rPr>
              <w:t>Governance, autonomy and self-determination</w:t>
            </w:r>
          </w:p>
        </w:tc>
      </w:tr>
      <w:tr w:rsidR="00D34932" w14:paraId="05D99667" w14:textId="77777777" w:rsidTr="00C711CF">
        <w:tc>
          <w:tcPr>
            <w:tcW w:w="1736" w:type="dxa"/>
          </w:tcPr>
          <w:p w14:paraId="35A89CA4" w14:textId="77777777" w:rsidR="00D34932" w:rsidRPr="003F646B" w:rsidRDefault="00D34932" w:rsidP="00C711CF">
            <w:pPr>
              <w:pStyle w:val="Geenafstand"/>
              <w:rPr>
                <w:i/>
                <w:iCs/>
              </w:rPr>
            </w:pPr>
            <w:r w:rsidRPr="003F646B">
              <w:rPr>
                <w:i/>
                <w:iCs/>
              </w:rPr>
              <w:t>UNI</w:t>
            </w:r>
          </w:p>
        </w:tc>
        <w:tc>
          <w:tcPr>
            <w:tcW w:w="8182" w:type="dxa"/>
          </w:tcPr>
          <w:p w14:paraId="208E1573" w14:textId="60C269D7" w:rsidR="00D34932" w:rsidRPr="00556077" w:rsidRDefault="00DA6699" w:rsidP="00C711CF">
            <w:pPr>
              <w:pStyle w:val="Geenafstand"/>
              <w:rPr>
                <w:rFonts w:asciiTheme="minorHAnsi" w:hAnsiTheme="minorHAnsi" w:cstheme="minorHAnsi"/>
              </w:rPr>
            </w:pPr>
            <w:r>
              <w:rPr>
                <w:rFonts w:asciiTheme="minorHAnsi" w:hAnsiTheme="minorHAnsi" w:cstheme="minorHAnsi"/>
              </w:rPr>
              <w:t>Present</w:t>
            </w:r>
          </w:p>
        </w:tc>
      </w:tr>
      <w:tr w:rsidR="00D34932" w14:paraId="6C24857F" w14:textId="77777777" w:rsidTr="00C711CF">
        <w:tc>
          <w:tcPr>
            <w:tcW w:w="1736" w:type="dxa"/>
          </w:tcPr>
          <w:p w14:paraId="076B94AF" w14:textId="48ED1655" w:rsidR="00D34932" w:rsidRPr="003F646B" w:rsidRDefault="00D34932" w:rsidP="00C711CF">
            <w:pPr>
              <w:pStyle w:val="Geenafstand"/>
              <w:rPr>
                <w:i/>
                <w:iCs/>
              </w:rPr>
            </w:pPr>
            <w:r w:rsidRPr="003F646B">
              <w:rPr>
                <w:i/>
                <w:iCs/>
              </w:rPr>
              <w:t>AD</w:t>
            </w:r>
            <w:r w:rsidR="000A15CA">
              <w:rPr>
                <w:i/>
                <w:iCs/>
              </w:rPr>
              <w:t>D</w:t>
            </w:r>
            <w:r w:rsidRPr="003F646B">
              <w:rPr>
                <w:i/>
                <w:iCs/>
              </w:rPr>
              <w:t>RES</w:t>
            </w:r>
          </w:p>
        </w:tc>
        <w:tc>
          <w:tcPr>
            <w:tcW w:w="8182" w:type="dxa"/>
          </w:tcPr>
          <w:p w14:paraId="4533B7F2" w14:textId="77777777" w:rsidR="00D34932" w:rsidRPr="00556077" w:rsidRDefault="00D34932" w:rsidP="00C711CF">
            <w:pPr>
              <w:pStyle w:val="Geenafstand"/>
              <w:rPr>
                <w:rFonts w:asciiTheme="minorHAnsi" w:hAnsiTheme="minorHAnsi" w:cstheme="minorHAnsi"/>
              </w:rPr>
            </w:pPr>
            <w:r w:rsidRPr="00556077">
              <w:rPr>
                <w:rFonts w:asciiTheme="minorHAnsi" w:hAnsiTheme="minorHAnsi" w:cstheme="minorHAnsi"/>
              </w:rPr>
              <w:t xml:space="preserve">Absent </w:t>
            </w:r>
          </w:p>
        </w:tc>
      </w:tr>
      <w:tr w:rsidR="00D34932" w14:paraId="2DB45B21" w14:textId="77777777" w:rsidTr="00C711CF">
        <w:tc>
          <w:tcPr>
            <w:tcW w:w="1736" w:type="dxa"/>
          </w:tcPr>
          <w:p w14:paraId="50223705" w14:textId="77777777" w:rsidR="00D34932" w:rsidRPr="003F646B" w:rsidRDefault="00D34932" w:rsidP="00C711CF">
            <w:pPr>
              <w:pStyle w:val="Geenafstand"/>
              <w:rPr>
                <w:i/>
                <w:iCs/>
              </w:rPr>
            </w:pPr>
            <w:r w:rsidRPr="003F646B">
              <w:rPr>
                <w:i/>
                <w:iCs/>
              </w:rPr>
              <w:t>EVAL</w:t>
            </w:r>
          </w:p>
        </w:tc>
        <w:tc>
          <w:tcPr>
            <w:tcW w:w="8182" w:type="dxa"/>
          </w:tcPr>
          <w:p w14:paraId="4BA5AB95" w14:textId="77777777" w:rsidR="00D34932" w:rsidRPr="00556077" w:rsidRDefault="00D34932" w:rsidP="00C711CF">
            <w:pPr>
              <w:pStyle w:val="Geenafstand"/>
              <w:rPr>
                <w:rFonts w:asciiTheme="minorHAnsi" w:hAnsiTheme="minorHAnsi" w:cstheme="minorHAnsi"/>
              </w:rPr>
            </w:pPr>
            <w:r w:rsidRPr="00556077">
              <w:rPr>
                <w:rFonts w:asciiTheme="minorHAnsi" w:hAnsiTheme="minorHAnsi" w:cstheme="minorHAnsi"/>
              </w:rPr>
              <w:t>Absent</w:t>
            </w:r>
          </w:p>
        </w:tc>
      </w:tr>
      <w:tr w:rsidR="00D34932" w14:paraId="1693B2EB" w14:textId="77777777" w:rsidTr="00C711CF">
        <w:tc>
          <w:tcPr>
            <w:tcW w:w="1736" w:type="dxa"/>
          </w:tcPr>
          <w:p w14:paraId="7B18DF52" w14:textId="77777777" w:rsidR="00D34932" w:rsidRPr="003F646B" w:rsidRDefault="00D34932" w:rsidP="00C711CF">
            <w:pPr>
              <w:pStyle w:val="Geenafstand"/>
              <w:rPr>
                <w:i/>
                <w:iCs/>
              </w:rPr>
            </w:pPr>
            <w:r w:rsidRPr="003F646B">
              <w:rPr>
                <w:i/>
                <w:iCs/>
              </w:rPr>
              <w:t>OBJECT</w:t>
            </w:r>
          </w:p>
        </w:tc>
        <w:tc>
          <w:tcPr>
            <w:tcW w:w="8182" w:type="dxa"/>
          </w:tcPr>
          <w:p w14:paraId="043C40EF" w14:textId="77777777" w:rsidR="00D34932" w:rsidRPr="00556077" w:rsidRDefault="00D34932" w:rsidP="00C711CF">
            <w:pPr>
              <w:pStyle w:val="Geenafstand"/>
              <w:rPr>
                <w:rFonts w:asciiTheme="minorHAnsi" w:hAnsiTheme="minorHAnsi" w:cstheme="minorHAnsi"/>
              </w:rPr>
            </w:pPr>
            <w:r w:rsidRPr="00556077">
              <w:rPr>
                <w:rFonts w:asciiTheme="minorHAnsi" w:hAnsiTheme="minorHAnsi" w:cstheme="minorHAnsi"/>
              </w:rPr>
              <w:t xml:space="preserve">Whole </w:t>
            </w:r>
            <w:r w:rsidRPr="00556077">
              <w:rPr>
                <w:rFonts w:asciiTheme="minorHAnsi" w:hAnsiTheme="minorHAnsi" w:cstheme="minorHAnsi"/>
                <w:color w:val="000000"/>
              </w:rPr>
              <w:t>Māori population</w:t>
            </w:r>
          </w:p>
        </w:tc>
      </w:tr>
      <w:tr w:rsidR="00D34932" w14:paraId="22BA8A10" w14:textId="77777777" w:rsidTr="00C711CF">
        <w:tc>
          <w:tcPr>
            <w:tcW w:w="1736" w:type="dxa"/>
          </w:tcPr>
          <w:p w14:paraId="3B43ADA6" w14:textId="77777777" w:rsidR="00D34932" w:rsidRPr="003F646B" w:rsidRDefault="00D34932" w:rsidP="00C711CF">
            <w:pPr>
              <w:pStyle w:val="Geenafstand"/>
              <w:rPr>
                <w:i/>
                <w:iCs/>
              </w:rPr>
            </w:pPr>
            <w:r w:rsidRPr="003F646B">
              <w:rPr>
                <w:i/>
                <w:iCs/>
              </w:rPr>
              <w:t>JUST</w:t>
            </w:r>
          </w:p>
        </w:tc>
        <w:tc>
          <w:tcPr>
            <w:tcW w:w="8182" w:type="dxa"/>
          </w:tcPr>
          <w:p w14:paraId="2E698FB3" w14:textId="2A9B549B" w:rsidR="00D34932" w:rsidRPr="00556077" w:rsidRDefault="00DA6699" w:rsidP="00C711CF">
            <w:pPr>
              <w:pStyle w:val="Geenafstand"/>
              <w:rPr>
                <w:rFonts w:asciiTheme="minorHAnsi" w:hAnsiTheme="minorHAnsi" w:cstheme="minorHAnsi"/>
              </w:rPr>
            </w:pPr>
            <w:r>
              <w:rPr>
                <w:rFonts w:asciiTheme="minorHAnsi" w:hAnsiTheme="minorHAnsi" w:cstheme="minorHAnsi"/>
              </w:rPr>
              <w:t xml:space="preserve">Injustice </w:t>
            </w:r>
          </w:p>
        </w:tc>
      </w:tr>
    </w:tbl>
    <w:p w14:paraId="5E5DC7A4" w14:textId="45B59AA9" w:rsidR="00EF51A4" w:rsidRPr="00EF51A4" w:rsidRDefault="00FA06EA" w:rsidP="00EF51A4">
      <w:pPr>
        <w:pStyle w:val="Kop3"/>
        <w:rPr>
          <w:sz w:val="20"/>
          <w:szCs w:val="20"/>
        </w:rPr>
      </w:pPr>
      <w:r w:rsidRPr="00086583">
        <w:rPr>
          <w:sz w:val="20"/>
          <w:szCs w:val="20"/>
        </w:rPr>
        <w:br w:type="page"/>
      </w:r>
    </w:p>
    <w:p w14:paraId="08A48D8F" w14:textId="7A1A0F73" w:rsidR="00444A93" w:rsidRDefault="00444A93" w:rsidP="00444A93">
      <w:pPr>
        <w:pStyle w:val="Kop1"/>
        <w:rPr>
          <w:lang w:val="en-GB"/>
        </w:rPr>
      </w:pPr>
      <w:bookmarkStart w:id="330" w:name="_Toc75384137"/>
      <w:r>
        <w:rPr>
          <w:lang w:val="en-GB"/>
        </w:rPr>
        <w:lastRenderedPageBreak/>
        <w:t xml:space="preserve">Appendix </w:t>
      </w:r>
      <w:bookmarkEnd w:id="324"/>
      <w:r w:rsidR="00352BE1">
        <w:rPr>
          <w:lang w:val="en-GB"/>
        </w:rPr>
        <w:t>C</w:t>
      </w:r>
      <w:bookmarkEnd w:id="330"/>
    </w:p>
    <w:p w14:paraId="54CFA371" w14:textId="77777777" w:rsidR="00E45397" w:rsidRPr="00E45397" w:rsidRDefault="00E45397" w:rsidP="00E45397">
      <w:pPr>
        <w:rPr>
          <w:lang w:val="en-GB"/>
        </w:rPr>
      </w:pPr>
    </w:p>
    <w:p w14:paraId="4B648C8F" w14:textId="6D16E380" w:rsidR="00E45397" w:rsidRDefault="00E45397" w:rsidP="00E45397">
      <w:pPr>
        <w:pStyle w:val="Kop3"/>
        <w:rPr>
          <w:sz w:val="20"/>
          <w:szCs w:val="20"/>
        </w:rPr>
      </w:pPr>
      <w:bookmarkStart w:id="331" w:name="_Toc75384138"/>
      <w:r w:rsidRPr="00D63162">
        <w:rPr>
          <w:sz w:val="20"/>
          <w:szCs w:val="20"/>
        </w:rPr>
        <w:t xml:space="preserve">Table </w:t>
      </w:r>
      <w:r>
        <w:rPr>
          <w:sz w:val="20"/>
          <w:szCs w:val="20"/>
        </w:rPr>
        <w:t>C.</w:t>
      </w:r>
      <w:r w:rsidRPr="00D63162">
        <w:rPr>
          <w:sz w:val="20"/>
          <w:szCs w:val="20"/>
        </w:rPr>
        <w:t>4.2</w:t>
      </w:r>
      <w:r>
        <w:rPr>
          <w:sz w:val="20"/>
          <w:szCs w:val="20"/>
        </w:rPr>
        <w:t>0</w:t>
      </w:r>
      <w:r w:rsidRPr="00D63162">
        <w:rPr>
          <w:sz w:val="20"/>
          <w:szCs w:val="20"/>
        </w:rPr>
        <w:t xml:space="preserve">. Crosstab: </w:t>
      </w:r>
      <w:r w:rsidR="001E0B03">
        <w:rPr>
          <w:sz w:val="20"/>
          <w:szCs w:val="20"/>
        </w:rPr>
        <w:t>MP</w:t>
      </w:r>
      <w:r w:rsidRPr="00D63162">
        <w:rPr>
          <w:sz w:val="20"/>
          <w:szCs w:val="20"/>
        </w:rPr>
        <w:t xml:space="preserve"> x issue. 52</w:t>
      </w:r>
      <w:r w:rsidRPr="00D63162">
        <w:rPr>
          <w:sz w:val="20"/>
          <w:szCs w:val="20"/>
          <w:vertAlign w:val="superscript"/>
        </w:rPr>
        <w:t>nd</w:t>
      </w:r>
      <w:r w:rsidRPr="00D63162">
        <w:rPr>
          <w:sz w:val="20"/>
          <w:szCs w:val="20"/>
        </w:rPr>
        <w:t xml:space="preserve"> and 53</w:t>
      </w:r>
      <w:r w:rsidRPr="00D63162">
        <w:rPr>
          <w:sz w:val="20"/>
          <w:szCs w:val="20"/>
          <w:vertAlign w:val="superscript"/>
        </w:rPr>
        <w:t>rd</w:t>
      </w:r>
      <w:r w:rsidRPr="00D63162">
        <w:rPr>
          <w:sz w:val="20"/>
          <w:szCs w:val="20"/>
        </w:rPr>
        <w:t xml:space="preserve"> government.</w:t>
      </w:r>
      <w:bookmarkEnd w:id="331"/>
    </w:p>
    <w:tbl>
      <w:tblPr>
        <w:tblStyle w:val="TableNormal1"/>
        <w:tblW w:w="0" w:type="auto"/>
        <w:tblInd w:w="5" w:type="dxa"/>
        <w:tblLook w:val="04A0" w:firstRow="1" w:lastRow="0" w:firstColumn="1" w:lastColumn="0" w:noHBand="0" w:noVBand="1"/>
      </w:tblPr>
      <w:tblGrid>
        <w:gridCol w:w="2830"/>
        <w:gridCol w:w="2268"/>
        <w:gridCol w:w="2127"/>
        <w:gridCol w:w="1837"/>
      </w:tblGrid>
      <w:tr w:rsidR="00745876" w14:paraId="67BE91C4" w14:textId="77777777" w:rsidTr="006A5708">
        <w:tc>
          <w:tcPr>
            <w:tcW w:w="2830" w:type="dxa"/>
            <w:tcBorders>
              <w:bottom w:val="single" w:sz="4" w:space="0" w:color="auto"/>
            </w:tcBorders>
          </w:tcPr>
          <w:p w14:paraId="739D3224" w14:textId="77777777" w:rsidR="00745876" w:rsidRDefault="00745876" w:rsidP="004A02A8">
            <w:pPr>
              <w:pStyle w:val="Geenafstand"/>
            </w:pPr>
          </w:p>
        </w:tc>
        <w:tc>
          <w:tcPr>
            <w:tcW w:w="2268" w:type="dxa"/>
            <w:tcBorders>
              <w:bottom w:val="single" w:sz="4" w:space="0" w:color="auto"/>
            </w:tcBorders>
          </w:tcPr>
          <w:p w14:paraId="70998F47" w14:textId="76CCD979" w:rsidR="00745876" w:rsidRDefault="00704F82" w:rsidP="004A02A8">
            <w:pPr>
              <w:pStyle w:val="Geenafstand"/>
            </w:pPr>
            <w:r>
              <w:t>Non-</w:t>
            </w:r>
            <w:r w:rsidRPr="00444A93">
              <w:t>Māori</w:t>
            </w:r>
            <w:r>
              <w:t xml:space="preserve"> MPs</w:t>
            </w:r>
          </w:p>
        </w:tc>
        <w:tc>
          <w:tcPr>
            <w:tcW w:w="2127" w:type="dxa"/>
            <w:tcBorders>
              <w:bottom w:val="single" w:sz="4" w:space="0" w:color="auto"/>
            </w:tcBorders>
          </w:tcPr>
          <w:p w14:paraId="4E1A8EE7" w14:textId="573D368F" w:rsidR="00745876" w:rsidRDefault="00704F82" w:rsidP="004A02A8">
            <w:pPr>
              <w:pStyle w:val="Geenafstand"/>
            </w:pPr>
            <w:r w:rsidRPr="00444A93">
              <w:t>Māori</w:t>
            </w:r>
            <w:r>
              <w:t xml:space="preserve"> MPs</w:t>
            </w:r>
          </w:p>
        </w:tc>
        <w:tc>
          <w:tcPr>
            <w:tcW w:w="1837" w:type="dxa"/>
            <w:tcBorders>
              <w:bottom w:val="single" w:sz="4" w:space="0" w:color="auto"/>
            </w:tcBorders>
          </w:tcPr>
          <w:p w14:paraId="6BE91459" w14:textId="2FD917C9" w:rsidR="00745876" w:rsidRDefault="00704F82" w:rsidP="004A02A8">
            <w:pPr>
              <w:pStyle w:val="Geenafstand"/>
            </w:pPr>
            <w:r>
              <w:t>Total</w:t>
            </w:r>
          </w:p>
        </w:tc>
      </w:tr>
      <w:tr w:rsidR="00745876" w14:paraId="2AF0BC86" w14:textId="77777777" w:rsidTr="006A5708">
        <w:tc>
          <w:tcPr>
            <w:tcW w:w="2830" w:type="dxa"/>
            <w:tcBorders>
              <w:top w:val="single" w:sz="4" w:space="0" w:color="auto"/>
            </w:tcBorders>
          </w:tcPr>
          <w:p w14:paraId="14EAFABA" w14:textId="4699647E" w:rsidR="00745876" w:rsidRDefault="00704F82" w:rsidP="004A02A8">
            <w:pPr>
              <w:pStyle w:val="Geenafstand"/>
            </w:pPr>
            <w:r>
              <w:t>Crime</w:t>
            </w:r>
          </w:p>
        </w:tc>
        <w:tc>
          <w:tcPr>
            <w:tcW w:w="2268" w:type="dxa"/>
            <w:tcBorders>
              <w:top w:val="single" w:sz="4" w:space="0" w:color="auto"/>
            </w:tcBorders>
          </w:tcPr>
          <w:p w14:paraId="15A161FA" w14:textId="72525561" w:rsidR="00745876" w:rsidRDefault="00704F82" w:rsidP="004A02A8">
            <w:pPr>
              <w:pStyle w:val="Geenafstand"/>
            </w:pPr>
            <w:r>
              <w:t>13</w:t>
            </w:r>
          </w:p>
        </w:tc>
        <w:tc>
          <w:tcPr>
            <w:tcW w:w="2127" w:type="dxa"/>
            <w:tcBorders>
              <w:top w:val="single" w:sz="4" w:space="0" w:color="auto"/>
            </w:tcBorders>
          </w:tcPr>
          <w:p w14:paraId="6B387455" w14:textId="5BA25862" w:rsidR="00745876" w:rsidRDefault="00704F82" w:rsidP="004A02A8">
            <w:pPr>
              <w:pStyle w:val="Geenafstand"/>
            </w:pPr>
            <w:r>
              <w:t>4</w:t>
            </w:r>
          </w:p>
        </w:tc>
        <w:tc>
          <w:tcPr>
            <w:tcW w:w="1837" w:type="dxa"/>
            <w:tcBorders>
              <w:top w:val="single" w:sz="4" w:space="0" w:color="auto"/>
            </w:tcBorders>
          </w:tcPr>
          <w:p w14:paraId="6FD3C9C7" w14:textId="7FFA9CAF" w:rsidR="00745876" w:rsidRDefault="00704F82" w:rsidP="004A02A8">
            <w:pPr>
              <w:pStyle w:val="Geenafstand"/>
            </w:pPr>
            <w:r>
              <w:t>17</w:t>
            </w:r>
          </w:p>
        </w:tc>
      </w:tr>
      <w:tr w:rsidR="00745876" w14:paraId="47464E69" w14:textId="77777777" w:rsidTr="006A5708">
        <w:tc>
          <w:tcPr>
            <w:tcW w:w="2830" w:type="dxa"/>
          </w:tcPr>
          <w:p w14:paraId="707D2370" w14:textId="158E3049" w:rsidR="00745876" w:rsidRDefault="00704F82" w:rsidP="004A02A8">
            <w:pPr>
              <w:pStyle w:val="Geenafstand"/>
            </w:pPr>
            <w:r>
              <w:t>Education, art and language</w:t>
            </w:r>
          </w:p>
        </w:tc>
        <w:tc>
          <w:tcPr>
            <w:tcW w:w="2268" w:type="dxa"/>
          </w:tcPr>
          <w:p w14:paraId="0BC579D3" w14:textId="2DD7CF3D" w:rsidR="00745876" w:rsidRDefault="00704F82" w:rsidP="004A02A8">
            <w:pPr>
              <w:pStyle w:val="Geenafstand"/>
            </w:pPr>
            <w:r>
              <w:t>11</w:t>
            </w:r>
          </w:p>
        </w:tc>
        <w:tc>
          <w:tcPr>
            <w:tcW w:w="2127" w:type="dxa"/>
          </w:tcPr>
          <w:p w14:paraId="31DF4A20" w14:textId="4B3617F9" w:rsidR="00745876" w:rsidRDefault="00704F82" w:rsidP="004A02A8">
            <w:pPr>
              <w:pStyle w:val="Geenafstand"/>
            </w:pPr>
            <w:r>
              <w:t>7</w:t>
            </w:r>
          </w:p>
        </w:tc>
        <w:tc>
          <w:tcPr>
            <w:tcW w:w="1837" w:type="dxa"/>
          </w:tcPr>
          <w:p w14:paraId="5E2B897C" w14:textId="14AFDE65" w:rsidR="00745876" w:rsidRDefault="00704F82" w:rsidP="004A02A8">
            <w:pPr>
              <w:pStyle w:val="Geenafstand"/>
            </w:pPr>
            <w:r>
              <w:t>18</w:t>
            </w:r>
          </w:p>
        </w:tc>
      </w:tr>
      <w:tr w:rsidR="00745876" w14:paraId="5A6DA0ED" w14:textId="77777777" w:rsidTr="006A5708">
        <w:tc>
          <w:tcPr>
            <w:tcW w:w="2830" w:type="dxa"/>
          </w:tcPr>
          <w:p w14:paraId="6F3AEF5A" w14:textId="29C61228" w:rsidR="00745876" w:rsidRDefault="00704F82" w:rsidP="004A02A8">
            <w:pPr>
              <w:pStyle w:val="Geenafstand"/>
            </w:pPr>
            <w:r>
              <w:t>Energy, resources and environment</w:t>
            </w:r>
          </w:p>
        </w:tc>
        <w:tc>
          <w:tcPr>
            <w:tcW w:w="2268" w:type="dxa"/>
          </w:tcPr>
          <w:p w14:paraId="42FD4E66" w14:textId="2EB351AA" w:rsidR="00745876" w:rsidRDefault="00704F82" w:rsidP="004A02A8">
            <w:pPr>
              <w:pStyle w:val="Geenafstand"/>
            </w:pPr>
            <w:r>
              <w:t>2</w:t>
            </w:r>
          </w:p>
        </w:tc>
        <w:tc>
          <w:tcPr>
            <w:tcW w:w="2127" w:type="dxa"/>
          </w:tcPr>
          <w:p w14:paraId="0AB57EE4" w14:textId="3050A506" w:rsidR="00745876" w:rsidRDefault="00704F82" w:rsidP="004A02A8">
            <w:pPr>
              <w:pStyle w:val="Geenafstand"/>
            </w:pPr>
            <w:r>
              <w:t>5</w:t>
            </w:r>
          </w:p>
        </w:tc>
        <w:tc>
          <w:tcPr>
            <w:tcW w:w="1837" w:type="dxa"/>
          </w:tcPr>
          <w:p w14:paraId="6FD1B084" w14:textId="20D7AED9" w:rsidR="00745876" w:rsidRDefault="00704F82" w:rsidP="004A02A8">
            <w:pPr>
              <w:pStyle w:val="Geenafstand"/>
            </w:pPr>
            <w:r>
              <w:t>7</w:t>
            </w:r>
          </w:p>
        </w:tc>
      </w:tr>
      <w:tr w:rsidR="00745876" w14:paraId="562B845A" w14:textId="77777777" w:rsidTr="006A5708">
        <w:tc>
          <w:tcPr>
            <w:tcW w:w="2830" w:type="dxa"/>
          </w:tcPr>
          <w:p w14:paraId="3AC3905F" w14:textId="2F19332B" w:rsidR="00745876" w:rsidRDefault="00704F82" w:rsidP="004A02A8">
            <w:pPr>
              <w:pStyle w:val="Geenafstand"/>
            </w:pPr>
            <w:r>
              <w:t>Governance, autonomy and self-determination</w:t>
            </w:r>
          </w:p>
        </w:tc>
        <w:tc>
          <w:tcPr>
            <w:tcW w:w="2268" w:type="dxa"/>
          </w:tcPr>
          <w:p w14:paraId="7B86520B" w14:textId="6C23BF0B" w:rsidR="00745876" w:rsidRDefault="00704F82" w:rsidP="004A02A8">
            <w:pPr>
              <w:pStyle w:val="Geenafstand"/>
            </w:pPr>
            <w:r>
              <w:t>21</w:t>
            </w:r>
          </w:p>
        </w:tc>
        <w:tc>
          <w:tcPr>
            <w:tcW w:w="2127" w:type="dxa"/>
          </w:tcPr>
          <w:p w14:paraId="6B065F6A" w14:textId="66D455A8" w:rsidR="00745876" w:rsidRDefault="00704F82" w:rsidP="004A02A8">
            <w:pPr>
              <w:pStyle w:val="Geenafstand"/>
            </w:pPr>
            <w:r>
              <w:t>30</w:t>
            </w:r>
          </w:p>
        </w:tc>
        <w:tc>
          <w:tcPr>
            <w:tcW w:w="1837" w:type="dxa"/>
          </w:tcPr>
          <w:p w14:paraId="6E87433E" w14:textId="07D5C220" w:rsidR="00745876" w:rsidRDefault="00704F82" w:rsidP="004A02A8">
            <w:pPr>
              <w:pStyle w:val="Geenafstand"/>
            </w:pPr>
            <w:r>
              <w:t>51</w:t>
            </w:r>
          </w:p>
        </w:tc>
      </w:tr>
      <w:tr w:rsidR="00745876" w14:paraId="7EFBAA3E" w14:textId="77777777" w:rsidTr="006A5708">
        <w:tc>
          <w:tcPr>
            <w:tcW w:w="2830" w:type="dxa"/>
          </w:tcPr>
          <w:p w14:paraId="5E816103" w14:textId="7AE22D77" w:rsidR="00745876" w:rsidRDefault="00704F82" w:rsidP="004A02A8">
            <w:pPr>
              <w:pStyle w:val="Geenafstand"/>
            </w:pPr>
            <w:r>
              <w:t>Health</w:t>
            </w:r>
          </w:p>
        </w:tc>
        <w:tc>
          <w:tcPr>
            <w:tcW w:w="2268" w:type="dxa"/>
          </w:tcPr>
          <w:p w14:paraId="247394A5" w14:textId="1124FC70" w:rsidR="00745876" w:rsidRDefault="00704F82" w:rsidP="004A02A8">
            <w:pPr>
              <w:pStyle w:val="Geenafstand"/>
            </w:pPr>
            <w:r>
              <w:t>15</w:t>
            </w:r>
          </w:p>
        </w:tc>
        <w:tc>
          <w:tcPr>
            <w:tcW w:w="2127" w:type="dxa"/>
          </w:tcPr>
          <w:p w14:paraId="011A4EA5" w14:textId="1FB6C8DE" w:rsidR="00745876" w:rsidRDefault="00704F82" w:rsidP="004A02A8">
            <w:pPr>
              <w:pStyle w:val="Geenafstand"/>
            </w:pPr>
            <w:r>
              <w:t>11</w:t>
            </w:r>
          </w:p>
        </w:tc>
        <w:tc>
          <w:tcPr>
            <w:tcW w:w="1837" w:type="dxa"/>
          </w:tcPr>
          <w:p w14:paraId="6947B51B" w14:textId="61A5306B" w:rsidR="00745876" w:rsidRDefault="00704F82" w:rsidP="004A02A8">
            <w:pPr>
              <w:pStyle w:val="Geenafstand"/>
            </w:pPr>
            <w:r>
              <w:t>26</w:t>
            </w:r>
          </w:p>
        </w:tc>
      </w:tr>
      <w:tr w:rsidR="00745876" w14:paraId="3224B7DB" w14:textId="77777777" w:rsidTr="006A5708">
        <w:tc>
          <w:tcPr>
            <w:tcW w:w="2830" w:type="dxa"/>
          </w:tcPr>
          <w:p w14:paraId="17BF053C" w14:textId="32A766FC" w:rsidR="00745876" w:rsidRDefault="00704F82" w:rsidP="004A02A8">
            <w:pPr>
              <w:pStyle w:val="Geenafstand"/>
            </w:pPr>
            <w:r>
              <w:t>Housing</w:t>
            </w:r>
          </w:p>
        </w:tc>
        <w:tc>
          <w:tcPr>
            <w:tcW w:w="2268" w:type="dxa"/>
          </w:tcPr>
          <w:p w14:paraId="16389A41" w14:textId="078D33F3" w:rsidR="00745876" w:rsidRDefault="00704F82" w:rsidP="004A02A8">
            <w:pPr>
              <w:pStyle w:val="Geenafstand"/>
            </w:pPr>
            <w:r>
              <w:t>7</w:t>
            </w:r>
          </w:p>
        </w:tc>
        <w:tc>
          <w:tcPr>
            <w:tcW w:w="2127" w:type="dxa"/>
          </w:tcPr>
          <w:p w14:paraId="14825FB8" w14:textId="4F0EB816" w:rsidR="00745876" w:rsidRDefault="00704F82" w:rsidP="004A02A8">
            <w:pPr>
              <w:pStyle w:val="Geenafstand"/>
            </w:pPr>
            <w:r>
              <w:t>2</w:t>
            </w:r>
          </w:p>
        </w:tc>
        <w:tc>
          <w:tcPr>
            <w:tcW w:w="1837" w:type="dxa"/>
          </w:tcPr>
          <w:p w14:paraId="689EE0D8" w14:textId="02B8FBED" w:rsidR="00745876" w:rsidRDefault="00704F82" w:rsidP="004A02A8">
            <w:pPr>
              <w:pStyle w:val="Geenafstand"/>
            </w:pPr>
            <w:r>
              <w:t>9</w:t>
            </w:r>
          </w:p>
        </w:tc>
      </w:tr>
      <w:tr w:rsidR="00704F82" w14:paraId="4CAB2C47" w14:textId="77777777" w:rsidTr="006A5708">
        <w:tc>
          <w:tcPr>
            <w:tcW w:w="2830" w:type="dxa"/>
          </w:tcPr>
          <w:p w14:paraId="5DBE45D4" w14:textId="511DD9EF" w:rsidR="00704F82" w:rsidRDefault="00704F82" w:rsidP="004A02A8">
            <w:pPr>
              <w:pStyle w:val="Geenafstand"/>
            </w:pPr>
            <w:r>
              <w:t>Land, wildlife and fisheries</w:t>
            </w:r>
          </w:p>
        </w:tc>
        <w:tc>
          <w:tcPr>
            <w:tcW w:w="2268" w:type="dxa"/>
          </w:tcPr>
          <w:p w14:paraId="6789CAFA" w14:textId="545B7DF3" w:rsidR="00704F82" w:rsidRDefault="00704F82" w:rsidP="004A02A8">
            <w:pPr>
              <w:pStyle w:val="Geenafstand"/>
            </w:pPr>
            <w:r>
              <w:t>11</w:t>
            </w:r>
          </w:p>
        </w:tc>
        <w:tc>
          <w:tcPr>
            <w:tcW w:w="2127" w:type="dxa"/>
          </w:tcPr>
          <w:p w14:paraId="2C3CC76A" w14:textId="54FBA879" w:rsidR="00704F82" w:rsidRDefault="00704F82" w:rsidP="004A02A8">
            <w:pPr>
              <w:pStyle w:val="Geenafstand"/>
            </w:pPr>
            <w:r>
              <w:t>6</w:t>
            </w:r>
          </w:p>
        </w:tc>
        <w:tc>
          <w:tcPr>
            <w:tcW w:w="1837" w:type="dxa"/>
          </w:tcPr>
          <w:p w14:paraId="32BB0B3F" w14:textId="7DC54A08" w:rsidR="00704F82" w:rsidRDefault="00704F82" w:rsidP="004A02A8">
            <w:pPr>
              <w:pStyle w:val="Geenafstand"/>
            </w:pPr>
            <w:r>
              <w:t>17</w:t>
            </w:r>
          </w:p>
        </w:tc>
      </w:tr>
      <w:tr w:rsidR="00704F82" w14:paraId="70DF7DEA" w14:textId="77777777" w:rsidTr="006A5708">
        <w:tc>
          <w:tcPr>
            <w:tcW w:w="2830" w:type="dxa"/>
          </w:tcPr>
          <w:p w14:paraId="133DC50A" w14:textId="75C0E014" w:rsidR="00704F82" w:rsidRDefault="00704F82" w:rsidP="004A02A8">
            <w:pPr>
              <w:pStyle w:val="Geenafstand"/>
            </w:pPr>
            <w:r w:rsidRPr="00444A93">
              <w:t>Māori</w:t>
            </w:r>
            <w:r>
              <w:t xml:space="preserve"> rights</w:t>
            </w:r>
          </w:p>
        </w:tc>
        <w:tc>
          <w:tcPr>
            <w:tcW w:w="2268" w:type="dxa"/>
          </w:tcPr>
          <w:p w14:paraId="43BCC349" w14:textId="03616936" w:rsidR="00704F82" w:rsidRDefault="00704F82" w:rsidP="004A02A8">
            <w:pPr>
              <w:pStyle w:val="Geenafstand"/>
            </w:pPr>
            <w:r>
              <w:t>3</w:t>
            </w:r>
          </w:p>
        </w:tc>
        <w:tc>
          <w:tcPr>
            <w:tcW w:w="2127" w:type="dxa"/>
          </w:tcPr>
          <w:p w14:paraId="3B9C9944" w14:textId="4B0DFF87" w:rsidR="00704F82" w:rsidRDefault="00704F82" w:rsidP="004A02A8">
            <w:pPr>
              <w:pStyle w:val="Geenafstand"/>
            </w:pPr>
            <w:r>
              <w:t>6</w:t>
            </w:r>
          </w:p>
        </w:tc>
        <w:tc>
          <w:tcPr>
            <w:tcW w:w="1837" w:type="dxa"/>
          </w:tcPr>
          <w:p w14:paraId="01B0A611" w14:textId="7310BFBF" w:rsidR="00704F82" w:rsidRDefault="00704F82" w:rsidP="004A02A8">
            <w:pPr>
              <w:pStyle w:val="Geenafstand"/>
            </w:pPr>
            <w:r>
              <w:t>9</w:t>
            </w:r>
          </w:p>
        </w:tc>
      </w:tr>
      <w:tr w:rsidR="00704F82" w14:paraId="6CE2D8DE" w14:textId="77777777" w:rsidTr="006A5708">
        <w:tc>
          <w:tcPr>
            <w:tcW w:w="2830" w:type="dxa"/>
          </w:tcPr>
          <w:p w14:paraId="3DB9EA9C" w14:textId="0632D4EE" w:rsidR="00704F82" w:rsidRPr="00444A93" w:rsidRDefault="00704F82" w:rsidP="004A02A8">
            <w:pPr>
              <w:pStyle w:val="Geenafstand"/>
            </w:pPr>
            <w:r>
              <w:t>Social policy</w:t>
            </w:r>
          </w:p>
        </w:tc>
        <w:tc>
          <w:tcPr>
            <w:tcW w:w="2268" w:type="dxa"/>
          </w:tcPr>
          <w:p w14:paraId="206A44E8" w14:textId="3CDCE4C1" w:rsidR="00704F82" w:rsidRDefault="00704F82" w:rsidP="004A02A8">
            <w:pPr>
              <w:pStyle w:val="Geenafstand"/>
            </w:pPr>
            <w:r>
              <w:t>15</w:t>
            </w:r>
          </w:p>
        </w:tc>
        <w:tc>
          <w:tcPr>
            <w:tcW w:w="2127" w:type="dxa"/>
          </w:tcPr>
          <w:p w14:paraId="27E230C7" w14:textId="01408653" w:rsidR="00704F82" w:rsidRDefault="00704F82" w:rsidP="004A02A8">
            <w:pPr>
              <w:pStyle w:val="Geenafstand"/>
            </w:pPr>
            <w:r>
              <w:t>7</w:t>
            </w:r>
          </w:p>
        </w:tc>
        <w:tc>
          <w:tcPr>
            <w:tcW w:w="1837" w:type="dxa"/>
          </w:tcPr>
          <w:p w14:paraId="2B761A7C" w14:textId="48323219" w:rsidR="00704F82" w:rsidRDefault="00704F82" w:rsidP="004A02A8">
            <w:pPr>
              <w:pStyle w:val="Geenafstand"/>
            </w:pPr>
            <w:r>
              <w:t>22</w:t>
            </w:r>
          </w:p>
        </w:tc>
      </w:tr>
      <w:tr w:rsidR="00704F82" w14:paraId="27166CE8" w14:textId="77777777" w:rsidTr="006A5708">
        <w:tc>
          <w:tcPr>
            <w:tcW w:w="2830" w:type="dxa"/>
          </w:tcPr>
          <w:p w14:paraId="5781FB7A" w14:textId="7F57F4A0" w:rsidR="00704F82" w:rsidRDefault="00704F82" w:rsidP="004A02A8">
            <w:pPr>
              <w:pStyle w:val="Geenafstand"/>
            </w:pPr>
            <w:r>
              <w:t>Trade and economy</w:t>
            </w:r>
          </w:p>
        </w:tc>
        <w:tc>
          <w:tcPr>
            <w:tcW w:w="2268" w:type="dxa"/>
          </w:tcPr>
          <w:p w14:paraId="30996431" w14:textId="6C50A631" w:rsidR="00704F82" w:rsidRDefault="00704F82" w:rsidP="004A02A8">
            <w:pPr>
              <w:pStyle w:val="Geenafstand"/>
            </w:pPr>
            <w:r>
              <w:t>5</w:t>
            </w:r>
          </w:p>
        </w:tc>
        <w:tc>
          <w:tcPr>
            <w:tcW w:w="2127" w:type="dxa"/>
          </w:tcPr>
          <w:p w14:paraId="07A582B9" w14:textId="6D04A09B" w:rsidR="00704F82" w:rsidRDefault="00704F82" w:rsidP="004A02A8">
            <w:pPr>
              <w:pStyle w:val="Geenafstand"/>
            </w:pPr>
            <w:r>
              <w:t>2</w:t>
            </w:r>
          </w:p>
        </w:tc>
        <w:tc>
          <w:tcPr>
            <w:tcW w:w="1837" w:type="dxa"/>
          </w:tcPr>
          <w:p w14:paraId="73949B4A" w14:textId="65924F6B" w:rsidR="00704F82" w:rsidRDefault="00704F82" w:rsidP="004A02A8">
            <w:pPr>
              <w:pStyle w:val="Geenafstand"/>
            </w:pPr>
            <w:r>
              <w:t>7</w:t>
            </w:r>
          </w:p>
        </w:tc>
      </w:tr>
      <w:tr w:rsidR="00704F82" w14:paraId="4CD1688E" w14:textId="77777777" w:rsidTr="006A5708">
        <w:tc>
          <w:tcPr>
            <w:tcW w:w="2830" w:type="dxa"/>
          </w:tcPr>
          <w:p w14:paraId="53E0FD71" w14:textId="19AF20E0" w:rsidR="00704F82" w:rsidRDefault="00704F82" w:rsidP="004A02A8">
            <w:pPr>
              <w:pStyle w:val="Geenafstand"/>
            </w:pPr>
            <w:r>
              <w:t>Treaty of Waitangi/Crown-</w:t>
            </w:r>
            <w:r w:rsidRPr="00444A93">
              <w:t>Māori</w:t>
            </w:r>
            <w:r>
              <w:t xml:space="preserve"> relation</w:t>
            </w:r>
          </w:p>
        </w:tc>
        <w:tc>
          <w:tcPr>
            <w:tcW w:w="2268" w:type="dxa"/>
          </w:tcPr>
          <w:p w14:paraId="7967C4EB" w14:textId="2FDDBDBA" w:rsidR="00704F82" w:rsidRDefault="00704F82" w:rsidP="004A02A8">
            <w:pPr>
              <w:pStyle w:val="Geenafstand"/>
            </w:pPr>
            <w:r>
              <w:t>19</w:t>
            </w:r>
          </w:p>
        </w:tc>
        <w:tc>
          <w:tcPr>
            <w:tcW w:w="2127" w:type="dxa"/>
          </w:tcPr>
          <w:p w14:paraId="1CFA68A7" w14:textId="518A219C" w:rsidR="00704F82" w:rsidRDefault="00704F82" w:rsidP="004A02A8">
            <w:pPr>
              <w:pStyle w:val="Geenafstand"/>
            </w:pPr>
            <w:r>
              <w:t>28</w:t>
            </w:r>
          </w:p>
        </w:tc>
        <w:tc>
          <w:tcPr>
            <w:tcW w:w="1837" w:type="dxa"/>
          </w:tcPr>
          <w:p w14:paraId="4D8D9D1E" w14:textId="4BEB4B5F" w:rsidR="00704F82" w:rsidRDefault="00704F82" w:rsidP="004A02A8">
            <w:pPr>
              <w:pStyle w:val="Geenafstand"/>
            </w:pPr>
            <w:r>
              <w:t>47</w:t>
            </w:r>
          </w:p>
        </w:tc>
      </w:tr>
      <w:tr w:rsidR="00704F82" w14:paraId="3DFB2EF6" w14:textId="77777777" w:rsidTr="006A5708">
        <w:tc>
          <w:tcPr>
            <w:tcW w:w="2830" w:type="dxa"/>
            <w:tcBorders>
              <w:bottom w:val="single" w:sz="4" w:space="0" w:color="auto"/>
            </w:tcBorders>
          </w:tcPr>
          <w:p w14:paraId="06CDA6F6" w14:textId="26B910E1" w:rsidR="00704F82" w:rsidRDefault="00704F82" w:rsidP="004A02A8">
            <w:pPr>
              <w:pStyle w:val="Geenafstand"/>
            </w:pPr>
            <w:r>
              <w:t>Total</w:t>
            </w:r>
          </w:p>
        </w:tc>
        <w:tc>
          <w:tcPr>
            <w:tcW w:w="2268" w:type="dxa"/>
            <w:tcBorders>
              <w:bottom w:val="single" w:sz="4" w:space="0" w:color="auto"/>
            </w:tcBorders>
          </w:tcPr>
          <w:p w14:paraId="1A8AE823" w14:textId="48C64F6F" w:rsidR="00704F82" w:rsidRDefault="00704F82" w:rsidP="004A02A8">
            <w:pPr>
              <w:pStyle w:val="Geenafstand"/>
            </w:pPr>
            <w:r>
              <w:t>122</w:t>
            </w:r>
          </w:p>
        </w:tc>
        <w:tc>
          <w:tcPr>
            <w:tcW w:w="2127" w:type="dxa"/>
            <w:tcBorders>
              <w:bottom w:val="single" w:sz="4" w:space="0" w:color="auto"/>
            </w:tcBorders>
          </w:tcPr>
          <w:p w14:paraId="5DF8461A" w14:textId="1167EBDB" w:rsidR="00704F82" w:rsidRDefault="00704F82" w:rsidP="004A02A8">
            <w:pPr>
              <w:pStyle w:val="Geenafstand"/>
            </w:pPr>
            <w:r>
              <w:t>108</w:t>
            </w:r>
          </w:p>
        </w:tc>
        <w:tc>
          <w:tcPr>
            <w:tcW w:w="1837" w:type="dxa"/>
            <w:tcBorders>
              <w:bottom w:val="single" w:sz="4" w:space="0" w:color="auto"/>
            </w:tcBorders>
          </w:tcPr>
          <w:p w14:paraId="18A646EA" w14:textId="1B104EDD" w:rsidR="00704F82" w:rsidRDefault="00704F82" w:rsidP="004A02A8">
            <w:pPr>
              <w:pStyle w:val="Geenafstand"/>
            </w:pPr>
            <w:r>
              <w:t>230</w:t>
            </w:r>
          </w:p>
        </w:tc>
      </w:tr>
    </w:tbl>
    <w:p w14:paraId="67A9A95B" w14:textId="77777777" w:rsidR="00E45397" w:rsidRPr="00E45397" w:rsidRDefault="00E45397" w:rsidP="00E45397">
      <w:pPr>
        <w:autoSpaceDE w:val="0"/>
        <w:autoSpaceDN w:val="0"/>
        <w:adjustRightInd w:val="0"/>
        <w:spacing w:after="0" w:line="400" w:lineRule="atLeast"/>
        <w:rPr>
          <w:rFonts w:ascii="Times New Roman" w:hAnsi="Times New Roman" w:cs="Times New Roman"/>
          <w:sz w:val="24"/>
          <w:szCs w:val="24"/>
          <w:lang w:val="en-GB"/>
        </w:rPr>
      </w:pPr>
    </w:p>
    <w:p w14:paraId="309E74F7" w14:textId="100332F1" w:rsidR="00444A93" w:rsidRPr="00F126CC" w:rsidRDefault="00444A93" w:rsidP="00444A93">
      <w:pPr>
        <w:rPr>
          <w:lang w:val="en-GB"/>
        </w:rPr>
      </w:pPr>
    </w:p>
    <w:p w14:paraId="006401F1" w14:textId="77777777" w:rsidR="0061194A" w:rsidRDefault="0061194A">
      <w:pPr>
        <w:rPr>
          <w:rFonts w:asciiTheme="majorHAnsi" w:eastAsiaTheme="majorEastAsia" w:hAnsiTheme="majorHAnsi" w:cstheme="majorBidi"/>
          <w:color w:val="1F3763" w:themeColor="accent1" w:themeShade="7F"/>
          <w:sz w:val="20"/>
          <w:szCs w:val="20"/>
          <w:lang w:val="en-GB" w:eastAsia="en-GB"/>
        </w:rPr>
      </w:pPr>
      <w:bookmarkStart w:id="332" w:name="_Toc72853032"/>
      <w:bookmarkStart w:id="333" w:name="_Toc73969269"/>
      <w:bookmarkStart w:id="334" w:name="_Toc74503530"/>
      <w:bookmarkStart w:id="335" w:name="_Toc74583870"/>
      <w:r>
        <w:rPr>
          <w:sz w:val="20"/>
          <w:szCs w:val="20"/>
        </w:rPr>
        <w:br w:type="page"/>
      </w:r>
    </w:p>
    <w:p w14:paraId="65C60A16" w14:textId="632E4042" w:rsidR="00D63162" w:rsidRPr="00D63162" w:rsidRDefault="00D63162" w:rsidP="00D63162">
      <w:pPr>
        <w:pStyle w:val="Kop3"/>
        <w:rPr>
          <w:sz w:val="20"/>
          <w:szCs w:val="20"/>
        </w:rPr>
      </w:pPr>
      <w:bookmarkStart w:id="336" w:name="_Toc75384139"/>
      <w:r w:rsidRPr="00D63162">
        <w:rPr>
          <w:sz w:val="20"/>
          <w:szCs w:val="20"/>
        </w:rPr>
        <w:lastRenderedPageBreak/>
        <w:t xml:space="preserve">Table </w:t>
      </w:r>
      <w:r w:rsidR="001D01F1">
        <w:rPr>
          <w:sz w:val="20"/>
          <w:szCs w:val="20"/>
        </w:rPr>
        <w:t>C</w:t>
      </w:r>
      <w:r w:rsidR="00AC6E84">
        <w:rPr>
          <w:sz w:val="20"/>
          <w:szCs w:val="20"/>
        </w:rPr>
        <w:t>.</w:t>
      </w:r>
      <w:r w:rsidRPr="00D63162">
        <w:rPr>
          <w:sz w:val="20"/>
          <w:szCs w:val="20"/>
        </w:rPr>
        <w:t>4.2</w:t>
      </w:r>
      <w:r w:rsidR="00E45397">
        <w:rPr>
          <w:sz w:val="20"/>
          <w:szCs w:val="20"/>
        </w:rPr>
        <w:t>1</w:t>
      </w:r>
      <w:r w:rsidRPr="00D63162">
        <w:rPr>
          <w:sz w:val="20"/>
          <w:szCs w:val="20"/>
        </w:rPr>
        <w:t>. Crosstab: justification x issue. 52</w:t>
      </w:r>
      <w:r w:rsidRPr="00D63162">
        <w:rPr>
          <w:sz w:val="20"/>
          <w:szCs w:val="20"/>
          <w:vertAlign w:val="superscript"/>
        </w:rPr>
        <w:t>nd</w:t>
      </w:r>
      <w:r w:rsidRPr="00D63162">
        <w:rPr>
          <w:sz w:val="20"/>
          <w:szCs w:val="20"/>
        </w:rPr>
        <w:t xml:space="preserve"> and 53</w:t>
      </w:r>
      <w:r w:rsidRPr="00D63162">
        <w:rPr>
          <w:sz w:val="20"/>
          <w:szCs w:val="20"/>
          <w:vertAlign w:val="superscript"/>
        </w:rPr>
        <w:t>rd</w:t>
      </w:r>
      <w:r w:rsidRPr="00D63162">
        <w:rPr>
          <w:sz w:val="20"/>
          <w:szCs w:val="20"/>
        </w:rPr>
        <w:t xml:space="preserve"> government.</w:t>
      </w:r>
      <w:bookmarkEnd w:id="332"/>
      <w:bookmarkEnd w:id="333"/>
      <w:bookmarkEnd w:id="334"/>
      <w:bookmarkEnd w:id="335"/>
      <w:bookmarkEnd w:id="336"/>
    </w:p>
    <w:tbl>
      <w:tblPr>
        <w:tblStyle w:val="Onopgemaaktetabel3"/>
        <w:tblW w:w="10089" w:type="dxa"/>
        <w:tblLayout w:type="fixed"/>
        <w:tblLook w:val="0600" w:firstRow="0" w:lastRow="0" w:firstColumn="0" w:lastColumn="0" w:noHBand="1" w:noVBand="1"/>
      </w:tblPr>
      <w:tblGrid>
        <w:gridCol w:w="1717"/>
        <w:gridCol w:w="858"/>
        <w:gridCol w:w="933"/>
        <w:gridCol w:w="1051"/>
        <w:gridCol w:w="971"/>
        <w:gridCol w:w="1389"/>
        <w:gridCol w:w="1257"/>
        <w:gridCol w:w="981"/>
        <w:gridCol w:w="932"/>
      </w:tblGrid>
      <w:tr w:rsidR="00444A93" w14:paraId="457C6333" w14:textId="77777777" w:rsidTr="00187024">
        <w:trPr>
          <w:trHeight w:val="276"/>
        </w:trPr>
        <w:tc>
          <w:tcPr>
            <w:tcW w:w="1717" w:type="dxa"/>
            <w:tcBorders>
              <w:bottom w:val="single" w:sz="4" w:space="0" w:color="auto"/>
            </w:tcBorders>
          </w:tcPr>
          <w:p w14:paraId="49F9F1AF" w14:textId="77777777" w:rsidR="00444A93" w:rsidRDefault="00444A93" w:rsidP="00187024">
            <w:r>
              <w:t> </w:t>
            </w:r>
          </w:p>
        </w:tc>
        <w:tc>
          <w:tcPr>
            <w:tcW w:w="858" w:type="dxa"/>
            <w:tcBorders>
              <w:bottom w:val="single" w:sz="4" w:space="0" w:color="auto"/>
            </w:tcBorders>
          </w:tcPr>
          <w:p w14:paraId="14B9AB22" w14:textId="77777777" w:rsidR="00444A93" w:rsidRDefault="00444A93" w:rsidP="00187024">
            <w:pPr>
              <w:jc w:val="center"/>
            </w:pPr>
            <w:r>
              <w:t>absent</w:t>
            </w:r>
          </w:p>
        </w:tc>
        <w:tc>
          <w:tcPr>
            <w:tcW w:w="933" w:type="dxa"/>
            <w:tcBorders>
              <w:bottom w:val="single" w:sz="4" w:space="0" w:color="auto"/>
            </w:tcBorders>
          </w:tcPr>
          <w:p w14:paraId="31E6E1B0" w14:textId="77777777" w:rsidR="00444A93" w:rsidRDefault="00444A93" w:rsidP="00187024">
            <w:pPr>
              <w:jc w:val="center"/>
            </w:pPr>
            <w:r>
              <w:t>culture</w:t>
            </w:r>
          </w:p>
        </w:tc>
        <w:tc>
          <w:tcPr>
            <w:tcW w:w="1051" w:type="dxa"/>
            <w:tcBorders>
              <w:bottom w:val="single" w:sz="4" w:space="0" w:color="auto"/>
            </w:tcBorders>
          </w:tcPr>
          <w:p w14:paraId="016CE878" w14:textId="77777777" w:rsidR="00444A93" w:rsidRDefault="00444A93" w:rsidP="00187024">
            <w:pPr>
              <w:jc w:val="center"/>
            </w:pPr>
            <w:r>
              <w:t>economy</w:t>
            </w:r>
          </w:p>
        </w:tc>
        <w:tc>
          <w:tcPr>
            <w:tcW w:w="971" w:type="dxa"/>
            <w:tcBorders>
              <w:bottom w:val="single" w:sz="4" w:space="0" w:color="auto"/>
            </w:tcBorders>
          </w:tcPr>
          <w:p w14:paraId="4A1EFAAA" w14:textId="77777777" w:rsidR="00444A93" w:rsidRDefault="00444A93" w:rsidP="00187024">
            <w:pPr>
              <w:jc w:val="center"/>
            </w:pPr>
            <w:r>
              <w:t>injustice</w:t>
            </w:r>
          </w:p>
        </w:tc>
        <w:tc>
          <w:tcPr>
            <w:tcW w:w="1389" w:type="dxa"/>
            <w:tcBorders>
              <w:bottom w:val="single" w:sz="4" w:space="0" w:color="auto"/>
            </w:tcBorders>
          </w:tcPr>
          <w:p w14:paraId="21833902" w14:textId="77777777" w:rsidR="00444A93" w:rsidRDefault="00444A93" w:rsidP="00187024">
            <w:pPr>
              <w:jc w:val="center"/>
            </w:pPr>
            <w:r>
              <w:t>performance</w:t>
            </w:r>
          </w:p>
        </w:tc>
        <w:tc>
          <w:tcPr>
            <w:tcW w:w="1257" w:type="dxa"/>
            <w:tcBorders>
              <w:bottom w:val="single" w:sz="4" w:space="0" w:color="auto"/>
            </w:tcBorders>
          </w:tcPr>
          <w:p w14:paraId="422EBA39" w14:textId="77777777" w:rsidR="00444A93" w:rsidRDefault="00444A93" w:rsidP="00187024">
            <w:pPr>
              <w:jc w:val="center"/>
            </w:pPr>
            <w:r>
              <w:t>substantive</w:t>
            </w:r>
          </w:p>
        </w:tc>
        <w:tc>
          <w:tcPr>
            <w:tcW w:w="981" w:type="dxa"/>
            <w:tcBorders>
              <w:bottom w:val="single" w:sz="4" w:space="0" w:color="auto"/>
            </w:tcBorders>
          </w:tcPr>
          <w:p w14:paraId="15AAF4E7" w14:textId="77777777" w:rsidR="00444A93" w:rsidRDefault="00444A93" w:rsidP="00187024">
            <w:pPr>
              <w:jc w:val="center"/>
            </w:pPr>
            <w:r>
              <w:t>urgence</w:t>
            </w:r>
          </w:p>
        </w:tc>
        <w:tc>
          <w:tcPr>
            <w:tcW w:w="932" w:type="dxa"/>
            <w:tcBorders>
              <w:bottom w:val="single" w:sz="4" w:space="0" w:color="auto"/>
            </w:tcBorders>
          </w:tcPr>
          <w:p w14:paraId="5A81ED60" w14:textId="77777777" w:rsidR="00444A93" w:rsidRDefault="00444A93" w:rsidP="00187024">
            <w:pPr>
              <w:jc w:val="center"/>
            </w:pPr>
            <w:r>
              <w:t> Total</w:t>
            </w:r>
          </w:p>
        </w:tc>
      </w:tr>
      <w:tr w:rsidR="00444A93" w14:paraId="27C1BD01" w14:textId="77777777" w:rsidTr="00187024">
        <w:trPr>
          <w:trHeight w:val="276"/>
        </w:trPr>
        <w:tc>
          <w:tcPr>
            <w:tcW w:w="1717" w:type="dxa"/>
            <w:tcBorders>
              <w:top w:val="single" w:sz="4" w:space="0" w:color="auto"/>
            </w:tcBorders>
          </w:tcPr>
          <w:p w14:paraId="4FF687DF" w14:textId="77777777" w:rsidR="00444A93" w:rsidRDefault="00444A93" w:rsidP="00187024">
            <w:r>
              <w:t>Crime</w:t>
            </w:r>
          </w:p>
        </w:tc>
        <w:tc>
          <w:tcPr>
            <w:tcW w:w="858" w:type="dxa"/>
            <w:tcBorders>
              <w:top w:val="single" w:sz="4" w:space="0" w:color="auto"/>
            </w:tcBorders>
          </w:tcPr>
          <w:p w14:paraId="3FC768E1" w14:textId="77777777" w:rsidR="00444A93" w:rsidRDefault="00444A93" w:rsidP="00187024">
            <w:pPr>
              <w:jc w:val="right"/>
            </w:pPr>
            <w:r>
              <w:t>0</w:t>
            </w:r>
          </w:p>
        </w:tc>
        <w:tc>
          <w:tcPr>
            <w:tcW w:w="933" w:type="dxa"/>
            <w:tcBorders>
              <w:top w:val="single" w:sz="4" w:space="0" w:color="auto"/>
            </w:tcBorders>
          </w:tcPr>
          <w:p w14:paraId="600F44AC" w14:textId="77777777" w:rsidR="00444A93" w:rsidRDefault="00444A93" w:rsidP="00187024">
            <w:pPr>
              <w:jc w:val="right"/>
            </w:pPr>
            <w:r>
              <w:t>1</w:t>
            </w:r>
          </w:p>
        </w:tc>
        <w:tc>
          <w:tcPr>
            <w:tcW w:w="1051" w:type="dxa"/>
            <w:tcBorders>
              <w:top w:val="single" w:sz="4" w:space="0" w:color="auto"/>
            </w:tcBorders>
          </w:tcPr>
          <w:p w14:paraId="44CA5885" w14:textId="77777777" w:rsidR="00444A93" w:rsidRDefault="00444A93" w:rsidP="00187024">
            <w:pPr>
              <w:jc w:val="right"/>
            </w:pPr>
            <w:r>
              <w:t>0</w:t>
            </w:r>
          </w:p>
        </w:tc>
        <w:tc>
          <w:tcPr>
            <w:tcW w:w="971" w:type="dxa"/>
            <w:tcBorders>
              <w:top w:val="single" w:sz="4" w:space="0" w:color="auto"/>
            </w:tcBorders>
          </w:tcPr>
          <w:p w14:paraId="21B2BE96" w14:textId="77777777" w:rsidR="00444A93" w:rsidRDefault="00444A93" w:rsidP="00187024">
            <w:pPr>
              <w:jc w:val="right"/>
            </w:pPr>
            <w:r>
              <w:t>16</w:t>
            </w:r>
          </w:p>
        </w:tc>
        <w:tc>
          <w:tcPr>
            <w:tcW w:w="1389" w:type="dxa"/>
            <w:tcBorders>
              <w:top w:val="single" w:sz="4" w:space="0" w:color="auto"/>
            </w:tcBorders>
          </w:tcPr>
          <w:p w14:paraId="614632EB" w14:textId="77777777" w:rsidR="00444A93" w:rsidRDefault="00444A93" w:rsidP="00187024">
            <w:pPr>
              <w:jc w:val="right"/>
            </w:pPr>
            <w:r>
              <w:t>0</w:t>
            </w:r>
          </w:p>
        </w:tc>
        <w:tc>
          <w:tcPr>
            <w:tcW w:w="1257" w:type="dxa"/>
            <w:tcBorders>
              <w:top w:val="single" w:sz="4" w:space="0" w:color="auto"/>
            </w:tcBorders>
          </w:tcPr>
          <w:p w14:paraId="5D1C4493" w14:textId="77777777" w:rsidR="00444A93" w:rsidRDefault="00444A93" w:rsidP="00187024">
            <w:pPr>
              <w:jc w:val="right"/>
            </w:pPr>
            <w:r>
              <w:t>0</w:t>
            </w:r>
          </w:p>
        </w:tc>
        <w:tc>
          <w:tcPr>
            <w:tcW w:w="981" w:type="dxa"/>
            <w:tcBorders>
              <w:top w:val="single" w:sz="4" w:space="0" w:color="auto"/>
            </w:tcBorders>
          </w:tcPr>
          <w:p w14:paraId="207FA820" w14:textId="77777777" w:rsidR="00444A93" w:rsidRDefault="00444A93" w:rsidP="00187024">
            <w:pPr>
              <w:jc w:val="right"/>
            </w:pPr>
            <w:r>
              <w:t>0</w:t>
            </w:r>
          </w:p>
        </w:tc>
        <w:tc>
          <w:tcPr>
            <w:tcW w:w="932" w:type="dxa"/>
            <w:tcBorders>
              <w:top w:val="single" w:sz="4" w:space="0" w:color="auto"/>
            </w:tcBorders>
          </w:tcPr>
          <w:p w14:paraId="5C619C9B" w14:textId="77777777" w:rsidR="00444A93" w:rsidRDefault="00444A93" w:rsidP="00187024">
            <w:pPr>
              <w:jc w:val="right"/>
            </w:pPr>
            <w:r>
              <w:t>17</w:t>
            </w:r>
          </w:p>
        </w:tc>
      </w:tr>
      <w:tr w:rsidR="00444A93" w14:paraId="66A2922A" w14:textId="77777777" w:rsidTr="00187024">
        <w:trPr>
          <w:trHeight w:val="441"/>
        </w:trPr>
        <w:tc>
          <w:tcPr>
            <w:tcW w:w="1717" w:type="dxa"/>
          </w:tcPr>
          <w:p w14:paraId="4E7C88E8" w14:textId="77777777" w:rsidR="00444A93" w:rsidRDefault="00444A93" w:rsidP="00187024">
            <w:r>
              <w:t> </w:t>
            </w:r>
          </w:p>
        </w:tc>
        <w:tc>
          <w:tcPr>
            <w:tcW w:w="858" w:type="dxa"/>
          </w:tcPr>
          <w:p w14:paraId="1A9D194E" w14:textId="77777777" w:rsidR="00444A93" w:rsidRDefault="00444A93" w:rsidP="00187024">
            <w:pPr>
              <w:jc w:val="right"/>
            </w:pPr>
            <w:r>
              <w:t>0,0%</w:t>
            </w:r>
          </w:p>
        </w:tc>
        <w:tc>
          <w:tcPr>
            <w:tcW w:w="933" w:type="dxa"/>
          </w:tcPr>
          <w:p w14:paraId="17E083D4" w14:textId="77777777" w:rsidR="00444A93" w:rsidRDefault="00444A93" w:rsidP="00187024">
            <w:pPr>
              <w:jc w:val="right"/>
            </w:pPr>
            <w:r>
              <w:t>3,6%</w:t>
            </w:r>
          </w:p>
        </w:tc>
        <w:tc>
          <w:tcPr>
            <w:tcW w:w="1051" w:type="dxa"/>
          </w:tcPr>
          <w:p w14:paraId="1B2E223A" w14:textId="77777777" w:rsidR="00444A93" w:rsidRDefault="00444A93" w:rsidP="00187024">
            <w:pPr>
              <w:jc w:val="right"/>
            </w:pPr>
            <w:r>
              <w:t>0,0%</w:t>
            </w:r>
          </w:p>
        </w:tc>
        <w:tc>
          <w:tcPr>
            <w:tcW w:w="971" w:type="dxa"/>
          </w:tcPr>
          <w:p w14:paraId="53E3C61D" w14:textId="77777777" w:rsidR="00444A93" w:rsidRDefault="00444A93" w:rsidP="00187024">
            <w:pPr>
              <w:jc w:val="right"/>
            </w:pPr>
            <w:r>
              <w:t>12,9%</w:t>
            </w:r>
          </w:p>
        </w:tc>
        <w:tc>
          <w:tcPr>
            <w:tcW w:w="1389" w:type="dxa"/>
          </w:tcPr>
          <w:p w14:paraId="64342578" w14:textId="77777777" w:rsidR="00444A93" w:rsidRDefault="00444A93" w:rsidP="00187024">
            <w:pPr>
              <w:jc w:val="right"/>
            </w:pPr>
            <w:r>
              <w:t>0,0%</w:t>
            </w:r>
          </w:p>
        </w:tc>
        <w:tc>
          <w:tcPr>
            <w:tcW w:w="1257" w:type="dxa"/>
          </w:tcPr>
          <w:p w14:paraId="3F8E4BC1" w14:textId="77777777" w:rsidR="00444A93" w:rsidRDefault="00444A93" w:rsidP="00187024">
            <w:pPr>
              <w:jc w:val="right"/>
            </w:pPr>
            <w:r>
              <w:t>0,0%</w:t>
            </w:r>
          </w:p>
        </w:tc>
        <w:tc>
          <w:tcPr>
            <w:tcW w:w="981" w:type="dxa"/>
          </w:tcPr>
          <w:p w14:paraId="50FCF8D0" w14:textId="77777777" w:rsidR="00444A93" w:rsidRDefault="00444A93" w:rsidP="00187024">
            <w:pPr>
              <w:jc w:val="right"/>
            </w:pPr>
            <w:r>
              <w:t>0,0%</w:t>
            </w:r>
          </w:p>
        </w:tc>
        <w:tc>
          <w:tcPr>
            <w:tcW w:w="932" w:type="dxa"/>
          </w:tcPr>
          <w:p w14:paraId="13E22B44" w14:textId="77777777" w:rsidR="00444A93" w:rsidRDefault="00444A93" w:rsidP="00187024">
            <w:pPr>
              <w:jc w:val="right"/>
            </w:pPr>
            <w:r>
              <w:t>7,4%</w:t>
            </w:r>
          </w:p>
        </w:tc>
      </w:tr>
      <w:tr w:rsidR="00444A93" w14:paraId="1D3D4BEF" w14:textId="77777777" w:rsidTr="00187024">
        <w:trPr>
          <w:trHeight w:val="660"/>
        </w:trPr>
        <w:tc>
          <w:tcPr>
            <w:tcW w:w="1717" w:type="dxa"/>
          </w:tcPr>
          <w:p w14:paraId="05CE3385" w14:textId="77777777" w:rsidR="00444A93" w:rsidRDefault="00444A93" w:rsidP="00187024">
            <w:r>
              <w:t>Education, art and language</w:t>
            </w:r>
          </w:p>
        </w:tc>
        <w:tc>
          <w:tcPr>
            <w:tcW w:w="858" w:type="dxa"/>
          </w:tcPr>
          <w:p w14:paraId="529B3C1F" w14:textId="77777777" w:rsidR="00444A93" w:rsidRDefault="00444A93" w:rsidP="00187024">
            <w:pPr>
              <w:jc w:val="right"/>
            </w:pPr>
            <w:r>
              <w:t>0</w:t>
            </w:r>
          </w:p>
        </w:tc>
        <w:tc>
          <w:tcPr>
            <w:tcW w:w="933" w:type="dxa"/>
          </w:tcPr>
          <w:p w14:paraId="285E640E" w14:textId="77777777" w:rsidR="00444A93" w:rsidRDefault="00444A93" w:rsidP="00187024">
            <w:pPr>
              <w:jc w:val="right"/>
            </w:pPr>
            <w:r>
              <w:t>8</w:t>
            </w:r>
          </w:p>
        </w:tc>
        <w:tc>
          <w:tcPr>
            <w:tcW w:w="1051" w:type="dxa"/>
          </w:tcPr>
          <w:p w14:paraId="48312B0D" w14:textId="77777777" w:rsidR="00444A93" w:rsidRDefault="00444A93" w:rsidP="00187024">
            <w:pPr>
              <w:jc w:val="right"/>
            </w:pPr>
            <w:r>
              <w:t>0</w:t>
            </w:r>
          </w:p>
        </w:tc>
        <w:tc>
          <w:tcPr>
            <w:tcW w:w="971" w:type="dxa"/>
          </w:tcPr>
          <w:p w14:paraId="214D73E2" w14:textId="77777777" w:rsidR="00444A93" w:rsidRDefault="00444A93" w:rsidP="00187024">
            <w:pPr>
              <w:jc w:val="right"/>
            </w:pPr>
            <w:r>
              <w:t>5</w:t>
            </w:r>
          </w:p>
        </w:tc>
        <w:tc>
          <w:tcPr>
            <w:tcW w:w="1389" w:type="dxa"/>
          </w:tcPr>
          <w:p w14:paraId="336356A1" w14:textId="77777777" w:rsidR="00444A93" w:rsidRDefault="00444A93" w:rsidP="00187024">
            <w:pPr>
              <w:jc w:val="right"/>
            </w:pPr>
            <w:r>
              <w:t>5</w:t>
            </w:r>
          </w:p>
        </w:tc>
        <w:tc>
          <w:tcPr>
            <w:tcW w:w="1257" w:type="dxa"/>
          </w:tcPr>
          <w:p w14:paraId="04FF3ACE" w14:textId="77777777" w:rsidR="00444A93" w:rsidRDefault="00444A93" w:rsidP="00187024">
            <w:pPr>
              <w:jc w:val="right"/>
            </w:pPr>
            <w:r>
              <w:t>0</w:t>
            </w:r>
          </w:p>
        </w:tc>
        <w:tc>
          <w:tcPr>
            <w:tcW w:w="981" w:type="dxa"/>
          </w:tcPr>
          <w:p w14:paraId="4E7F9BEB" w14:textId="77777777" w:rsidR="00444A93" w:rsidRDefault="00444A93" w:rsidP="00187024">
            <w:pPr>
              <w:jc w:val="right"/>
            </w:pPr>
            <w:r>
              <w:t>0</w:t>
            </w:r>
          </w:p>
        </w:tc>
        <w:tc>
          <w:tcPr>
            <w:tcW w:w="932" w:type="dxa"/>
          </w:tcPr>
          <w:p w14:paraId="108D7139" w14:textId="77777777" w:rsidR="00444A93" w:rsidRDefault="00444A93" w:rsidP="00187024">
            <w:pPr>
              <w:jc w:val="right"/>
            </w:pPr>
            <w:r>
              <w:t>18</w:t>
            </w:r>
          </w:p>
        </w:tc>
      </w:tr>
      <w:tr w:rsidR="00444A93" w14:paraId="4E0E382D" w14:textId="77777777" w:rsidTr="00187024">
        <w:trPr>
          <w:trHeight w:val="441"/>
        </w:trPr>
        <w:tc>
          <w:tcPr>
            <w:tcW w:w="1717" w:type="dxa"/>
          </w:tcPr>
          <w:p w14:paraId="5396DA74" w14:textId="77777777" w:rsidR="00444A93" w:rsidRDefault="00444A93" w:rsidP="00187024">
            <w:r>
              <w:t> </w:t>
            </w:r>
          </w:p>
        </w:tc>
        <w:tc>
          <w:tcPr>
            <w:tcW w:w="858" w:type="dxa"/>
          </w:tcPr>
          <w:p w14:paraId="5D476AAE" w14:textId="77777777" w:rsidR="00444A93" w:rsidRDefault="00444A93" w:rsidP="00187024">
            <w:pPr>
              <w:jc w:val="right"/>
            </w:pPr>
            <w:r>
              <w:t>0,0%</w:t>
            </w:r>
          </w:p>
        </w:tc>
        <w:tc>
          <w:tcPr>
            <w:tcW w:w="933" w:type="dxa"/>
          </w:tcPr>
          <w:p w14:paraId="17D48D8C" w14:textId="77777777" w:rsidR="00444A93" w:rsidRDefault="00444A93" w:rsidP="00187024">
            <w:pPr>
              <w:jc w:val="right"/>
            </w:pPr>
            <w:r>
              <w:t>28,6%</w:t>
            </w:r>
          </w:p>
        </w:tc>
        <w:tc>
          <w:tcPr>
            <w:tcW w:w="1051" w:type="dxa"/>
          </w:tcPr>
          <w:p w14:paraId="504702C2" w14:textId="77777777" w:rsidR="00444A93" w:rsidRDefault="00444A93" w:rsidP="00187024">
            <w:pPr>
              <w:jc w:val="right"/>
            </w:pPr>
            <w:r>
              <w:t>0,0%</w:t>
            </w:r>
          </w:p>
        </w:tc>
        <w:tc>
          <w:tcPr>
            <w:tcW w:w="971" w:type="dxa"/>
          </w:tcPr>
          <w:p w14:paraId="4F41B095" w14:textId="77777777" w:rsidR="00444A93" w:rsidRDefault="00444A93" w:rsidP="00187024">
            <w:pPr>
              <w:jc w:val="right"/>
            </w:pPr>
            <w:r>
              <w:t>4,0%</w:t>
            </w:r>
          </w:p>
        </w:tc>
        <w:tc>
          <w:tcPr>
            <w:tcW w:w="1389" w:type="dxa"/>
          </w:tcPr>
          <w:p w14:paraId="26201162" w14:textId="77777777" w:rsidR="00444A93" w:rsidRDefault="00444A93" w:rsidP="00187024">
            <w:pPr>
              <w:jc w:val="right"/>
            </w:pPr>
            <w:r>
              <w:t>11,4%</w:t>
            </w:r>
          </w:p>
        </w:tc>
        <w:tc>
          <w:tcPr>
            <w:tcW w:w="1257" w:type="dxa"/>
          </w:tcPr>
          <w:p w14:paraId="37479A7E" w14:textId="77777777" w:rsidR="00444A93" w:rsidRDefault="00444A93" w:rsidP="00187024">
            <w:pPr>
              <w:jc w:val="right"/>
            </w:pPr>
            <w:r>
              <w:t>0,0%</w:t>
            </w:r>
          </w:p>
        </w:tc>
        <w:tc>
          <w:tcPr>
            <w:tcW w:w="981" w:type="dxa"/>
          </w:tcPr>
          <w:p w14:paraId="50FEAEF6" w14:textId="77777777" w:rsidR="00444A93" w:rsidRDefault="00444A93" w:rsidP="00187024">
            <w:pPr>
              <w:jc w:val="right"/>
            </w:pPr>
            <w:r>
              <w:t>0,0%</w:t>
            </w:r>
          </w:p>
        </w:tc>
        <w:tc>
          <w:tcPr>
            <w:tcW w:w="932" w:type="dxa"/>
          </w:tcPr>
          <w:p w14:paraId="558AEF61" w14:textId="77777777" w:rsidR="00444A93" w:rsidRDefault="00444A93" w:rsidP="00187024">
            <w:pPr>
              <w:jc w:val="right"/>
            </w:pPr>
            <w:r>
              <w:t>7,8%</w:t>
            </w:r>
          </w:p>
        </w:tc>
      </w:tr>
      <w:tr w:rsidR="00444A93" w14:paraId="1C8BDFF4" w14:textId="77777777" w:rsidTr="00187024">
        <w:trPr>
          <w:trHeight w:val="882"/>
        </w:trPr>
        <w:tc>
          <w:tcPr>
            <w:tcW w:w="1717" w:type="dxa"/>
          </w:tcPr>
          <w:p w14:paraId="128DEB52" w14:textId="77777777" w:rsidR="00444A93" w:rsidRDefault="00444A93" w:rsidP="00187024">
            <w:r>
              <w:t>Energy, resources and environment</w:t>
            </w:r>
          </w:p>
        </w:tc>
        <w:tc>
          <w:tcPr>
            <w:tcW w:w="858" w:type="dxa"/>
          </w:tcPr>
          <w:p w14:paraId="69895B83" w14:textId="77777777" w:rsidR="00444A93" w:rsidRDefault="00444A93" w:rsidP="00187024">
            <w:pPr>
              <w:jc w:val="right"/>
            </w:pPr>
            <w:r>
              <w:t>1</w:t>
            </w:r>
          </w:p>
        </w:tc>
        <w:tc>
          <w:tcPr>
            <w:tcW w:w="933" w:type="dxa"/>
          </w:tcPr>
          <w:p w14:paraId="5588AFAB" w14:textId="77777777" w:rsidR="00444A93" w:rsidRDefault="00444A93" w:rsidP="00187024">
            <w:pPr>
              <w:jc w:val="right"/>
            </w:pPr>
            <w:r>
              <w:t>1</w:t>
            </w:r>
          </w:p>
        </w:tc>
        <w:tc>
          <w:tcPr>
            <w:tcW w:w="1051" w:type="dxa"/>
          </w:tcPr>
          <w:p w14:paraId="77C80F5B" w14:textId="77777777" w:rsidR="00444A93" w:rsidRDefault="00444A93" w:rsidP="00187024">
            <w:pPr>
              <w:jc w:val="right"/>
            </w:pPr>
            <w:r>
              <w:t>0</w:t>
            </w:r>
          </w:p>
        </w:tc>
        <w:tc>
          <w:tcPr>
            <w:tcW w:w="971" w:type="dxa"/>
          </w:tcPr>
          <w:p w14:paraId="510206E6" w14:textId="77777777" w:rsidR="00444A93" w:rsidRDefault="00444A93" w:rsidP="00187024">
            <w:pPr>
              <w:jc w:val="right"/>
            </w:pPr>
            <w:r>
              <w:t>1</w:t>
            </w:r>
          </w:p>
        </w:tc>
        <w:tc>
          <w:tcPr>
            <w:tcW w:w="1389" w:type="dxa"/>
          </w:tcPr>
          <w:p w14:paraId="55CF94AC" w14:textId="77777777" w:rsidR="00444A93" w:rsidRDefault="00444A93" w:rsidP="00187024">
            <w:pPr>
              <w:jc w:val="right"/>
            </w:pPr>
            <w:r>
              <w:t>2</w:t>
            </w:r>
          </w:p>
        </w:tc>
        <w:tc>
          <w:tcPr>
            <w:tcW w:w="1257" w:type="dxa"/>
          </w:tcPr>
          <w:p w14:paraId="178772A3" w14:textId="77777777" w:rsidR="00444A93" w:rsidRDefault="00444A93" w:rsidP="00187024">
            <w:pPr>
              <w:jc w:val="right"/>
            </w:pPr>
            <w:r>
              <w:t>2</w:t>
            </w:r>
          </w:p>
        </w:tc>
        <w:tc>
          <w:tcPr>
            <w:tcW w:w="981" w:type="dxa"/>
          </w:tcPr>
          <w:p w14:paraId="42459D20" w14:textId="77777777" w:rsidR="00444A93" w:rsidRDefault="00444A93" w:rsidP="00187024">
            <w:pPr>
              <w:jc w:val="right"/>
            </w:pPr>
            <w:r>
              <w:t>0</w:t>
            </w:r>
          </w:p>
        </w:tc>
        <w:tc>
          <w:tcPr>
            <w:tcW w:w="932" w:type="dxa"/>
          </w:tcPr>
          <w:p w14:paraId="03A99A2A" w14:textId="77777777" w:rsidR="00444A93" w:rsidRDefault="00444A93" w:rsidP="00187024">
            <w:pPr>
              <w:jc w:val="right"/>
            </w:pPr>
            <w:r>
              <w:t>7</w:t>
            </w:r>
          </w:p>
        </w:tc>
      </w:tr>
      <w:tr w:rsidR="00444A93" w14:paraId="6E3D9A91" w14:textId="77777777" w:rsidTr="00187024">
        <w:trPr>
          <w:trHeight w:val="441"/>
        </w:trPr>
        <w:tc>
          <w:tcPr>
            <w:tcW w:w="1717" w:type="dxa"/>
          </w:tcPr>
          <w:p w14:paraId="3D1B4AF0" w14:textId="77777777" w:rsidR="00444A93" w:rsidRDefault="00444A93" w:rsidP="00187024">
            <w:r>
              <w:t> </w:t>
            </w:r>
          </w:p>
        </w:tc>
        <w:tc>
          <w:tcPr>
            <w:tcW w:w="858" w:type="dxa"/>
          </w:tcPr>
          <w:p w14:paraId="5B16B4F9" w14:textId="77777777" w:rsidR="00444A93" w:rsidRDefault="00444A93" w:rsidP="00187024">
            <w:pPr>
              <w:jc w:val="right"/>
            </w:pPr>
            <w:r>
              <w:t>50,0%</w:t>
            </w:r>
          </w:p>
        </w:tc>
        <w:tc>
          <w:tcPr>
            <w:tcW w:w="933" w:type="dxa"/>
          </w:tcPr>
          <w:p w14:paraId="1129A1DB" w14:textId="77777777" w:rsidR="00444A93" w:rsidRDefault="00444A93" w:rsidP="00187024">
            <w:pPr>
              <w:jc w:val="right"/>
            </w:pPr>
            <w:r>
              <w:t>3,6%</w:t>
            </w:r>
          </w:p>
        </w:tc>
        <w:tc>
          <w:tcPr>
            <w:tcW w:w="1051" w:type="dxa"/>
          </w:tcPr>
          <w:p w14:paraId="05330988" w14:textId="77777777" w:rsidR="00444A93" w:rsidRDefault="00444A93" w:rsidP="00187024">
            <w:pPr>
              <w:jc w:val="right"/>
            </w:pPr>
            <w:r>
              <w:t>0,0%</w:t>
            </w:r>
          </w:p>
        </w:tc>
        <w:tc>
          <w:tcPr>
            <w:tcW w:w="971" w:type="dxa"/>
          </w:tcPr>
          <w:p w14:paraId="12015803" w14:textId="77777777" w:rsidR="00444A93" w:rsidRDefault="00444A93" w:rsidP="00187024">
            <w:pPr>
              <w:jc w:val="right"/>
            </w:pPr>
            <w:r>
              <w:t>0,8%</w:t>
            </w:r>
          </w:p>
        </w:tc>
        <w:tc>
          <w:tcPr>
            <w:tcW w:w="1389" w:type="dxa"/>
          </w:tcPr>
          <w:p w14:paraId="589A2801" w14:textId="77777777" w:rsidR="00444A93" w:rsidRDefault="00444A93" w:rsidP="00187024">
            <w:pPr>
              <w:jc w:val="right"/>
            </w:pPr>
            <w:r>
              <w:t>4,5%</w:t>
            </w:r>
          </w:p>
        </w:tc>
        <w:tc>
          <w:tcPr>
            <w:tcW w:w="1257" w:type="dxa"/>
          </w:tcPr>
          <w:p w14:paraId="2CFDA20E" w14:textId="77777777" w:rsidR="00444A93" w:rsidRDefault="00444A93" w:rsidP="00187024">
            <w:pPr>
              <w:jc w:val="right"/>
            </w:pPr>
            <w:r>
              <w:t>33,3%</w:t>
            </w:r>
          </w:p>
        </w:tc>
        <w:tc>
          <w:tcPr>
            <w:tcW w:w="981" w:type="dxa"/>
          </w:tcPr>
          <w:p w14:paraId="193EB7F3" w14:textId="77777777" w:rsidR="00444A93" w:rsidRDefault="00444A93" w:rsidP="00187024">
            <w:pPr>
              <w:jc w:val="right"/>
            </w:pPr>
            <w:r>
              <w:t>0,0%</w:t>
            </w:r>
          </w:p>
        </w:tc>
        <w:tc>
          <w:tcPr>
            <w:tcW w:w="932" w:type="dxa"/>
          </w:tcPr>
          <w:p w14:paraId="162395FC" w14:textId="77777777" w:rsidR="00444A93" w:rsidRDefault="00444A93" w:rsidP="00187024">
            <w:pPr>
              <w:jc w:val="right"/>
            </w:pPr>
            <w:r>
              <w:t>3,0%</w:t>
            </w:r>
          </w:p>
        </w:tc>
      </w:tr>
      <w:tr w:rsidR="00444A93" w14:paraId="4D962981" w14:textId="77777777" w:rsidTr="00187024">
        <w:trPr>
          <w:trHeight w:val="1103"/>
        </w:trPr>
        <w:tc>
          <w:tcPr>
            <w:tcW w:w="1717" w:type="dxa"/>
          </w:tcPr>
          <w:p w14:paraId="4C5FAB74" w14:textId="77777777" w:rsidR="00444A93" w:rsidRDefault="00444A93" w:rsidP="00187024">
            <w:r>
              <w:t>Governance, autonomy and self-determination</w:t>
            </w:r>
          </w:p>
        </w:tc>
        <w:tc>
          <w:tcPr>
            <w:tcW w:w="858" w:type="dxa"/>
          </w:tcPr>
          <w:p w14:paraId="0D4167DF" w14:textId="77777777" w:rsidR="00444A93" w:rsidRDefault="00444A93" w:rsidP="00187024">
            <w:pPr>
              <w:jc w:val="right"/>
            </w:pPr>
            <w:r>
              <w:t>0</w:t>
            </w:r>
          </w:p>
        </w:tc>
        <w:tc>
          <w:tcPr>
            <w:tcW w:w="933" w:type="dxa"/>
          </w:tcPr>
          <w:p w14:paraId="213A8A9D" w14:textId="77777777" w:rsidR="00444A93" w:rsidRDefault="00444A93" w:rsidP="00187024">
            <w:pPr>
              <w:jc w:val="right"/>
            </w:pPr>
            <w:r>
              <w:t>2</w:t>
            </w:r>
          </w:p>
        </w:tc>
        <w:tc>
          <w:tcPr>
            <w:tcW w:w="1051" w:type="dxa"/>
          </w:tcPr>
          <w:p w14:paraId="5DE47024" w14:textId="77777777" w:rsidR="00444A93" w:rsidRDefault="00444A93" w:rsidP="00187024">
            <w:pPr>
              <w:jc w:val="right"/>
            </w:pPr>
            <w:r>
              <w:t>1</w:t>
            </w:r>
          </w:p>
        </w:tc>
        <w:tc>
          <w:tcPr>
            <w:tcW w:w="971" w:type="dxa"/>
          </w:tcPr>
          <w:p w14:paraId="1FAEFD61" w14:textId="77777777" w:rsidR="00444A93" w:rsidRDefault="00444A93" w:rsidP="00187024">
            <w:pPr>
              <w:jc w:val="right"/>
            </w:pPr>
            <w:r>
              <w:t>27</w:t>
            </w:r>
          </w:p>
        </w:tc>
        <w:tc>
          <w:tcPr>
            <w:tcW w:w="1389" w:type="dxa"/>
          </w:tcPr>
          <w:p w14:paraId="173B4616" w14:textId="77777777" w:rsidR="00444A93" w:rsidRDefault="00444A93" w:rsidP="00187024">
            <w:pPr>
              <w:jc w:val="right"/>
            </w:pPr>
            <w:r>
              <w:t>11</w:t>
            </w:r>
          </w:p>
        </w:tc>
        <w:tc>
          <w:tcPr>
            <w:tcW w:w="1257" w:type="dxa"/>
          </w:tcPr>
          <w:p w14:paraId="57FC7748" w14:textId="77777777" w:rsidR="00444A93" w:rsidRDefault="00444A93" w:rsidP="00187024">
            <w:pPr>
              <w:jc w:val="right"/>
            </w:pPr>
            <w:r>
              <w:t>1</w:t>
            </w:r>
          </w:p>
        </w:tc>
        <w:tc>
          <w:tcPr>
            <w:tcW w:w="981" w:type="dxa"/>
          </w:tcPr>
          <w:p w14:paraId="0B78F554" w14:textId="77777777" w:rsidR="00444A93" w:rsidRDefault="00444A93" w:rsidP="00187024">
            <w:pPr>
              <w:jc w:val="right"/>
            </w:pPr>
            <w:r>
              <w:t>9</w:t>
            </w:r>
          </w:p>
        </w:tc>
        <w:tc>
          <w:tcPr>
            <w:tcW w:w="932" w:type="dxa"/>
          </w:tcPr>
          <w:p w14:paraId="3A6847C5" w14:textId="77777777" w:rsidR="00444A93" w:rsidRDefault="00444A93" w:rsidP="00187024">
            <w:pPr>
              <w:jc w:val="right"/>
            </w:pPr>
            <w:r>
              <w:t>51</w:t>
            </w:r>
          </w:p>
        </w:tc>
      </w:tr>
      <w:tr w:rsidR="00444A93" w14:paraId="68D33B6B" w14:textId="77777777" w:rsidTr="00187024">
        <w:trPr>
          <w:trHeight w:val="441"/>
        </w:trPr>
        <w:tc>
          <w:tcPr>
            <w:tcW w:w="1717" w:type="dxa"/>
          </w:tcPr>
          <w:p w14:paraId="14C32B02" w14:textId="77777777" w:rsidR="00444A93" w:rsidRDefault="00444A93" w:rsidP="00187024">
            <w:r>
              <w:t> </w:t>
            </w:r>
          </w:p>
        </w:tc>
        <w:tc>
          <w:tcPr>
            <w:tcW w:w="858" w:type="dxa"/>
          </w:tcPr>
          <w:p w14:paraId="1E55A9D8" w14:textId="77777777" w:rsidR="00444A93" w:rsidRDefault="00444A93" w:rsidP="00187024">
            <w:pPr>
              <w:jc w:val="right"/>
            </w:pPr>
            <w:r>
              <w:t>0,0%</w:t>
            </w:r>
          </w:p>
        </w:tc>
        <w:tc>
          <w:tcPr>
            <w:tcW w:w="933" w:type="dxa"/>
          </w:tcPr>
          <w:p w14:paraId="57618D32" w14:textId="77777777" w:rsidR="00444A93" w:rsidRDefault="00444A93" w:rsidP="00187024">
            <w:pPr>
              <w:jc w:val="right"/>
            </w:pPr>
            <w:r>
              <w:t>7,1%</w:t>
            </w:r>
          </w:p>
        </w:tc>
        <w:tc>
          <w:tcPr>
            <w:tcW w:w="1051" w:type="dxa"/>
          </w:tcPr>
          <w:p w14:paraId="5472AD2D" w14:textId="77777777" w:rsidR="00444A93" w:rsidRDefault="00444A93" w:rsidP="00187024">
            <w:pPr>
              <w:jc w:val="right"/>
            </w:pPr>
            <w:r>
              <w:t>6,3%</w:t>
            </w:r>
          </w:p>
        </w:tc>
        <w:tc>
          <w:tcPr>
            <w:tcW w:w="971" w:type="dxa"/>
          </w:tcPr>
          <w:p w14:paraId="4E6A7468" w14:textId="77777777" w:rsidR="00444A93" w:rsidRDefault="00444A93" w:rsidP="00187024">
            <w:pPr>
              <w:jc w:val="right"/>
            </w:pPr>
            <w:r>
              <w:t>21,8%</w:t>
            </w:r>
          </w:p>
        </w:tc>
        <w:tc>
          <w:tcPr>
            <w:tcW w:w="1389" w:type="dxa"/>
          </w:tcPr>
          <w:p w14:paraId="6500AA8C" w14:textId="77777777" w:rsidR="00444A93" w:rsidRDefault="00444A93" w:rsidP="00187024">
            <w:pPr>
              <w:jc w:val="right"/>
            </w:pPr>
            <w:r>
              <w:t>25,0%</w:t>
            </w:r>
          </w:p>
        </w:tc>
        <w:tc>
          <w:tcPr>
            <w:tcW w:w="1257" w:type="dxa"/>
          </w:tcPr>
          <w:p w14:paraId="659BA4DC" w14:textId="77777777" w:rsidR="00444A93" w:rsidRDefault="00444A93" w:rsidP="00187024">
            <w:pPr>
              <w:jc w:val="right"/>
            </w:pPr>
            <w:r>
              <w:t>16,7%</w:t>
            </w:r>
          </w:p>
        </w:tc>
        <w:tc>
          <w:tcPr>
            <w:tcW w:w="981" w:type="dxa"/>
          </w:tcPr>
          <w:p w14:paraId="1F106A42" w14:textId="77777777" w:rsidR="00444A93" w:rsidRDefault="00444A93" w:rsidP="00187024">
            <w:pPr>
              <w:jc w:val="right"/>
            </w:pPr>
            <w:r>
              <w:t>90,0%</w:t>
            </w:r>
          </w:p>
        </w:tc>
        <w:tc>
          <w:tcPr>
            <w:tcW w:w="932" w:type="dxa"/>
          </w:tcPr>
          <w:p w14:paraId="53C933C0" w14:textId="77777777" w:rsidR="00444A93" w:rsidRDefault="00444A93" w:rsidP="00187024">
            <w:pPr>
              <w:jc w:val="right"/>
            </w:pPr>
            <w:r>
              <w:t>22,2%</w:t>
            </w:r>
          </w:p>
        </w:tc>
      </w:tr>
      <w:tr w:rsidR="00444A93" w14:paraId="370357A0" w14:textId="77777777" w:rsidTr="00187024">
        <w:trPr>
          <w:trHeight w:val="276"/>
        </w:trPr>
        <w:tc>
          <w:tcPr>
            <w:tcW w:w="1717" w:type="dxa"/>
          </w:tcPr>
          <w:p w14:paraId="0A9B5C94" w14:textId="77777777" w:rsidR="00444A93" w:rsidRDefault="00444A93" w:rsidP="00187024">
            <w:r>
              <w:t>Health</w:t>
            </w:r>
          </w:p>
        </w:tc>
        <w:tc>
          <w:tcPr>
            <w:tcW w:w="858" w:type="dxa"/>
          </w:tcPr>
          <w:p w14:paraId="053B520A" w14:textId="77777777" w:rsidR="00444A93" w:rsidRDefault="00444A93" w:rsidP="00187024">
            <w:pPr>
              <w:jc w:val="right"/>
            </w:pPr>
            <w:r>
              <w:t>0</w:t>
            </w:r>
          </w:p>
        </w:tc>
        <w:tc>
          <w:tcPr>
            <w:tcW w:w="933" w:type="dxa"/>
          </w:tcPr>
          <w:p w14:paraId="4FC70CEB" w14:textId="77777777" w:rsidR="00444A93" w:rsidRDefault="00444A93" w:rsidP="00187024">
            <w:pPr>
              <w:jc w:val="right"/>
            </w:pPr>
            <w:r>
              <w:t>6</w:t>
            </w:r>
          </w:p>
        </w:tc>
        <w:tc>
          <w:tcPr>
            <w:tcW w:w="1051" w:type="dxa"/>
          </w:tcPr>
          <w:p w14:paraId="2247718F" w14:textId="77777777" w:rsidR="00444A93" w:rsidRDefault="00444A93" w:rsidP="00187024">
            <w:pPr>
              <w:jc w:val="right"/>
            </w:pPr>
            <w:r>
              <w:t>0</w:t>
            </w:r>
          </w:p>
        </w:tc>
        <w:tc>
          <w:tcPr>
            <w:tcW w:w="971" w:type="dxa"/>
          </w:tcPr>
          <w:p w14:paraId="29DC3ACA" w14:textId="77777777" w:rsidR="00444A93" w:rsidRDefault="00444A93" w:rsidP="00187024">
            <w:pPr>
              <w:jc w:val="right"/>
            </w:pPr>
            <w:r>
              <w:t>10</w:t>
            </w:r>
          </w:p>
        </w:tc>
        <w:tc>
          <w:tcPr>
            <w:tcW w:w="1389" w:type="dxa"/>
          </w:tcPr>
          <w:p w14:paraId="00C827EF" w14:textId="77777777" w:rsidR="00444A93" w:rsidRDefault="00444A93" w:rsidP="00187024">
            <w:pPr>
              <w:jc w:val="right"/>
            </w:pPr>
            <w:r>
              <w:t>9</w:t>
            </w:r>
          </w:p>
        </w:tc>
        <w:tc>
          <w:tcPr>
            <w:tcW w:w="1257" w:type="dxa"/>
          </w:tcPr>
          <w:p w14:paraId="19B0B96B" w14:textId="77777777" w:rsidR="00444A93" w:rsidRDefault="00444A93" w:rsidP="00187024">
            <w:pPr>
              <w:jc w:val="right"/>
            </w:pPr>
            <w:r>
              <w:t>1</w:t>
            </w:r>
          </w:p>
        </w:tc>
        <w:tc>
          <w:tcPr>
            <w:tcW w:w="981" w:type="dxa"/>
          </w:tcPr>
          <w:p w14:paraId="2BC5FD30" w14:textId="77777777" w:rsidR="00444A93" w:rsidRDefault="00444A93" w:rsidP="00187024">
            <w:pPr>
              <w:jc w:val="right"/>
            </w:pPr>
            <w:r>
              <w:t>0</w:t>
            </w:r>
          </w:p>
        </w:tc>
        <w:tc>
          <w:tcPr>
            <w:tcW w:w="932" w:type="dxa"/>
          </w:tcPr>
          <w:p w14:paraId="658EEC12" w14:textId="77777777" w:rsidR="00444A93" w:rsidRDefault="00444A93" w:rsidP="00187024">
            <w:pPr>
              <w:jc w:val="right"/>
            </w:pPr>
            <w:r>
              <w:t>26</w:t>
            </w:r>
          </w:p>
        </w:tc>
      </w:tr>
      <w:tr w:rsidR="00444A93" w14:paraId="29297C81" w14:textId="77777777" w:rsidTr="00187024">
        <w:trPr>
          <w:trHeight w:val="441"/>
        </w:trPr>
        <w:tc>
          <w:tcPr>
            <w:tcW w:w="1717" w:type="dxa"/>
          </w:tcPr>
          <w:p w14:paraId="164578A2" w14:textId="77777777" w:rsidR="00444A93" w:rsidRDefault="00444A93" w:rsidP="00187024">
            <w:r>
              <w:t> </w:t>
            </w:r>
          </w:p>
        </w:tc>
        <w:tc>
          <w:tcPr>
            <w:tcW w:w="858" w:type="dxa"/>
          </w:tcPr>
          <w:p w14:paraId="02319AB9" w14:textId="77777777" w:rsidR="00444A93" w:rsidRDefault="00444A93" w:rsidP="00187024">
            <w:pPr>
              <w:jc w:val="right"/>
            </w:pPr>
            <w:r>
              <w:t>0,0%</w:t>
            </w:r>
          </w:p>
        </w:tc>
        <w:tc>
          <w:tcPr>
            <w:tcW w:w="933" w:type="dxa"/>
          </w:tcPr>
          <w:p w14:paraId="440963B4" w14:textId="77777777" w:rsidR="00444A93" w:rsidRDefault="00444A93" w:rsidP="00187024">
            <w:pPr>
              <w:jc w:val="right"/>
            </w:pPr>
            <w:r>
              <w:t>21,4%</w:t>
            </w:r>
          </w:p>
        </w:tc>
        <w:tc>
          <w:tcPr>
            <w:tcW w:w="1051" w:type="dxa"/>
          </w:tcPr>
          <w:p w14:paraId="3742C896" w14:textId="77777777" w:rsidR="00444A93" w:rsidRDefault="00444A93" w:rsidP="00187024">
            <w:pPr>
              <w:jc w:val="right"/>
            </w:pPr>
            <w:r>
              <w:t>0,0%</w:t>
            </w:r>
          </w:p>
        </w:tc>
        <w:tc>
          <w:tcPr>
            <w:tcW w:w="971" w:type="dxa"/>
          </w:tcPr>
          <w:p w14:paraId="1815E4F5" w14:textId="77777777" w:rsidR="00444A93" w:rsidRDefault="00444A93" w:rsidP="00187024">
            <w:pPr>
              <w:jc w:val="right"/>
            </w:pPr>
            <w:r>
              <w:t>8,1%</w:t>
            </w:r>
          </w:p>
        </w:tc>
        <w:tc>
          <w:tcPr>
            <w:tcW w:w="1389" w:type="dxa"/>
          </w:tcPr>
          <w:p w14:paraId="1AFD42E7" w14:textId="77777777" w:rsidR="00444A93" w:rsidRDefault="00444A93" w:rsidP="00187024">
            <w:pPr>
              <w:jc w:val="right"/>
            </w:pPr>
            <w:r>
              <w:t>20,5%</w:t>
            </w:r>
          </w:p>
        </w:tc>
        <w:tc>
          <w:tcPr>
            <w:tcW w:w="1257" w:type="dxa"/>
          </w:tcPr>
          <w:p w14:paraId="00FC5EBB" w14:textId="77777777" w:rsidR="00444A93" w:rsidRDefault="00444A93" w:rsidP="00187024">
            <w:pPr>
              <w:jc w:val="right"/>
            </w:pPr>
            <w:r>
              <w:t>16,7%</w:t>
            </w:r>
          </w:p>
        </w:tc>
        <w:tc>
          <w:tcPr>
            <w:tcW w:w="981" w:type="dxa"/>
          </w:tcPr>
          <w:p w14:paraId="6CCAD1FF" w14:textId="77777777" w:rsidR="00444A93" w:rsidRDefault="00444A93" w:rsidP="00187024">
            <w:pPr>
              <w:jc w:val="right"/>
            </w:pPr>
            <w:r>
              <w:t>0,0%</w:t>
            </w:r>
          </w:p>
        </w:tc>
        <w:tc>
          <w:tcPr>
            <w:tcW w:w="932" w:type="dxa"/>
          </w:tcPr>
          <w:p w14:paraId="3BE707F8" w14:textId="77777777" w:rsidR="00444A93" w:rsidRDefault="00444A93" w:rsidP="00187024">
            <w:pPr>
              <w:jc w:val="right"/>
            </w:pPr>
            <w:r>
              <w:t>11,3%</w:t>
            </w:r>
          </w:p>
        </w:tc>
      </w:tr>
      <w:tr w:rsidR="00444A93" w14:paraId="05528343" w14:textId="77777777" w:rsidTr="00187024">
        <w:trPr>
          <w:trHeight w:val="276"/>
        </w:trPr>
        <w:tc>
          <w:tcPr>
            <w:tcW w:w="1717" w:type="dxa"/>
          </w:tcPr>
          <w:p w14:paraId="379A1850" w14:textId="77777777" w:rsidR="00444A93" w:rsidRDefault="00444A93" w:rsidP="00187024">
            <w:r>
              <w:t>Housing</w:t>
            </w:r>
          </w:p>
        </w:tc>
        <w:tc>
          <w:tcPr>
            <w:tcW w:w="858" w:type="dxa"/>
          </w:tcPr>
          <w:p w14:paraId="2DA3786D" w14:textId="77777777" w:rsidR="00444A93" w:rsidRDefault="00444A93" w:rsidP="00187024">
            <w:pPr>
              <w:jc w:val="right"/>
            </w:pPr>
            <w:r>
              <w:t>0</w:t>
            </w:r>
          </w:p>
        </w:tc>
        <w:tc>
          <w:tcPr>
            <w:tcW w:w="933" w:type="dxa"/>
          </w:tcPr>
          <w:p w14:paraId="734FAC62" w14:textId="77777777" w:rsidR="00444A93" w:rsidRDefault="00444A93" w:rsidP="00187024">
            <w:pPr>
              <w:jc w:val="right"/>
            </w:pPr>
            <w:r>
              <w:t>0</w:t>
            </w:r>
          </w:p>
        </w:tc>
        <w:tc>
          <w:tcPr>
            <w:tcW w:w="1051" w:type="dxa"/>
          </w:tcPr>
          <w:p w14:paraId="5295340C" w14:textId="77777777" w:rsidR="00444A93" w:rsidRDefault="00444A93" w:rsidP="00187024">
            <w:pPr>
              <w:jc w:val="right"/>
            </w:pPr>
            <w:r>
              <w:t>0</w:t>
            </w:r>
          </w:p>
        </w:tc>
        <w:tc>
          <w:tcPr>
            <w:tcW w:w="971" w:type="dxa"/>
          </w:tcPr>
          <w:p w14:paraId="40FA815B" w14:textId="77777777" w:rsidR="00444A93" w:rsidRDefault="00444A93" w:rsidP="00187024">
            <w:pPr>
              <w:jc w:val="right"/>
            </w:pPr>
            <w:r>
              <w:t>4</w:t>
            </w:r>
          </w:p>
        </w:tc>
        <w:tc>
          <w:tcPr>
            <w:tcW w:w="1389" w:type="dxa"/>
          </w:tcPr>
          <w:p w14:paraId="65416775" w14:textId="77777777" w:rsidR="00444A93" w:rsidRDefault="00444A93" w:rsidP="00187024">
            <w:pPr>
              <w:jc w:val="right"/>
            </w:pPr>
            <w:r>
              <w:t>5</w:t>
            </w:r>
          </w:p>
        </w:tc>
        <w:tc>
          <w:tcPr>
            <w:tcW w:w="1257" w:type="dxa"/>
          </w:tcPr>
          <w:p w14:paraId="192AE6D2" w14:textId="77777777" w:rsidR="00444A93" w:rsidRDefault="00444A93" w:rsidP="00187024">
            <w:pPr>
              <w:jc w:val="right"/>
            </w:pPr>
            <w:r>
              <w:t>0</w:t>
            </w:r>
          </w:p>
        </w:tc>
        <w:tc>
          <w:tcPr>
            <w:tcW w:w="981" w:type="dxa"/>
          </w:tcPr>
          <w:p w14:paraId="1DE5CEAC" w14:textId="77777777" w:rsidR="00444A93" w:rsidRDefault="00444A93" w:rsidP="00187024">
            <w:pPr>
              <w:jc w:val="right"/>
            </w:pPr>
            <w:r>
              <w:t>0</w:t>
            </w:r>
          </w:p>
        </w:tc>
        <w:tc>
          <w:tcPr>
            <w:tcW w:w="932" w:type="dxa"/>
          </w:tcPr>
          <w:p w14:paraId="143661CC" w14:textId="77777777" w:rsidR="00444A93" w:rsidRDefault="00444A93" w:rsidP="00187024">
            <w:pPr>
              <w:jc w:val="right"/>
            </w:pPr>
            <w:r>
              <w:t>9</w:t>
            </w:r>
          </w:p>
        </w:tc>
      </w:tr>
      <w:tr w:rsidR="00444A93" w14:paraId="6F93C74E" w14:textId="77777777" w:rsidTr="00187024">
        <w:trPr>
          <w:trHeight w:val="441"/>
        </w:trPr>
        <w:tc>
          <w:tcPr>
            <w:tcW w:w="1717" w:type="dxa"/>
          </w:tcPr>
          <w:p w14:paraId="49826500" w14:textId="77777777" w:rsidR="00444A93" w:rsidRDefault="00444A93" w:rsidP="00187024">
            <w:r>
              <w:t> </w:t>
            </w:r>
          </w:p>
        </w:tc>
        <w:tc>
          <w:tcPr>
            <w:tcW w:w="858" w:type="dxa"/>
          </w:tcPr>
          <w:p w14:paraId="2A698BAA" w14:textId="77777777" w:rsidR="00444A93" w:rsidRDefault="00444A93" w:rsidP="00187024">
            <w:pPr>
              <w:jc w:val="right"/>
            </w:pPr>
            <w:r>
              <w:t>0,0%</w:t>
            </w:r>
          </w:p>
        </w:tc>
        <w:tc>
          <w:tcPr>
            <w:tcW w:w="933" w:type="dxa"/>
          </w:tcPr>
          <w:p w14:paraId="2E1FCA5B" w14:textId="77777777" w:rsidR="00444A93" w:rsidRDefault="00444A93" w:rsidP="00187024">
            <w:pPr>
              <w:jc w:val="right"/>
            </w:pPr>
            <w:r>
              <w:t>0,0%</w:t>
            </w:r>
          </w:p>
        </w:tc>
        <w:tc>
          <w:tcPr>
            <w:tcW w:w="1051" w:type="dxa"/>
          </w:tcPr>
          <w:p w14:paraId="14A2D77C" w14:textId="77777777" w:rsidR="00444A93" w:rsidRDefault="00444A93" w:rsidP="00187024">
            <w:pPr>
              <w:jc w:val="right"/>
            </w:pPr>
            <w:r>
              <w:t>0,0%</w:t>
            </w:r>
          </w:p>
        </w:tc>
        <w:tc>
          <w:tcPr>
            <w:tcW w:w="971" w:type="dxa"/>
          </w:tcPr>
          <w:p w14:paraId="46315C08" w14:textId="77777777" w:rsidR="00444A93" w:rsidRDefault="00444A93" w:rsidP="00187024">
            <w:pPr>
              <w:jc w:val="right"/>
            </w:pPr>
            <w:r>
              <w:t>3,2%</w:t>
            </w:r>
          </w:p>
        </w:tc>
        <w:tc>
          <w:tcPr>
            <w:tcW w:w="1389" w:type="dxa"/>
          </w:tcPr>
          <w:p w14:paraId="6EA46A48" w14:textId="77777777" w:rsidR="00444A93" w:rsidRDefault="00444A93" w:rsidP="00187024">
            <w:pPr>
              <w:jc w:val="right"/>
            </w:pPr>
            <w:r>
              <w:t>11,4%</w:t>
            </w:r>
          </w:p>
        </w:tc>
        <w:tc>
          <w:tcPr>
            <w:tcW w:w="1257" w:type="dxa"/>
          </w:tcPr>
          <w:p w14:paraId="348E4205" w14:textId="77777777" w:rsidR="00444A93" w:rsidRDefault="00444A93" w:rsidP="00187024">
            <w:pPr>
              <w:jc w:val="right"/>
            </w:pPr>
            <w:r>
              <w:t>0,0%</w:t>
            </w:r>
          </w:p>
        </w:tc>
        <w:tc>
          <w:tcPr>
            <w:tcW w:w="981" w:type="dxa"/>
          </w:tcPr>
          <w:p w14:paraId="50878904" w14:textId="77777777" w:rsidR="00444A93" w:rsidRDefault="00444A93" w:rsidP="00187024">
            <w:pPr>
              <w:jc w:val="right"/>
            </w:pPr>
            <w:r>
              <w:t>0,0%</w:t>
            </w:r>
          </w:p>
        </w:tc>
        <w:tc>
          <w:tcPr>
            <w:tcW w:w="932" w:type="dxa"/>
          </w:tcPr>
          <w:p w14:paraId="7AA03810" w14:textId="77777777" w:rsidR="00444A93" w:rsidRDefault="00444A93" w:rsidP="00187024">
            <w:pPr>
              <w:jc w:val="right"/>
            </w:pPr>
            <w:r>
              <w:t>3,9%</w:t>
            </w:r>
          </w:p>
        </w:tc>
      </w:tr>
      <w:tr w:rsidR="00444A93" w14:paraId="36A48F9B" w14:textId="77777777" w:rsidTr="00187024">
        <w:trPr>
          <w:trHeight w:val="660"/>
        </w:trPr>
        <w:tc>
          <w:tcPr>
            <w:tcW w:w="1717" w:type="dxa"/>
          </w:tcPr>
          <w:p w14:paraId="1351E12B" w14:textId="77777777" w:rsidR="00444A93" w:rsidRDefault="00444A93" w:rsidP="00187024">
            <w:r>
              <w:t>Land, wildlife and fisheries</w:t>
            </w:r>
          </w:p>
        </w:tc>
        <w:tc>
          <w:tcPr>
            <w:tcW w:w="858" w:type="dxa"/>
          </w:tcPr>
          <w:p w14:paraId="4737DC67" w14:textId="77777777" w:rsidR="00444A93" w:rsidRDefault="00444A93" w:rsidP="00187024">
            <w:pPr>
              <w:jc w:val="right"/>
            </w:pPr>
            <w:r>
              <w:t>0</w:t>
            </w:r>
          </w:p>
        </w:tc>
        <w:tc>
          <w:tcPr>
            <w:tcW w:w="933" w:type="dxa"/>
          </w:tcPr>
          <w:p w14:paraId="450F3495" w14:textId="77777777" w:rsidR="00444A93" w:rsidRDefault="00444A93" w:rsidP="00187024">
            <w:pPr>
              <w:jc w:val="right"/>
            </w:pPr>
            <w:r>
              <w:t>1</w:t>
            </w:r>
          </w:p>
        </w:tc>
        <w:tc>
          <w:tcPr>
            <w:tcW w:w="1051" w:type="dxa"/>
          </w:tcPr>
          <w:p w14:paraId="736117CF" w14:textId="77777777" w:rsidR="00444A93" w:rsidRDefault="00444A93" w:rsidP="00187024">
            <w:pPr>
              <w:jc w:val="right"/>
            </w:pPr>
            <w:r>
              <w:t>9</w:t>
            </w:r>
          </w:p>
        </w:tc>
        <w:tc>
          <w:tcPr>
            <w:tcW w:w="971" w:type="dxa"/>
          </w:tcPr>
          <w:p w14:paraId="6EDB5EAD" w14:textId="77777777" w:rsidR="00444A93" w:rsidRDefault="00444A93" w:rsidP="00187024">
            <w:pPr>
              <w:jc w:val="right"/>
            </w:pPr>
            <w:r>
              <w:t>5</w:t>
            </w:r>
          </w:p>
        </w:tc>
        <w:tc>
          <w:tcPr>
            <w:tcW w:w="1389" w:type="dxa"/>
          </w:tcPr>
          <w:p w14:paraId="70CC0410" w14:textId="77777777" w:rsidR="00444A93" w:rsidRDefault="00444A93" w:rsidP="00187024">
            <w:pPr>
              <w:jc w:val="right"/>
            </w:pPr>
            <w:r>
              <w:t>1</w:t>
            </w:r>
          </w:p>
        </w:tc>
        <w:tc>
          <w:tcPr>
            <w:tcW w:w="1257" w:type="dxa"/>
          </w:tcPr>
          <w:p w14:paraId="5DC4C555" w14:textId="77777777" w:rsidR="00444A93" w:rsidRDefault="00444A93" w:rsidP="00187024">
            <w:pPr>
              <w:jc w:val="right"/>
            </w:pPr>
            <w:r>
              <w:t>1</w:t>
            </w:r>
          </w:p>
        </w:tc>
        <w:tc>
          <w:tcPr>
            <w:tcW w:w="981" w:type="dxa"/>
          </w:tcPr>
          <w:p w14:paraId="60D340E4" w14:textId="77777777" w:rsidR="00444A93" w:rsidRDefault="00444A93" w:rsidP="00187024">
            <w:pPr>
              <w:jc w:val="right"/>
            </w:pPr>
            <w:r>
              <w:t>0</w:t>
            </w:r>
          </w:p>
        </w:tc>
        <w:tc>
          <w:tcPr>
            <w:tcW w:w="932" w:type="dxa"/>
          </w:tcPr>
          <w:p w14:paraId="236D6410" w14:textId="77777777" w:rsidR="00444A93" w:rsidRDefault="00444A93" w:rsidP="00187024">
            <w:pPr>
              <w:jc w:val="right"/>
            </w:pPr>
            <w:r>
              <w:t>17</w:t>
            </w:r>
          </w:p>
        </w:tc>
      </w:tr>
      <w:tr w:rsidR="00444A93" w14:paraId="459E9900" w14:textId="77777777" w:rsidTr="00187024">
        <w:trPr>
          <w:trHeight w:val="441"/>
        </w:trPr>
        <w:tc>
          <w:tcPr>
            <w:tcW w:w="1717" w:type="dxa"/>
          </w:tcPr>
          <w:p w14:paraId="62260652" w14:textId="77777777" w:rsidR="00444A93" w:rsidRDefault="00444A93" w:rsidP="00187024">
            <w:r>
              <w:t> </w:t>
            </w:r>
          </w:p>
        </w:tc>
        <w:tc>
          <w:tcPr>
            <w:tcW w:w="858" w:type="dxa"/>
          </w:tcPr>
          <w:p w14:paraId="67CD6FE6" w14:textId="77777777" w:rsidR="00444A93" w:rsidRDefault="00444A93" w:rsidP="00187024">
            <w:pPr>
              <w:jc w:val="right"/>
            </w:pPr>
            <w:r>
              <w:t>0,0%</w:t>
            </w:r>
          </w:p>
        </w:tc>
        <w:tc>
          <w:tcPr>
            <w:tcW w:w="933" w:type="dxa"/>
          </w:tcPr>
          <w:p w14:paraId="4F4AAAE9" w14:textId="77777777" w:rsidR="00444A93" w:rsidRDefault="00444A93" w:rsidP="00187024">
            <w:pPr>
              <w:jc w:val="right"/>
            </w:pPr>
            <w:r>
              <w:t>3,6%</w:t>
            </w:r>
          </w:p>
        </w:tc>
        <w:tc>
          <w:tcPr>
            <w:tcW w:w="1051" w:type="dxa"/>
          </w:tcPr>
          <w:p w14:paraId="7E8B9D1C" w14:textId="77777777" w:rsidR="00444A93" w:rsidRDefault="00444A93" w:rsidP="00187024">
            <w:pPr>
              <w:jc w:val="right"/>
            </w:pPr>
            <w:r>
              <w:t>56,3%</w:t>
            </w:r>
          </w:p>
        </w:tc>
        <w:tc>
          <w:tcPr>
            <w:tcW w:w="971" w:type="dxa"/>
          </w:tcPr>
          <w:p w14:paraId="4D172DA9" w14:textId="77777777" w:rsidR="00444A93" w:rsidRDefault="00444A93" w:rsidP="00187024">
            <w:pPr>
              <w:jc w:val="right"/>
            </w:pPr>
            <w:r>
              <w:t>4,0%</w:t>
            </w:r>
          </w:p>
        </w:tc>
        <w:tc>
          <w:tcPr>
            <w:tcW w:w="1389" w:type="dxa"/>
          </w:tcPr>
          <w:p w14:paraId="0D3F9B38" w14:textId="77777777" w:rsidR="00444A93" w:rsidRDefault="00444A93" w:rsidP="00187024">
            <w:pPr>
              <w:jc w:val="right"/>
            </w:pPr>
            <w:r>
              <w:t>2,3%</w:t>
            </w:r>
          </w:p>
        </w:tc>
        <w:tc>
          <w:tcPr>
            <w:tcW w:w="1257" w:type="dxa"/>
          </w:tcPr>
          <w:p w14:paraId="5C325942" w14:textId="77777777" w:rsidR="00444A93" w:rsidRDefault="00444A93" w:rsidP="00187024">
            <w:pPr>
              <w:jc w:val="right"/>
            </w:pPr>
            <w:r>
              <w:t>16,7%</w:t>
            </w:r>
          </w:p>
        </w:tc>
        <w:tc>
          <w:tcPr>
            <w:tcW w:w="981" w:type="dxa"/>
          </w:tcPr>
          <w:p w14:paraId="12970F5F" w14:textId="77777777" w:rsidR="00444A93" w:rsidRDefault="00444A93" w:rsidP="00187024">
            <w:pPr>
              <w:jc w:val="right"/>
            </w:pPr>
            <w:r>
              <w:t>0,0%</w:t>
            </w:r>
          </w:p>
        </w:tc>
        <w:tc>
          <w:tcPr>
            <w:tcW w:w="932" w:type="dxa"/>
          </w:tcPr>
          <w:p w14:paraId="4835738C" w14:textId="77777777" w:rsidR="00444A93" w:rsidRDefault="00444A93" w:rsidP="00187024">
            <w:pPr>
              <w:jc w:val="right"/>
            </w:pPr>
            <w:r>
              <w:t>7,4%</w:t>
            </w:r>
          </w:p>
        </w:tc>
      </w:tr>
      <w:tr w:rsidR="00444A93" w14:paraId="2E3EF033" w14:textId="77777777" w:rsidTr="00187024">
        <w:trPr>
          <w:trHeight w:val="276"/>
        </w:trPr>
        <w:tc>
          <w:tcPr>
            <w:tcW w:w="1717" w:type="dxa"/>
          </w:tcPr>
          <w:p w14:paraId="7060785A" w14:textId="77777777" w:rsidR="00444A93" w:rsidRDefault="00444A93" w:rsidP="00187024">
            <w:r>
              <w:t>Māori rights</w:t>
            </w:r>
          </w:p>
        </w:tc>
        <w:tc>
          <w:tcPr>
            <w:tcW w:w="858" w:type="dxa"/>
          </w:tcPr>
          <w:p w14:paraId="3FF60F5A" w14:textId="77777777" w:rsidR="00444A93" w:rsidRDefault="00444A93" w:rsidP="00187024">
            <w:pPr>
              <w:jc w:val="right"/>
            </w:pPr>
            <w:r>
              <w:t>0</w:t>
            </w:r>
          </w:p>
        </w:tc>
        <w:tc>
          <w:tcPr>
            <w:tcW w:w="933" w:type="dxa"/>
          </w:tcPr>
          <w:p w14:paraId="5DB7D6DF" w14:textId="77777777" w:rsidR="00444A93" w:rsidRDefault="00444A93" w:rsidP="00187024">
            <w:pPr>
              <w:jc w:val="right"/>
            </w:pPr>
            <w:r>
              <w:t>2</w:t>
            </w:r>
          </w:p>
        </w:tc>
        <w:tc>
          <w:tcPr>
            <w:tcW w:w="1051" w:type="dxa"/>
          </w:tcPr>
          <w:p w14:paraId="70BB076B" w14:textId="77777777" w:rsidR="00444A93" w:rsidRDefault="00444A93" w:rsidP="00187024">
            <w:pPr>
              <w:jc w:val="right"/>
            </w:pPr>
            <w:r>
              <w:t>0</w:t>
            </w:r>
          </w:p>
        </w:tc>
        <w:tc>
          <w:tcPr>
            <w:tcW w:w="971" w:type="dxa"/>
          </w:tcPr>
          <w:p w14:paraId="52188EFA" w14:textId="77777777" w:rsidR="00444A93" w:rsidRDefault="00444A93" w:rsidP="00187024">
            <w:pPr>
              <w:jc w:val="right"/>
            </w:pPr>
            <w:r>
              <w:t>6</w:t>
            </w:r>
          </w:p>
        </w:tc>
        <w:tc>
          <w:tcPr>
            <w:tcW w:w="1389" w:type="dxa"/>
          </w:tcPr>
          <w:p w14:paraId="1331F772" w14:textId="77777777" w:rsidR="00444A93" w:rsidRDefault="00444A93" w:rsidP="00187024">
            <w:pPr>
              <w:jc w:val="right"/>
            </w:pPr>
            <w:r>
              <w:t>1</w:t>
            </w:r>
          </w:p>
        </w:tc>
        <w:tc>
          <w:tcPr>
            <w:tcW w:w="1257" w:type="dxa"/>
          </w:tcPr>
          <w:p w14:paraId="7EEE9618" w14:textId="77777777" w:rsidR="00444A93" w:rsidRDefault="00444A93" w:rsidP="00187024">
            <w:pPr>
              <w:jc w:val="right"/>
            </w:pPr>
            <w:r>
              <w:t>0</w:t>
            </w:r>
          </w:p>
        </w:tc>
        <w:tc>
          <w:tcPr>
            <w:tcW w:w="981" w:type="dxa"/>
          </w:tcPr>
          <w:p w14:paraId="22011413" w14:textId="77777777" w:rsidR="00444A93" w:rsidRDefault="00444A93" w:rsidP="00187024">
            <w:pPr>
              <w:jc w:val="right"/>
            </w:pPr>
            <w:r>
              <w:t>0</w:t>
            </w:r>
          </w:p>
        </w:tc>
        <w:tc>
          <w:tcPr>
            <w:tcW w:w="932" w:type="dxa"/>
          </w:tcPr>
          <w:p w14:paraId="1E6BF266" w14:textId="77777777" w:rsidR="00444A93" w:rsidRDefault="00444A93" w:rsidP="00187024">
            <w:pPr>
              <w:jc w:val="right"/>
            </w:pPr>
            <w:r>
              <w:t>9</w:t>
            </w:r>
          </w:p>
        </w:tc>
      </w:tr>
      <w:tr w:rsidR="00444A93" w14:paraId="512C143F" w14:textId="77777777" w:rsidTr="00187024">
        <w:trPr>
          <w:trHeight w:val="441"/>
        </w:trPr>
        <w:tc>
          <w:tcPr>
            <w:tcW w:w="1717" w:type="dxa"/>
          </w:tcPr>
          <w:p w14:paraId="3F919065" w14:textId="77777777" w:rsidR="00444A93" w:rsidRDefault="00444A93" w:rsidP="00187024">
            <w:r>
              <w:t> </w:t>
            </w:r>
          </w:p>
        </w:tc>
        <w:tc>
          <w:tcPr>
            <w:tcW w:w="858" w:type="dxa"/>
          </w:tcPr>
          <w:p w14:paraId="4E5D518D" w14:textId="77777777" w:rsidR="00444A93" w:rsidRDefault="00444A93" w:rsidP="00187024">
            <w:pPr>
              <w:jc w:val="right"/>
            </w:pPr>
            <w:r>
              <w:t>0,0%</w:t>
            </w:r>
          </w:p>
        </w:tc>
        <w:tc>
          <w:tcPr>
            <w:tcW w:w="933" w:type="dxa"/>
          </w:tcPr>
          <w:p w14:paraId="6D0E6669" w14:textId="77777777" w:rsidR="00444A93" w:rsidRDefault="00444A93" w:rsidP="00187024">
            <w:pPr>
              <w:jc w:val="right"/>
            </w:pPr>
            <w:r>
              <w:t>7,1%</w:t>
            </w:r>
          </w:p>
        </w:tc>
        <w:tc>
          <w:tcPr>
            <w:tcW w:w="1051" w:type="dxa"/>
          </w:tcPr>
          <w:p w14:paraId="5C7BC254" w14:textId="77777777" w:rsidR="00444A93" w:rsidRDefault="00444A93" w:rsidP="00187024">
            <w:pPr>
              <w:jc w:val="right"/>
            </w:pPr>
            <w:r>
              <w:t>0,0%</w:t>
            </w:r>
          </w:p>
        </w:tc>
        <w:tc>
          <w:tcPr>
            <w:tcW w:w="971" w:type="dxa"/>
          </w:tcPr>
          <w:p w14:paraId="12DAF7D8" w14:textId="77777777" w:rsidR="00444A93" w:rsidRDefault="00444A93" w:rsidP="00187024">
            <w:pPr>
              <w:jc w:val="right"/>
            </w:pPr>
            <w:r>
              <w:t>4,8%</w:t>
            </w:r>
          </w:p>
        </w:tc>
        <w:tc>
          <w:tcPr>
            <w:tcW w:w="1389" w:type="dxa"/>
          </w:tcPr>
          <w:p w14:paraId="7562DF73" w14:textId="77777777" w:rsidR="00444A93" w:rsidRDefault="00444A93" w:rsidP="00187024">
            <w:pPr>
              <w:jc w:val="right"/>
            </w:pPr>
            <w:r>
              <w:t>2,3%</w:t>
            </w:r>
          </w:p>
        </w:tc>
        <w:tc>
          <w:tcPr>
            <w:tcW w:w="1257" w:type="dxa"/>
          </w:tcPr>
          <w:p w14:paraId="6D2331A4" w14:textId="77777777" w:rsidR="00444A93" w:rsidRDefault="00444A93" w:rsidP="00187024">
            <w:pPr>
              <w:jc w:val="right"/>
            </w:pPr>
            <w:r>
              <w:t>0,0%</w:t>
            </w:r>
          </w:p>
        </w:tc>
        <w:tc>
          <w:tcPr>
            <w:tcW w:w="981" w:type="dxa"/>
          </w:tcPr>
          <w:p w14:paraId="7A344BF2" w14:textId="77777777" w:rsidR="00444A93" w:rsidRDefault="00444A93" w:rsidP="00187024">
            <w:pPr>
              <w:jc w:val="right"/>
            </w:pPr>
            <w:r>
              <w:t>0,0%</w:t>
            </w:r>
          </w:p>
        </w:tc>
        <w:tc>
          <w:tcPr>
            <w:tcW w:w="932" w:type="dxa"/>
          </w:tcPr>
          <w:p w14:paraId="43528E5B" w14:textId="77777777" w:rsidR="00444A93" w:rsidRDefault="00444A93" w:rsidP="00187024">
            <w:pPr>
              <w:jc w:val="right"/>
            </w:pPr>
            <w:r>
              <w:t>3,9%</w:t>
            </w:r>
          </w:p>
        </w:tc>
      </w:tr>
      <w:tr w:rsidR="00444A93" w14:paraId="270439DF" w14:textId="77777777" w:rsidTr="00187024">
        <w:trPr>
          <w:trHeight w:val="276"/>
        </w:trPr>
        <w:tc>
          <w:tcPr>
            <w:tcW w:w="1717" w:type="dxa"/>
          </w:tcPr>
          <w:p w14:paraId="231190E7" w14:textId="77777777" w:rsidR="00444A93" w:rsidRDefault="00444A93" w:rsidP="00187024">
            <w:r>
              <w:t>Social policy</w:t>
            </w:r>
          </w:p>
        </w:tc>
        <w:tc>
          <w:tcPr>
            <w:tcW w:w="858" w:type="dxa"/>
          </w:tcPr>
          <w:p w14:paraId="73F0A37D" w14:textId="77777777" w:rsidR="00444A93" w:rsidRDefault="00444A93" w:rsidP="00187024">
            <w:pPr>
              <w:jc w:val="right"/>
            </w:pPr>
            <w:r>
              <w:t>1</w:t>
            </w:r>
          </w:p>
        </w:tc>
        <w:tc>
          <w:tcPr>
            <w:tcW w:w="933" w:type="dxa"/>
          </w:tcPr>
          <w:p w14:paraId="71BCEDBD" w14:textId="77777777" w:rsidR="00444A93" w:rsidRDefault="00444A93" w:rsidP="00187024">
            <w:pPr>
              <w:jc w:val="right"/>
            </w:pPr>
            <w:r>
              <w:t>2</w:t>
            </w:r>
          </w:p>
        </w:tc>
        <w:tc>
          <w:tcPr>
            <w:tcW w:w="1051" w:type="dxa"/>
          </w:tcPr>
          <w:p w14:paraId="77F96B43" w14:textId="77777777" w:rsidR="00444A93" w:rsidRDefault="00444A93" w:rsidP="00187024">
            <w:pPr>
              <w:jc w:val="right"/>
            </w:pPr>
            <w:r>
              <w:t>2</w:t>
            </w:r>
          </w:p>
        </w:tc>
        <w:tc>
          <w:tcPr>
            <w:tcW w:w="971" w:type="dxa"/>
          </w:tcPr>
          <w:p w14:paraId="3694D011" w14:textId="77777777" w:rsidR="00444A93" w:rsidRDefault="00444A93" w:rsidP="00187024">
            <w:pPr>
              <w:jc w:val="right"/>
            </w:pPr>
            <w:r>
              <w:t>13</w:t>
            </w:r>
          </w:p>
        </w:tc>
        <w:tc>
          <w:tcPr>
            <w:tcW w:w="1389" w:type="dxa"/>
          </w:tcPr>
          <w:p w14:paraId="05FEF738" w14:textId="77777777" w:rsidR="00444A93" w:rsidRDefault="00444A93" w:rsidP="00187024">
            <w:pPr>
              <w:jc w:val="right"/>
            </w:pPr>
            <w:r>
              <w:t>3</w:t>
            </w:r>
          </w:p>
        </w:tc>
        <w:tc>
          <w:tcPr>
            <w:tcW w:w="1257" w:type="dxa"/>
          </w:tcPr>
          <w:p w14:paraId="215EC70F" w14:textId="77777777" w:rsidR="00444A93" w:rsidRDefault="00444A93" w:rsidP="00187024">
            <w:pPr>
              <w:jc w:val="right"/>
            </w:pPr>
            <w:r>
              <w:t>1</w:t>
            </w:r>
          </w:p>
        </w:tc>
        <w:tc>
          <w:tcPr>
            <w:tcW w:w="981" w:type="dxa"/>
          </w:tcPr>
          <w:p w14:paraId="4C074844" w14:textId="77777777" w:rsidR="00444A93" w:rsidRDefault="00444A93" w:rsidP="00187024">
            <w:pPr>
              <w:jc w:val="right"/>
            </w:pPr>
            <w:r>
              <w:t>0</w:t>
            </w:r>
          </w:p>
        </w:tc>
        <w:tc>
          <w:tcPr>
            <w:tcW w:w="932" w:type="dxa"/>
          </w:tcPr>
          <w:p w14:paraId="4E6C2CEC" w14:textId="77777777" w:rsidR="00444A93" w:rsidRDefault="00444A93" w:rsidP="00187024">
            <w:pPr>
              <w:jc w:val="right"/>
            </w:pPr>
            <w:r>
              <w:t>22</w:t>
            </w:r>
          </w:p>
        </w:tc>
      </w:tr>
      <w:tr w:rsidR="00444A93" w14:paraId="6B722FA5" w14:textId="77777777" w:rsidTr="00187024">
        <w:trPr>
          <w:trHeight w:val="441"/>
        </w:trPr>
        <w:tc>
          <w:tcPr>
            <w:tcW w:w="1717" w:type="dxa"/>
          </w:tcPr>
          <w:p w14:paraId="682CD535" w14:textId="77777777" w:rsidR="00444A93" w:rsidRDefault="00444A93" w:rsidP="00187024">
            <w:r>
              <w:t> </w:t>
            </w:r>
          </w:p>
        </w:tc>
        <w:tc>
          <w:tcPr>
            <w:tcW w:w="858" w:type="dxa"/>
          </w:tcPr>
          <w:p w14:paraId="1AFC511C" w14:textId="77777777" w:rsidR="00444A93" w:rsidRDefault="00444A93" w:rsidP="00187024">
            <w:pPr>
              <w:jc w:val="right"/>
            </w:pPr>
            <w:r>
              <w:t>50,0%</w:t>
            </w:r>
          </w:p>
        </w:tc>
        <w:tc>
          <w:tcPr>
            <w:tcW w:w="933" w:type="dxa"/>
          </w:tcPr>
          <w:p w14:paraId="5CC06681" w14:textId="77777777" w:rsidR="00444A93" w:rsidRDefault="00444A93" w:rsidP="00187024">
            <w:pPr>
              <w:jc w:val="right"/>
            </w:pPr>
            <w:r>
              <w:t>7,1%</w:t>
            </w:r>
          </w:p>
        </w:tc>
        <w:tc>
          <w:tcPr>
            <w:tcW w:w="1051" w:type="dxa"/>
          </w:tcPr>
          <w:p w14:paraId="5C2939B4" w14:textId="77777777" w:rsidR="00444A93" w:rsidRDefault="00444A93" w:rsidP="00187024">
            <w:pPr>
              <w:jc w:val="right"/>
            </w:pPr>
            <w:r>
              <w:t>12,5%</w:t>
            </w:r>
          </w:p>
        </w:tc>
        <w:tc>
          <w:tcPr>
            <w:tcW w:w="971" w:type="dxa"/>
          </w:tcPr>
          <w:p w14:paraId="34979C3D" w14:textId="77777777" w:rsidR="00444A93" w:rsidRDefault="00444A93" w:rsidP="00187024">
            <w:pPr>
              <w:jc w:val="right"/>
            </w:pPr>
            <w:r>
              <w:t>10,5%</w:t>
            </w:r>
          </w:p>
        </w:tc>
        <w:tc>
          <w:tcPr>
            <w:tcW w:w="1389" w:type="dxa"/>
          </w:tcPr>
          <w:p w14:paraId="37518E94" w14:textId="77777777" w:rsidR="00444A93" w:rsidRDefault="00444A93" w:rsidP="00187024">
            <w:pPr>
              <w:jc w:val="right"/>
            </w:pPr>
            <w:r>
              <w:t>6,8%</w:t>
            </w:r>
          </w:p>
        </w:tc>
        <w:tc>
          <w:tcPr>
            <w:tcW w:w="1257" w:type="dxa"/>
          </w:tcPr>
          <w:p w14:paraId="4ED78301" w14:textId="77777777" w:rsidR="00444A93" w:rsidRDefault="00444A93" w:rsidP="00187024">
            <w:pPr>
              <w:jc w:val="right"/>
            </w:pPr>
            <w:r>
              <w:t>16,7%</w:t>
            </w:r>
          </w:p>
        </w:tc>
        <w:tc>
          <w:tcPr>
            <w:tcW w:w="981" w:type="dxa"/>
          </w:tcPr>
          <w:p w14:paraId="3CC9A2E4" w14:textId="77777777" w:rsidR="00444A93" w:rsidRDefault="00444A93" w:rsidP="00187024">
            <w:pPr>
              <w:jc w:val="right"/>
            </w:pPr>
            <w:r>
              <w:t>0,0%</w:t>
            </w:r>
          </w:p>
        </w:tc>
        <w:tc>
          <w:tcPr>
            <w:tcW w:w="932" w:type="dxa"/>
          </w:tcPr>
          <w:p w14:paraId="1E7AE364" w14:textId="77777777" w:rsidR="00444A93" w:rsidRDefault="00444A93" w:rsidP="00187024">
            <w:pPr>
              <w:jc w:val="right"/>
            </w:pPr>
            <w:r>
              <w:t>9,6%</w:t>
            </w:r>
          </w:p>
        </w:tc>
      </w:tr>
      <w:tr w:rsidR="00444A93" w14:paraId="03D299FD" w14:textId="77777777" w:rsidTr="00187024">
        <w:trPr>
          <w:trHeight w:val="441"/>
        </w:trPr>
        <w:tc>
          <w:tcPr>
            <w:tcW w:w="1717" w:type="dxa"/>
          </w:tcPr>
          <w:p w14:paraId="169AAF40" w14:textId="77777777" w:rsidR="00444A93" w:rsidRDefault="00444A93" w:rsidP="00187024">
            <w:r>
              <w:t>Trade and economy</w:t>
            </w:r>
          </w:p>
        </w:tc>
        <w:tc>
          <w:tcPr>
            <w:tcW w:w="858" w:type="dxa"/>
          </w:tcPr>
          <w:p w14:paraId="4741E9B7" w14:textId="77777777" w:rsidR="00444A93" w:rsidRDefault="00444A93" w:rsidP="00187024">
            <w:pPr>
              <w:jc w:val="right"/>
            </w:pPr>
            <w:r>
              <w:t>0</w:t>
            </w:r>
          </w:p>
        </w:tc>
        <w:tc>
          <w:tcPr>
            <w:tcW w:w="933" w:type="dxa"/>
          </w:tcPr>
          <w:p w14:paraId="46AFE58D" w14:textId="77777777" w:rsidR="00444A93" w:rsidRDefault="00444A93" w:rsidP="00187024">
            <w:pPr>
              <w:jc w:val="right"/>
            </w:pPr>
            <w:r>
              <w:t>1</w:t>
            </w:r>
          </w:p>
        </w:tc>
        <w:tc>
          <w:tcPr>
            <w:tcW w:w="1051" w:type="dxa"/>
          </w:tcPr>
          <w:p w14:paraId="6506246B" w14:textId="77777777" w:rsidR="00444A93" w:rsidRDefault="00444A93" w:rsidP="00187024">
            <w:pPr>
              <w:jc w:val="right"/>
            </w:pPr>
            <w:r>
              <w:t>4</w:t>
            </w:r>
          </w:p>
        </w:tc>
        <w:tc>
          <w:tcPr>
            <w:tcW w:w="971" w:type="dxa"/>
          </w:tcPr>
          <w:p w14:paraId="37B000AD" w14:textId="77777777" w:rsidR="00444A93" w:rsidRDefault="00444A93" w:rsidP="00187024">
            <w:pPr>
              <w:jc w:val="right"/>
            </w:pPr>
            <w:r>
              <w:t>1</w:t>
            </w:r>
          </w:p>
        </w:tc>
        <w:tc>
          <w:tcPr>
            <w:tcW w:w="1389" w:type="dxa"/>
          </w:tcPr>
          <w:p w14:paraId="7616C496" w14:textId="77777777" w:rsidR="00444A93" w:rsidRDefault="00444A93" w:rsidP="00187024">
            <w:pPr>
              <w:jc w:val="right"/>
            </w:pPr>
            <w:r>
              <w:t>0</w:t>
            </w:r>
          </w:p>
        </w:tc>
        <w:tc>
          <w:tcPr>
            <w:tcW w:w="1257" w:type="dxa"/>
          </w:tcPr>
          <w:p w14:paraId="6280A33B" w14:textId="77777777" w:rsidR="00444A93" w:rsidRDefault="00444A93" w:rsidP="00187024">
            <w:pPr>
              <w:jc w:val="right"/>
            </w:pPr>
            <w:r>
              <w:t>0</w:t>
            </w:r>
          </w:p>
        </w:tc>
        <w:tc>
          <w:tcPr>
            <w:tcW w:w="981" w:type="dxa"/>
          </w:tcPr>
          <w:p w14:paraId="7C02E845" w14:textId="77777777" w:rsidR="00444A93" w:rsidRDefault="00444A93" w:rsidP="00187024">
            <w:pPr>
              <w:jc w:val="right"/>
            </w:pPr>
            <w:r>
              <w:t>1</w:t>
            </w:r>
          </w:p>
        </w:tc>
        <w:tc>
          <w:tcPr>
            <w:tcW w:w="932" w:type="dxa"/>
          </w:tcPr>
          <w:p w14:paraId="1695971B" w14:textId="77777777" w:rsidR="00444A93" w:rsidRDefault="00444A93" w:rsidP="00187024">
            <w:pPr>
              <w:jc w:val="right"/>
            </w:pPr>
            <w:r>
              <w:t>7</w:t>
            </w:r>
          </w:p>
        </w:tc>
      </w:tr>
      <w:tr w:rsidR="00444A93" w14:paraId="4C68BCA9" w14:textId="77777777" w:rsidTr="00187024">
        <w:trPr>
          <w:trHeight w:val="441"/>
        </w:trPr>
        <w:tc>
          <w:tcPr>
            <w:tcW w:w="1717" w:type="dxa"/>
          </w:tcPr>
          <w:p w14:paraId="416A34B5" w14:textId="77777777" w:rsidR="00444A93" w:rsidRDefault="00444A93" w:rsidP="00187024">
            <w:r>
              <w:t> </w:t>
            </w:r>
          </w:p>
        </w:tc>
        <w:tc>
          <w:tcPr>
            <w:tcW w:w="858" w:type="dxa"/>
          </w:tcPr>
          <w:p w14:paraId="2274EDA1" w14:textId="77777777" w:rsidR="00444A93" w:rsidRDefault="00444A93" w:rsidP="00187024">
            <w:pPr>
              <w:jc w:val="right"/>
            </w:pPr>
            <w:r>
              <w:t>0,0%</w:t>
            </w:r>
          </w:p>
        </w:tc>
        <w:tc>
          <w:tcPr>
            <w:tcW w:w="933" w:type="dxa"/>
          </w:tcPr>
          <w:p w14:paraId="7ACD0636" w14:textId="77777777" w:rsidR="00444A93" w:rsidRDefault="00444A93" w:rsidP="00187024">
            <w:pPr>
              <w:jc w:val="right"/>
            </w:pPr>
            <w:r>
              <w:t>3,6%</w:t>
            </w:r>
          </w:p>
        </w:tc>
        <w:tc>
          <w:tcPr>
            <w:tcW w:w="1051" w:type="dxa"/>
          </w:tcPr>
          <w:p w14:paraId="267445D2" w14:textId="77777777" w:rsidR="00444A93" w:rsidRDefault="00444A93" w:rsidP="00187024">
            <w:pPr>
              <w:jc w:val="right"/>
            </w:pPr>
            <w:r>
              <w:t>25,0%</w:t>
            </w:r>
          </w:p>
        </w:tc>
        <w:tc>
          <w:tcPr>
            <w:tcW w:w="971" w:type="dxa"/>
          </w:tcPr>
          <w:p w14:paraId="55A75B09" w14:textId="77777777" w:rsidR="00444A93" w:rsidRDefault="00444A93" w:rsidP="00187024">
            <w:pPr>
              <w:jc w:val="right"/>
            </w:pPr>
            <w:r>
              <w:t>0,8%</w:t>
            </w:r>
          </w:p>
        </w:tc>
        <w:tc>
          <w:tcPr>
            <w:tcW w:w="1389" w:type="dxa"/>
          </w:tcPr>
          <w:p w14:paraId="105C48A1" w14:textId="77777777" w:rsidR="00444A93" w:rsidRDefault="00444A93" w:rsidP="00187024">
            <w:pPr>
              <w:jc w:val="right"/>
            </w:pPr>
            <w:r>
              <w:t>0,0%</w:t>
            </w:r>
          </w:p>
        </w:tc>
        <w:tc>
          <w:tcPr>
            <w:tcW w:w="1257" w:type="dxa"/>
          </w:tcPr>
          <w:p w14:paraId="3F5B1298" w14:textId="77777777" w:rsidR="00444A93" w:rsidRDefault="00444A93" w:rsidP="00187024">
            <w:pPr>
              <w:jc w:val="right"/>
            </w:pPr>
            <w:r>
              <w:t>0,0%</w:t>
            </w:r>
          </w:p>
        </w:tc>
        <w:tc>
          <w:tcPr>
            <w:tcW w:w="981" w:type="dxa"/>
          </w:tcPr>
          <w:p w14:paraId="23E51D59" w14:textId="77777777" w:rsidR="00444A93" w:rsidRDefault="00444A93" w:rsidP="00187024">
            <w:pPr>
              <w:jc w:val="right"/>
            </w:pPr>
            <w:r>
              <w:t>10,0%</w:t>
            </w:r>
          </w:p>
        </w:tc>
        <w:tc>
          <w:tcPr>
            <w:tcW w:w="932" w:type="dxa"/>
          </w:tcPr>
          <w:p w14:paraId="27A3A7CA" w14:textId="77777777" w:rsidR="00444A93" w:rsidRDefault="00444A93" w:rsidP="00187024">
            <w:pPr>
              <w:jc w:val="right"/>
            </w:pPr>
            <w:r>
              <w:t>3,0%</w:t>
            </w:r>
          </w:p>
        </w:tc>
      </w:tr>
      <w:tr w:rsidR="00444A93" w14:paraId="451C691B" w14:textId="77777777" w:rsidTr="00187024">
        <w:trPr>
          <w:trHeight w:val="882"/>
        </w:trPr>
        <w:tc>
          <w:tcPr>
            <w:tcW w:w="1717" w:type="dxa"/>
          </w:tcPr>
          <w:p w14:paraId="691A75C9" w14:textId="77777777" w:rsidR="00444A93" w:rsidRDefault="00444A93" w:rsidP="00187024">
            <w:r>
              <w:t>Treaty of Waitangi/crown-Māori relation</w:t>
            </w:r>
          </w:p>
        </w:tc>
        <w:tc>
          <w:tcPr>
            <w:tcW w:w="858" w:type="dxa"/>
          </w:tcPr>
          <w:p w14:paraId="37258A6B" w14:textId="77777777" w:rsidR="00444A93" w:rsidRDefault="00444A93" w:rsidP="00187024">
            <w:pPr>
              <w:jc w:val="right"/>
            </w:pPr>
            <w:r>
              <w:t>0</w:t>
            </w:r>
          </w:p>
        </w:tc>
        <w:tc>
          <w:tcPr>
            <w:tcW w:w="933" w:type="dxa"/>
          </w:tcPr>
          <w:p w14:paraId="363C0203" w14:textId="77777777" w:rsidR="00444A93" w:rsidRDefault="00444A93" w:rsidP="00187024">
            <w:pPr>
              <w:jc w:val="right"/>
            </w:pPr>
            <w:r>
              <w:t>4</w:t>
            </w:r>
          </w:p>
        </w:tc>
        <w:tc>
          <w:tcPr>
            <w:tcW w:w="1051" w:type="dxa"/>
          </w:tcPr>
          <w:p w14:paraId="37261072" w14:textId="77777777" w:rsidR="00444A93" w:rsidRDefault="00444A93" w:rsidP="00187024">
            <w:pPr>
              <w:jc w:val="right"/>
            </w:pPr>
            <w:r>
              <w:t>0</w:t>
            </w:r>
          </w:p>
        </w:tc>
        <w:tc>
          <w:tcPr>
            <w:tcW w:w="971" w:type="dxa"/>
          </w:tcPr>
          <w:p w14:paraId="4A51B9B5" w14:textId="77777777" w:rsidR="00444A93" w:rsidRDefault="00444A93" w:rsidP="00187024">
            <w:pPr>
              <w:jc w:val="right"/>
            </w:pPr>
            <w:r>
              <w:t>36</w:t>
            </w:r>
          </w:p>
        </w:tc>
        <w:tc>
          <w:tcPr>
            <w:tcW w:w="1389" w:type="dxa"/>
          </w:tcPr>
          <w:p w14:paraId="3C4E3BDB" w14:textId="77777777" w:rsidR="00444A93" w:rsidRDefault="00444A93" w:rsidP="00187024">
            <w:pPr>
              <w:jc w:val="right"/>
            </w:pPr>
            <w:r>
              <w:t>7</w:t>
            </w:r>
          </w:p>
        </w:tc>
        <w:tc>
          <w:tcPr>
            <w:tcW w:w="1257" w:type="dxa"/>
          </w:tcPr>
          <w:p w14:paraId="205B1801" w14:textId="77777777" w:rsidR="00444A93" w:rsidRDefault="00444A93" w:rsidP="00187024">
            <w:pPr>
              <w:jc w:val="right"/>
            </w:pPr>
            <w:r>
              <w:t>0</w:t>
            </w:r>
          </w:p>
        </w:tc>
        <w:tc>
          <w:tcPr>
            <w:tcW w:w="981" w:type="dxa"/>
          </w:tcPr>
          <w:p w14:paraId="61B490DD" w14:textId="77777777" w:rsidR="00444A93" w:rsidRDefault="00444A93" w:rsidP="00187024">
            <w:pPr>
              <w:jc w:val="right"/>
            </w:pPr>
            <w:r>
              <w:t>0</w:t>
            </w:r>
          </w:p>
        </w:tc>
        <w:tc>
          <w:tcPr>
            <w:tcW w:w="932" w:type="dxa"/>
          </w:tcPr>
          <w:p w14:paraId="67265875" w14:textId="77777777" w:rsidR="00444A93" w:rsidRDefault="00444A93" w:rsidP="00187024">
            <w:pPr>
              <w:jc w:val="right"/>
            </w:pPr>
            <w:r>
              <w:t>47</w:t>
            </w:r>
          </w:p>
        </w:tc>
      </w:tr>
      <w:tr w:rsidR="00444A93" w14:paraId="034DDF35" w14:textId="77777777" w:rsidTr="00187024">
        <w:trPr>
          <w:trHeight w:val="441"/>
        </w:trPr>
        <w:tc>
          <w:tcPr>
            <w:tcW w:w="1717" w:type="dxa"/>
            <w:tcBorders>
              <w:bottom w:val="single" w:sz="4" w:space="0" w:color="auto"/>
            </w:tcBorders>
          </w:tcPr>
          <w:p w14:paraId="6DF8FA29" w14:textId="77777777" w:rsidR="00444A93" w:rsidRDefault="00444A93" w:rsidP="00187024">
            <w:r>
              <w:t> </w:t>
            </w:r>
          </w:p>
        </w:tc>
        <w:tc>
          <w:tcPr>
            <w:tcW w:w="858" w:type="dxa"/>
            <w:tcBorders>
              <w:bottom w:val="single" w:sz="4" w:space="0" w:color="auto"/>
            </w:tcBorders>
          </w:tcPr>
          <w:p w14:paraId="03A1F06F" w14:textId="77777777" w:rsidR="00444A93" w:rsidRDefault="00444A93" w:rsidP="00187024">
            <w:pPr>
              <w:jc w:val="right"/>
            </w:pPr>
            <w:r>
              <w:t>0,0%</w:t>
            </w:r>
          </w:p>
        </w:tc>
        <w:tc>
          <w:tcPr>
            <w:tcW w:w="933" w:type="dxa"/>
            <w:tcBorders>
              <w:bottom w:val="single" w:sz="4" w:space="0" w:color="auto"/>
            </w:tcBorders>
          </w:tcPr>
          <w:p w14:paraId="76917769" w14:textId="77777777" w:rsidR="00444A93" w:rsidRDefault="00444A93" w:rsidP="00187024">
            <w:pPr>
              <w:jc w:val="right"/>
            </w:pPr>
            <w:r>
              <w:t>14,3%</w:t>
            </w:r>
          </w:p>
        </w:tc>
        <w:tc>
          <w:tcPr>
            <w:tcW w:w="1051" w:type="dxa"/>
            <w:tcBorders>
              <w:bottom w:val="single" w:sz="4" w:space="0" w:color="auto"/>
            </w:tcBorders>
          </w:tcPr>
          <w:p w14:paraId="459EF3FA" w14:textId="77777777" w:rsidR="00444A93" w:rsidRDefault="00444A93" w:rsidP="00187024">
            <w:pPr>
              <w:jc w:val="right"/>
            </w:pPr>
            <w:r>
              <w:t>0,0%</w:t>
            </w:r>
          </w:p>
        </w:tc>
        <w:tc>
          <w:tcPr>
            <w:tcW w:w="971" w:type="dxa"/>
            <w:tcBorders>
              <w:bottom w:val="single" w:sz="4" w:space="0" w:color="auto"/>
            </w:tcBorders>
          </w:tcPr>
          <w:p w14:paraId="7E0288F8" w14:textId="77777777" w:rsidR="00444A93" w:rsidRDefault="00444A93" w:rsidP="00187024">
            <w:pPr>
              <w:jc w:val="right"/>
            </w:pPr>
            <w:r>
              <w:t>29,0%</w:t>
            </w:r>
          </w:p>
        </w:tc>
        <w:tc>
          <w:tcPr>
            <w:tcW w:w="1389" w:type="dxa"/>
            <w:tcBorders>
              <w:bottom w:val="single" w:sz="4" w:space="0" w:color="auto"/>
            </w:tcBorders>
          </w:tcPr>
          <w:p w14:paraId="424D996A" w14:textId="77777777" w:rsidR="00444A93" w:rsidRDefault="00444A93" w:rsidP="00187024">
            <w:pPr>
              <w:jc w:val="right"/>
            </w:pPr>
            <w:r>
              <w:t>15,9%</w:t>
            </w:r>
          </w:p>
        </w:tc>
        <w:tc>
          <w:tcPr>
            <w:tcW w:w="1257" w:type="dxa"/>
            <w:tcBorders>
              <w:bottom w:val="single" w:sz="4" w:space="0" w:color="auto"/>
            </w:tcBorders>
          </w:tcPr>
          <w:p w14:paraId="36035325" w14:textId="77777777" w:rsidR="00444A93" w:rsidRDefault="00444A93" w:rsidP="00187024">
            <w:pPr>
              <w:jc w:val="right"/>
            </w:pPr>
            <w:r>
              <w:t>0,0%</w:t>
            </w:r>
          </w:p>
        </w:tc>
        <w:tc>
          <w:tcPr>
            <w:tcW w:w="981" w:type="dxa"/>
            <w:tcBorders>
              <w:bottom w:val="single" w:sz="4" w:space="0" w:color="auto"/>
            </w:tcBorders>
          </w:tcPr>
          <w:p w14:paraId="389991E7" w14:textId="77777777" w:rsidR="00444A93" w:rsidRDefault="00444A93" w:rsidP="00187024">
            <w:pPr>
              <w:jc w:val="right"/>
            </w:pPr>
            <w:r>
              <w:t>0,0%</w:t>
            </w:r>
          </w:p>
        </w:tc>
        <w:tc>
          <w:tcPr>
            <w:tcW w:w="932" w:type="dxa"/>
            <w:tcBorders>
              <w:bottom w:val="single" w:sz="4" w:space="0" w:color="auto"/>
            </w:tcBorders>
          </w:tcPr>
          <w:p w14:paraId="767F0E20" w14:textId="77777777" w:rsidR="00444A93" w:rsidRDefault="00444A93" w:rsidP="00187024">
            <w:pPr>
              <w:jc w:val="right"/>
            </w:pPr>
            <w:r>
              <w:t>20,4%</w:t>
            </w:r>
          </w:p>
        </w:tc>
      </w:tr>
      <w:tr w:rsidR="00444A93" w14:paraId="6E985AF7" w14:textId="77777777" w:rsidTr="00187024">
        <w:trPr>
          <w:trHeight w:val="276"/>
        </w:trPr>
        <w:tc>
          <w:tcPr>
            <w:tcW w:w="1717" w:type="dxa"/>
            <w:tcBorders>
              <w:top w:val="single" w:sz="4" w:space="0" w:color="auto"/>
            </w:tcBorders>
          </w:tcPr>
          <w:p w14:paraId="5D78B836" w14:textId="77777777" w:rsidR="00444A93" w:rsidRDefault="00444A93" w:rsidP="00187024">
            <w:r>
              <w:t> Total</w:t>
            </w:r>
          </w:p>
        </w:tc>
        <w:tc>
          <w:tcPr>
            <w:tcW w:w="858" w:type="dxa"/>
            <w:tcBorders>
              <w:top w:val="single" w:sz="4" w:space="0" w:color="auto"/>
            </w:tcBorders>
          </w:tcPr>
          <w:p w14:paraId="7B3FE627" w14:textId="77777777" w:rsidR="00444A93" w:rsidRDefault="00444A93" w:rsidP="00187024">
            <w:pPr>
              <w:jc w:val="right"/>
            </w:pPr>
            <w:r>
              <w:t>2</w:t>
            </w:r>
          </w:p>
        </w:tc>
        <w:tc>
          <w:tcPr>
            <w:tcW w:w="933" w:type="dxa"/>
            <w:tcBorders>
              <w:top w:val="single" w:sz="4" w:space="0" w:color="auto"/>
            </w:tcBorders>
          </w:tcPr>
          <w:p w14:paraId="5D6D64A5" w14:textId="77777777" w:rsidR="00444A93" w:rsidRDefault="00444A93" w:rsidP="00187024">
            <w:pPr>
              <w:jc w:val="right"/>
            </w:pPr>
            <w:r>
              <w:t>28</w:t>
            </w:r>
          </w:p>
        </w:tc>
        <w:tc>
          <w:tcPr>
            <w:tcW w:w="1051" w:type="dxa"/>
            <w:tcBorders>
              <w:top w:val="single" w:sz="4" w:space="0" w:color="auto"/>
            </w:tcBorders>
          </w:tcPr>
          <w:p w14:paraId="48BAFF28" w14:textId="77777777" w:rsidR="00444A93" w:rsidRDefault="00444A93" w:rsidP="00187024">
            <w:pPr>
              <w:jc w:val="right"/>
            </w:pPr>
            <w:r>
              <w:t>16</w:t>
            </w:r>
          </w:p>
        </w:tc>
        <w:tc>
          <w:tcPr>
            <w:tcW w:w="971" w:type="dxa"/>
            <w:tcBorders>
              <w:top w:val="single" w:sz="4" w:space="0" w:color="auto"/>
            </w:tcBorders>
          </w:tcPr>
          <w:p w14:paraId="48DB8CFA" w14:textId="77777777" w:rsidR="00444A93" w:rsidRDefault="00444A93" w:rsidP="00187024">
            <w:pPr>
              <w:jc w:val="right"/>
            </w:pPr>
            <w:r>
              <w:t>124</w:t>
            </w:r>
          </w:p>
        </w:tc>
        <w:tc>
          <w:tcPr>
            <w:tcW w:w="1389" w:type="dxa"/>
            <w:tcBorders>
              <w:top w:val="single" w:sz="4" w:space="0" w:color="auto"/>
            </w:tcBorders>
          </w:tcPr>
          <w:p w14:paraId="29BC3ECB" w14:textId="77777777" w:rsidR="00444A93" w:rsidRDefault="00444A93" w:rsidP="00187024">
            <w:pPr>
              <w:jc w:val="right"/>
            </w:pPr>
            <w:r>
              <w:t>44</w:t>
            </w:r>
          </w:p>
        </w:tc>
        <w:tc>
          <w:tcPr>
            <w:tcW w:w="1257" w:type="dxa"/>
            <w:tcBorders>
              <w:top w:val="single" w:sz="4" w:space="0" w:color="auto"/>
            </w:tcBorders>
          </w:tcPr>
          <w:p w14:paraId="35C1C1C5" w14:textId="77777777" w:rsidR="00444A93" w:rsidRDefault="00444A93" w:rsidP="00187024">
            <w:pPr>
              <w:jc w:val="right"/>
            </w:pPr>
            <w:r>
              <w:t>6</w:t>
            </w:r>
          </w:p>
        </w:tc>
        <w:tc>
          <w:tcPr>
            <w:tcW w:w="981" w:type="dxa"/>
            <w:tcBorders>
              <w:top w:val="single" w:sz="4" w:space="0" w:color="auto"/>
            </w:tcBorders>
          </w:tcPr>
          <w:p w14:paraId="65337C1B" w14:textId="77777777" w:rsidR="00444A93" w:rsidRDefault="00444A93" w:rsidP="00187024">
            <w:pPr>
              <w:jc w:val="right"/>
            </w:pPr>
            <w:r>
              <w:t>10</w:t>
            </w:r>
          </w:p>
        </w:tc>
        <w:tc>
          <w:tcPr>
            <w:tcW w:w="932" w:type="dxa"/>
            <w:tcBorders>
              <w:top w:val="single" w:sz="4" w:space="0" w:color="auto"/>
            </w:tcBorders>
          </w:tcPr>
          <w:p w14:paraId="032CF3F9" w14:textId="77777777" w:rsidR="00444A93" w:rsidRDefault="00444A93" w:rsidP="00187024">
            <w:pPr>
              <w:jc w:val="right"/>
            </w:pPr>
            <w:r>
              <w:t>230</w:t>
            </w:r>
          </w:p>
        </w:tc>
      </w:tr>
      <w:tr w:rsidR="00444A93" w14:paraId="106098D8" w14:textId="77777777" w:rsidTr="00187024">
        <w:trPr>
          <w:trHeight w:val="441"/>
        </w:trPr>
        <w:tc>
          <w:tcPr>
            <w:tcW w:w="1717" w:type="dxa"/>
          </w:tcPr>
          <w:p w14:paraId="65E6A8D2" w14:textId="77777777" w:rsidR="00444A93" w:rsidRDefault="00444A93" w:rsidP="00187024">
            <w:r>
              <w:t> </w:t>
            </w:r>
          </w:p>
        </w:tc>
        <w:tc>
          <w:tcPr>
            <w:tcW w:w="858" w:type="dxa"/>
          </w:tcPr>
          <w:p w14:paraId="5CE77134" w14:textId="77777777" w:rsidR="00444A93" w:rsidRDefault="00444A93" w:rsidP="00187024">
            <w:pPr>
              <w:jc w:val="right"/>
            </w:pPr>
            <w:r>
              <w:t>100,0%</w:t>
            </w:r>
          </w:p>
        </w:tc>
        <w:tc>
          <w:tcPr>
            <w:tcW w:w="933" w:type="dxa"/>
          </w:tcPr>
          <w:p w14:paraId="35EECDD4" w14:textId="77777777" w:rsidR="00444A93" w:rsidRDefault="00444A93" w:rsidP="00187024">
            <w:pPr>
              <w:jc w:val="right"/>
            </w:pPr>
            <w:r>
              <w:t>100,0%</w:t>
            </w:r>
          </w:p>
        </w:tc>
        <w:tc>
          <w:tcPr>
            <w:tcW w:w="1051" w:type="dxa"/>
          </w:tcPr>
          <w:p w14:paraId="255B141C" w14:textId="77777777" w:rsidR="00444A93" w:rsidRDefault="00444A93" w:rsidP="00187024">
            <w:pPr>
              <w:jc w:val="right"/>
            </w:pPr>
            <w:r>
              <w:t>100,0%</w:t>
            </w:r>
          </w:p>
        </w:tc>
        <w:tc>
          <w:tcPr>
            <w:tcW w:w="971" w:type="dxa"/>
          </w:tcPr>
          <w:p w14:paraId="321F44B3" w14:textId="77777777" w:rsidR="00444A93" w:rsidRDefault="00444A93" w:rsidP="00187024">
            <w:pPr>
              <w:jc w:val="right"/>
            </w:pPr>
            <w:r>
              <w:t>100,0%</w:t>
            </w:r>
          </w:p>
        </w:tc>
        <w:tc>
          <w:tcPr>
            <w:tcW w:w="1389" w:type="dxa"/>
          </w:tcPr>
          <w:p w14:paraId="749B4849" w14:textId="77777777" w:rsidR="00444A93" w:rsidRDefault="00444A93" w:rsidP="00187024">
            <w:pPr>
              <w:jc w:val="right"/>
            </w:pPr>
            <w:r>
              <w:t>100,0%</w:t>
            </w:r>
          </w:p>
        </w:tc>
        <w:tc>
          <w:tcPr>
            <w:tcW w:w="1257" w:type="dxa"/>
          </w:tcPr>
          <w:p w14:paraId="043120BE" w14:textId="77777777" w:rsidR="00444A93" w:rsidRDefault="00444A93" w:rsidP="00187024">
            <w:pPr>
              <w:jc w:val="right"/>
            </w:pPr>
            <w:r>
              <w:t>100,0%</w:t>
            </w:r>
          </w:p>
        </w:tc>
        <w:tc>
          <w:tcPr>
            <w:tcW w:w="981" w:type="dxa"/>
          </w:tcPr>
          <w:p w14:paraId="6BC1D530" w14:textId="77777777" w:rsidR="00444A93" w:rsidRDefault="00444A93" w:rsidP="00187024">
            <w:pPr>
              <w:jc w:val="right"/>
            </w:pPr>
            <w:r>
              <w:t>100,0%</w:t>
            </w:r>
          </w:p>
        </w:tc>
        <w:tc>
          <w:tcPr>
            <w:tcW w:w="932" w:type="dxa"/>
          </w:tcPr>
          <w:p w14:paraId="061C8D2D" w14:textId="77777777" w:rsidR="00444A93" w:rsidRDefault="00444A93" w:rsidP="00187024">
            <w:pPr>
              <w:jc w:val="right"/>
            </w:pPr>
            <w:r>
              <w:t>100,0%</w:t>
            </w:r>
          </w:p>
        </w:tc>
      </w:tr>
    </w:tbl>
    <w:p w14:paraId="40422DC8" w14:textId="77777777" w:rsidR="00444A93" w:rsidRPr="00025E87" w:rsidRDefault="00444A93" w:rsidP="00444A93"/>
    <w:p w14:paraId="68842579" w14:textId="77777777" w:rsidR="00444A93" w:rsidRPr="00444A93" w:rsidRDefault="00444A93" w:rsidP="00444A93">
      <w:pPr>
        <w:rPr>
          <w:lang w:val="en-GB"/>
        </w:rPr>
      </w:pPr>
    </w:p>
    <w:sectPr w:rsidR="00444A93" w:rsidRPr="00444A93" w:rsidSect="0036051F">
      <w:footerReference w:type="default" r:id="rId10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480C" w14:textId="77777777" w:rsidR="00354820" w:rsidRDefault="00354820" w:rsidP="0069399F">
      <w:pPr>
        <w:spacing w:after="0" w:line="240" w:lineRule="auto"/>
      </w:pPr>
      <w:r>
        <w:separator/>
      </w:r>
    </w:p>
  </w:endnote>
  <w:endnote w:type="continuationSeparator" w:id="0">
    <w:p w14:paraId="7CDA8A46" w14:textId="77777777" w:rsidR="00354820" w:rsidRDefault="00354820" w:rsidP="0069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974819"/>
      <w:docPartObj>
        <w:docPartGallery w:val="Page Numbers (Bottom of Page)"/>
        <w:docPartUnique/>
      </w:docPartObj>
    </w:sdtPr>
    <w:sdtEndPr/>
    <w:sdtContent>
      <w:p w14:paraId="29E8F4AF" w14:textId="347FB6F1" w:rsidR="008A358E" w:rsidRDefault="008A358E">
        <w:pPr>
          <w:pStyle w:val="Voettekst"/>
          <w:jc w:val="right"/>
        </w:pPr>
        <w:r>
          <w:fldChar w:fldCharType="begin"/>
        </w:r>
        <w:r>
          <w:instrText>PAGE   \* MERGEFORMAT</w:instrText>
        </w:r>
        <w:r>
          <w:fldChar w:fldCharType="separate"/>
        </w:r>
        <w:r>
          <w:rPr>
            <w:lang w:val="nl-NL"/>
          </w:rPr>
          <w:t>2</w:t>
        </w:r>
        <w:r>
          <w:fldChar w:fldCharType="end"/>
        </w:r>
      </w:p>
    </w:sdtContent>
  </w:sdt>
  <w:p w14:paraId="1B3EFAE1" w14:textId="77777777" w:rsidR="008A358E" w:rsidRDefault="008A3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79C1" w14:textId="77777777" w:rsidR="00354820" w:rsidRDefault="00354820" w:rsidP="0069399F">
      <w:pPr>
        <w:spacing w:after="0" w:line="240" w:lineRule="auto"/>
      </w:pPr>
      <w:r>
        <w:separator/>
      </w:r>
    </w:p>
  </w:footnote>
  <w:footnote w:type="continuationSeparator" w:id="0">
    <w:p w14:paraId="62B070B1" w14:textId="77777777" w:rsidR="00354820" w:rsidRDefault="00354820" w:rsidP="0069399F">
      <w:pPr>
        <w:spacing w:after="0" w:line="240" w:lineRule="auto"/>
      </w:pPr>
      <w:r>
        <w:continuationSeparator/>
      </w:r>
    </w:p>
  </w:footnote>
  <w:footnote w:id="1">
    <w:p w14:paraId="25CFD989" w14:textId="77777777" w:rsidR="0069399F" w:rsidRPr="005750EA" w:rsidRDefault="0069399F" w:rsidP="0069399F">
      <w:pPr>
        <w:pStyle w:val="Voetnoottekst"/>
        <w:rPr>
          <w:lang w:val="en-US"/>
        </w:rPr>
      </w:pPr>
      <w:r>
        <w:rPr>
          <w:rStyle w:val="Voetnootmarkering"/>
        </w:rPr>
        <w:footnoteRef/>
      </w:r>
      <w:r w:rsidRPr="00A82513">
        <w:rPr>
          <w:lang w:val="en-US"/>
        </w:rPr>
        <w:t xml:space="preserve"> </w:t>
      </w:r>
      <w:r w:rsidRPr="007749CD">
        <w:rPr>
          <w:rFonts w:cstheme="minorHAnsi"/>
          <w:color w:val="000000"/>
          <w:shd w:val="clear" w:color="auto" w:fill="FFFFFF"/>
          <w:lang w:val="en-GB"/>
        </w:rPr>
        <w:t>Māori people are the i</w:t>
      </w:r>
      <w:r>
        <w:rPr>
          <w:rFonts w:cstheme="minorHAnsi"/>
          <w:color w:val="000000"/>
          <w:shd w:val="clear" w:color="auto" w:fill="FFFFFF"/>
          <w:lang w:val="en-GB"/>
        </w:rPr>
        <w:t>ndigenous people of Aotearoa New Zealand.</w:t>
      </w:r>
    </w:p>
  </w:footnote>
  <w:footnote w:id="2">
    <w:p w14:paraId="71287D59" w14:textId="5C20DDCC" w:rsidR="0069399F" w:rsidRPr="005156BA" w:rsidRDefault="0069399F" w:rsidP="005156BA">
      <w:pPr>
        <w:spacing w:line="240" w:lineRule="auto"/>
        <w:rPr>
          <w:rFonts w:cstheme="minorHAnsi"/>
          <w:color w:val="000000"/>
          <w:sz w:val="20"/>
          <w:szCs w:val="20"/>
          <w:shd w:val="clear" w:color="auto" w:fill="FFFFFF"/>
          <w:lang w:val="en-GB"/>
        </w:rPr>
      </w:pPr>
      <w:r>
        <w:rPr>
          <w:rStyle w:val="Voetnootmarkering"/>
        </w:rPr>
        <w:footnoteRef/>
      </w:r>
      <w:r w:rsidRPr="00BB5D39">
        <w:rPr>
          <w:lang w:val="en-GB"/>
        </w:rPr>
        <w:t xml:space="preserve"> </w:t>
      </w:r>
      <w:r w:rsidRPr="00BB5D39">
        <w:rPr>
          <w:rFonts w:cstheme="minorHAnsi"/>
          <w:color w:val="000000"/>
          <w:sz w:val="20"/>
          <w:szCs w:val="20"/>
          <w:shd w:val="clear" w:color="auto" w:fill="FFFFFF"/>
          <w:lang w:val="en-GB"/>
        </w:rPr>
        <w:t>Aotearoa is the Māori name for New Zealand.</w:t>
      </w:r>
      <w:r w:rsidR="00E20BB7">
        <w:rPr>
          <w:rFonts w:cstheme="minorHAnsi"/>
          <w:color w:val="000000"/>
          <w:sz w:val="20"/>
          <w:szCs w:val="20"/>
          <w:shd w:val="clear" w:color="auto" w:fill="FFFFFF"/>
          <w:lang w:val="en-GB"/>
        </w:rPr>
        <w:t xml:space="preserve"> </w:t>
      </w:r>
      <w:r w:rsidR="003A10B4">
        <w:rPr>
          <w:rFonts w:cstheme="minorHAnsi"/>
          <w:color w:val="000000"/>
          <w:sz w:val="20"/>
          <w:szCs w:val="20"/>
          <w:shd w:val="clear" w:color="auto" w:fill="FFFFFF"/>
          <w:lang w:val="en-GB"/>
        </w:rPr>
        <w:t xml:space="preserve">During </w:t>
      </w:r>
      <w:r w:rsidR="00164D18" w:rsidRPr="00BB5D39">
        <w:rPr>
          <w:rFonts w:cstheme="minorHAnsi"/>
          <w:color w:val="000000"/>
          <w:sz w:val="20"/>
          <w:szCs w:val="20"/>
          <w:shd w:val="clear" w:color="auto" w:fill="FFFFFF"/>
          <w:lang w:val="en-GB"/>
        </w:rPr>
        <w:t>parliamentary speeches the country is mostly referred to as Aotearoa New Zealand. This</w:t>
      </w:r>
      <w:r w:rsidR="00164D18">
        <w:rPr>
          <w:rFonts w:cstheme="minorHAnsi"/>
          <w:color w:val="000000"/>
          <w:sz w:val="20"/>
          <w:szCs w:val="20"/>
          <w:shd w:val="clear" w:color="auto" w:fill="FFFFFF"/>
          <w:lang w:val="en-GB"/>
        </w:rPr>
        <w:t xml:space="preserve"> </w:t>
      </w:r>
      <w:r w:rsidR="00164D18" w:rsidRPr="00BB5D39">
        <w:rPr>
          <w:rFonts w:cstheme="minorHAnsi"/>
          <w:color w:val="000000"/>
          <w:sz w:val="20"/>
          <w:szCs w:val="20"/>
          <w:shd w:val="clear" w:color="auto" w:fill="FFFFFF"/>
          <w:lang w:val="en-GB"/>
        </w:rPr>
        <w:t>thesis will use the same naming, ‘Aotearoa New Zealand’. In this way both the Māori language and English</w:t>
      </w:r>
      <w:r w:rsidR="00164D18">
        <w:rPr>
          <w:rFonts w:cstheme="minorHAnsi"/>
          <w:color w:val="000000"/>
          <w:sz w:val="20"/>
          <w:szCs w:val="20"/>
          <w:shd w:val="clear" w:color="auto" w:fill="FFFFFF"/>
          <w:lang w:val="en-GB"/>
        </w:rPr>
        <w:t xml:space="preserve"> </w:t>
      </w:r>
      <w:r w:rsidR="00164D18" w:rsidRPr="00BB5D39">
        <w:rPr>
          <w:rFonts w:cstheme="minorHAnsi"/>
          <w:color w:val="000000"/>
          <w:sz w:val="20"/>
          <w:szCs w:val="20"/>
          <w:shd w:val="clear" w:color="auto" w:fill="FFFFFF"/>
          <w:lang w:val="en-GB"/>
        </w:rPr>
        <w:t>are respected.</w:t>
      </w:r>
    </w:p>
  </w:footnote>
  <w:footnote w:id="3">
    <w:p w14:paraId="395DA768" w14:textId="73019628" w:rsidR="0069399F" w:rsidRPr="00FA77B8" w:rsidRDefault="0069399F" w:rsidP="0069399F">
      <w:pPr>
        <w:pStyle w:val="Voetnoottekst"/>
        <w:rPr>
          <w:lang w:val="en-GB"/>
        </w:rPr>
      </w:pPr>
      <w:r>
        <w:rPr>
          <w:rStyle w:val="Voetnootmarkering"/>
        </w:rPr>
        <w:footnoteRef/>
      </w:r>
      <w:r w:rsidRPr="00FA77B8">
        <w:rPr>
          <w:lang w:val="en-GB"/>
        </w:rPr>
        <w:t xml:space="preserve"> </w:t>
      </w:r>
      <w:r w:rsidRPr="00417728">
        <w:rPr>
          <w:color w:val="000000"/>
          <w:lang w:val="en-GB"/>
        </w:rPr>
        <w:t xml:space="preserve">Electoral Commission. </w:t>
      </w:r>
      <w:r w:rsidRPr="00417728">
        <w:rPr>
          <w:i/>
          <w:color w:val="000000"/>
          <w:lang w:val="en-GB"/>
        </w:rPr>
        <w:t xml:space="preserve">What is MMP? </w:t>
      </w:r>
      <w:r w:rsidRPr="00417728">
        <w:rPr>
          <w:color w:val="000000"/>
          <w:lang w:val="en-GB"/>
        </w:rPr>
        <w:t>Accessible via</w:t>
      </w:r>
      <w:r>
        <w:rPr>
          <w:color w:val="000000"/>
          <w:lang w:val="en-GB"/>
        </w:rPr>
        <w:t xml:space="preserve"> </w:t>
      </w:r>
      <w:hyperlink r:id="rId1" w:history="1">
        <w:r w:rsidRPr="000B5046">
          <w:rPr>
            <w:rStyle w:val="Hyperlink"/>
            <w:lang w:val="en-GB"/>
          </w:rPr>
          <w:t>https://elections.nz/democracy-in-nz/what-is-new-zealands-system-of-government/what-is-mmp/</w:t>
        </w:r>
      </w:hyperlink>
    </w:p>
  </w:footnote>
  <w:footnote w:id="4">
    <w:p w14:paraId="58EC2628" w14:textId="7C234453" w:rsidR="0069399F" w:rsidRPr="003F7617" w:rsidRDefault="0069399F" w:rsidP="0069399F">
      <w:pPr>
        <w:pStyle w:val="Voetnoottekst"/>
        <w:rPr>
          <w:lang w:val="en-GB"/>
        </w:rPr>
      </w:pPr>
      <w:r>
        <w:rPr>
          <w:rStyle w:val="Voetnootmarkering"/>
        </w:rPr>
        <w:footnoteRef/>
      </w:r>
      <w:r w:rsidRPr="00CD6366">
        <w:rPr>
          <w:lang w:val="en-GB"/>
        </w:rPr>
        <w:t xml:space="preserve"> Electoral Commission. </w:t>
      </w:r>
      <w:r w:rsidRPr="00CD6366">
        <w:rPr>
          <w:i/>
          <w:iCs/>
          <w:lang w:val="en-GB"/>
        </w:rPr>
        <w:t>W</w:t>
      </w:r>
      <w:r>
        <w:rPr>
          <w:i/>
          <w:iCs/>
          <w:lang w:val="en-GB"/>
        </w:rPr>
        <w:t xml:space="preserve">hat is the </w:t>
      </w:r>
      <w:r w:rsidRPr="008A1246">
        <w:rPr>
          <w:i/>
          <w:iCs/>
          <w:color w:val="000000"/>
          <w:lang w:val="en-GB"/>
        </w:rPr>
        <w:t>Māori</w:t>
      </w:r>
      <w:r w:rsidRPr="007D7E22">
        <w:rPr>
          <w:color w:val="000000"/>
          <w:lang w:val="en-GB"/>
        </w:rPr>
        <w:t xml:space="preserve"> </w:t>
      </w:r>
      <w:r>
        <w:rPr>
          <w:i/>
          <w:iCs/>
          <w:lang w:val="en-GB"/>
        </w:rPr>
        <w:t xml:space="preserve">Electoral Option? </w:t>
      </w:r>
      <w:r>
        <w:rPr>
          <w:lang w:val="en-GB"/>
        </w:rPr>
        <w:t xml:space="preserve">Accessible via </w:t>
      </w:r>
      <w:hyperlink r:id="rId2" w:history="1">
        <w:r w:rsidR="003F7617" w:rsidRPr="002861B0">
          <w:rPr>
            <w:rStyle w:val="Hyperlink"/>
            <w:lang w:val="en-GB"/>
          </w:rPr>
          <w:t>https://elections.nz/democracy-in-nz/what-is-an-electoral-roll/what-is-the-maori-electoral-option/</w:t>
        </w:r>
      </w:hyperlink>
      <w:r w:rsidR="003F7617">
        <w:rPr>
          <w:lang w:val="en-GB"/>
        </w:rPr>
        <w:t xml:space="preserve"> </w:t>
      </w:r>
    </w:p>
  </w:footnote>
  <w:footnote w:id="5">
    <w:p w14:paraId="3A3E4584" w14:textId="564A5C44" w:rsidR="00A21B9A" w:rsidRPr="0027153D" w:rsidRDefault="00A21B9A" w:rsidP="00A21B9A">
      <w:pPr>
        <w:rPr>
          <w:iCs/>
          <w:color w:val="000000"/>
          <w:highlight w:val="white"/>
          <w:lang w:val="en-GB"/>
        </w:rPr>
      </w:pPr>
      <w:r>
        <w:rPr>
          <w:rStyle w:val="Voetnootmarkering"/>
        </w:rPr>
        <w:footnoteRef/>
      </w:r>
      <w:r w:rsidRPr="0027153D">
        <w:rPr>
          <w:lang w:val="en-GB"/>
        </w:rPr>
        <w:t xml:space="preserve"> </w:t>
      </w:r>
      <w:r w:rsidRPr="0027153D">
        <w:rPr>
          <w:color w:val="000000"/>
          <w:sz w:val="20"/>
          <w:szCs w:val="20"/>
          <w:highlight w:val="white"/>
          <w:lang w:val="en-GB"/>
        </w:rPr>
        <w:t xml:space="preserve">United Nations. </w:t>
      </w:r>
      <w:r w:rsidRPr="0027153D">
        <w:rPr>
          <w:i/>
          <w:color w:val="000000"/>
          <w:sz w:val="20"/>
          <w:szCs w:val="20"/>
          <w:highlight w:val="white"/>
          <w:lang w:val="en-GB"/>
        </w:rPr>
        <w:t>United Nations Declaration on the Rights of Indigenous Peoples</w:t>
      </w:r>
      <w:r w:rsidRPr="0027153D">
        <w:rPr>
          <w:i/>
          <w:sz w:val="20"/>
          <w:szCs w:val="20"/>
          <w:lang w:val="en-GB"/>
        </w:rPr>
        <w:t xml:space="preserve">. </w:t>
      </w:r>
      <w:r w:rsidRPr="0027153D">
        <w:rPr>
          <w:iCs/>
          <w:sz w:val="20"/>
          <w:szCs w:val="20"/>
          <w:lang w:val="en-GB"/>
        </w:rPr>
        <w:t xml:space="preserve">Accessible via </w:t>
      </w:r>
      <w:hyperlink r:id="rId3" w:history="1">
        <w:r w:rsidRPr="0027153D">
          <w:rPr>
            <w:rStyle w:val="Hyperlink"/>
            <w:iCs/>
            <w:sz w:val="20"/>
            <w:szCs w:val="20"/>
            <w:lang w:val="en-GB"/>
          </w:rPr>
          <w:t>https://www.un.org/development/desa/indigenouspeoples/declaration-on-the-rights-of-indigenous-peoples.html</w:t>
        </w:r>
      </w:hyperlink>
    </w:p>
  </w:footnote>
  <w:footnote w:id="6">
    <w:p w14:paraId="5B828711" w14:textId="77777777" w:rsidR="0069399F" w:rsidRPr="0069399F" w:rsidRDefault="0069399F" w:rsidP="0069399F">
      <w:pPr>
        <w:pStyle w:val="Voetnoottekst"/>
        <w:rPr>
          <w:lang w:val="en-GB"/>
        </w:rPr>
      </w:pPr>
      <w:r>
        <w:rPr>
          <w:rStyle w:val="Voetnootmarkering"/>
        </w:rPr>
        <w:footnoteRef/>
      </w:r>
      <w:r w:rsidRPr="0069399F">
        <w:rPr>
          <w:lang w:val="en-GB"/>
        </w:rPr>
        <w:t xml:space="preserve"> Categorical data is made up of two or more unordered categories (Field, 2013, p.8-9). When a categorical variable has two categories it is called a binary variable and when it has more than two categories it is called a nominal variable. </w:t>
      </w:r>
    </w:p>
  </w:footnote>
  <w:footnote w:id="7">
    <w:p w14:paraId="4E29FB32" w14:textId="58C86286" w:rsidR="007C6F84" w:rsidRPr="00FF6756" w:rsidRDefault="007C6F84">
      <w:pPr>
        <w:pStyle w:val="Voetnoottekst"/>
        <w:rPr>
          <w:lang w:val="en-GB"/>
        </w:rPr>
      </w:pPr>
      <w:r>
        <w:rPr>
          <w:rStyle w:val="Voetnootmarkering"/>
        </w:rPr>
        <w:footnoteRef/>
      </w:r>
      <w:r w:rsidRPr="00FF6756">
        <w:rPr>
          <w:lang w:val="en-GB"/>
        </w:rPr>
        <w:t xml:space="preserve"> </w:t>
      </w:r>
      <w:r w:rsidR="00FF6756">
        <w:rPr>
          <w:lang w:val="en-GB"/>
        </w:rPr>
        <w:t xml:space="preserve">A chi-square test measures the relationship between two </w:t>
      </w:r>
      <w:r w:rsidR="00FF6756" w:rsidRPr="00FF6756">
        <w:rPr>
          <w:lang w:val="en-GB"/>
        </w:rPr>
        <w:t>categorical variables</w:t>
      </w:r>
      <w:r w:rsidR="00FF6756">
        <w:rPr>
          <w:lang w:val="en-GB"/>
        </w:rPr>
        <w:t xml:space="preserve"> by</w:t>
      </w:r>
      <w:r w:rsidR="00FF6756" w:rsidRPr="00FF6756">
        <w:rPr>
          <w:lang w:val="en-GB"/>
        </w:rPr>
        <w:t xml:space="preserve"> comparing th</w:t>
      </w:r>
      <w:r w:rsidR="00FF6756">
        <w:rPr>
          <w:lang w:val="en-GB"/>
        </w:rPr>
        <w:t>e observed and expected frequencies. (Field, 2013, p.</w:t>
      </w:r>
      <w:r w:rsidR="00F750FA">
        <w:rPr>
          <w:lang w:val="en-GB"/>
        </w:rPr>
        <w:t>721-722</w:t>
      </w:r>
      <w:r w:rsidR="00FF6756">
        <w:rPr>
          <w:lang w:val="en-GB"/>
        </w:rPr>
        <w:t>).</w:t>
      </w:r>
    </w:p>
  </w:footnote>
  <w:footnote w:id="8">
    <w:p w14:paraId="30CA68CD" w14:textId="0A276071" w:rsidR="00605BFA" w:rsidRPr="00605BFA" w:rsidRDefault="00605BFA">
      <w:pPr>
        <w:pStyle w:val="Voetnoottekst"/>
        <w:rPr>
          <w:lang w:val="en-GB"/>
        </w:rPr>
      </w:pPr>
      <w:r>
        <w:rPr>
          <w:rStyle w:val="Voetnootmarkering"/>
        </w:rPr>
        <w:footnoteRef/>
      </w:r>
      <w:r w:rsidRPr="00605BFA">
        <w:rPr>
          <w:lang w:val="en-GB"/>
        </w:rPr>
        <w:t xml:space="preserve"> </w:t>
      </w:r>
      <w:r w:rsidRPr="0069399F">
        <w:rPr>
          <w:lang w:val="en-GB"/>
        </w:rPr>
        <w:t>A Cramer’s V test measures the strength of association by restricting the range of the test statistic from 0 to 1 (Field, 2013, p.725).</w:t>
      </w:r>
    </w:p>
  </w:footnote>
  <w:footnote w:id="9">
    <w:p w14:paraId="3E5CFC57" w14:textId="0953EB69" w:rsidR="0027153D" w:rsidRPr="00D13A60" w:rsidRDefault="0027153D" w:rsidP="00D13A60">
      <w:pPr>
        <w:pStyle w:val="Geenafstand"/>
        <w:rPr>
          <w:sz w:val="20"/>
          <w:szCs w:val="20"/>
        </w:rPr>
      </w:pPr>
      <w:r w:rsidRPr="00D13A60">
        <w:rPr>
          <w:rStyle w:val="Voetnootmarkering"/>
          <w:sz w:val="20"/>
          <w:szCs w:val="20"/>
        </w:rPr>
        <w:footnoteRef/>
      </w:r>
      <w:r w:rsidRPr="00D13A60">
        <w:rPr>
          <w:sz w:val="20"/>
          <w:szCs w:val="20"/>
        </w:rPr>
        <w:t xml:space="preserve"> Parliament of Australia. </w:t>
      </w:r>
      <w:r w:rsidRPr="00D13A60">
        <w:rPr>
          <w:i/>
          <w:iCs/>
          <w:sz w:val="20"/>
          <w:szCs w:val="20"/>
        </w:rPr>
        <w:t xml:space="preserve">About the House of Representatives. </w:t>
      </w:r>
      <w:r w:rsidRPr="00D13A60">
        <w:rPr>
          <w:sz w:val="20"/>
          <w:szCs w:val="20"/>
        </w:rPr>
        <w:t xml:space="preserve">Accessible via </w:t>
      </w:r>
      <w:hyperlink r:id="rId4" w:history="1">
        <w:r w:rsidRPr="00D13A60">
          <w:rPr>
            <w:rStyle w:val="Hyperlink"/>
            <w:sz w:val="20"/>
            <w:szCs w:val="20"/>
          </w:rPr>
          <w:t>https://www.aph.gov.au/about_parliament/house_of_representatives/about_the_house_of_representatives</w:t>
        </w:r>
      </w:hyperlink>
    </w:p>
  </w:footnote>
  <w:footnote w:id="10">
    <w:p w14:paraId="60CBC824" w14:textId="7FDDF7BB" w:rsidR="0054287C" w:rsidRPr="00736420" w:rsidRDefault="0054287C" w:rsidP="00D13A60">
      <w:pPr>
        <w:pStyle w:val="Geenafstand"/>
        <w:rPr>
          <w:sz w:val="20"/>
          <w:szCs w:val="20"/>
        </w:rPr>
      </w:pPr>
      <w:r w:rsidRPr="00D13A60">
        <w:rPr>
          <w:rStyle w:val="Voetnootmarkering"/>
          <w:sz w:val="20"/>
          <w:szCs w:val="20"/>
        </w:rPr>
        <w:footnoteRef/>
      </w:r>
      <w:r w:rsidRPr="00D13A60">
        <w:rPr>
          <w:sz w:val="20"/>
          <w:szCs w:val="20"/>
        </w:rPr>
        <w:t xml:space="preserve"> </w:t>
      </w:r>
      <w:r w:rsidRPr="00D13A60">
        <w:rPr>
          <w:color w:val="000000"/>
          <w:sz w:val="20"/>
          <w:szCs w:val="20"/>
        </w:rPr>
        <w:t xml:space="preserve">Electoral Commission. </w:t>
      </w:r>
      <w:r w:rsidRPr="00D13A60">
        <w:rPr>
          <w:i/>
          <w:color w:val="000000"/>
          <w:sz w:val="20"/>
          <w:szCs w:val="20"/>
        </w:rPr>
        <w:t xml:space="preserve">What is MMP? </w:t>
      </w:r>
      <w:r w:rsidRPr="00D13A60">
        <w:rPr>
          <w:iCs/>
          <w:color w:val="000000"/>
          <w:sz w:val="20"/>
          <w:szCs w:val="20"/>
        </w:rPr>
        <w:t xml:space="preserve">Accessible </w:t>
      </w:r>
      <w:r w:rsidRPr="00736420">
        <w:rPr>
          <w:iCs/>
          <w:color w:val="000000"/>
          <w:sz w:val="20"/>
          <w:szCs w:val="20"/>
        </w:rPr>
        <w:t>via</w:t>
      </w:r>
      <w:r w:rsidRPr="00736420">
        <w:rPr>
          <w:i/>
          <w:color w:val="000000"/>
          <w:sz w:val="20"/>
          <w:szCs w:val="20"/>
        </w:rPr>
        <w:t xml:space="preserve"> </w:t>
      </w:r>
      <w:hyperlink r:id="rId5" w:history="1">
        <w:r w:rsidR="00736420" w:rsidRPr="00736420">
          <w:rPr>
            <w:rStyle w:val="Hyperlink"/>
            <w:sz w:val="20"/>
            <w:szCs w:val="20"/>
          </w:rPr>
          <w:t>https://elections.nz/democracy-in-nz/what-is-new-zealands-system-of-government/what-is-mmp/</w:t>
        </w:r>
      </w:hyperlink>
      <w:r w:rsidR="00736420" w:rsidRPr="00736420">
        <w:rPr>
          <w:sz w:val="20"/>
          <w:szCs w:val="20"/>
        </w:rPr>
        <w:t xml:space="preserve"> </w:t>
      </w:r>
    </w:p>
  </w:footnote>
  <w:footnote w:id="11">
    <w:p w14:paraId="4E214E78" w14:textId="6969ABB5" w:rsidR="004360D3" w:rsidRPr="00A61B61" w:rsidRDefault="004360D3" w:rsidP="00D13A60">
      <w:pPr>
        <w:pStyle w:val="Geenafstand"/>
        <w:rPr>
          <w:sz w:val="20"/>
          <w:szCs w:val="20"/>
        </w:rPr>
      </w:pPr>
      <w:r w:rsidRPr="00736420">
        <w:rPr>
          <w:rStyle w:val="Voetnootmarkering"/>
          <w:sz w:val="20"/>
          <w:szCs w:val="20"/>
        </w:rPr>
        <w:footnoteRef/>
      </w:r>
      <w:r w:rsidRPr="00736420">
        <w:rPr>
          <w:sz w:val="20"/>
          <w:szCs w:val="20"/>
        </w:rPr>
        <w:t xml:space="preserve"> </w:t>
      </w:r>
      <w:r w:rsidRPr="00736420">
        <w:rPr>
          <w:color w:val="000000"/>
          <w:sz w:val="20"/>
          <w:szCs w:val="20"/>
        </w:rPr>
        <w:t xml:space="preserve">Electoral Commission. </w:t>
      </w:r>
      <w:r w:rsidRPr="00736420">
        <w:rPr>
          <w:i/>
          <w:color w:val="000000"/>
          <w:sz w:val="20"/>
          <w:szCs w:val="20"/>
        </w:rPr>
        <w:t>What is the Māori Electoral</w:t>
      </w:r>
      <w:r w:rsidRPr="00D13A60">
        <w:rPr>
          <w:i/>
          <w:color w:val="000000"/>
          <w:sz w:val="20"/>
          <w:szCs w:val="20"/>
        </w:rPr>
        <w:t xml:space="preserve"> Option?</w:t>
      </w:r>
      <w:r w:rsidRPr="00D13A60">
        <w:rPr>
          <w:color w:val="000000"/>
          <w:sz w:val="20"/>
          <w:szCs w:val="20"/>
        </w:rPr>
        <w:t xml:space="preserve"> Accessible</w:t>
      </w:r>
      <w:r w:rsidRPr="00A61B61">
        <w:rPr>
          <w:color w:val="000000"/>
          <w:sz w:val="20"/>
          <w:szCs w:val="20"/>
        </w:rPr>
        <w:t xml:space="preserve"> via </w:t>
      </w:r>
      <w:hyperlink r:id="rId6" w:history="1">
        <w:r w:rsidR="00A61B61" w:rsidRPr="00A61B61">
          <w:rPr>
            <w:rStyle w:val="Hyperlink"/>
            <w:sz w:val="20"/>
            <w:szCs w:val="20"/>
          </w:rPr>
          <w:t>https://elections.nz/democracy-in-nz/what-is-an-electoral-roll/what-is-the-maori-electoral-option/</w:t>
        </w:r>
      </w:hyperlink>
      <w:r w:rsidR="00A61B61" w:rsidRPr="00A61B61">
        <w:rPr>
          <w:sz w:val="20"/>
          <w:szCs w:val="20"/>
        </w:rPr>
        <w:t xml:space="preserve"> </w:t>
      </w:r>
    </w:p>
  </w:footnote>
  <w:footnote w:id="12">
    <w:p w14:paraId="00819A80" w14:textId="2F3646EE" w:rsidR="0010235F" w:rsidRPr="0010235F" w:rsidRDefault="0010235F" w:rsidP="0010235F">
      <w:pPr>
        <w:rPr>
          <w:lang w:val="en-GB"/>
        </w:rPr>
      </w:pPr>
      <w:r w:rsidRPr="00A61B61">
        <w:rPr>
          <w:rStyle w:val="Voetnootmarkering"/>
          <w:sz w:val="20"/>
          <w:szCs w:val="20"/>
        </w:rPr>
        <w:footnoteRef/>
      </w:r>
      <w:r w:rsidRPr="00A61B61">
        <w:rPr>
          <w:sz w:val="20"/>
          <w:szCs w:val="20"/>
          <w:lang w:val="en-GB"/>
        </w:rPr>
        <w:t xml:space="preserve"> </w:t>
      </w:r>
      <w:r w:rsidRPr="00A61B61">
        <w:rPr>
          <w:color w:val="000000"/>
          <w:sz w:val="20"/>
          <w:szCs w:val="20"/>
          <w:lang w:val="en-GB"/>
        </w:rPr>
        <w:t xml:space="preserve">New Zealand Parliament. </w:t>
      </w:r>
      <w:r w:rsidRPr="00A61B61">
        <w:rPr>
          <w:i/>
          <w:color w:val="000000"/>
          <w:sz w:val="20"/>
          <w:szCs w:val="20"/>
          <w:lang w:val="en-GB"/>
        </w:rPr>
        <w:t xml:space="preserve">Electorate Profiles 2020. </w:t>
      </w:r>
      <w:r w:rsidRPr="00A61B61">
        <w:rPr>
          <w:color w:val="000000"/>
          <w:sz w:val="20"/>
          <w:szCs w:val="20"/>
          <w:lang w:val="en-GB"/>
        </w:rPr>
        <w:t>Accessible via</w:t>
      </w:r>
      <w:r w:rsidR="00D61365" w:rsidRPr="00A61B61">
        <w:rPr>
          <w:color w:val="000000"/>
          <w:sz w:val="20"/>
          <w:szCs w:val="20"/>
          <w:lang w:val="en-GB"/>
        </w:rPr>
        <w:t xml:space="preserve"> </w:t>
      </w:r>
      <w:hyperlink r:id="rId7" w:history="1">
        <w:r w:rsidR="00D61365" w:rsidRPr="00A61B61">
          <w:rPr>
            <w:rStyle w:val="Hyperlink"/>
            <w:sz w:val="20"/>
            <w:szCs w:val="20"/>
            <w:lang w:val="en-GB"/>
          </w:rPr>
          <w:t>https://www.parliament.nz/en/mps-and-electorates/electorate-profiles/</w:t>
        </w:r>
      </w:hyperlink>
    </w:p>
  </w:footnote>
  <w:footnote w:id="13">
    <w:p w14:paraId="29D9EA1C" w14:textId="19F77C41" w:rsidR="000F7694" w:rsidRPr="00DD2E99" w:rsidRDefault="000F7694" w:rsidP="000F7694">
      <w:pPr>
        <w:rPr>
          <w:lang w:val="en-GB"/>
        </w:rPr>
      </w:pPr>
      <w:r>
        <w:rPr>
          <w:rStyle w:val="Voetnootmarkering"/>
        </w:rPr>
        <w:footnoteRef/>
      </w:r>
      <w:r w:rsidRPr="00A12B23">
        <w:rPr>
          <w:lang w:val="en-GB"/>
        </w:rPr>
        <w:t xml:space="preserve"> </w:t>
      </w:r>
      <w:r w:rsidRPr="00A12B23">
        <w:rPr>
          <w:sz w:val="20"/>
          <w:szCs w:val="20"/>
          <w:lang w:val="en-GB"/>
        </w:rPr>
        <w:t xml:space="preserve">Hansard Reports. </w:t>
      </w:r>
      <w:r w:rsidRPr="00A12B23">
        <w:rPr>
          <w:i/>
          <w:iCs/>
          <w:sz w:val="20"/>
          <w:szCs w:val="20"/>
          <w:lang w:val="en-GB"/>
        </w:rPr>
        <w:t xml:space="preserve">Read Hansard Reports. </w:t>
      </w:r>
      <w:r>
        <w:rPr>
          <w:sz w:val="20"/>
          <w:szCs w:val="20"/>
          <w:lang w:val="en-GB"/>
        </w:rPr>
        <w:t xml:space="preserve">Accessible </w:t>
      </w:r>
      <w:r w:rsidRPr="00DD2E99">
        <w:rPr>
          <w:sz w:val="20"/>
          <w:szCs w:val="20"/>
          <w:lang w:val="en-GB"/>
        </w:rPr>
        <w:t xml:space="preserve">via </w:t>
      </w:r>
      <w:hyperlink r:id="rId8" w:history="1">
        <w:r w:rsidR="00DD2E99" w:rsidRPr="002861B0">
          <w:rPr>
            <w:rStyle w:val="Hyperlink"/>
            <w:sz w:val="20"/>
            <w:szCs w:val="20"/>
            <w:lang w:val="en-GB"/>
          </w:rPr>
          <w:t>https://www.parliament.nz/en/pb/hansard-debates/rhr/search</w:t>
        </w:r>
      </w:hyperlink>
      <w:r w:rsidR="00DD2E99">
        <w:rPr>
          <w:sz w:val="20"/>
          <w:szCs w:val="20"/>
          <w:lang w:val="en-GB"/>
        </w:rPr>
        <w:t xml:space="preserve"> </w:t>
      </w:r>
    </w:p>
  </w:footnote>
  <w:footnote w:id="14">
    <w:p w14:paraId="43C59860" w14:textId="7396D05E" w:rsidR="0015042B" w:rsidRPr="0015042B" w:rsidRDefault="0015042B" w:rsidP="0015042B">
      <w:pPr>
        <w:rPr>
          <w:lang w:val="en-GB"/>
        </w:rPr>
      </w:pPr>
      <w:r>
        <w:rPr>
          <w:rStyle w:val="Voetnootmarkering"/>
        </w:rPr>
        <w:footnoteRef/>
      </w:r>
      <w:r w:rsidRPr="0015042B">
        <w:rPr>
          <w:lang w:val="en-GB"/>
        </w:rPr>
        <w:t xml:space="preserve"> </w:t>
      </w:r>
      <w:r w:rsidRPr="0015042B">
        <w:rPr>
          <w:color w:val="000000"/>
          <w:sz w:val="20"/>
          <w:szCs w:val="20"/>
          <w:lang w:val="en-GB"/>
        </w:rPr>
        <w:t xml:space="preserve">NZ Human Rights. </w:t>
      </w:r>
      <w:r w:rsidRPr="0015042B">
        <w:rPr>
          <w:i/>
          <w:iCs/>
          <w:color w:val="000000"/>
          <w:sz w:val="20"/>
          <w:szCs w:val="20"/>
          <w:lang w:val="en-GB"/>
        </w:rPr>
        <w:t xml:space="preserve">The Rights of Indigenous Peoples. </w:t>
      </w:r>
      <w:r w:rsidRPr="0015042B">
        <w:rPr>
          <w:color w:val="000000"/>
          <w:sz w:val="20"/>
          <w:szCs w:val="20"/>
          <w:lang w:val="en-GB"/>
        </w:rPr>
        <w:t xml:space="preserve">Accessible via </w:t>
      </w:r>
      <w:hyperlink r:id="rId9" w:history="1">
        <w:r w:rsidRPr="0015042B">
          <w:rPr>
            <w:rStyle w:val="Hyperlink"/>
            <w:sz w:val="20"/>
            <w:szCs w:val="20"/>
            <w:lang w:val="en-GB"/>
          </w:rPr>
          <w:t>https://www.hrc.co.nz/files/5814/5618/4456/NZHR_Booklet_12_WEB.pdf</w:t>
        </w:r>
      </w:hyperlink>
    </w:p>
  </w:footnote>
  <w:footnote w:id="15">
    <w:p w14:paraId="1DC4EDE6" w14:textId="1DFEA12B" w:rsidR="003E5356" w:rsidRPr="003E5356" w:rsidRDefault="003E5356">
      <w:pPr>
        <w:pStyle w:val="Voetnoottekst"/>
        <w:rPr>
          <w:lang w:val="en-GB"/>
        </w:rPr>
      </w:pPr>
      <w:r>
        <w:rPr>
          <w:rStyle w:val="Voetnootmarkering"/>
        </w:rPr>
        <w:footnoteRef/>
      </w:r>
      <w:r w:rsidRPr="003E5356">
        <w:rPr>
          <w:lang w:val="en-GB"/>
        </w:rPr>
        <w:t xml:space="preserve"> </w:t>
      </w:r>
      <w:r w:rsidR="006848D1" w:rsidRPr="00C664CE">
        <w:rPr>
          <w:rFonts w:cstheme="minorHAnsi"/>
          <w:lang w:val="en-GB"/>
        </w:rPr>
        <w:t xml:space="preserve">Pākehā people are peoples from </w:t>
      </w:r>
      <w:r w:rsidR="006848D1" w:rsidRPr="00C664CE">
        <w:rPr>
          <w:rFonts w:cstheme="minorHAnsi"/>
          <w:shd w:val="clear" w:color="auto" w:fill="FFFFFF"/>
          <w:lang w:val="en-GB"/>
        </w:rPr>
        <w:t xml:space="preserve">English, foreign, European, exotic </w:t>
      </w:r>
      <w:r w:rsidR="00C74A04" w:rsidRPr="00C664CE">
        <w:rPr>
          <w:rFonts w:cstheme="minorHAnsi"/>
          <w:shd w:val="clear" w:color="auto" w:fill="FFFFFF"/>
          <w:lang w:val="en-GB"/>
        </w:rPr>
        <w:t xml:space="preserve">descent, </w:t>
      </w:r>
      <w:r w:rsidR="006848D1" w:rsidRPr="00C664CE">
        <w:rPr>
          <w:rFonts w:cstheme="minorHAnsi"/>
          <w:shd w:val="clear" w:color="auto" w:fill="FFFFFF"/>
          <w:lang w:val="en-GB"/>
        </w:rPr>
        <w:t>introduced from or originating in a foreign country.</w:t>
      </w:r>
      <w:r w:rsidR="00C74A04" w:rsidRPr="00C664CE">
        <w:rPr>
          <w:rFonts w:cstheme="minorHAnsi"/>
          <w:shd w:val="clear" w:color="auto" w:fill="FFFFFF"/>
          <w:lang w:val="en-GB"/>
        </w:rPr>
        <w:t xml:space="preserve"> Source:</w:t>
      </w:r>
      <w:r w:rsidR="006848D1" w:rsidRPr="00C664CE">
        <w:rPr>
          <w:rFonts w:cstheme="minorHAnsi"/>
          <w:lang w:val="en-GB"/>
        </w:rPr>
        <w:t xml:space="preserve"> </w:t>
      </w:r>
      <w:r w:rsidRPr="00C664CE">
        <w:rPr>
          <w:rFonts w:cstheme="minorHAnsi"/>
          <w:lang w:val="en-GB"/>
        </w:rPr>
        <w:t xml:space="preserve">Māori </w:t>
      </w:r>
      <w:r w:rsidRPr="006848D1">
        <w:rPr>
          <w:rFonts w:cstheme="minorHAnsi"/>
          <w:color w:val="000000"/>
          <w:lang w:val="en-GB"/>
        </w:rPr>
        <w:t>Dictionary</w:t>
      </w:r>
      <w:r w:rsidRPr="003E5356">
        <w:rPr>
          <w:color w:val="000000"/>
          <w:lang w:val="en-GB"/>
        </w:rPr>
        <w:t xml:space="preserve">. </w:t>
      </w:r>
      <w:r>
        <w:rPr>
          <w:color w:val="000000"/>
          <w:lang w:val="en-GB"/>
        </w:rPr>
        <w:t>Accessible vi</w:t>
      </w:r>
      <w:r w:rsidR="00E05D36">
        <w:rPr>
          <w:color w:val="000000"/>
          <w:lang w:val="en-GB"/>
        </w:rPr>
        <w:t xml:space="preserve">a </w:t>
      </w:r>
      <w:hyperlink r:id="rId10" w:history="1">
        <w:r w:rsidR="00D00CF9" w:rsidRPr="002861B0">
          <w:rPr>
            <w:rStyle w:val="Hyperlink"/>
            <w:lang w:val="en-GB"/>
          </w:rPr>
          <w:t>https://maoridictionary.co.nz/search?idiom=&amp;phrase=&amp;proverb=&amp;loan=&amp;histLoanWords=&amp;keywords=pakeha</w:t>
        </w:r>
      </w:hyperlink>
    </w:p>
  </w:footnote>
  <w:footnote w:id="16">
    <w:p w14:paraId="4DDF4CBC" w14:textId="77777777" w:rsidR="00AA2198" w:rsidRPr="00C00743" w:rsidRDefault="00AA2198" w:rsidP="00AA2198">
      <w:pPr>
        <w:pStyle w:val="Voetnoottekst"/>
        <w:rPr>
          <w:lang w:val="en-GB"/>
        </w:rPr>
      </w:pPr>
      <w:r>
        <w:rPr>
          <w:rStyle w:val="Voetnootmarkering"/>
        </w:rPr>
        <w:footnoteRef/>
      </w:r>
      <w:r w:rsidRPr="00C00743">
        <w:rPr>
          <w:lang w:val="en-GB"/>
        </w:rPr>
        <w:t xml:space="preserve"> </w:t>
      </w:r>
      <w:r w:rsidRPr="0069399F">
        <w:rPr>
          <w:lang w:val="en-GB"/>
        </w:rPr>
        <w:t xml:space="preserve">New Zealand History. </w:t>
      </w:r>
      <w:r w:rsidRPr="00D7697E">
        <w:rPr>
          <w:i/>
          <w:iCs/>
          <w:lang w:val="en-GB"/>
        </w:rPr>
        <w:t>Māori</w:t>
      </w:r>
      <w:r w:rsidRPr="0069399F">
        <w:rPr>
          <w:i/>
          <w:lang w:val="en-GB"/>
        </w:rPr>
        <w:t xml:space="preserve"> and European population numbers. </w:t>
      </w:r>
      <w:r w:rsidRPr="0069399F">
        <w:rPr>
          <w:lang w:val="en-GB"/>
        </w:rPr>
        <w:t xml:space="preserve">Accessible via </w:t>
      </w:r>
      <w:hyperlink r:id="rId11">
        <w:r w:rsidRPr="0069399F">
          <w:rPr>
            <w:color w:val="0563C1"/>
            <w:u w:val="single"/>
            <w:lang w:val="en-GB"/>
          </w:rPr>
          <w:t>https://nzhistory.govt.nz/media/photo/maori-and-european-population-numbers-1838%E2%80%931901</w:t>
        </w:r>
      </w:hyperlink>
    </w:p>
  </w:footnote>
  <w:footnote w:id="17">
    <w:p w14:paraId="6F72A72E" w14:textId="79274FB4" w:rsidR="0069399F" w:rsidRPr="0069399F" w:rsidRDefault="0069399F" w:rsidP="00D13A60">
      <w:pPr>
        <w:pStyle w:val="Geenafstand"/>
      </w:pPr>
      <w:r>
        <w:rPr>
          <w:rStyle w:val="Voetnootmarkering"/>
        </w:rPr>
        <w:footnoteRef/>
      </w:r>
      <w:r w:rsidRPr="0069399F">
        <w:t xml:space="preserve"> </w:t>
      </w:r>
      <w:r w:rsidRPr="0069399F">
        <w:rPr>
          <w:sz w:val="20"/>
          <w:szCs w:val="20"/>
        </w:rPr>
        <w:t xml:space="preserve">Waitangi Tribunal. </w:t>
      </w:r>
      <w:r w:rsidRPr="0069399F">
        <w:rPr>
          <w:i/>
          <w:sz w:val="20"/>
          <w:szCs w:val="20"/>
        </w:rPr>
        <w:t xml:space="preserve">Publications and Resources. </w:t>
      </w:r>
      <w:r w:rsidRPr="0069399F">
        <w:rPr>
          <w:sz w:val="20"/>
          <w:szCs w:val="20"/>
        </w:rPr>
        <w:t xml:space="preserve">Accessible via </w:t>
      </w:r>
      <w:hyperlink r:id="rId12" w:history="1">
        <w:r w:rsidRPr="0069399F">
          <w:rPr>
            <w:rStyle w:val="Hyperlink"/>
            <w:sz w:val="20"/>
            <w:szCs w:val="20"/>
          </w:rPr>
          <w:t>https://waitangitribunal.govt.nz/publications-and-resources/school-resources/treaty-past-and-present/section-5/</w:t>
        </w:r>
      </w:hyperlink>
    </w:p>
  </w:footnote>
  <w:footnote w:id="18">
    <w:p w14:paraId="6DA1F362" w14:textId="378676D3" w:rsidR="00116151" w:rsidRPr="00D13A60" w:rsidRDefault="00116151" w:rsidP="00D13A60">
      <w:pPr>
        <w:pStyle w:val="Geenafstand"/>
        <w:rPr>
          <w:sz w:val="20"/>
          <w:szCs w:val="20"/>
        </w:rPr>
      </w:pPr>
      <w:r w:rsidRPr="00D13A60">
        <w:rPr>
          <w:rStyle w:val="Voetnootmarkering"/>
          <w:sz w:val="20"/>
          <w:szCs w:val="20"/>
        </w:rPr>
        <w:footnoteRef/>
      </w:r>
      <w:r w:rsidRPr="00D13A60">
        <w:rPr>
          <w:sz w:val="20"/>
          <w:szCs w:val="20"/>
        </w:rPr>
        <w:t xml:space="preserve"> New Zealand History. </w:t>
      </w:r>
      <w:r w:rsidRPr="00D13A60">
        <w:rPr>
          <w:i/>
          <w:sz w:val="20"/>
          <w:szCs w:val="20"/>
        </w:rPr>
        <w:t xml:space="preserve">The Treaty in practice. </w:t>
      </w:r>
      <w:r w:rsidRPr="00D13A60">
        <w:rPr>
          <w:sz w:val="20"/>
          <w:szCs w:val="20"/>
        </w:rPr>
        <w:t xml:space="preserve">Accessible via </w:t>
      </w:r>
      <w:hyperlink r:id="rId13">
        <w:r w:rsidRPr="00D13A60">
          <w:rPr>
            <w:color w:val="0563C1"/>
            <w:sz w:val="20"/>
            <w:szCs w:val="20"/>
            <w:u w:val="single"/>
          </w:rPr>
          <w:t>https://nzhistory.govt.nz/politics/treaty/the-treaty-in-practice/early-crown-policy</w:t>
        </w:r>
      </w:hyperlink>
    </w:p>
  </w:footnote>
  <w:footnote w:id="19">
    <w:p w14:paraId="7805B77D" w14:textId="14F7A931" w:rsidR="0069399F" w:rsidRPr="0069399F" w:rsidRDefault="0069399F" w:rsidP="00D13A60">
      <w:pPr>
        <w:pStyle w:val="Geenafstand"/>
      </w:pPr>
      <w:r w:rsidRPr="00D13A60">
        <w:rPr>
          <w:rStyle w:val="Voetnootmarkering"/>
          <w:sz w:val="20"/>
          <w:szCs w:val="20"/>
        </w:rPr>
        <w:footnoteRef/>
      </w:r>
      <w:r w:rsidRPr="00D13A60">
        <w:rPr>
          <w:sz w:val="20"/>
          <w:szCs w:val="20"/>
        </w:rPr>
        <w:t xml:space="preserve"> Waitangi Tribunal.</w:t>
      </w:r>
      <w:r w:rsidR="00D646AA" w:rsidRPr="00D13A60">
        <w:rPr>
          <w:sz w:val="20"/>
          <w:szCs w:val="20"/>
        </w:rPr>
        <w:t xml:space="preserve"> </w:t>
      </w:r>
      <w:r w:rsidR="00D646AA" w:rsidRPr="00D13A60">
        <w:rPr>
          <w:i/>
          <w:iCs/>
          <w:sz w:val="20"/>
          <w:szCs w:val="20"/>
        </w:rPr>
        <w:t>Waitangi Tribunal.</w:t>
      </w:r>
      <w:r w:rsidRPr="00D13A60">
        <w:rPr>
          <w:sz w:val="20"/>
          <w:szCs w:val="20"/>
        </w:rPr>
        <w:t xml:space="preserve"> Accessible via </w:t>
      </w:r>
      <w:hyperlink r:id="rId14" w:history="1">
        <w:r w:rsidRPr="00D13A60">
          <w:rPr>
            <w:rStyle w:val="Hyperlink"/>
            <w:sz w:val="20"/>
            <w:szCs w:val="20"/>
          </w:rPr>
          <w:t>https://www.waitangitribunal.govt.nz/</w:t>
        </w:r>
      </w:hyperlink>
      <w:r w:rsidRPr="0069399F">
        <w:t xml:space="preserve"> </w:t>
      </w:r>
    </w:p>
  </w:footnote>
  <w:footnote w:id="20">
    <w:p w14:paraId="0E5D2B60" w14:textId="51B8F05E" w:rsidR="0069399F" w:rsidRPr="0069399F" w:rsidRDefault="0069399F" w:rsidP="0069399F">
      <w:pPr>
        <w:pStyle w:val="Voetnoottekst"/>
        <w:rPr>
          <w:lang w:val="en-GB"/>
        </w:rPr>
      </w:pPr>
      <w:r>
        <w:rPr>
          <w:rStyle w:val="Voetnootmarkering"/>
        </w:rPr>
        <w:footnoteRef/>
      </w:r>
      <w:r w:rsidRPr="0069399F">
        <w:rPr>
          <w:lang w:val="en-GB"/>
        </w:rPr>
        <w:t xml:space="preserve"> NZ History. </w:t>
      </w:r>
      <w:r w:rsidRPr="0069399F">
        <w:rPr>
          <w:i/>
          <w:iCs/>
          <w:lang w:val="en-GB"/>
        </w:rPr>
        <w:t xml:space="preserve">The Road to MMP. </w:t>
      </w:r>
      <w:r w:rsidRPr="0069399F">
        <w:rPr>
          <w:lang w:val="en-GB"/>
        </w:rPr>
        <w:t xml:space="preserve">Accessible via </w:t>
      </w:r>
      <w:hyperlink r:id="rId15" w:history="1">
        <w:r w:rsidRPr="0069399F">
          <w:rPr>
            <w:rStyle w:val="Hyperlink"/>
            <w:lang w:val="en-GB"/>
          </w:rPr>
          <w:t>https://nzhistory.govt.nz/politics/fpp-to-mmp</w:t>
        </w:r>
      </w:hyperlink>
    </w:p>
  </w:footnote>
  <w:footnote w:id="21">
    <w:p w14:paraId="026A8712" w14:textId="2312FCDB" w:rsidR="00FD419E" w:rsidRPr="00FD419E" w:rsidRDefault="00FD419E" w:rsidP="00FD419E">
      <w:pPr>
        <w:rPr>
          <w:color w:val="000000"/>
          <w:lang w:val="en-GB"/>
        </w:rPr>
      </w:pPr>
      <w:r>
        <w:rPr>
          <w:rStyle w:val="Voetnootmarkering"/>
        </w:rPr>
        <w:footnoteRef/>
      </w:r>
      <w:r w:rsidRPr="00FD419E">
        <w:rPr>
          <w:lang w:val="en-GB"/>
        </w:rPr>
        <w:t xml:space="preserve"> </w:t>
      </w:r>
      <w:r w:rsidRPr="00FD419E">
        <w:rPr>
          <w:sz w:val="20"/>
          <w:szCs w:val="20"/>
          <w:lang w:val="en-GB"/>
        </w:rPr>
        <w:t xml:space="preserve">Labour Party. </w:t>
      </w:r>
      <w:r w:rsidRPr="00FD419E">
        <w:rPr>
          <w:i/>
          <w:sz w:val="20"/>
          <w:szCs w:val="20"/>
          <w:lang w:val="en-GB"/>
        </w:rPr>
        <w:t xml:space="preserve">Te Arawhiti &amp; </w:t>
      </w:r>
      <w:r w:rsidRPr="00FD419E">
        <w:rPr>
          <w:i/>
          <w:color w:val="000000"/>
          <w:sz w:val="20"/>
          <w:szCs w:val="20"/>
          <w:lang w:val="en-GB"/>
        </w:rPr>
        <w:t xml:space="preserve">Māori Development. </w:t>
      </w:r>
      <w:r>
        <w:rPr>
          <w:color w:val="000000"/>
          <w:sz w:val="20"/>
          <w:szCs w:val="20"/>
          <w:lang w:val="en-GB"/>
        </w:rPr>
        <w:t>Accessible via</w:t>
      </w:r>
      <w:r w:rsidRPr="00FD419E">
        <w:rPr>
          <w:color w:val="000000"/>
          <w:sz w:val="20"/>
          <w:szCs w:val="20"/>
          <w:lang w:val="en-GB"/>
        </w:rPr>
        <w:t xml:space="preserve"> </w:t>
      </w:r>
      <w:hyperlink r:id="rId16">
        <w:r w:rsidRPr="00FD419E">
          <w:rPr>
            <w:color w:val="0563C1"/>
            <w:sz w:val="20"/>
            <w:szCs w:val="20"/>
            <w:u w:val="single"/>
            <w:lang w:val="en-GB"/>
          </w:rPr>
          <w:t>https://www.labour.org.nz/maori</w:t>
        </w:r>
      </w:hyperlink>
      <w:r w:rsidRPr="00B02BAA">
        <w:rPr>
          <w:color w:val="000000"/>
          <w:lang w:val="en-GB"/>
        </w:rPr>
        <w:t xml:space="preserve"> </w:t>
      </w:r>
    </w:p>
  </w:footnote>
  <w:footnote w:id="22">
    <w:p w14:paraId="3FC5AE41" w14:textId="39B9AC47" w:rsidR="00263AC7" w:rsidRPr="0069399F" w:rsidRDefault="00263AC7" w:rsidP="00263AC7">
      <w:pPr>
        <w:pStyle w:val="Voetnoottekst"/>
        <w:rPr>
          <w:lang w:val="en-GB"/>
        </w:rPr>
      </w:pPr>
      <w:r>
        <w:rPr>
          <w:rStyle w:val="Voetnootmarkering"/>
        </w:rPr>
        <w:footnoteRef/>
      </w:r>
      <w:r w:rsidRPr="0069399F">
        <w:rPr>
          <w:lang w:val="en-GB"/>
        </w:rPr>
        <w:t xml:space="preserve"> Data used from: Electoral Commission: </w:t>
      </w:r>
      <w:r w:rsidRPr="0069399F">
        <w:rPr>
          <w:i/>
          <w:iCs/>
          <w:lang w:val="en-GB"/>
        </w:rPr>
        <w:t xml:space="preserve">New Zealand Election Results. </w:t>
      </w:r>
      <w:r w:rsidRPr="0069399F">
        <w:rPr>
          <w:lang w:val="en-GB"/>
        </w:rPr>
        <w:t xml:space="preserve">Accessible via </w:t>
      </w:r>
      <w:hyperlink r:id="rId17">
        <w:r w:rsidRPr="0069399F">
          <w:rPr>
            <w:color w:val="0563C1"/>
            <w:u w:val="single"/>
            <w:lang w:val="en-GB"/>
          </w:rPr>
          <w:t>https://www.electionresults.govt.nz/</w:t>
        </w:r>
      </w:hyperlink>
    </w:p>
  </w:footnote>
  <w:footnote w:id="23">
    <w:p w14:paraId="261E83A3" w14:textId="77777777" w:rsidR="00C41145" w:rsidRPr="0069399F" w:rsidRDefault="00C41145" w:rsidP="00C41145">
      <w:pPr>
        <w:spacing w:line="360" w:lineRule="auto"/>
        <w:rPr>
          <w:sz w:val="20"/>
          <w:szCs w:val="20"/>
          <w:lang w:val="en-GB"/>
        </w:rPr>
      </w:pPr>
      <w:r w:rsidRPr="00347FBF">
        <w:rPr>
          <w:sz w:val="20"/>
          <w:szCs w:val="20"/>
          <w:vertAlign w:val="superscript"/>
        </w:rPr>
        <w:footnoteRef/>
      </w:r>
      <w:r w:rsidRPr="0069399F">
        <w:rPr>
          <w:sz w:val="20"/>
          <w:szCs w:val="20"/>
          <w:lang w:val="en-GB"/>
        </w:rPr>
        <w:t xml:space="preserve"> Māori Party. </w:t>
      </w:r>
      <w:r w:rsidRPr="0069399F">
        <w:rPr>
          <w:i/>
          <w:iCs/>
          <w:sz w:val="20"/>
          <w:szCs w:val="20"/>
          <w:lang w:val="en-GB"/>
        </w:rPr>
        <w:t>Te Paati Māori – About us</w:t>
      </w:r>
      <w:r w:rsidRPr="0069399F">
        <w:rPr>
          <w:sz w:val="20"/>
          <w:szCs w:val="20"/>
          <w:lang w:val="en-GB"/>
        </w:rPr>
        <w:t xml:space="preserve">. Accessible via </w:t>
      </w:r>
      <w:hyperlink r:id="rId18" w:history="1">
        <w:r w:rsidRPr="0069399F">
          <w:rPr>
            <w:rStyle w:val="Hyperlink"/>
            <w:sz w:val="20"/>
            <w:szCs w:val="20"/>
            <w:lang w:val="en-GB"/>
          </w:rPr>
          <w:t>https://www.maoriparty.org.nz/about_us</w:t>
        </w:r>
      </w:hyperlink>
    </w:p>
    <w:p w14:paraId="7BACD8A8" w14:textId="77777777" w:rsidR="00C41145" w:rsidRPr="0069399F" w:rsidRDefault="00C41145" w:rsidP="00C41145">
      <w:pPr>
        <w:pStyle w:val="Voetnoottekst"/>
        <w:rPr>
          <w:lang w:val="en-GB"/>
        </w:rPr>
      </w:pPr>
    </w:p>
  </w:footnote>
  <w:footnote w:id="24">
    <w:p w14:paraId="56952EBA" w14:textId="27875AD4" w:rsidR="0069399F" w:rsidRPr="0069399F" w:rsidRDefault="0069399F" w:rsidP="0069399F">
      <w:pPr>
        <w:rPr>
          <w:lang w:val="en-GB"/>
        </w:rPr>
      </w:pPr>
      <w:r>
        <w:rPr>
          <w:rStyle w:val="Voetnootmarkering"/>
        </w:rPr>
        <w:footnoteRef/>
      </w:r>
      <w:r w:rsidRPr="0069399F">
        <w:rPr>
          <w:lang w:val="en-GB"/>
        </w:rPr>
        <w:t xml:space="preserve"> </w:t>
      </w:r>
      <w:r w:rsidRPr="0069399F">
        <w:rPr>
          <w:sz w:val="20"/>
          <w:szCs w:val="20"/>
          <w:lang w:val="en-GB"/>
        </w:rPr>
        <w:t xml:space="preserve">Frost, N. (2021, February 10). </w:t>
      </w:r>
      <w:r w:rsidRPr="0069399F">
        <w:rPr>
          <w:i/>
          <w:iCs/>
          <w:sz w:val="20"/>
          <w:szCs w:val="20"/>
          <w:lang w:val="en-GB"/>
        </w:rPr>
        <w:t xml:space="preserve">He Calls the Tie a ‘Colonial Noose.’ Now Parliament Says It’s No Longer Mandatory. </w:t>
      </w:r>
      <w:r w:rsidRPr="0069399F">
        <w:rPr>
          <w:sz w:val="20"/>
          <w:szCs w:val="20"/>
          <w:lang w:val="en-GB"/>
        </w:rPr>
        <w:t xml:space="preserve">Accessible via </w:t>
      </w:r>
      <w:hyperlink r:id="rId19" w:history="1">
        <w:r w:rsidRPr="0069399F">
          <w:rPr>
            <w:rStyle w:val="Hyperlink"/>
            <w:sz w:val="20"/>
            <w:szCs w:val="20"/>
            <w:lang w:val="en-GB"/>
          </w:rPr>
          <w:t>https://www.nytimes.com/2021/02/10/world/asia/new-zealand-rawiri-waititi-tie.html</w:t>
        </w:r>
      </w:hyperlink>
    </w:p>
  </w:footnote>
  <w:footnote w:id="25">
    <w:p w14:paraId="699CDF65" w14:textId="1ECADD32" w:rsidR="006A4F27" w:rsidRPr="006A4F27" w:rsidRDefault="006A4F27">
      <w:pPr>
        <w:pStyle w:val="Voetnoottekst"/>
        <w:rPr>
          <w:lang w:val="en-GB"/>
        </w:rPr>
      </w:pPr>
      <w:r>
        <w:rPr>
          <w:rStyle w:val="Voetnootmarkering"/>
        </w:rPr>
        <w:footnoteRef/>
      </w:r>
      <w:r w:rsidRPr="006A4F27">
        <w:rPr>
          <w:lang w:val="en-GB"/>
        </w:rPr>
        <w:t xml:space="preserve"> New Z</w:t>
      </w:r>
      <w:r>
        <w:rPr>
          <w:lang w:val="en-GB"/>
        </w:rPr>
        <w:t xml:space="preserve">ealand Parliament. </w:t>
      </w:r>
      <w:r>
        <w:rPr>
          <w:i/>
          <w:iCs/>
          <w:lang w:val="en-GB"/>
        </w:rPr>
        <w:t xml:space="preserve">First words: The parliamentary maiden speech. </w:t>
      </w:r>
      <w:r>
        <w:rPr>
          <w:lang w:val="en-GB"/>
        </w:rPr>
        <w:t xml:space="preserve">Accessible via </w:t>
      </w:r>
      <w:hyperlink r:id="rId20" w:history="1">
        <w:r w:rsidRPr="002861B0">
          <w:rPr>
            <w:rStyle w:val="Hyperlink"/>
            <w:lang w:val="en-GB"/>
          </w:rPr>
          <w:t>https://www.parliament.nz/en/get-involved/features/first-words-the-parliamentary-maiden-speech/</w:t>
        </w:r>
      </w:hyperlink>
    </w:p>
  </w:footnote>
  <w:footnote w:id="26">
    <w:p w14:paraId="23490A79" w14:textId="02CD295B" w:rsidR="0094159A" w:rsidRPr="00657267" w:rsidRDefault="0094159A" w:rsidP="0094159A">
      <w:pPr>
        <w:pStyle w:val="Geenafstand"/>
        <w:rPr>
          <w:sz w:val="20"/>
          <w:szCs w:val="20"/>
        </w:rPr>
      </w:pPr>
      <w:r w:rsidRPr="00657267">
        <w:rPr>
          <w:rStyle w:val="Voetnootmarkering"/>
          <w:sz w:val="20"/>
          <w:szCs w:val="20"/>
        </w:rPr>
        <w:footnoteRef/>
      </w:r>
      <w:r w:rsidRPr="00657267">
        <w:rPr>
          <w:sz w:val="20"/>
          <w:szCs w:val="20"/>
        </w:rPr>
        <w:t xml:space="preserve"> New Zealand Parliament. </w:t>
      </w:r>
      <w:r w:rsidRPr="00657267">
        <w:rPr>
          <w:i/>
          <w:sz w:val="20"/>
          <w:szCs w:val="20"/>
        </w:rPr>
        <w:t xml:space="preserve">Parliamentary Parties. </w:t>
      </w:r>
      <w:r w:rsidRPr="00657267">
        <w:rPr>
          <w:sz w:val="20"/>
          <w:szCs w:val="20"/>
        </w:rPr>
        <w:t xml:space="preserve">Accessible via </w:t>
      </w:r>
      <w:hyperlink r:id="rId21">
        <w:r w:rsidRPr="00657267">
          <w:rPr>
            <w:color w:val="0563C1"/>
            <w:sz w:val="20"/>
            <w:szCs w:val="20"/>
            <w:u w:val="single"/>
          </w:rPr>
          <w:t>https://www.parliament.nz/en/mps-and-electorates/political-parties/</w:t>
        </w:r>
      </w:hyperlink>
    </w:p>
  </w:footnote>
  <w:footnote w:id="27">
    <w:p w14:paraId="44238C6A" w14:textId="3A42276F" w:rsidR="0094159A" w:rsidRPr="00657267" w:rsidRDefault="0094159A" w:rsidP="0094159A">
      <w:pPr>
        <w:pStyle w:val="Geenafstand"/>
        <w:rPr>
          <w:sz w:val="20"/>
          <w:szCs w:val="20"/>
        </w:rPr>
      </w:pPr>
      <w:r w:rsidRPr="00657267">
        <w:rPr>
          <w:rStyle w:val="Voetnootmarkering"/>
          <w:sz w:val="20"/>
          <w:szCs w:val="20"/>
        </w:rPr>
        <w:footnoteRef/>
      </w:r>
      <w:r w:rsidRPr="00657267">
        <w:rPr>
          <w:sz w:val="20"/>
          <w:szCs w:val="20"/>
        </w:rPr>
        <w:t xml:space="preserve"> Electoral Commission. </w:t>
      </w:r>
      <w:r w:rsidRPr="00657267">
        <w:rPr>
          <w:i/>
          <w:sz w:val="20"/>
          <w:szCs w:val="20"/>
        </w:rPr>
        <w:t xml:space="preserve">New Zealand Election Results. </w:t>
      </w:r>
      <w:r w:rsidRPr="00657267">
        <w:rPr>
          <w:sz w:val="20"/>
          <w:szCs w:val="20"/>
        </w:rPr>
        <w:t xml:space="preserve">Accessible via </w:t>
      </w:r>
      <w:hyperlink r:id="rId22" w:history="1">
        <w:r w:rsidRPr="00657267">
          <w:rPr>
            <w:rStyle w:val="Hyperlink"/>
            <w:sz w:val="20"/>
            <w:szCs w:val="20"/>
          </w:rPr>
          <w:t>https://www.electionsresults.govt.nz</w:t>
        </w:r>
      </w:hyperlink>
    </w:p>
    <w:p w14:paraId="22CE8AC9" w14:textId="77777777" w:rsidR="0094159A" w:rsidRPr="00B0138C" w:rsidRDefault="0094159A" w:rsidP="0094159A">
      <w:pPr>
        <w:pStyle w:val="Voetnoottekst"/>
        <w:rPr>
          <w:lang w:val="en-GB"/>
        </w:rPr>
      </w:pPr>
    </w:p>
  </w:footnote>
  <w:footnote w:id="28">
    <w:p w14:paraId="1C5C389C" w14:textId="7F259948" w:rsidR="007D0417" w:rsidRPr="007D0417" w:rsidRDefault="007D0417">
      <w:pPr>
        <w:pStyle w:val="Voetnoottekst"/>
        <w:rPr>
          <w:lang w:val="en-GB"/>
        </w:rPr>
      </w:pPr>
      <w:r>
        <w:rPr>
          <w:rStyle w:val="Voetnootmarkering"/>
        </w:rPr>
        <w:footnoteRef/>
      </w:r>
      <w:r w:rsidRPr="007D0417">
        <w:rPr>
          <w:lang w:val="en-GB"/>
        </w:rPr>
        <w:t xml:space="preserve"> It is </w:t>
      </w:r>
      <w:r>
        <w:rPr>
          <w:lang w:val="en-GB"/>
        </w:rPr>
        <w:t xml:space="preserve">normal for a claims-making analysis to not </w:t>
      </w:r>
      <w:r w:rsidR="000D0C46">
        <w:rPr>
          <w:lang w:val="en-GB"/>
        </w:rPr>
        <w:t xml:space="preserve">always </w:t>
      </w:r>
      <w:r>
        <w:rPr>
          <w:lang w:val="en-GB"/>
        </w:rPr>
        <w:t>have a</w:t>
      </w:r>
      <w:r w:rsidR="0076086E">
        <w:rPr>
          <w:lang w:val="en-GB"/>
        </w:rPr>
        <w:t xml:space="preserve">n addressee mentioned in the claim. See for example the study of </w:t>
      </w:r>
      <w:r w:rsidR="007719F2">
        <w:rPr>
          <w:lang w:val="en-GB"/>
        </w:rPr>
        <w:t>De Wilde (2013)</w:t>
      </w:r>
      <w:r w:rsidR="0076086E">
        <w:rPr>
          <w:lang w:val="en-GB"/>
        </w:rPr>
        <w:t>.</w:t>
      </w:r>
      <w:r w:rsidR="00893D86">
        <w:rPr>
          <w:lang w:val="en-GB"/>
        </w:rPr>
        <w:t xml:space="preserve"> </w:t>
      </w:r>
    </w:p>
  </w:footnote>
  <w:footnote w:id="29">
    <w:p w14:paraId="0E0EB791" w14:textId="34F34DC7" w:rsidR="0069399F" w:rsidRPr="0069399F" w:rsidRDefault="0069399F" w:rsidP="0069399F">
      <w:pPr>
        <w:pStyle w:val="Voetnoottekst"/>
        <w:rPr>
          <w:lang w:val="en-GB"/>
        </w:rPr>
      </w:pPr>
      <w:r>
        <w:rPr>
          <w:rStyle w:val="Voetnootmarkering"/>
        </w:rPr>
        <w:footnoteRef/>
      </w:r>
      <w:r w:rsidRPr="0069399F">
        <w:rPr>
          <w:lang w:val="en-GB"/>
        </w:rPr>
        <w:t xml:space="preserve"> FairVote. </w:t>
      </w:r>
      <w:r w:rsidRPr="0069399F">
        <w:rPr>
          <w:i/>
          <w:iCs/>
          <w:lang w:val="en-GB"/>
        </w:rPr>
        <w:t xml:space="preserve">Electoral Systems around the World. </w:t>
      </w:r>
      <w:r w:rsidRPr="0069399F">
        <w:rPr>
          <w:lang w:val="en-GB"/>
        </w:rPr>
        <w:t xml:space="preserve">Accessible via </w:t>
      </w:r>
      <w:hyperlink r:id="rId23" w:history="1">
        <w:r w:rsidRPr="0069399F">
          <w:rPr>
            <w:rStyle w:val="Hyperlink"/>
            <w:lang w:val="en-GB"/>
          </w:rPr>
          <w:t>https://www.fairvote.org/research_electoralsystems_world</w:t>
        </w:r>
      </w:hyperlink>
    </w:p>
  </w:footnote>
  <w:footnote w:id="30">
    <w:p w14:paraId="7B9699EA" w14:textId="3831D57D" w:rsidR="003550F8" w:rsidRPr="00B47A61" w:rsidRDefault="003550F8">
      <w:pPr>
        <w:pStyle w:val="Voetnoottekst"/>
        <w:rPr>
          <w:lang w:val="en-GB"/>
        </w:rPr>
      </w:pPr>
      <w:r>
        <w:rPr>
          <w:rStyle w:val="Voetnootmarkering"/>
        </w:rPr>
        <w:footnoteRef/>
      </w:r>
      <w:r w:rsidRPr="00B47A61">
        <w:rPr>
          <w:lang w:val="en-GB"/>
        </w:rPr>
        <w:t xml:space="preserve"> </w:t>
      </w:r>
      <w:r w:rsidR="00B47A61" w:rsidRPr="00B47A61">
        <w:rPr>
          <w:lang w:val="en-GB"/>
        </w:rPr>
        <w:t xml:space="preserve">New Zealand Parliament. </w:t>
      </w:r>
      <w:r w:rsidR="00B47A61" w:rsidRPr="00B47A61">
        <w:rPr>
          <w:i/>
          <w:iCs/>
          <w:lang w:val="en-GB"/>
        </w:rPr>
        <w:t>Read Hansard R</w:t>
      </w:r>
      <w:r w:rsidR="00B47A61">
        <w:rPr>
          <w:i/>
          <w:iCs/>
          <w:lang w:val="en-GB"/>
        </w:rPr>
        <w:t xml:space="preserve">eports. </w:t>
      </w:r>
      <w:r w:rsidR="00B47A61">
        <w:rPr>
          <w:lang w:val="en-GB"/>
        </w:rPr>
        <w:t xml:space="preserve">Accessible via </w:t>
      </w:r>
      <w:hyperlink r:id="rId24" w:history="1">
        <w:r w:rsidR="00B47A61" w:rsidRPr="007C7E1F">
          <w:rPr>
            <w:rStyle w:val="Hyperlink"/>
            <w:lang w:val="en-GB"/>
          </w:rPr>
          <w:t>https://www.parliament.nz/en/pb/hansard-debates/rhr/search</w:t>
        </w:r>
      </w:hyperlink>
    </w:p>
  </w:footnote>
  <w:footnote w:id="31">
    <w:p w14:paraId="17DD3041" w14:textId="7925F165" w:rsidR="00093E2A" w:rsidRPr="00163DB8" w:rsidRDefault="00093E2A">
      <w:pPr>
        <w:pStyle w:val="Voetnoottekst"/>
        <w:rPr>
          <w:lang w:val="en-GB"/>
        </w:rPr>
      </w:pPr>
      <w:r>
        <w:rPr>
          <w:rStyle w:val="Voetnootmarkering"/>
        </w:rPr>
        <w:footnoteRef/>
      </w:r>
      <w:r w:rsidRPr="00163DB8">
        <w:rPr>
          <w:lang w:val="en-GB"/>
        </w:rPr>
        <w:t xml:space="preserve"> </w:t>
      </w:r>
      <w:r w:rsidR="00D7697E" w:rsidRPr="00444A93">
        <w:rPr>
          <w:lang w:val="en-GB"/>
        </w:rPr>
        <w:t>Māori</w:t>
      </w:r>
      <w:r w:rsidR="00D7697E" w:rsidRPr="00163DB8">
        <w:rPr>
          <w:lang w:val="en-GB"/>
        </w:rPr>
        <w:t xml:space="preserve"> </w:t>
      </w:r>
      <w:r w:rsidR="00163DB8" w:rsidRPr="00163DB8">
        <w:rPr>
          <w:lang w:val="en-GB"/>
        </w:rPr>
        <w:t xml:space="preserve">Dictionary. Accessible via </w:t>
      </w:r>
      <w:hyperlink r:id="rId25" w:history="1">
        <w:r w:rsidR="00163DB8" w:rsidRPr="007C7E1F">
          <w:rPr>
            <w:rStyle w:val="Hyperlink"/>
            <w:lang w:val="en-GB"/>
          </w:rPr>
          <w:t>https://maoridictionary.co.nz/</w:t>
        </w:r>
      </w:hyperlink>
    </w:p>
  </w:footnote>
  <w:footnote w:id="32">
    <w:p w14:paraId="67F5DC85" w14:textId="000AA8EC" w:rsidR="00CA6C46" w:rsidRPr="00CA6C46" w:rsidRDefault="00CA6C46">
      <w:pPr>
        <w:pStyle w:val="Voetnoottekst"/>
        <w:rPr>
          <w:lang w:val="en-GB"/>
        </w:rPr>
      </w:pPr>
      <w:r>
        <w:rPr>
          <w:rStyle w:val="Voetnootmarkering"/>
        </w:rPr>
        <w:footnoteRef/>
      </w:r>
      <w:r w:rsidRPr="00CA6C46">
        <w:rPr>
          <w:lang w:val="en-GB"/>
        </w:rPr>
        <w:t xml:space="preserve"> New Zealand Parliament. </w:t>
      </w:r>
      <w:r w:rsidRPr="00CA6C46">
        <w:rPr>
          <w:i/>
          <w:iCs/>
          <w:lang w:val="en-GB"/>
        </w:rPr>
        <w:t>Members of P</w:t>
      </w:r>
      <w:r>
        <w:rPr>
          <w:i/>
          <w:iCs/>
          <w:lang w:val="en-GB"/>
        </w:rPr>
        <w:t xml:space="preserve">arliament. </w:t>
      </w:r>
      <w:r>
        <w:rPr>
          <w:lang w:val="en-GB"/>
        </w:rPr>
        <w:t xml:space="preserve">Accessible via </w:t>
      </w:r>
      <w:hyperlink r:id="rId26" w:history="1">
        <w:r w:rsidRPr="002861B0">
          <w:rPr>
            <w:rStyle w:val="Hyperlink"/>
            <w:lang w:val="en-GB"/>
          </w:rPr>
          <w:t>https://www.parliament.nz/en/mps-and-electorates/members-of-parliament/</w:t>
        </w:r>
      </w:hyperlink>
      <w:r w:rsidR="00AF24B6">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1B9"/>
    <w:multiLevelType w:val="hybridMultilevel"/>
    <w:tmpl w:val="CCAC8804"/>
    <w:lvl w:ilvl="0" w:tplc="7340BE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C5243"/>
    <w:multiLevelType w:val="hybridMultilevel"/>
    <w:tmpl w:val="3E7E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6CC"/>
    <w:multiLevelType w:val="hybridMultilevel"/>
    <w:tmpl w:val="FEA0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D4248"/>
    <w:multiLevelType w:val="hybridMultilevel"/>
    <w:tmpl w:val="F2BCAABC"/>
    <w:lvl w:ilvl="0" w:tplc="6E44A85A">
      <w:start w:val="2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7F3B6F"/>
    <w:multiLevelType w:val="hybridMultilevel"/>
    <w:tmpl w:val="22AA43B4"/>
    <w:lvl w:ilvl="0" w:tplc="7340BE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6C57"/>
    <w:multiLevelType w:val="multilevel"/>
    <w:tmpl w:val="04022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473D71"/>
    <w:multiLevelType w:val="hybridMultilevel"/>
    <w:tmpl w:val="926C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74C1F"/>
    <w:multiLevelType w:val="hybridMultilevel"/>
    <w:tmpl w:val="ED3A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54424"/>
    <w:multiLevelType w:val="hybridMultilevel"/>
    <w:tmpl w:val="D34E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417B1"/>
    <w:multiLevelType w:val="hybridMultilevel"/>
    <w:tmpl w:val="1B8E6908"/>
    <w:lvl w:ilvl="0" w:tplc="7340BE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E3AD8"/>
    <w:multiLevelType w:val="hybridMultilevel"/>
    <w:tmpl w:val="1D885992"/>
    <w:lvl w:ilvl="0" w:tplc="769CDD86">
      <w:start w:val="1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8B70D19"/>
    <w:multiLevelType w:val="multilevel"/>
    <w:tmpl w:val="333CD0AC"/>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DF014F"/>
    <w:multiLevelType w:val="multilevel"/>
    <w:tmpl w:val="A8BA9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5"/>
  </w:num>
  <w:num w:numId="3">
    <w:abstractNumId w:val="2"/>
  </w:num>
  <w:num w:numId="4">
    <w:abstractNumId w:val="11"/>
  </w:num>
  <w:num w:numId="5">
    <w:abstractNumId w:val="10"/>
  </w:num>
  <w:num w:numId="6">
    <w:abstractNumId w:val="3"/>
  </w:num>
  <w:num w:numId="7">
    <w:abstractNumId w:val="1"/>
  </w:num>
  <w:num w:numId="8">
    <w:abstractNumId w:val="8"/>
  </w:num>
  <w:num w:numId="9">
    <w:abstractNumId w:val="7"/>
  </w:num>
  <w:num w:numId="10">
    <w:abstractNumId w:val="6"/>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F"/>
    <w:rsid w:val="00000F2A"/>
    <w:rsid w:val="00001E5E"/>
    <w:rsid w:val="0000431B"/>
    <w:rsid w:val="00004D86"/>
    <w:rsid w:val="00004FAD"/>
    <w:rsid w:val="00005FB5"/>
    <w:rsid w:val="00006D24"/>
    <w:rsid w:val="00010385"/>
    <w:rsid w:val="00010576"/>
    <w:rsid w:val="00010EDB"/>
    <w:rsid w:val="00011834"/>
    <w:rsid w:val="00011ECC"/>
    <w:rsid w:val="0001304A"/>
    <w:rsid w:val="00020474"/>
    <w:rsid w:val="00020770"/>
    <w:rsid w:val="000213FF"/>
    <w:rsid w:val="00022DDC"/>
    <w:rsid w:val="00022FD2"/>
    <w:rsid w:val="000233F1"/>
    <w:rsid w:val="000245D3"/>
    <w:rsid w:val="00024B2D"/>
    <w:rsid w:val="000310FB"/>
    <w:rsid w:val="00031166"/>
    <w:rsid w:val="00031792"/>
    <w:rsid w:val="00031BEA"/>
    <w:rsid w:val="00032277"/>
    <w:rsid w:val="00033FC9"/>
    <w:rsid w:val="00034155"/>
    <w:rsid w:val="000358A2"/>
    <w:rsid w:val="00035C9B"/>
    <w:rsid w:val="000360EC"/>
    <w:rsid w:val="0003723A"/>
    <w:rsid w:val="000374B3"/>
    <w:rsid w:val="00042232"/>
    <w:rsid w:val="000423C0"/>
    <w:rsid w:val="000437C8"/>
    <w:rsid w:val="00043F60"/>
    <w:rsid w:val="000448DC"/>
    <w:rsid w:val="000463EB"/>
    <w:rsid w:val="00046585"/>
    <w:rsid w:val="00046DF1"/>
    <w:rsid w:val="000470BE"/>
    <w:rsid w:val="00047518"/>
    <w:rsid w:val="00047828"/>
    <w:rsid w:val="000479E4"/>
    <w:rsid w:val="00050221"/>
    <w:rsid w:val="00051FD9"/>
    <w:rsid w:val="0005214C"/>
    <w:rsid w:val="000522D0"/>
    <w:rsid w:val="0005256B"/>
    <w:rsid w:val="00052B19"/>
    <w:rsid w:val="000552BF"/>
    <w:rsid w:val="000576D6"/>
    <w:rsid w:val="000606EF"/>
    <w:rsid w:val="000622B1"/>
    <w:rsid w:val="000637CF"/>
    <w:rsid w:val="00063E95"/>
    <w:rsid w:val="00064080"/>
    <w:rsid w:val="00064428"/>
    <w:rsid w:val="00064AD4"/>
    <w:rsid w:val="00064DF5"/>
    <w:rsid w:val="00065A32"/>
    <w:rsid w:val="00065A7E"/>
    <w:rsid w:val="00065EC9"/>
    <w:rsid w:val="00066C96"/>
    <w:rsid w:val="00067459"/>
    <w:rsid w:val="00067913"/>
    <w:rsid w:val="00067AF7"/>
    <w:rsid w:val="000707BB"/>
    <w:rsid w:val="0007101D"/>
    <w:rsid w:val="00071510"/>
    <w:rsid w:val="00071CF6"/>
    <w:rsid w:val="00071EE9"/>
    <w:rsid w:val="000721A5"/>
    <w:rsid w:val="000724F7"/>
    <w:rsid w:val="00075CFC"/>
    <w:rsid w:val="00075E97"/>
    <w:rsid w:val="00077999"/>
    <w:rsid w:val="00077E8F"/>
    <w:rsid w:val="00080611"/>
    <w:rsid w:val="00080FCC"/>
    <w:rsid w:val="00081A90"/>
    <w:rsid w:val="0008253A"/>
    <w:rsid w:val="000850C4"/>
    <w:rsid w:val="00086583"/>
    <w:rsid w:val="000869C3"/>
    <w:rsid w:val="000870D2"/>
    <w:rsid w:val="00090AE4"/>
    <w:rsid w:val="00093E2A"/>
    <w:rsid w:val="0009495B"/>
    <w:rsid w:val="00094EAA"/>
    <w:rsid w:val="00095651"/>
    <w:rsid w:val="00095692"/>
    <w:rsid w:val="00095D11"/>
    <w:rsid w:val="0009633A"/>
    <w:rsid w:val="000969E6"/>
    <w:rsid w:val="00097BC7"/>
    <w:rsid w:val="000A0B51"/>
    <w:rsid w:val="000A15CA"/>
    <w:rsid w:val="000A16DB"/>
    <w:rsid w:val="000A1D83"/>
    <w:rsid w:val="000A3106"/>
    <w:rsid w:val="000A3A4C"/>
    <w:rsid w:val="000A507F"/>
    <w:rsid w:val="000A5E39"/>
    <w:rsid w:val="000B223A"/>
    <w:rsid w:val="000B27C3"/>
    <w:rsid w:val="000B66A5"/>
    <w:rsid w:val="000B66E4"/>
    <w:rsid w:val="000B69BA"/>
    <w:rsid w:val="000C05F9"/>
    <w:rsid w:val="000C0A14"/>
    <w:rsid w:val="000C0E6F"/>
    <w:rsid w:val="000C2DA4"/>
    <w:rsid w:val="000C3201"/>
    <w:rsid w:val="000C3C23"/>
    <w:rsid w:val="000C475D"/>
    <w:rsid w:val="000C631D"/>
    <w:rsid w:val="000C75AE"/>
    <w:rsid w:val="000D002E"/>
    <w:rsid w:val="000D0C46"/>
    <w:rsid w:val="000D1DB9"/>
    <w:rsid w:val="000D216E"/>
    <w:rsid w:val="000D30BE"/>
    <w:rsid w:val="000D319A"/>
    <w:rsid w:val="000D48FF"/>
    <w:rsid w:val="000D49B1"/>
    <w:rsid w:val="000D5972"/>
    <w:rsid w:val="000D6595"/>
    <w:rsid w:val="000D7207"/>
    <w:rsid w:val="000D7459"/>
    <w:rsid w:val="000E0CF9"/>
    <w:rsid w:val="000E20AA"/>
    <w:rsid w:val="000E2827"/>
    <w:rsid w:val="000E3771"/>
    <w:rsid w:val="000E49B5"/>
    <w:rsid w:val="000E6032"/>
    <w:rsid w:val="000E649A"/>
    <w:rsid w:val="000E66CE"/>
    <w:rsid w:val="000E6E34"/>
    <w:rsid w:val="000F12AA"/>
    <w:rsid w:val="000F13AF"/>
    <w:rsid w:val="000F183D"/>
    <w:rsid w:val="000F1CF2"/>
    <w:rsid w:val="000F22CF"/>
    <w:rsid w:val="000F27F4"/>
    <w:rsid w:val="000F40F6"/>
    <w:rsid w:val="000F42E7"/>
    <w:rsid w:val="000F56CD"/>
    <w:rsid w:val="000F5721"/>
    <w:rsid w:val="000F738C"/>
    <w:rsid w:val="000F7694"/>
    <w:rsid w:val="000F77AB"/>
    <w:rsid w:val="00100586"/>
    <w:rsid w:val="00100AA1"/>
    <w:rsid w:val="001010E9"/>
    <w:rsid w:val="001011FE"/>
    <w:rsid w:val="001020B4"/>
    <w:rsid w:val="0010235F"/>
    <w:rsid w:val="001025BB"/>
    <w:rsid w:val="00104D01"/>
    <w:rsid w:val="0010621E"/>
    <w:rsid w:val="001062CC"/>
    <w:rsid w:val="001062FA"/>
    <w:rsid w:val="00106999"/>
    <w:rsid w:val="001070AD"/>
    <w:rsid w:val="00107D0D"/>
    <w:rsid w:val="001102EC"/>
    <w:rsid w:val="00110A0E"/>
    <w:rsid w:val="00110C56"/>
    <w:rsid w:val="001111E3"/>
    <w:rsid w:val="0011171A"/>
    <w:rsid w:val="001124CC"/>
    <w:rsid w:val="00113587"/>
    <w:rsid w:val="00113791"/>
    <w:rsid w:val="001149DC"/>
    <w:rsid w:val="00114BA9"/>
    <w:rsid w:val="00114F67"/>
    <w:rsid w:val="001160B1"/>
    <w:rsid w:val="00116151"/>
    <w:rsid w:val="0011723C"/>
    <w:rsid w:val="001179A2"/>
    <w:rsid w:val="00117CBB"/>
    <w:rsid w:val="00117E7B"/>
    <w:rsid w:val="001208D7"/>
    <w:rsid w:val="00123E21"/>
    <w:rsid w:val="00123F43"/>
    <w:rsid w:val="001242EC"/>
    <w:rsid w:val="00125A26"/>
    <w:rsid w:val="00125DE1"/>
    <w:rsid w:val="00126F18"/>
    <w:rsid w:val="0012769C"/>
    <w:rsid w:val="001277F2"/>
    <w:rsid w:val="00127C0D"/>
    <w:rsid w:val="00127DB0"/>
    <w:rsid w:val="0013013F"/>
    <w:rsid w:val="00130BDB"/>
    <w:rsid w:val="0013138A"/>
    <w:rsid w:val="00131C64"/>
    <w:rsid w:val="00131CBA"/>
    <w:rsid w:val="00132253"/>
    <w:rsid w:val="001333C7"/>
    <w:rsid w:val="00134826"/>
    <w:rsid w:val="00136AA5"/>
    <w:rsid w:val="00137066"/>
    <w:rsid w:val="001410BB"/>
    <w:rsid w:val="00141AEF"/>
    <w:rsid w:val="00142F93"/>
    <w:rsid w:val="0014334A"/>
    <w:rsid w:val="00143FE0"/>
    <w:rsid w:val="0014571F"/>
    <w:rsid w:val="00145DA1"/>
    <w:rsid w:val="00146880"/>
    <w:rsid w:val="00146EFF"/>
    <w:rsid w:val="00147825"/>
    <w:rsid w:val="001478AB"/>
    <w:rsid w:val="001479E5"/>
    <w:rsid w:val="0015042B"/>
    <w:rsid w:val="00152E26"/>
    <w:rsid w:val="00152EC7"/>
    <w:rsid w:val="0015401A"/>
    <w:rsid w:val="00155259"/>
    <w:rsid w:val="0015547E"/>
    <w:rsid w:val="001558B6"/>
    <w:rsid w:val="001563FD"/>
    <w:rsid w:val="00156654"/>
    <w:rsid w:val="00156809"/>
    <w:rsid w:val="00157632"/>
    <w:rsid w:val="00157F2B"/>
    <w:rsid w:val="001604F8"/>
    <w:rsid w:val="00160B49"/>
    <w:rsid w:val="00161ABD"/>
    <w:rsid w:val="00161B37"/>
    <w:rsid w:val="0016260D"/>
    <w:rsid w:val="00162DE0"/>
    <w:rsid w:val="00163DB8"/>
    <w:rsid w:val="001640E2"/>
    <w:rsid w:val="0016442B"/>
    <w:rsid w:val="00164D18"/>
    <w:rsid w:val="00164E69"/>
    <w:rsid w:val="00165058"/>
    <w:rsid w:val="00165F82"/>
    <w:rsid w:val="0016626E"/>
    <w:rsid w:val="00166AE5"/>
    <w:rsid w:val="00166F56"/>
    <w:rsid w:val="00167297"/>
    <w:rsid w:val="0016741E"/>
    <w:rsid w:val="00170D00"/>
    <w:rsid w:val="00171556"/>
    <w:rsid w:val="001716E7"/>
    <w:rsid w:val="0017218D"/>
    <w:rsid w:val="0017316E"/>
    <w:rsid w:val="00173F0E"/>
    <w:rsid w:val="00174B32"/>
    <w:rsid w:val="00174F1D"/>
    <w:rsid w:val="00174FBC"/>
    <w:rsid w:val="00175DA8"/>
    <w:rsid w:val="001766B2"/>
    <w:rsid w:val="00176CB5"/>
    <w:rsid w:val="00176E44"/>
    <w:rsid w:val="00177580"/>
    <w:rsid w:val="001778BF"/>
    <w:rsid w:val="00177A32"/>
    <w:rsid w:val="001803E1"/>
    <w:rsid w:val="00181D3B"/>
    <w:rsid w:val="001834B4"/>
    <w:rsid w:val="00183F89"/>
    <w:rsid w:val="001853CC"/>
    <w:rsid w:val="00185DE3"/>
    <w:rsid w:val="00186580"/>
    <w:rsid w:val="001875CC"/>
    <w:rsid w:val="00187E28"/>
    <w:rsid w:val="001900D2"/>
    <w:rsid w:val="001903DD"/>
    <w:rsid w:val="00190D2C"/>
    <w:rsid w:val="001910BC"/>
    <w:rsid w:val="0019117A"/>
    <w:rsid w:val="0019158B"/>
    <w:rsid w:val="001917EA"/>
    <w:rsid w:val="00191D7F"/>
    <w:rsid w:val="00193C78"/>
    <w:rsid w:val="001948DF"/>
    <w:rsid w:val="00194A0A"/>
    <w:rsid w:val="00195D01"/>
    <w:rsid w:val="00196B41"/>
    <w:rsid w:val="001974E8"/>
    <w:rsid w:val="00197EEB"/>
    <w:rsid w:val="00197FB3"/>
    <w:rsid w:val="001A0BD0"/>
    <w:rsid w:val="001A0C39"/>
    <w:rsid w:val="001A1149"/>
    <w:rsid w:val="001A118C"/>
    <w:rsid w:val="001A2316"/>
    <w:rsid w:val="001A2D87"/>
    <w:rsid w:val="001A306B"/>
    <w:rsid w:val="001A3821"/>
    <w:rsid w:val="001A5802"/>
    <w:rsid w:val="001A632F"/>
    <w:rsid w:val="001A7015"/>
    <w:rsid w:val="001B04D4"/>
    <w:rsid w:val="001B10E7"/>
    <w:rsid w:val="001B1427"/>
    <w:rsid w:val="001B220E"/>
    <w:rsid w:val="001B2B79"/>
    <w:rsid w:val="001B3DAF"/>
    <w:rsid w:val="001B4370"/>
    <w:rsid w:val="001B4A6F"/>
    <w:rsid w:val="001B5109"/>
    <w:rsid w:val="001B5422"/>
    <w:rsid w:val="001B5BC7"/>
    <w:rsid w:val="001B64E1"/>
    <w:rsid w:val="001C0239"/>
    <w:rsid w:val="001C02F7"/>
    <w:rsid w:val="001C156B"/>
    <w:rsid w:val="001C2E9D"/>
    <w:rsid w:val="001C31D8"/>
    <w:rsid w:val="001C3225"/>
    <w:rsid w:val="001C4B2D"/>
    <w:rsid w:val="001C4E50"/>
    <w:rsid w:val="001C5DB4"/>
    <w:rsid w:val="001C5E82"/>
    <w:rsid w:val="001C6149"/>
    <w:rsid w:val="001C68A0"/>
    <w:rsid w:val="001C707A"/>
    <w:rsid w:val="001C7B33"/>
    <w:rsid w:val="001C7C31"/>
    <w:rsid w:val="001D01F1"/>
    <w:rsid w:val="001D036E"/>
    <w:rsid w:val="001D09BC"/>
    <w:rsid w:val="001D2EC0"/>
    <w:rsid w:val="001D3D2B"/>
    <w:rsid w:val="001D4B23"/>
    <w:rsid w:val="001D4BB1"/>
    <w:rsid w:val="001D50F9"/>
    <w:rsid w:val="001D5127"/>
    <w:rsid w:val="001D5B3C"/>
    <w:rsid w:val="001D61A6"/>
    <w:rsid w:val="001D6544"/>
    <w:rsid w:val="001D66B4"/>
    <w:rsid w:val="001D6F58"/>
    <w:rsid w:val="001D7464"/>
    <w:rsid w:val="001E047D"/>
    <w:rsid w:val="001E04CC"/>
    <w:rsid w:val="001E0B03"/>
    <w:rsid w:val="001E1DCF"/>
    <w:rsid w:val="001E1DD7"/>
    <w:rsid w:val="001E1FA7"/>
    <w:rsid w:val="001E4D72"/>
    <w:rsid w:val="001E58B1"/>
    <w:rsid w:val="001E6039"/>
    <w:rsid w:val="001E6F0C"/>
    <w:rsid w:val="001E71EA"/>
    <w:rsid w:val="001F1655"/>
    <w:rsid w:val="001F188C"/>
    <w:rsid w:val="001F2F69"/>
    <w:rsid w:val="001F3419"/>
    <w:rsid w:val="001F374A"/>
    <w:rsid w:val="001F3977"/>
    <w:rsid w:val="001F48E2"/>
    <w:rsid w:val="001F6D4C"/>
    <w:rsid w:val="001F7168"/>
    <w:rsid w:val="00202074"/>
    <w:rsid w:val="00202920"/>
    <w:rsid w:val="00202975"/>
    <w:rsid w:val="00202FEE"/>
    <w:rsid w:val="0020489A"/>
    <w:rsid w:val="00204A2A"/>
    <w:rsid w:val="00205031"/>
    <w:rsid w:val="00205041"/>
    <w:rsid w:val="00205159"/>
    <w:rsid w:val="00205A34"/>
    <w:rsid w:val="00207196"/>
    <w:rsid w:val="00207E1B"/>
    <w:rsid w:val="00207F9C"/>
    <w:rsid w:val="00210137"/>
    <w:rsid w:val="00211FAB"/>
    <w:rsid w:val="00211FB3"/>
    <w:rsid w:val="00212105"/>
    <w:rsid w:val="00212663"/>
    <w:rsid w:val="00212815"/>
    <w:rsid w:val="00212A37"/>
    <w:rsid w:val="00212EA8"/>
    <w:rsid w:val="00213E9C"/>
    <w:rsid w:val="00215632"/>
    <w:rsid w:val="002174AB"/>
    <w:rsid w:val="002175F4"/>
    <w:rsid w:val="00217F22"/>
    <w:rsid w:val="002206A0"/>
    <w:rsid w:val="00221600"/>
    <w:rsid w:val="002223CA"/>
    <w:rsid w:val="00222FA3"/>
    <w:rsid w:val="002235A9"/>
    <w:rsid w:val="002247C2"/>
    <w:rsid w:val="00225484"/>
    <w:rsid w:val="00225BFB"/>
    <w:rsid w:val="00226070"/>
    <w:rsid w:val="00226E4B"/>
    <w:rsid w:val="0023014B"/>
    <w:rsid w:val="00231088"/>
    <w:rsid w:val="00231577"/>
    <w:rsid w:val="002318A3"/>
    <w:rsid w:val="00231A15"/>
    <w:rsid w:val="00231A21"/>
    <w:rsid w:val="00231CE1"/>
    <w:rsid w:val="002325E8"/>
    <w:rsid w:val="00233C39"/>
    <w:rsid w:val="00234113"/>
    <w:rsid w:val="00234D1A"/>
    <w:rsid w:val="002359B2"/>
    <w:rsid w:val="002359F8"/>
    <w:rsid w:val="00235A41"/>
    <w:rsid w:val="00235E9D"/>
    <w:rsid w:val="002365E3"/>
    <w:rsid w:val="002366F9"/>
    <w:rsid w:val="00236BBA"/>
    <w:rsid w:val="00237538"/>
    <w:rsid w:val="00240B12"/>
    <w:rsid w:val="00240DF8"/>
    <w:rsid w:val="002427AD"/>
    <w:rsid w:val="00242CB9"/>
    <w:rsid w:val="00243A90"/>
    <w:rsid w:val="00244C99"/>
    <w:rsid w:val="00245082"/>
    <w:rsid w:val="00245E13"/>
    <w:rsid w:val="00247CF8"/>
    <w:rsid w:val="00247F2B"/>
    <w:rsid w:val="00250038"/>
    <w:rsid w:val="002503E3"/>
    <w:rsid w:val="002509EE"/>
    <w:rsid w:val="00251810"/>
    <w:rsid w:val="0025228F"/>
    <w:rsid w:val="00253787"/>
    <w:rsid w:val="002538BF"/>
    <w:rsid w:val="00253A2E"/>
    <w:rsid w:val="0025405B"/>
    <w:rsid w:val="00254298"/>
    <w:rsid w:val="00254389"/>
    <w:rsid w:val="00254CE4"/>
    <w:rsid w:val="00255333"/>
    <w:rsid w:val="00257044"/>
    <w:rsid w:val="0025778A"/>
    <w:rsid w:val="00260198"/>
    <w:rsid w:val="00260A05"/>
    <w:rsid w:val="00260EE2"/>
    <w:rsid w:val="00262138"/>
    <w:rsid w:val="00263AC7"/>
    <w:rsid w:val="00264A79"/>
    <w:rsid w:val="002662D7"/>
    <w:rsid w:val="00267001"/>
    <w:rsid w:val="0027078B"/>
    <w:rsid w:val="00270B08"/>
    <w:rsid w:val="00270B2F"/>
    <w:rsid w:val="0027153D"/>
    <w:rsid w:val="00271A07"/>
    <w:rsid w:val="00272497"/>
    <w:rsid w:val="00272BBE"/>
    <w:rsid w:val="00273641"/>
    <w:rsid w:val="00273C8B"/>
    <w:rsid w:val="002745A8"/>
    <w:rsid w:val="00274E99"/>
    <w:rsid w:val="00276C17"/>
    <w:rsid w:val="00277F82"/>
    <w:rsid w:val="0028135F"/>
    <w:rsid w:val="00282A4B"/>
    <w:rsid w:val="00282FD8"/>
    <w:rsid w:val="002851D3"/>
    <w:rsid w:val="00287354"/>
    <w:rsid w:val="002877D5"/>
    <w:rsid w:val="00290BC8"/>
    <w:rsid w:val="00290C58"/>
    <w:rsid w:val="00290D84"/>
    <w:rsid w:val="00290F40"/>
    <w:rsid w:val="00291958"/>
    <w:rsid w:val="00294AF9"/>
    <w:rsid w:val="00294DC0"/>
    <w:rsid w:val="002959B6"/>
    <w:rsid w:val="00295C36"/>
    <w:rsid w:val="00296B90"/>
    <w:rsid w:val="0029716F"/>
    <w:rsid w:val="0029728B"/>
    <w:rsid w:val="00297B45"/>
    <w:rsid w:val="00297C42"/>
    <w:rsid w:val="002A1062"/>
    <w:rsid w:val="002A14CB"/>
    <w:rsid w:val="002A1AA8"/>
    <w:rsid w:val="002A2261"/>
    <w:rsid w:val="002A27DC"/>
    <w:rsid w:val="002A2F6E"/>
    <w:rsid w:val="002A3081"/>
    <w:rsid w:val="002A3A8B"/>
    <w:rsid w:val="002A4F26"/>
    <w:rsid w:val="002A63F9"/>
    <w:rsid w:val="002A7292"/>
    <w:rsid w:val="002A741B"/>
    <w:rsid w:val="002A74CB"/>
    <w:rsid w:val="002B0CCE"/>
    <w:rsid w:val="002B1202"/>
    <w:rsid w:val="002B12AC"/>
    <w:rsid w:val="002B1407"/>
    <w:rsid w:val="002B189A"/>
    <w:rsid w:val="002B21E0"/>
    <w:rsid w:val="002B2459"/>
    <w:rsid w:val="002B2650"/>
    <w:rsid w:val="002B3418"/>
    <w:rsid w:val="002B3C8D"/>
    <w:rsid w:val="002B525F"/>
    <w:rsid w:val="002B53DC"/>
    <w:rsid w:val="002B565E"/>
    <w:rsid w:val="002B64C1"/>
    <w:rsid w:val="002C024C"/>
    <w:rsid w:val="002C0E30"/>
    <w:rsid w:val="002C1280"/>
    <w:rsid w:val="002C2F4C"/>
    <w:rsid w:val="002C3033"/>
    <w:rsid w:val="002C3B73"/>
    <w:rsid w:val="002C3F20"/>
    <w:rsid w:val="002C3F88"/>
    <w:rsid w:val="002C5A86"/>
    <w:rsid w:val="002C5EC9"/>
    <w:rsid w:val="002C7184"/>
    <w:rsid w:val="002D0D42"/>
    <w:rsid w:val="002D16CC"/>
    <w:rsid w:val="002D17F2"/>
    <w:rsid w:val="002D1C54"/>
    <w:rsid w:val="002D460E"/>
    <w:rsid w:val="002D471F"/>
    <w:rsid w:val="002D50A4"/>
    <w:rsid w:val="002D5853"/>
    <w:rsid w:val="002D60DA"/>
    <w:rsid w:val="002D713A"/>
    <w:rsid w:val="002E3BC2"/>
    <w:rsid w:val="002E41AD"/>
    <w:rsid w:val="002E42AC"/>
    <w:rsid w:val="002E5068"/>
    <w:rsid w:val="002E53BF"/>
    <w:rsid w:val="002E7760"/>
    <w:rsid w:val="002F0B96"/>
    <w:rsid w:val="002F3936"/>
    <w:rsid w:val="002F3E23"/>
    <w:rsid w:val="002F3E68"/>
    <w:rsid w:val="002F3EB5"/>
    <w:rsid w:val="002F6368"/>
    <w:rsid w:val="002F77E4"/>
    <w:rsid w:val="00300033"/>
    <w:rsid w:val="0030015F"/>
    <w:rsid w:val="00300320"/>
    <w:rsid w:val="003003CA"/>
    <w:rsid w:val="003021ED"/>
    <w:rsid w:val="003023E9"/>
    <w:rsid w:val="00302AD4"/>
    <w:rsid w:val="003032F8"/>
    <w:rsid w:val="00303972"/>
    <w:rsid w:val="00304C5D"/>
    <w:rsid w:val="00305CF0"/>
    <w:rsid w:val="003067F7"/>
    <w:rsid w:val="003073A3"/>
    <w:rsid w:val="00307830"/>
    <w:rsid w:val="00307D1E"/>
    <w:rsid w:val="0031017D"/>
    <w:rsid w:val="00310E5F"/>
    <w:rsid w:val="00311C86"/>
    <w:rsid w:val="00312F34"/>
    <w:rsid w:val="0031430D"/>
    <w:rsid w:val="00314736"/>
    <w:rsid w:val="00315301"/>
    <w:rsid w:val="00315BE2"/>
    <w:rsid w:val="00317912"/>
    <w:rsid w:val="00317AFC"/>
    <w:rsid w:val="00320B98"/>
    <w:rsid w:val="0032128E"/>
    <w:rsid w:val="00321D5A"/>
    <w:rsid w:val="003220E1"/>
    <w:rsid w:val="00322A7B"/>
    <w:rsid w:val="00322FD3"/>
    <w:rsid w:val="00324256"/>
    <w:rsid w:val="0032469A"/>
    <w:rsid w:val="00324A60"/>
    <w:rsid w:val="00325319"/>
    <w:rsid w:val="0032604D"/>
    <w:rsid w:val="003263C1"/>
    <w:rsid w:val="00326F03"/>
    <w:rsid w:val="003303A2"/>
    <w:rsid w:val="003303C3"/>
    <w:rsid w:val="003306A4"/>
    <w:rsid w:val="0033153C"/>
    <w:rsid w:val="0033410A"/>
    <w:rsid w:val="0033417D"/>
    <w:rsid w:val="003350D5"/>
    <w:rsid w:val="00335A80"/>
    <w:rsid w:val="0034169F"/>
    <w:rsid w:val="00341997"/>
    <w:rsid w:val="00341BE2"/>
    <w:rsid w:val="00342AD9"/>
    <w:rsid w:val="00342D32"/>
    <w:rsid w:val="00342DF8"/>
    <w:rsid w:val="003430A4"/>
    <w:rsid w:val="003448F8"/>
    <w:rsid w:val="0034530E"/>
    <w:rsid w:val="00346158"/>
    <w:rsid w:val="003476C7"/>
    <w:rsid w:val="00347FBB"/>
    <w:rsid w:val="00347FBF"/>
    <w:rsid w:val="00350CF5"/>
    <w:rsid w:val="003513E8"/>
    <w:rsid w:val="00351899"/>
    <w:rsid w:val="00351965"/>
    <w:rsid w:val="00352BE1"/>
    <w:rsid w:val="00354820"/>
    <w:rsid w:val="003550F8"/>
    <w:rsid w:val="00356CB9"/>
    <w:rsid w:val="003572B6"/>
    <w:rsid w:val="00357811"/>
    <w:rsid w:val="003579B9"/>
    <w:rsid w:val="0036051F"/>
    <w:rsid w:val="003608E6"/>
    <w:rsid w:val="0036116A"/>
    <w:rsid w:val="003611E0"/>
    <w:rsid w:val="003614C2"/>
    <w:rsid w:val="00361BB1"/>
    <w:rsid w:val="00362893"/>
    <w:rsid w:val="00363AD6"/>
    <w:rsid w:val="00365E15"/>
    <w:rsid w:val="00366731"/>
    <w:rsid w:val="00366AE1"/>
    <w:rsid w:val="003679FC"/>
    <w:rsid w:val="00367AFD"/>
    <w:rsid w:val="003715FF"/>
    <w:rsid w:val="00371E6D"/>
    <w:rsid w:val="0037205E"/>
    <w:rsid w:val="003721D0"/>
    <w:rsid w:val="00372902"/>
    <w:rsid w:val="003748A1"/>
    <w:rsid w:val="00374934"/>
    <w:rsid w:val="00374A4F"/>
    <w:rsid w:val="00376039"/>
    <w:rsid w:val="00376CA0"/>
    <w:rsid w:val="00376D8D"/>
    <w:rsid w:val="003770B5"/>
    <w:rsid w:val="0037770C"/>
    <w:rsid w:val="00380340"/>
    <w:rsid w:val="003812D5"/>
    <w:rsid w:val="00381409"/>
    <w:rsid w:val="00381F35"/>
    <w:rsid w:val="00381F99"/>
    <w:rsid w:val="003828C6"/>
    <w:rsid w:val="00383720"/>
    <w:rsid w:val="0038527E"/>
    <w:rsid w:val="00386711"/>
    <w:rsid w:val="00386D06"/>
    <w:rsid w:val="00386D99"/>
    <w:rsid w:val="00386E66"/>
    <w:rsid w:val="003873C4"/>
    <w:rsid w:val="00387567"/>
    <w:rsid w:val="00387616"/>
    <w:rsid w:val="00390674"/>
    <w:rsid w:val="00391013"/>
    <w:rsid w:val="00392DAC"/>
    <w:rsid w:val="00392DE7"/>
    <w:rsid w:val="0039315A"/>
    <w:rsid w:val="00393E3A"/>
    <w:rsid w:val="0039411B"/>
    <w:rsid w:val="00395851"/>
    <w:rsid w:val="003969A3"/>
    <w:rsid w:val="00396D75"/>
    <w:rsid w:val="00396E02"/>
    <w:rsid w:val="00397A7D"/>
    <w:rsid w:val="00397D7D"/>
    <w:rsid w:val="003A0031"/>
    <w:rsid w:val="003A10B4"/>
    <w:rsid w:val="003A10F0"/>
    <w:rsid w:val="003A1B90"/>
    <w:rsid w:val="003A2618"/>
    <w:rsid w:val="003A2929"/>
    <w:rsid w:val="003A3E85"/>
    <w:rsid w:val="003A4660"/>
    <w:rsid w:val="003A5262"/>
    <w:rsid w:val="003A55F9"/>
    <w:rsid w:val="003A77FB"/>
    <w:rsid w:val="003A7A24"/>
    <w:rsid w:val="003A7F3B"/>
    <w:rsid w:val="003B14BA"/>
    <w:rsid w:val="003B260A"/>
    <w:rsid w:val="003B294C"/>
    <w:rsid w:val="003B314B"/>
    <w:rsid w:val="003B3B0A"/>
    <w:rsid w:val="003B3C7E"/>
    <w:rsid w:val="003B4910"/>
    <w:rsid w:val="003B6B66"/>
    <w:rsid w:val="003B7F44"/>
    <w:rsid w:val="003C2C5B"/>
    <w:rsid w:val="003C353E"/>
    <w:rsid w:val="003C40C3"/>
    <w:rsid w:val="003C5057"/>
    <w:rsid w:val="003C5177"/>
    <w:rsid w:val="003C5EC2"/>
    <w:rsid w:val="003C76EC"/>
    <w:rsid w:val="003C7B3F"/>
    <w:rsid w:val="003D1056"/>
    <w:rsid w:val="003D1155"/>
    <w:rsid w:val="003D12D1"/>
    <w:rsid w:val="003D1BF2"/>
    <w:rsid w:val="003D2315"/>
    <w:rsid w:val="003D2808"/>
    <w:rsid w:val="003D340B"/>
    <w:rsid w:val="003D3D6A"/>
    <w:rsid w:val="003D73E2"/>
    <w:rsid w:val="003D7C68"/>
    <w:rsid w:val="003E128F"/>
    <w:rsid w:val="003E280D"/>
    <w:rsid w:val="003E2844"/>
    <w:rsid w:val="003E447C"/>
    <w:rsid w:val="003E4C0E"/>
    <w:rsid w:val="003E4F98"/>
    <w:rsid w:val="003E5356"/>
    <w:rsid w:val="003E63B7"/>
    <w:rsid w:val="003E65F2"/>
    <w:rsid w:val="003F0DD7"/>
    <w:rsid w:val="003F12A8"/>
    <w:rsid w:val="003F239C"/>
    <w:rsid w:val="003F2D2B"/>
    <w:rsid w:val="003F3B28"/>
    <w:rsid w:val="003F3D2B"/>
    <w:rsid w:val="003F3F3F"/>
    <w:rsid w:val="003F5E94"/>
    <w:rsid w:val="003F6124"/>
    <w:rsid w:val="003F646B"/>
    <w:rsid w:val="003F68C6"/>
    <w:rsid w:val="003F6AEC"/>
    <w:rsid w:val="003F7617"/>
    <w:rsid w:val="003F7ABE"/>
    <w:rsid w:val="003F7CEF"/>
    <w:rsid w:val="0040035F"/>
    <w:rsid w:val="00400A30"/>
    <w:rsid w:val="00402297"/>
    <w:rsid w:val="004030FB"/>
    <w:rsid w:val="00403322"/>
    <w:rsid w:val="00403628"/>
    <w:rsid w:val="00403669"/>
    <w:rsid w:val="004047C8"/>
    <w:rsid w:val="004050A7"/>
    <w:rsid w:val="00406620"/>
    <w:rsid w:val="0040674C"/>
    <w:rsid w:val="004113AF"/>
    <w:rsid w:val="00412201"/>
    <w:rsid w:val="004127E2"/>
    <w:rsid w:val="00412DE4"/>
    <w:rsid w:val="00412F50"/>
    <w:rsid w:val="00412F71"/>
    <w:rsid w:val="004133FD"/>
    <w:rsid w:val="004138C7"/>
    <w:rsid w:val="00413E63"/>
    <w:rsid w:val="0041449A"/>
    <w:rsid w:val="00416643"/>
    <w:rsid w:val="004167B4"/>
    <w:rsid w:val="00416B45"/>
    <w:rsid w:val="00416D1B"/>
    <w:rsid w:val="0041751B"/>
    <w:rsid w:val="00420736"/>
    <w:rsid w:val="00420884"/>
    <w:rsid w:val="00421283"/>
    <w:rsid w:val="004215C2"/>
    <w:rsid w:val="004221A4"/>
    <w:rsid w:val="00423075"/>
    <w:rsid w:val="0042345D"/>
    <w:rsid w:val="00423910"/>
    <w:rsid w:val="00423F62"/>
    <w:rsid w:val="00424198"/>
    <w:rsid w:val="004257C5"/>
    <w:rsid w:val="00426D11"/>
    <w:rsid w:val="00427BFD"/>
    <w:rsid w:val="00430775"/>
    <w:rsid w:val="0043084D"/>
    <w:rsid w:val="0043154F"/>
    <w:rsid w:val="004326B3"/>
    <w:rsid w:val="00434264"/>
    <w:rsid w:val="00434679"/>
    <w:rsid w:val="004353C2"/>
    <w:rsid w:val="004360D3"/>
    <w:rsid w:val="004401C6"/>
    <w:rsid w:val="004407C2"/>
    <w:rsid w:val="00440B02"/>
    <w:rsid w:val="004414FC"/>
    <w:rsid w:val="004415F5"/>
    <w:rsid w:val="00441B52"/>
    <w:rsid w:val="004427F7"/>
    <w:rsid w:val="00442AF2"/>
    <w:rsid w:val="00444A93"/>
    <w:rsid w:val="00444C46"/>
    <w:rsid w:val="004451A2"/>
    <w:rsid w:val="004459B8"/>
    <w:rsid w:val="004459D9"/>
    <w:rsid w:val="0044628D"/>
    <w:rsid w:val="004466D1"/>
    <w:rsid w:val="00447DB8"/>
    <w:rsid w:val="004508B0"/>
    <w:rsid w:val="004532E6"/>
    <w:rsid w:val="00454525"/>
    <w:rsid w:val="00454F29"/>
    <w:rsid w:val="00454F64"/>
    <w:rsid w:val="00455AB3"/>
    <w:rsid w:val="004564BA"/>
    <w:rsid w:val="00457B4A"/>
    <w:rsid w:val="00460ECE"/>
    <w:rsid w:val="00462839"/>
    <w:rsid w:val="004663F1"/>
    <w:rsid w:val="0046656B"/>
    <w:rsid w:val="00466D61"/>
    <w:rsid w:val="00467054"/>
    <w:rsid w:val="00467515"/>
    <w:rsid w:val="00470931"/>
    <w:rsid w:val="00471D15"/>
    <w:rsid w:val="00471D8C"/>
    <w:rsid w:val="00472A3E"/>
    <w:rsid w:val="00473501"/>
    <w:rsid w:val="00474054"/>
    <w:rsid w:val="0047495E"/>
    <w:rsid w:val="00475685"/>
    <w:rsid w:val="00475842"/>
    <w:rsid w:val="0047691B"/>
    <w:rsid w:val="0047780D"/>
    <w:rsid w:val="00477961"/>
    <w:rsid w:val="00477D80"/>
    <w:rsid w:val="0048049C"/>
    <w:rsid w:val="00480E79"/>
    <w:rsid w:val="00481972"/>
    <w:rsid w:val="00481BA6"/>
    <w:rsid w:val="00481C0D"/>
    <w:rsid w:val="00482FAE"/>
    <w:rsid w:val="0048379A"/>
    <w:rsid w:val="00485B4A"/>
    <w:rsid w:val="00485BAC"/>
    <w:rsid w:val="0049084B"/>
    <w:rsid w:val="00491283"/>
    <w:rsid w:val="00492A22"/>
    <w:rsid w:val="00492BCA"/>
    <w:rsid w:val="00492ED7"/>
    <w:rsid w:val="0049422C"/>
    <w:rsid w:val="00495613"/>
    <w:rsid w:val="0049604F"/>
    <w:rsid w:val="0049689A"/>
    <w:rsid w:val="00497488"/>
    <w:rsid w:val="00497958"/>
    <w:rsid w:val="00497B20"/>
    <w:rsid w:val="004A02A8"/>
    <w:rsid w:val="004A1A82"/>
    <w:rsid w:val="004A1D05"/>
    <w:rsid w:val="004A1F63"/>
    <w:rsid w:val="004A2704"/>
    <w:rsid w:val="004A2818"/>
    <w:rsid w:val="004A4A68"/>
    <w:rsid w:val="004A4BFD"/>
    <w:rsid w:val="004A4C76"/>
    <w:rsid w:val="004A6483"/>
    <w:rsid w:val="004A7057"/>
    <w:rsid w:val="004A75B7"/>
    <w:rsid w:val="004A7759"/>
    <w:rsid w:val="004B17C7"/>
    <w:rsid w:val="004B1F6B"/>
    <w:rsid w:val="004B4911"/>
    <w:rsid w:val="004B4D03"/>
    <w:rsid w:val="004B62BD"/>
    <w:rsid w:val="004B6B6D"/>
    <w:rsid w:val="004B6C70"/>
    <w:rsid w:val="004B6D54"/>
    <w:rsid w:val="004C077A"/>
    <w:rsid w:val="004C0898"/>
    <w:rsid w:val="004C09D4"/>
    <w:rsid w:val="004C0FF4"/>
    <w:rsid w:val="004C1091"/>
    <w:rsid w:val="004C12D5"/>
    <w:rsid w:val="004C13F0"/>
    <w:rsid w:val="004C1A37"/>
    <w:rsid w:val="004C1ADF"/>
    <w:rsid w:val="004C2210"/>
    <w:rsid w:val="004C3457"/>
    <w:rsid w:val="004C39AC"/>
    <w:rsid w:val="004C3FA8"/>
    <w:rsid w:val="004C44A5"/>
    <w:rsid w:val="004C4D5E"/>
    <w:rsid w:val="004C5812"/>
    <w:rsid w:val="004C7438"/>
    <w:rsid w:val="004D024B"/>
    <w:rsid w:val="004D032C"/>
    <w:rsid w:val="004D0C87"/>
    <w:rsid w:val="004D0F44"/>
    <w:rsid w:val="004D2991"/>
    <w:rsid w:val="004D2A3D"/>
    <w:rsid w:val="004D4088"/>
    <w:rsid w:val="004D46DE"/>
    <w:rsid w:val="004D5000"/>
    <w:rsid w:val="004D5725"/>
    <w:rsid w:val="004D6825"/>
    <w:rsid w:val="004D68B3"/>
    <w:rsid w:val="004D7772"/>
    <w:rsid w:val="004E076D"/>
    <w:rsid w:val="004E092F"/>
    <w:rsid w:val="004E26CC"/>
    <w:rsid w:val="004E4221"/>
    <w:rsid w:val="004E4A8A"/>
    <w:rsid w:val="004E4C4B"/>
    <w:rsid w:val="004E6BE4"/>
    <w:rsid w:val="004E6C48"/>
    <w:rsid w:val="004E6FCE"/>
    <w:rsid w:val="004E7BF6"/>
    <w:rsid w:val="004E7D5B"/>
    <w:rsid w:val="004E7FF4"/>
    <w:rsid w:val="004F00DE"/>
    <w:rsid w:val="004F0558"/>
    <w:rsid w:val="004F21CA"/>
    <w:rsid w:val="004F2262"/>
    <w:rsid w:val="004F456D"/>
    <w:rsid w:val="004F4A1C"/>
    <w:rsid w:val="004F59EB"/>
    <w:rsid w:val="004F6EB0"/>
    <w:rsid w:val="004F7887"/>
    <w:rsid w:val="005001D6"/>
    <w:rsid w:val="00501A63"/>
    <w:rsid w:val="0050218A"/>
    <w:rsid w:val="005033DA"/>
    <w:rsid w:val="00504D2E"/>
    <w:rsid w:val="0050542D"/>
    <w:rsid w:val="00506222"/>
    <w:rsid w:val="00506CCC"/>
    <w:rsid w:val="00507330"/>
    <w:rsid w:val="00511B04"/>
    <w:rsid w:val="00511C98"/>
    <w:rsid w:val="0051244E"/>
    <w:rsid w:val="00512809"/>
    <w:rsid w:val="005143BE"/>
    <w:rsid w:val="005156BA"/>
    <w:rsid w:val="00515826"/>
    <w:rsid w:val="00521781"/>
    <w:rsid w:val="0052181A"/>
    <w:rsid w:val="005223A1"/>
    <w:rsid w:val="005226B0"/>
    <w:rsid w:val="005229BF"/>
    <w:rsid w:val="00522C85"/>
    <w:rsid w:val="005245D8"/>
    <w:rsid w:val="005248D8"/>
    <w:rsid w:val="00527627"/>
    <w:rsid w:val="005300B3"/>
    <w:rsid w:val="005303F5"/>
    <w:rsid w:val="005306BF"/>
    <w:rsid w:val="005307F4"/>
    <w:rsid w:val="00530839"/>
    <w:rsid w:val="005325FC"/>
    <w:rsid w:val="0053358F"/>
    <w:rsid w:val="0053428A"/>
    <w:rsid w:val="00534605"/>
    <w:rsid w:val="00534958"/>
    <w:rsid w:val="00534A94"/>
    <w:rsid w:val="00535736"/>
    <w:rsid w:val="00536881"/>
    <w:rsid w:val="00536C43"/>
    <w:rsid w:val="00540B16"/>
    <w:rsid w:val="005420B3"/>
    <w:rsid w:val="00542124"/>
    <w:rsid w:val="005424E0"/>
    <w:rsid w:val="0054287C"/>
    <w:rsid w:val="005429D0"/>
    <w:rsid w:val="00543C84"/>
    <w:rsid w:val="00543F23"/>
    <w:rsid w:val="00545C2C"/>
    <w:rsid w:val="0054651F"/>
    <w:rsid w:val="005467B1"/>
    <w:rsid w:val="00547744"/>
    <w:rsid w:val="0055073E"/>
    <w:rsid w:val="0055079C"/>
    <w:rsid w:val="00550A81"/>
    <w:rsid w:val="00551463"/>
    <w:rsid w:val="005533D9"/>
    <w:rsid w:val="00554C08"/>
    <w:rsid w:val="005553DB"/>
    <w:rsid w:val="005554B8"/>
    <w:rsid w:val="00555525"/>
    <w:rsid w:val="0055582D"/>
    <w:rsid w:val="005558EF"/>
    <w:rsid w:val="00556077"/>
    <w:rsid w:val="005564F6"/>
    <w:rsid w:val="00556A4B"/>
    <w:rsid w:val="0055725C"/>
    <w:rsid w:val="0055775E"/>
    <w:rsid w:val="005602DC"/>
    <w:rsid w:val="00561094"/>
    <w:rsid w:val="005617CF"/>
    <w:rsid w:val="005618C2"/>
    <w:rsid w:val="00561D55"/>
    <w:rsid w:val="00563186"/>
    <w:rsid w:val="00563547"/>
    <w:rsid w:val="0056378E"/>
    <w:rsid w:val="00564059"/>
    <w:rsid w:val="00565131"/>
    <w:rsid w:val="005658D5"/>
    <w:rsid w:val="00565D2F"/>
    <w:rsid w:val="00565F22"/>
    <w:rsid w:val="0056603D"/>
    <w:rsid w:val="00566103"/>
    <w:rsid w:val="00566AFD"/>
    <w:rsid w:val="00566B09"/>
    <w:rsid w:val="00566C57"/>
    <w:rsid w:val="0056700F"/>
    <w:rsid w:val="00567BF8"/>
    <w:rsid w:val="00570538"/>
    <w:rsid w:val="00570AAF"/>
    <w:rsid w:val="00570D89"/>
    <w:rsid w:val="00572B11"/>
    <w:rsid w:val="00573654"/>
    <w:rsid w:val="00573D7A"/>
    <w:rsid w:val="0057440E"/>
    <w:rsid w:val="0057470F"/>
    <w:rsid w:val="00574CAB"/>
    <w:rsid w:val="005771E3"/>
    <w:rsid w:val="00577403"/>
    <w:rsid w:val="00577A03"/>
    <w:rsid w:val="00581BF3"/>
    <w:rsid w:val="00582834"/>
    <w:rsid w:val="005833D2"/>
    <w:rsid w:val="00584273"/>
    <w:rsid w:val="00585061"/>
    <w:rsid w:val="00585AFA"/>
    <w:rsid w:val="00590661"/>
    <w:rsid w:val="00590DCC"/>
    <w:rsid w:val="00590F8B"/>
    <w:rsid w:val="00591A4C"/>
    <w:rsid w:val="00593D53"/>
    <w:rsid w:val="00594438"/>
    <w:rsid w:val="005945FF"/>
    <w:rsid w:val="00595A88"/>
    <w:rsid w:val="005961BF"/>
    <w:rsid w:val="00596F3D"/>
    <w:rsid w:val="0059727B"/>
    <w:rsid w:val="00597AD4"/>
    <w:rsid w:val="005A0A0D"/>
    <w:rsid w:val="005A0C2B"/>
    <w:rsid w:val="005A0F6E"/>
    <w:rsid w:val="005A3D11"/>
    <w:rsid w:val="005A44D2"/>
    <w:rsid w:val="005A4605"/>
    <w:rsid w:val="005A4AA9"/>
    <w:rsid w:val="005A4F93"/>
    <w:rsid w:val="005A6C98"/>
    <w:rsid w:val="005B0131"/>
    <w:rsid w:val="005B1A3A"/>
    <w:rsid w:val="005B1CCC"/>
    <w:rsid w:val="005B1FF5"/>
    <w:rsid w:val="005B2FF8"/>
    <w:rsid w:val="005B3298"/>
    <w:rsid w:val="005B381B"/>
    <w:rsid w:val="005B585A"/>
    <w:rsid w:val="005B61A6"/>
    <w:rsid w:val="005B655F"/>
    <w:rsid w:val="005C2266"/>
    <w:rsid w:val="005C2368"/>
    <w:rsid w:val="005C27F3"/>
    <w:rsid w:val="005C368C"/>
    <w:rsid w:val="005C3832"/>
    <w:rsid w:val="005C426A"/>
    <w:rsid w:val="005C42FB"/>
    <w:rsid w:val="005C4DCE"/>
    <w:rsid w:val="005C66E4"/>
    <w:rsid w:val="005C7720"/>
    <w:rsid w:val="005C7DAD"/>
    <w:rsid w:val="005D0063"/>
    <w:rsid w:val="005D01A2"/>
    <w:rsid w:val="005D03E8"/>
    <w:rsid w:val="005D1BB6"/>
    <w:rsid w:val="005D2525"/>
    <w:rsid w:val="005D2BE9"/>
    <w:rsid w:val="005D3135"/>
    <w:rsid w:val="005D3306"/>
    <w:rsid w:val="005D334E"/>
    <w:rsid w:val="005D3D98"/>
    <w:rsid w:val="005D3DA3"/>
    <w:rsid w:val="005D5F00"/>
    <w:rsid w:val="005D7301"/>
    <w:rsid w:val="005E01CA"/>
    <w:rsid w:val="005E074A"/>
    <w:rsid w:val="005E107A"/>
    <w:rsid w:val="005E10E6"/>
    <w:rsid w:val="005E162B"/>
    <w:rsid w:val="005E56AC"/>
    <w:rsid w:val="005E5E63"/>
    <w:rsid w:val="005E6930"/>
    <w:rsid w:val="005F0988"/>
    <w:rsid w:val="005F0D61"/>
    <w:rsid w:val="005F1FB5"/>
    <w:rsid w:val="005F2316"/>
    <w:rsid w:val="005F3294"/>
    <w:rsid w:val="005F6093"/>
    <w:rsid w:val="005F6453"/>
    <w:rsid w:val="00601E15"/>
    <w:rsid w:val="00602435"/>
    <w:rsid w:val="00604773"/>
    <w:rsid w:val="00605040"/>
    <w:rsid w:val="00605BFA"/>
    <w:rsid w:val="006062C9"/>
    <w:rsid w:val="006070B4"/>
    <w:rsid w:val="006076A9"/>
    <w:rsid w:val="00610452"/>
    <w:rsid w:val="006109FF"/>
    <w:rsid w:val="00610F53"/>
    <w:rsid w:val="0061194A"/>
    <w:rsid w:val="00612D16"/>
    <w:rsid w:val="00617251"/>
    <w:rsid w:val="0061784D"/>
    <w:rsid w:val="00620FB0"/>
    <w:rsid w:val="00621058"/>
    <w:rsid w:val="006217D2"/>
    <w:rsid w:val="006244FF"/>
    <w:rsid w:val="00624964"/>
    <w:rsid w:val="006255E8"/>
    <w:rsid w:val="0062676D"/>
    <w:rsid w:val="00627086"/>
    <w:rsid w:val="00630E46"/>
    <w:rsid w:val="00630F6F"/>
    <w:rsid w:val="00631167"/>
    <w:rsid w:val="006314A7"/>
    <w:rsid w:val="00631BBE"/>
    <w:rsid w:val="00632C7C"/>
    <w:rsid w:val="00632D9F"/>
    <w:rsid w:val="00633EB8"/>
    <w:rsid w:val="00635C27"/>
    <w:rsid w:val="0064078F"/>
    <w:rsid w:val="006412E9"/>
    <w:rsid w:val="00641A10"/>
    <w:rsid w:val="00641FC9"/>
    <w:rsid w:val="00642F5D"/>
    <w:rsid w:val="00644E6E"/>
    <w:rsid w:val="0064502B"/>
    <w:rsid w:val="006456B3"/>
    <w:rsid w:val="006466C5"/>
    <w:rsid w:val="00646BEA"/>
    <w:rsid w:val="00646E53"/>
    <w:rsid w:val="006470DA"/>
    <w:rsid w:val="006473A4"/>
    <w:rsid w:val="006475F4"/>
    <w:rsid w:val="006520AB"/>
    <w:rsid w:val="00652158"/>
    <w:rsid w:val="0065247A"/>
    <w:rsid w:val="006533C2"/>
    <w:rsid w:val="006540F1"/>
    <w:rsid w:val="006543B2"/>
    <w:rsid w:val="0065541E"/>
    <w:rsid w:val="00655948"/>
    <w:rsid w:val="0065650F"/>
    <w:rsid w:val="00657267"/>
    <w:rsid w:val="00660050"/>
    <w:rsid w:val="00660B90"/>
    <w:rsid w:val="006613DF"/>
    <w:rsid w:val="006616C4"/>
    <w:rsid w:val="0066175D"/>
    <w:rsid w:val="0066209F"/>
    <w:rsid w:val="00663004"/>
    <w:rsid w:val="006635C8"/>
    <w:rsid w:val="00664368"/>
    <w:rsid w:val="0066474E"/>
    <w:rsid w:val="00664E2A"/>
    <w:rsid w:val="0066526E"/>
    <w:rsid w:val="006652AC"/>
    <w:rsid w:val="0066605A"/>
    <w:rsid w:val="00666976"/>
    <w:rsid w:val="006671B7"/>
    <w:rsid w:val="00667BCA"/>
    <w:rsid w:val="00671BE7"/>
    <w:rsid w:val="00671FB9"/>
    <w:rsid w:val="0067205E"/>
    <w:rsid w:val="006736AB"/>
    <w:rsid w:val="006743C9"/>
    <w:rsid w:val="0067454B"/>
    <w:rsid w:val="006747AB"/>
    <w:rsid w:val="00676F0C"/>
    <w:rsid w:val="006771A0"/>
    <w:rsid w:val="00677FD0"/>
    <w:rsid w:val="006819EF"/>
    <w:rsid w:val="006848D1"/>
    <w:rsid w:val="00686400"/>
    <w:rsid w:val="006904E2"/>
    <w:rsid w:val="00690A62"/>
    <w:rsid w:val="00691213"/>
    <w:rsid w:val="00691ABF"/>
    <w:rsid w:val="00692CC8"/>
    <w:rsid w:val="00693548"/>
    <w:rsid w:val="0069399F"/>
    <w:rsid w:val="00694B37"/>
    <w:rsid w:val="00695891"/>
    <w:rsid w:val="00697D4C"/>
    <w:rsid w:val="006A09F3"/>
    <w:rsid w:val="006A0BBE"/>
    <w:rsid w:val="006A0EC2"/>
    <w:rsid w:val="006A18BD"/>
    <w:rsid w:val="006A2086"/>
    <w:rsid w:val="006A23C2"/>
    <w:rsid w:val="006A2DEA"/>
    <w:rsid w:val="006A342B"/>
    <w:rsid w:val="006A3D57"/>
    <w:rsid w:val="006A4F27"/>
    <w:rsid w:val="006A504C"/>
    <w:rsid w:val="006A529A"/>
    <w:rsid w:val="006A5708"/>
    <w:rsid w:val="006B0F20"/>
    <w:rsid w:val="006B11FA"/>
    <w:rsid w:val="006B1562"/>
    <w:rsid w:val="006B3F51"/>
    <w:rsid w:val="006B4370"/>
    <w:rsid w:val="006B543C"/>
    <w:rsid w:val="006B6CD4"/>
    <w:rsid w:val="006B75CD"/>
    <w:rsid w:val="006C0008"/>
    <w:rsid w:val="006C104D"/>
    <w:rsid w:val="006C1A23"/>
    <w:rsid w:val="006C1BA1"/>
    <w:rsid w:val="006C274C"/>
    <w:rsid w:val="006C3B1B"/>
    <w:rsid w:val="006C3D72"/>
    <w:rsid w:val="006C5DA2"/>
    <w:rsid w:val="006C6961"/>
    <w:rsid w:val="006C71BF"/>
    <w:rsid w:val="006C75C8"/>
    <w:rsid w:val="006D12A8"/>
    <w:rsid w:val="006D1E12"/>
    <w:rsid w:val="006D1E4B"/>
    <w:rsid w:val="006D2711"/>
    <w:rsid w:val="006D3E6E"/>
    <w:rsid w:val="006D4A7A"/>
    <w:rsid w:val="006D4B80"/>
    <w:rsid w:val="006D4F11"/>
    <w:rsid w:val="006D57F7"/>
    <w:rsid w:val="006D6590"/>
    <w:rsid w:val="006D7219"/>
    <w:rsid w:val="006D777B"/>
    <w:rsid w:val="006E1D39"/>
    <w:rsid w:val="006E3D1D"/>
    <w:rsid w:val="006E4CC3"/>
    <w:rsid w:val="006E4F9B"/>
    <w:rsid w:val="006E5270"/>
    <w:rsid w:val="006E5435"/>
    <w:rsid w:val="006E547B"/>
    <w:rsid w:val="006E5AD0"/>
    <w:rsid w:val="006E6B29"/>
    <w:rsid w:val="006E7D01"/>
    <w:rsid w:val="006F0193"/>
    <w:rsid w:val="006F1082"/>
    <w:rsid w:val="006F1A40"/>
    <w:rsid w:val="006F4EC4"/>
    <w:rsid w:val="006F5B7E"/>
    <w:rsid w:val="006F5B91"/>
    <w:rsid w:val="006F635C"/>
    <w:rsid w:val="006F667E"/>
    <w:rsid w:val="006F732E"/>
    <w:rsid w:val="006F7576"/>
    <w:rsid w:val="006F7AFA"/>
    <w:rsid w:val="00700C5D"/>
    <w:rsid w:val="00701ECF"/>
    <w:rsid w:val="007025BE"/>
    <w:rsid w:val="00703C3C"/>
    <w:rsid w:val="0070412C"/>
    <w:rsid w:val="00704DB2"/>
    <w:rsid w:val="00704F82"/>
    <w:rsid w:val="00705237"/>
    <w:rsid w:val="007066E3"/>
    <w:rsid w:val="00706799"/>
    <w:rsid w:val="00710672"/>
    <w:rsid w:val="00710F16"/>
    <w:rsid w:val="007137C8"/>
    <w:rsid w:val="00714FE7"/>
    <w:rsid w:val="00715A6B"/>
    <w:rsid w:val="0071662E"/>
    <w:rsid w:val="00717377"/>
    <w:rsid w:val="0072020A"/>
    <w:rsid w:val="0072029D"/>
    <w:rsid w:val="00720C5E"/>
    <w:rsid w:val="00720F1F"/>
    <w:rsid w:val="007216FF"/>
    <w:rsid w:val="00721A4E"/>
    <w:rsid w:val="0072234D"/>
    <w:rsid w:val="00722701"/>
    <w:rsid w:val="007227BD"/>
    <w:rsid w:val="007231F8"/>
    <w:rsid w:val="00723411"/>
    <w:rsid w:val="00723B23"/>
    <w:rsid w:val="00723B85"/>
    <w:rsid w:val="0072550B"/>
    <w:rsid w:val="007306AB"/>
    <w:rsid w:val="00731F72"/>
    <w:rsid w:val="007322B6"/>
    <w:rsid w:val="00734508"/>
    <w:rsid w:val="007353D5"/>
    <w:rsid w:val="007357B7"/>
    <w:rsid w:val="007363F7"/>
    <w:rsid w:val="00736420"/>
    <w:rsid w:val="0073675E"/>
    <w:rsid w:val="007367BF"/>
    <w:rsid w:val="007372ED"/>
    <w:rsid w:val="0073739E"/>
    <w:rsid w:val="0074071B"/>
    <w:rsid w:val="00741467"/>
    <w:rsid w:val="007424BA"/>
    <w:rsid w:val="00742A07"/>
    <w:rsid w:val="00742F01"/>
    <w:rsid w:val="00744889"/>
    <w:rsid w:val="00744903"/>
    <w:rsid w:val="00745876"/>
    <w:rsid w:val="00745DC5"/>
    <w:rsid w:val="00745E2D"/>
    <w:rsid w:val="00746661"/>
    <w:rsid w:val="00751783"/>
    <w:rsid w:val="00751A08"/>
    <w:rsid w:val="00752417"/>
    <w:rsid w:val="0075345C"/>
    <w:rsid w:val="0075633E"/>
    <w:rsid w:val="007567BB"/>
    <w:rsid w:val="007569B5"/>
    <w:rsid w:val="00756DAC"/>
    <w:rsid w:val="00756DD8"/>
    <w:rsid w:val="0076072A"/>
    <w:rsid w:val="0076086E"/>
    <w:rsid w:val="00761BF2"/>
    <w:rsid w:val="00761C7D"/>
    <w:rsid w:val="00763157"/>
    <w:rsid w:val="00763169"/>
    <w:rsid w:val="00763DF1"/>
    <w:rsid w:val="00763E12"/>
    <w:rsid w:val="0076443F"/>
    <w:rsid w:val="00765B59"/>
    <w:rsid w:val="007667E7"/>
    <w:rsid w:val="00767239"/>
    <w:rsid w:val="007676E0"/>
    <w:rsid w:val="00767E8F"/>
    <w:rsid w:val="007717F5"/>
    <w:rsid w:val="007719F2"/>
    <w:rsid w:val="007722E9"/>
    <w:rsid w:val="00773938"/>
    <w:rsid w:val="00773B0E"/>
    <w:rsid w:val="007742D7"/>
    <w:rsid w:val="0077470A"/>
    <w:rsid w:val="00780840"/>
    <w:rsid w:val="00781434"/>
    <w:rsid w:val="007842F3"/>
    <w:rsid w:val="00784E5A"/>
    <w:rsid w:val="007861CB"/>
    <w:rsid w:val="007863E9"/>
    <w:rsid w:val="00790B5E"/>
    <w:rsid w:val="00791410"/>
    <w:rsid w:val="0079190A"/>
    <w:rsid w:val="00791D44"/>
    <w:rsid w:val="00792777"/>
    <w:rsid w:val="007932B5"/>
    <w:rsid w:val="0079368F"/>
    <w:rsid w:val="007946A4"/>
    <w:rsid w:val="0079476E"/>
    <w:rsid w:val="007948E9"/>
    <w:rsid w:val="00795504"/>
    <w:rsid w:val="0079658A"/>
    <w:rsid w:val="0079729F"/>
    <w:rsid w:val="007976B5"/>
    <w:rsid w:val="00797A14"/>
    <w:rsid w:val="007A11A4"/>
    <w:rsid w:val="007A2134"/>
    <w:rsid w:val="007A22CA"/>
    <w:rsid w:val="007A27C1"/>
    <w:rsid w:val="007A285F"/>
    <w:rsid w:val="007A286E"/>
    <w:rsid w:val="007A43E6"/>
    <w:rsid w:val="007A678A"/>
    <w:rsid w:val="007A7652"/>
    <w:rsid w:val="007B1C22"/>
    <w:rsid w:val="007B2C71"/>
    <w:rsid w:val="007B2F31"/>
    <w:rsid w:val="007B37D0"/>
    <w:rsid w:val="007B41F1"/>
    <w:rsid w:val="007B4859"/>
    <w:rsid w:val="007B4AB0"/>
    <w:rsid w:val="007B4EDD"/>
    <w:rsid w:val="007B4FFE"/>
    <w:rsid w:val="007B55FF"/>
    <w:rsid w:val="007B5FA3"/>
    <w:rsid w:val="007B632F"/>
    <w:rsid w:val="007B7A15"/>
    <w:rsid w:val="007B7C35"/>
    <w:rsid w:val="007C07ED"/>
    <w:rsid w:val="007C08A1"/>
    <w:rsid w:val="007C1283"/>
    <w:rsid w:val="007C243B"/>
    <w:rsid w:val="007C46F8"/>
    <w:rsid w:val="007C57C3"/>
    <w:rsid w:val="007C6F84"/>
    <w:rsid w:val="007C7687"/>
    <w:rsid w:val="007C7942"/>
    <w:rsid w:val="007C7A9E"/>
    <w:rsid w:val="007D009E"/>
    <w:rsid w:val="007D0323"/>
    <w:rsid w:val="007D0417"/>
    <w:rsid w:val="007D0D03"/>
    <w:rsid w:val="007D20A8"/>
    <w:rsid w:val="007D3DC6"/>
    <w:rsid w:val="007D3E4E"/>
    <w:rsid w:val="007D3EC2"/>
    <w:rsid w:val="007D4048"/>
    <w:rsid w:val="007D42C0"/>
    <w:rsid w:val="007D547F"/>
    <w:rsid w:val="007D5BFF"/>
    <w:rsid w:val="007D5EC1"/>
    <w:rsid w:val="007D6E25"/>
    <w:rsid w:val="007D7D0D"/>
    <w:rsid w:val="007E000C"/>
    <w:rsid w:val="007E11EC"/>
    <w:rsid w:val="007E206A"/>
    <w:rsid w:val="007E2AA7"/>
    <w:rsid w:val="007E2EB6"/>
    <w:rsid w:val="007E4943"/>
    <w:rsid w:val="007E516B"/>
    <w:rsid w:val="007E545E"/>
    <w:rsid w:val="007E6102"/>
    <w:rsid w:val="007E69BB"/>
    <w:rsid w:val="007E7ABB"/>
    <w:rsid w:val="007F0B0B"/>
    <w:rsid w:val="007F128E"/>
    <w:rsid w:val="007F3C97"/>
    <w:rsid w:val="007F55B6"/>
    <w:rsid w:val="007F7670"/>
    <w:rsid w:val="008004A9"/>
    <w:rsid w:val="0080065A"/>
    <w:rsid w:val="008006D2"/>
    <w:rsid w:val="00800A0F"/>
    <w:rsid w:val="00800D1F"/>
    <w:rsid w:val="00801B14"/>
    <w:rsid w:val="00801BB2"/>
    <w:rsid w:val="008021FB"/>
    <w:rsid w:val="0080252A"/>
    <w:rsid w:val="00802C2D"/>
    <w:rsid w:val="00804578"/>
    <w:rsid w:val="00804D55"/>
    <w:rsid w:val="008069A9"/>
    <w:rsid w:val="00806BC4"/>
    <w:rsid w:val="00806C1D"/>
    <w:rsid w:val="00806F3E"/>
    <w:rsid w:val="008073A4"/>
    <w:rsid w:val="00807428"/>
    <w:rsid w:val="00807AFE"/>
    <w:rsid w:val="008102A9"/>
    <w:rsid w:val="008103EC"/>
    <w:rsid w:val="00811A18"/>
    <w:rsid w:val="0081234B"/>
    <w:rsid w:val="00814351"/>
    <w:rsid w:val="00815174"/>
    <w:rsid w:val="008158E1"/>
    <w:rsid w:val="00815E83"/>
    <w:rsid w:val="008165AA"/>
    <w:rsid w:val="00821B11"/>
    <w:rsid w:val="00822014"/>
    <w:rsid w:val="0082286F"/>
    <w:rsid w:val="00822C5B"/>
    <w:rsid w:val="008231F7"/>
    <w:rsid w:val="008236C6"/>
    <w:rsid w:val="0082412A"/>
    <w:rsid w:val="00824167"/>
    <w:rsid w:val="00824639"/>
    <w:rsid w:val="0082518E"/>
    <w:rsid w:val="00826120"/>
    <w:rsid w:val="0082676B"/>
    <w:rsid w:val="00827F8C"/>
    <w:rsid w:val="00831419"/>
    <w:rsid w:val="008319BB"/>
    <w:rsid w:val="00832324"/>
    <w:rsid w:val="0083377E"/>
    <w:rsid w:val="008343AA"/>
    <w:rsid w:val="008348CB"/>
    <w:rsid w:val="008353B0"/>
    <w:rsid w:val="0083544E"/>
    <w:rsid w:val="00836C3D"/>
    <w:rsid w:val="008374FF"/>
    <w:rsid w:val="008412AC"/>
    <w:rsid w:val="008424EC"/>
    <w:rsid w:val="00842CA6"/>
    <w:rsid w:val="00842E61"/>
    <w:rsid w:val="00844871"/>
    <w:rsid w:val="00845976"/>
    <w:rsid w:val="00845DF4"/>
    <w:rsid w:val="00845E26"/>
    <w:rsid w:val="00847138"/>
    <w:rsid w:val="00847EB5"/>
    <w:rsid w:val="00847F4E"/>
    <w:rsid w:val="008515B2"/>
    <w:rsid w:val="00853696"/>
    <w:rsid w:val="00853735"/>
    <w:rsid w:val="00853E9D"/>
    <w:rsid w:val="00854009"/>
    <w:rsid w:val="008544D5"/>
    <w:rsid w:val="00854915"/>
    <w:rsid w:val="00854E4E"/>
    <w:rsid w:val="00855305"/>
    <w:rsid w:val="00857173"/>
    <w:rsid w:val="00857AE7"/>
    <w:rsid w:val="00861B9C"/>
    <w:rsid w:val="00861F7B"/>
    <w:rsid w:val="00862333"/>
    <w:rsid w:val="008634B3"/>
    <w:rsid w:val="00863873"/>
    <w:rsid w:val="00863DE4"/>
    <w:rsid w:val="008654B5"/>
    <w:rsid w:val="00865AD3"/>
    <w:rsid w:val="00866C87"/>
    <w:rsid w:val="00867EE8"/>
    <w:rsid w:val="00870F9E"/>
    <w:rsid w:val="00872396"/>
    <w:rsid w:val="00872722"/>
    <w:rsid w:val="00874E3C"/>
    <w:rsid w:val="00875BD5"/>
    <w:rsid w:val="00877709"/>
    <w:rsid w:val="00877BEA"/>
    <w:rsid w:val="0088041C"/>
    <w:rsid w:val="00880E56"/>
    <w:rsid w:val="008810CE"/>
    <w:rsid w:val="008820D3"/>
    <w:rsid w:val="008840B4"/>
    <w:rsid w:val="00884381"/>
    <w:rsid w:val="00884E44"/>
    <w:rsid w:val="008859C7"/>
    <w:rsid w:val="0088652E"/>
    <w:rsid w:val="008870D3"/>
    <w:rsid w:val="00887EF8"/>
    <w:rsid w:val="008903D9"/>
    <w:rsid w:val="008912A4"/>
    <w:rsid w:val="00893446"/>
    <w:rsid w:val="00893C71"/>
    <w:rsid w:val="00893D86"/>
    <w:rsid w:val="00894BC8"/>
    <w:rsid w:val="00895033"/>
    <w:rsid w:val="00897A8D"/>
    <w:rsid w:val="008A0092"/>
    <w:rsid w:val="008A0DA9"/>
    <w:rsid w:val="008A130F"/>
    <w:rsid w:val="008A1DBA"/>
    <w:rsid w:val="008A2A17"/>
    <w:rsid w:val="008A3429"/>
    <w:rsid w:val="008A358E"/>
    <w:rsid w:val="008A59C1"/>
    <w:rsid w:val="008A649B"/>
    <w:rsid w:val="008A73E4"/>
    <w:rsid w:val="008A7822"/>
    <w:rsid w:val="008A7991"/>
    <w:rsid w:val="008B16F2"/>
    <w:rsid w:val="008B19FF"/>
    <w:rsid w:val="008B2098"/>
    <w:rsid w:val="008B365F"/>
    <w:rsid w:val="008B437F"/>
    <w:rsid w:val="008B44EC"/>
    <w:rsid w:val="008B7DCB"/>
    <w:rsid w:val="008C10D8"/>
    <w:rsid w:val="008C11EB"/>
    <w:rsid w:val="008C15A7"/>
    <w:rsid w:val="008C27F0"/>
    <w:rsid w:val="008C2F04"/>
    <w:rsid w:val="008C356F"/>
    <w:rsid w:val="008C36F0"/>
    <w:rsid w:val="008C43A8"/>
    <w:rsid w:val="008C45B2"/>
    <w:rsid w:val="008C4A75"/>
    <w:rsid w:val="008C5032"/>
    <w:rsid w:val="008C567F"/>
    <w:rsid w:val="008C57E0"/>
    <w:rsid w:val="008C591C"/>
    <w:rsid w:val="008C6CD2"/>
    <w:rsid w:val="008C798C"/>
    <w:rsid w:val="008C7E53"/>
    <w:rsid w:val="008D0125"/>
    <w:rsid w:val="008D1437"/>
    <w:rsid w:val="008D1DB6"/>
    <w:rsid w:val="008D426E"/>
    <w:rsid w:val="008D4751"/>
    <w:rsid w:val="008D53C8"/>
    <w:rsid w:val="008D5A74"/>
    <w:rsid w:val="008D5C15"/>
    <w:rsid w:val="008D5EEE"/>
    <w:rsid w:val="008D6F41"/>
    <w:rsid w:val="008D726C"/>
    <w:rsid w:val="008E2648"/>
    <w:rsid w:val="008E3445"/>
    <w:rsid w:val="008E3EE2"/>
    <w:rsid w:val="008E4FFE"/>
    <w:rsid w:val="008E619E"/>
    <w:rsid w:val="008E685B"/>
    <w:rsid w:val="008F05EA"/>
    <w:rsid w:val="008F200B"/>
    <w:rsid w:val="008F262B"/>
    <w:rsid w:val="008F32D4"/>
    <w:rsid w:val="008F3A1C"/>
    <w:rsid w:val="008F41ED"/>
    <w:rsid w:val="008F43CD"/>
    <w:rsid w:val="008F4CED"/>
    <w:rsid w:val="008F5712"/>
    <w:rsid w:val="008F618B"/>
    <w:rsid w:val="008F6E13"/>
    <w:rsid w:val="008F748A"/>
    <w:rsid w:val="008F782D"/>
    <w:rsid w:val="008F79A3"/>
    <w:rsid w:val="008F7F16"/>
    <w:rsid w:val="00900EDA"/>
    <w:rsid w:val="00900F80"/>
    <w:rsid w:val="0090133B"/>
    <w:rsid w:val="0090146C"/>
    <w:rsid w:val="009017B7"/>
    <w:rsid w:val="00901B63"/>
    <w:rsid w:val="00901E36"/>
    <w:rsid w:val="0090251B"/>
    <w:rsid w:val="00902DA6"/>
    <w:rsid w:val="009032C6"/>
    <w:rsid w:val="00903C0C"/>
    <w:rsid w:val="009048F7"/>
    <w:rsid w:val="0090511A"/>
    <w:rsid w:val="0090546A"/>
    <w:rsid w:val="0090571F"/>
    <w:rsid w:val="00906536"/>
    <w:rsid w:val="0090710C"/>
    <w:rsid w:val="009079E5"/>
    <w:rsid w:val="00907E89"/>
    <w:rsid w:val="00907EBB"/>
    <w:rsid w:val="00907F61"/>
    <w:rsid w:val="00910102"/>
    <w:rsid w:val="009105EF"/>
    <w:rsid w:val="009111BB"/>
    <w:rsid w:val="009115CD"/>
    <w:rsid w:val="00911CB1"/>
    <w:rsid w:val="00911D71"/>
    <w:rsid w:val="009132EE"/>
    <w:rsid w:val="0091359A"/>
    <w:rsid w:val="00914A81"/>
    <w:rsid w:val="00914B5F"/>
    <w:rsid w:val="00914D4C"/>
    <w:rsid w:val="009152B9"/>
    <w:rsid w:val="00915D88"/>
    <w:rsid w:val="00916033"/>
    <w:rsid w:val="00920083"/>
    <w:rsid w:val="009203CF"/>
    <w:rsid w:val="0092096B"/>
    <w:rsid w:val="0092107D"/>
    <w:rsid w:val="009217A9"/>
    <w:rsid w:val="00922DFF"/>
    <w:rsid w:val="009243BA"/>
    <w:rsid w:val="00924AD4"/>
    <w:rsid w:val="00924BD1"/>
    <w:rsid w:val="0092544B"/>
    <w:rsid w:val="00925B4C"/>
    <w:rsid w:val="00926F4A"/>
    <w:rsid w:val="00927B60"/>
    <w:rsid w:val="00927CCD"/>
    <w:rsid w:val="00930AD9"/>
    <w:rsid w:val="009326A5"/>
    <w:rsid w:val="00933693"/>
    <w:rsid w:val="00933D47"/>
    <w:rsid w:val="00934143"/>
    <w:rsid w:val="0093423A"/>
    <w:rsid w:val="00934B09"/>
    <w:rsid w:val="009362FC"/>
    <w:rsid w:val="00936934"/>
    <w:rsid w:val="009377C8"/>
    <w:rsid w:val="00940658"/>
    <w:rsid w:val="0094159A"/>
    <w:rsid w:val="00941682"/>
    <w:rsid w:val="009416C6"/>
    <w:rsid w:val="00941A18"/>
    <w:rsid w:val="00942B46"/>
    <w:rsid w:val="00944AF5"/>
    <w:rsid w:val="00947964"/>
    <w:rsid w:val="00947FFE"/>
    <w:rsid w:val="0095200D"/>
    <w:rsid w:val="00957FCD"/>
    <w:rsid w:val="00960043"/>
    <w:rsid w:val="00960F33"/>
    <w:rsid w:val="009631E2"/>
    <w:rsid w:val="0096321C"/>
    <w:rsid w:val="00963E0D"/>
    <w:rsid w:val="009647B9"/>
    <w:rsid w:val="00964843"/>
    <w:rsid w:val="009654D4"/>
    <w:rsid w:val="009677B7"/>
    <w:rsid w:val="00971EDE"/>
    <w:rsid w:val="00972BD0"/>
    <w:rsid w:val="00973F55"/>
    <w:rsid w:val="00974496"/>
    <w:rsid w:val="009747B6"/>
    <w:rsid w:val="00974F4B"/>
    <w:rsid w:val="00977700"/>
    <w:rsid w:val="00977D0D"/>
    <w:rsid w:val="00977FAA"/>
    <w:rsid w:val="009801D0"/>
    <w:rsid w:val="00981925"/>
    <w:rsid w:val="009822B8"/>
    <w:rsid w:val="009824E8"/>
    <w:rsid w:val="00982895"/>
    <w:rsid w:val="009836A9"/>
    <w:rsid w:val="009836EF"/>
    <w:rsid w:val="009839FC"/>
    <w:rsid w:val="00983ADA"/>
    <w:rsid w:val="0098418C"/>
    <w:rsid w:val="00984564"/>
    <w:rsid w:val="00984C51"/>
    <w:rsid w:val="00985DCC"/>
    <w:rsid w:val="009864EB"/>
    <w:rsid w:val="00987991"/>
    <w:rsid w:val="00990B4E"/>
    <w:rsid w:val="00993A41"/>
    <w:rsid w:val="009941D8"/>
    <w:rsid w:val="009963D9"/>
    <w:rsid w:val="00997CC3"/>
    <w:rsid w:val="009A18A9"/>
    <w:rsid w:val="009A19F2"/>
    <w:rsid w:val="009A1C85"/>
    <w:rsid w:val="009A1E68"/>
    <w:rsid w:val="009A220E"/>
    <w:rsid w:val="009A22CC"/>
    <w:rsid w:val="009A280A"/>
    <w:rsid w:val="009A2B9E"/>
    <w:rsid w:val="009A363C"/>
    <w:rsid w:val="009A3AFB"/>
    <w:rsid w:val="009A406C"/>
    <w:rsid w:val="009A495A"/>
    <w:rsid w:val="009A508B"/>
    <w:rsid w:val="009A51AF"/>
    <w:rsid w:val="009A5907"/>
    <w:rsid w:val="009A6F51"/>
    <w:rsid w:val="009A7FF0"/>
    <w:rsid w:val="009B1A43"/>
    <w:rsid w:val="009B48A4"/>
    <w:rsid w:val="009B4D9E"/>
    <w:rsid w:val="009B5711"/>
    <w:rsid w:val="009B5B2C"/>
    <w:rsid w:val="009B73A4"/>
    <w:rsid w:val="009B77A1"/>
    <w:rsid w:val="009B7864"/>
    <w:rsid w:val="009C0B48"/>
    <w:rsid w:val="009C1F58"/>
    <w:rsid w:val="009C2CD7"/>
    <w:rsid w:val="009C5966"/>
    <w:rsid w:val="009C5B1B"/>
    <w:rsid w:val="009C5EDD"/>
    <w:rsid w:val="009C662E"/>
    <w:rsid w:val="009C66B0"/>
    <w:rsid w:val="009C6BDA"/>
    <w:rsid w:val="009C709B"/>
    <w:rsid w:val="009C7466"/>
    <w:rsid w:val="009C79F9"/>
    <w:rsid w:val="009C7D4B"/>
    <w:rsid w:val="009D0755"/>
    <w:rsid w:val="009D095E"/>
    <w:rsid w:val="009D0AC3"/>
    <w:rsid w:val="009D167D"/>
    <w:rsid w:val="009D1D93"/>
    <w:rsid w:val="009D29B9"/>
    <w:rsid w:val="009D3144"/>
    <w:rsid w:val="009D3461"/>
    <w:rsid w:val="009D5328"/>
    <w:rsid w:val="009D6D0E"/>
    <w:rsid w:val="009D7FF9"/>
    <w:rsid w:val="009E0DEE"/>
    <w:rsid w:val="009E1A5B"/>
    <w:rsid w:val="009E1CAD"/>
    <w:rsid w:val="009E2127"/>
    <w:rsid w:val="009E282C"/>
    <w:rsid w:val="009E2978"/>
    <w:rsid w:val="009E3B1D"/>
    <w:rsid w:val="009E56A0"/>
    <w:rsid w:val="009E63CE"/>
    <w:rsid w:val="009E6697"/>
    <w:rsid w:val="009E7B23"/>
    <w:rsid w:val="009F0E35"/>
    <w:rsid w:val="009F31AF"/>
    <w:rsid w:val="009F3D95"/>
    <w:rsid w:val="009F4DF4"/>
    <w:rsid w:val="009F5F13"/>
    <w:rsid w:val="009F730A"/>
    <w:rsid w:val="009F7F94"/>
    <w:rsid w:val="00A002E0"/>
    <w:rsid w:val="00A00A57"/>
    <w:rsid w:val="00A00E0F"/>
    <w:rsid w:val="00A02D66"/>
    <w:rsid w:val="00A03129"/>
    <w:rsid w:val="00A03F43"/>
    <w:rsid w:val="00A04183"/>
    <w:rsid w:val="00A04649"/>
    <w:rsid w:val="00A0505D"/>
    <w:rsid w:val="00A0541B"/>
    <w:rsid w:val="00A057AF"/>
    <w:rsid w:val="00A05877"/>
    <w:rsid w:val="00A05F0A"/>
    <w:rsid w:val="00A06B11"/>
    <w:rsid w:val="00A06B63"/>
    <w:rsid w:val="00A0705A"/>
    <w:rsid w:val="00A11025"/>
    <w:rsid w:val="00A11190"/>
    <w:rsid w:val="00A11B04"/>
    <w:rsid w:val="00A11EC8"/>
    <w:rsid w:val="00A12129"/>
    <w:rsid w:val="00A12B23"/>
    <w:rsid w:val="00A12DEB"/>
    <w:rsid w:val="00A1571B"/>
    <w:rsid w:val="00A159A5"/>
    <w:rsid w:val="00A16F84"/>
    <w:rsid w:val="00A17FB7"/>
    <w:rsid w:val="00A20958"/>
    <w:rsid w:val="00A21B9A"/>
    <w:rsid w:val="00A21D46"/>
    <w:rsid w:val="00A226DF"/>
    <w:rsid w:val="00A23943"/>
    <w:rsid w:val="00A23D98"/>
    <w:rsid w:val="00A242B2"/>
    <w:rsid w:val="00A26AEE"/>
    <w:rsid w:val="00A27093"/>
    <w:rsid w:val="00A304C1"/>
    <w:rsid w:val="00A31F50"/>
    <w:rsid w:val="00A31F90"/>
    <w:rsid w:val="00A32440"/>
    <w:rsid w:val="00A32CA7"/>
    <w:rsid w:val="00A32CB2"/>
    <w:rsid w:val="00A33670"/>
    <w:rsid w:val="00A345BA"/>
    <w:rsid w:val="00A35819"/>
    <w:rsid w:val="00A37EE4"/>
    <w:rsid w:val="00A4048E"/>
    <w:rsid w:val="00A407A9"/>
    <w:rsid w:val="00A41D52"/>
    <w:rsid w:val="00A431AA"/>
    <w:rsid w:val="00A457C4"/>
    <w:rsid w:val="00A45A73"/>
    <w:rsid w:val="00A51BEA"/>
    <w:rsid w:val="00A51C11"/>
    <w:rsid w:val="00A52254"/>
    <w:rsid w:val="00A52774"/>
    <w:rsid w:val="00A52800"/>
    <w:rsid w:val="00A52C1C"/>
    <w:rsid w:val="00A5325D"/>
    <w:rsid w:val="00A541AD"/>
    <w:rsid w:val="00A55683"/>
    <w:rsid w:val="00A55811"/>
    <w:rsid w:val="00A57852"/>
    <w:rsid w:val="00A61069"/>
    <w:rsid w:val="00A61B61"/>
    <w:rsid w:val="00A64C5E"/>
    <w:rsid w:val="00A64D9A"/>
    <w:rsid w:val="00A66202"/>
    <w:rsid w:val="00A70DC5"/>
    <w:rsid w:val="00A71818"/>
    <w:rsid w:val="00A730AE"/>
    <w:rsid w:val="00A733CB"/>
    <w:rsid w:val="00A73E90"/>
    <w:rsid w:val="00A74F12"/>
    <w:rsid w:val="00A76681"/>
    <w:rsid w:val="00A774B5"/>
    <w:rsid w:val="00A81FE8"/>
    <w:rsid w:val="00A8248C"/>
    <w:rsid w:val="00A8254B"/>
    <w:rsid w:val="00A836F9"/>
    <w:rsid w:val="00A83D83"/>
    <w:rsid w:val="00A86201"/>
    <w:rsid w:val="00A86FF1"/>
    <w:rsid w:val="00A87B93"/>
    <w:rsid w:val="00A909DC"/>
    <w:rsid w:val="00A917A8"/>
    <w:rsid w:val="00A928A8"/>
    <w:rsid w:val="00A92A03"/>
    <w:rsid w:val="00A92F68"/>
    <w:rsid w:val="00A9363D"/>
    <w:rsid w:val="00A942B0"/>
    <w:rsid w:val="00AA1D1A"/>
    <w:rsid w:val="00AA1D8F"/>
    <w:rsid w:val="00AA1E93"/>
    <w:rsid w:val="00AA2198"/>
    <w:rsid w:val="00AA2263"/>
    <w:rsid w:val="00AA2A4F"/>
    <w:rsid w:val="00AA2DDC"/>
    <w:rsid w:val="00AA3655"/>
    <w:rsid w:val="00AA5416"/>
    <w:rsid w:val="00AA544F"/>
    <w:rsid w:val="00AA55EE"/>
    <w:rsid w:val="00AA586B"/>
    <w:rsid w:val="00AA5B40"/>
    <w:rsid w:val="00AA66D8"/>
    <w:rsid w:val="00AA6D2E"/>
    <w:rsid w:val="00AA6DE1"/>
    <w:rsid w:val="00AB0C09"/>
    <w:rsid w:val="00AB0EC7"/>
    <w:rsid w:val="00AB17A6"/>
    <w:rsid w:val="00AB242C"/>
    <w:rsid w:val="00AB33F1"/>
    <w:rsid w:val="00AB343F"/>
    <w:rsid w:val="00AB3BC2"/>
    <w:rsid w:val="00AB3DB7"/>
    <w:rsid w:val="00AB4466"/>
    <w:rsid w:val="00AB500D"/>
    <w:rsid w:val="00AB5095"/>
    <w:rsid w:val="00AB5DCB"/>
    <w:rsid w:val="00AB62F2"/>
    <w:rsid w:val="00AB6599"/>
    <w:rsid w:val="00AB74C0"/>
    <w:rsid w:val="00AB7941"/>
    <w:rsid w:val="00AC02D4"/>
    <w:rsid w:val="00AC2644"/>
    <w:rsid w:val="00AC2B89"/>
    <w:rsid w:val="00AC3FEC"/>
    <w:rsid w:val="00AC4E8E"/>
    <w:rsid w:val="00AC57C0"/>
    <w:rsid w:val="00AC5E5C"/>
    <w:rsid w:val="00AC5F97"/>
    <w:rsid w:val="00AC6BEC"/>
    <w:rsid w:val="00AC6E84"/>
    <w:rsid w:val="00AC74A3"/>
    <w:rsid w:val="00AC7A77"/>
    <w:rsid w:val="00AC7BF9"/>
    <w:rsid w:val="00AD0100"/>
    <w:rsid w:val="00AD14F5"/>
    <w:rsid w:val="00AD1FEE"/>
    <w:rsid w:val="00AD4E6E"/>
    <w:rsid w:val="00AD61BC"/>
    <w:rsid w:val="00AD64D6"/>
    <w:rsid w:val="00AD67AC"/>
    <w:rsid w:val="00AE1C6F"/>
    <w:rsid w:val="00AE29B5"/>
    <w:rsid w:val="00AE2D72"/>
    <w:rsid w:val="00AE2FF8"/>
    <w:rsid w:val="00AE3399"/>
    <w:rsid w:val="00AE3F93"/>
    <w:rsid w:val="00AE3FB6"/>
    <w:rsid w:val="00AE75D6"/>
    <w:rsid w:val="00AF08E9"/>
    <w:rsid w:val="00AF08F5"/>
    <w:rsid w:val="00AF1591"/>
    <w:rsid w:val="00AF1FF6"/>
    <w:rsid w:val="00AF24B6"/>
    <w:rsid w:val="00AF287E"/>
    <w:rsid w:val="00AF2B38"/>
    <w:rsid w:val="00AF4021"/>
    <w:rsid w:val="00AF48A7"/>
    <w:rsid w:val="00AF5C9B"/>
    <w:rsid w:val="00AF69FE"/>
    <w:rsid w:val="00AF6E20"/>
    <w:rsid w:val="00B011F4"/>
    <w:rsid w:val="00B0138C"/>
    <w:rsid w:val="00B02BAA"/>
    <w:rsid w:val="00B02E98"/>
    <w:rsid w:val="00B03BF7"/>
    <w:rsid w:val="00B04335"/>
    <w:rsid w:val="00B04CED"/>
    <w:rsid w:val="00B05039"/>
    <w:rsid w:val="00B05903"/>
    <w:rsid w:val="00B0619F"/>
    <w:rsid w:val="00B0627B"/>
    <w:rsid w:val="00B06D0B"/>
    <w:rsid w:val="00B07037"/>
    <w:rsid w:val="00B07F92"/>
    <w:rsid w:val="00B12850"/>
    <w:rsid w:val="00B12A71"/>
    <w:rsid w:val="00B13741"/>
    <w:rsid w:val="00B13C25"/>
    <w:rsid w:val="00B1518A"/>
    <w:rsid w:val="00B20212"/>
    <w:rsid w:val="00B20FC2"/>
    <w:rsid w:val="00B220A7"/>
    <w:rsid w:val="00B2273A"/>
    <w:rsid w:val="00B24D69"/>
    <w:rsid w:val="00B2506B"/>
    <w:rsid w:val="00B253BB"/>
    <w:rsid w:val="00B3069D"/>
    <w:rsid w:val="00B310B8"/>
    <w:rsid w:val="00B312AD"/>
    <w:rsid w:val="00B315C3"/>
    <w:rsid w:val="00B329F6"/>
    <w:rsid w:val="00B33BC4"/>
    <w:rsid w:val="00B34578"/>
    <w:rsid w:val="00B352E0"/>
    <w:rsid w:val="00B36953"/>
    <w:rsid w:val="00B369C1"/>
    <w:rsid w:val="00B372D5"/>
    <w:rsid w:val="00B376AA"/>
    <w:rsid w:val="00B40727"/>
    <w:rsid w:val="00B40CAD"/>
    <w:rsid w:val="00B418D0"/>
    <w:rsid w:val="00B41A48"/>
    <w:rsid w:val="00B42E64"/>
    <w:rsid w:val="00B44E93"/>
    <w:rsid w:val="00B46BAC"/>
    <w:rsid w:val="00B47A61"/>
    <w:rsid w:val="00B513B9"/>
    <w:rsid w:val="00B52D27"/>
    <w:rsid w:val="00B52E2A"/>
    <w:rsid w:val="00B53086"/>
    <w:rsid w:val="00B54F0F"/>
    <w:rsid w:val="00B56346"/>
    <w:rsid w:val="00B574DB"/>
    <w:rsid w:val="00B57D3D"/>
    <w:rsid w:val="00B61ED6"/>
    <w:rsid w:val="00B62C72"/>
    <w:rsid w:val="00B631D8"/>
    <w:rsid w:val="00B63EA9"/>
    <w:rsid w:val="00B647A2"/>
    <w:rsid w:val="00B64B36"/>
    <w:rsid w:val="00B66988"/>
    <w:rsid w:val="00B675D6"/>
    <w:rsid w:val="00B677FD"/>
    <w:rsid w:val="00B700EB"/>
    <w:rsid w:val="00B70871"/>
    <w:rsid w:val="00B70F36"/>
    <w:rsid w:val="00B71642"/>
    <w:rsid w:val="00B72970"/>
    <w:rsid w:val="00B73E33"/>
    <w:rsid w:val="00B74593"/>
    <w:rsid w:val="00B74CB0"/>
    <w:rsid w:val="00B74F34"/>
    <w:rsid w:val="00B74FCA"/>
    <w:rsid w:val="00B75274"/>
    <w:rsid w:val="00B758E5"/>
    <w:rsid w:val="00B764D5"/>
    <w:rsid w:val="00B77E99"/>
    <w:rsid w:val="00B80D7E"/>
    <w:rsid w:val="00B8104E"/>
    <w:rsid w:val="00B814F5"/>
    <w:rsid w:val="00B81D3F"/>
    <w:rsid w:val="00B81D87"/>
    <w:rsid w:val="00B8363F"/>
    <w:rsid w:val="00B85432"/>
    <w:rsid w:val="00B85D8E"/>
    <w:rsid w:val="00B86CC3"/>
    <w:rsid w:val="00B905EF"/>
    <w:rsid w:val="00B9245C"/>
    <w:rsid w:val="00B94712"/>
    <w:rsid w:val="00B9591F"/>
    <w:rsid w:val="00B96839"/>
    <w:rsid w:val="00B97F4F"/>
    <w:rsid w:val="00BA077A"/>
    <w:rsid w:val="00BA09D8"/>
    <w:rsid w:val="00BA0DEE"/>
    <w:rsid w:val="00BA16E9"/>
    <w:rsid w:val="00BA3E8E"/>
    <w:rsid w:val="00BA42A4"/>
    <w:rsid w:val="00BA5866"/>
    <w:rsid w:val="00BA621E"/>
    <w:rsid w:val="00BA690F"/>
    <w:rsid w:val="00BA7180"/>
    <w:rsid w:val="00BA776F"/>
    <w:rsid w:val="00BB09E2"/>
    <w:rsid w:val="00BB0C2D"/>
    <w:rsid w:val="00BB0F69"/>
    <w:rsid w:val="00BB131F"/>
    <w:rsid w:val="00BB17A0"/>
    <w:rsid w:val="00BB29FF"/>
    <w:rsid w:val="00BB2AF8"/>
    <w:rsid w:val="00BB2C93"/>
    <w:rsid w:val="00BB341B"/>
    <w:rsid w:val="00BB3F0F"/>
    <w:rsid w:val="00BB4D96"/>
    <w:rsid w:val="00BB5606"/>
    <w:rsid w:val="00BB6402"/>
    <w:rsid w:val="00BB6467"/>
    <w:rsid w:val="00BB6C14"/>
    <w:rsid w:val="00BB6E7D"/>
    <w:rsid w:val="00BB6FA4"/>
    <w:rsid w:val="00BC0272"/>
    <w:rsid w:val="00BC0E36"/>
    <w:rsid w:val="00BC1834"/>
    <w:rsid w:val="00BC3366"/>
    <w:rsid w:val="00BC36D9"/>
    <w:rsid w:val="00BC399B"/>
    <w:rsid w:val="00BC4967"/>
    <w:rsid w:val="00BC5645"/>
    <w:rsid w:val="00BC61EB"/>
    <w:rsid w:val="00BC6C2E"/>
    <w:rsid w:val="00BD12E9"/>
    <w:rsid w:val="00BD1A4C"/>
    <w:rsid w:val="00BD259E"/>
    <w:rsid w:val="00BD2FBD"/>
    <w:rsid w:val="00BD31D6"/>
    <w:rsid w:val="00BD39A4"/>
    <w:rsid w:val="00BD3D8C"/>
    <w:rsid w:val="00BD3E4C"/>
    <w:rsid w:val="00BD4384"/>
    <w:rsid w:val="00BD470D"/>
    <w:rsid w:val="00BD6441"/>
    <w:rsid w:val="00BD6B54"/>
    <w:rsid w:val="00BD74E3"/>
    <w:rsid w:val="00BD7F00"/>
    <w:rsid w:val="00BE18AC"/>
    <w:rsid w:val="00BE2F5B"/>
    <w:rsid w:val="00BE333C"/>
    <w:rsid w:val="00BE370C"/>
    <w:rsid w:val="00BE3E06"/>
    <w:rsid w:val="00BE3FC1"/>
    <w:rsid w:val="00BE46D7"/>
    <w:rsid w:val="00BE4D31"/>
    <w:rsid w:val="00BE4F49"/>
    <w:rsid w:val="00BE5D5F"/>
    <w:rsid w:val="00BE6905"/>
    <w:rsid w:val="00BE7F15"/>
    <w:rsid w:val="00BF0454"/>
    <w:rsid w:val="00BF0756"/>
    <w:rsid w:val="00BF1174"/>
    <w:rsid w:val="00BF232E"/>
    <w:rsid w:val="00BF2A6E"/>
    <w:rsid w:val="00BF355B"/>
    <w:rsid w:val="00BF3C3C"/>
    <w:rsid w:val="00BF4F21"/>
    <w:rsid w:val="00BF536F"/>
    <w:rsid w:val="00BF63DD"/>
    <w:rsid w:val="00BF7BA2"/>
    <w:rsid w:val="00BF7C47"/>
    <w:rsid w:val="00C00743"/>
    <w:rsid w:val="00C012E7"/>
    <w:rsid w:val="00C02997"/>
    <w:rsid w:val="00C04092"/>
    <w:rsid w:val="00C045EB"/>
    <w:rsid w:val="00C04BE9"/>
    <w:rsid w:val="00C04E46"/>
    <w:rsid w:val="00C05787"/>
    <w:rsid w:val="00C058E1"/>
    <w:rsid w:val="00C07088"/>
    <w:rsid w:val="00C07F0C"/>
    <w:rsid w:val="00C07F8C"/>
    <w:rsid w:val="00C10BB5"/>
    <w:rsid w:val="00C11021"/>
    <w:rsid w:val="00C12342"/>
    <w:rsid w:val="00C12387"/>
    <w:rsid w:val="00C12513"/>
    <w:rsid w:val="00C13361"/>
    <w:rsid w:val="00C13DA7"/>
    <w:rsid w:val="00C141D8"/>
    <w:rsid w:val="00C15083"/>
    <w:rsid w:val="00C1508E"/>
    <w:rsid w:val="00C163C4"/>
    <w:rsid w:val="00C17895"/>
    <w:rsid w:val="00C17AF4"/>
    <w:rsid w:val="00C21839"/>
    <w:rsid w:val="00C22D9B"/>
    <w:rsid w:val="00C235A4"/>
    <w:rsid w:val="00C24492"/>
    <w:rsid w:val="00C247A6"/>
    <w:rsid w:val="00C248AE"/>
    <w:rsid w:val="00C25E54"/>
    <w:rsid w:val="00C308CE"/>
    <w:rsid w:val="00C34235"/>
    <w:rsid w:val="00C3475D"/>
    <w:rsid w:val="00C349E6"/>
    <w:rsid w:val="00C353F7"/>
    <w:rsid w:val="00C36304"/>
    <w:rsid w:val="00C3689C"/>
    <w:rsid w:val="00C41145"/>
    <w:rsid w:val="00C4145C"/>
    <w:rsid w:val="00C41AE7"/>
    <w:rsid w:val="00C41FA0"/>
    <w:rsid w:val="00C42B02"/>
    <w:rsid w:val="00C42E1B"/>
    <w:rsid w:val="00C433F2"/>
    <w:rsid w:val="00C43D68"/>
    <w:rsid w:val="00C4426E"/>
    <w:rsid w:val="00C44D50"/>
    <w:rsid w:val="00C45E3E"/>
    <w:rsid w:val="00C46881"/>
    <w:rsid w:val="00C472EB"/>
    <w:rsid w:val="00C47CD4"/>
    <w:rsid w:val="00C47D07"/>
    <w:rsid w:val="00C50198"/>
    <w:rsid w:val="00C50367"/>
    <w:rsid w:val="00C50537"/>
    <w:rsid w:val="00C51A1D"/>
    <w:rsid w:val="00C51C85"/>
    <w:rsid w:val="00C51DBF"/>
    <w:rsid w:val="00C52072"/>
    <w:rsid w:val="00C5289C"/>
    <w:rsid w:val="00C52FC4"/>
    <w:rsid w:val="00C53F96"/>
    <w:rsid w:val="00C53FD8"/>
    <w:rsid w:val="00C54247"/>
    <w:rsid w:val="00C55D7A"/>
    <w:rsid w:val="00C55E65"/>
    <w:rsid w:val="00C57BFC"/>
    <w:rsid w:val="00C57ECE"/>
    <w:rsid w:val="00C601AC"/>
    <w:rsid w:val="00C6057E"/>
    <w:rsid w:val="00C617F5"/>
    <w:rsid w:val="00C61A6C"/>
    <w:rsid w:val="00C6237A"/>
    <w:rsid w:val="00C62AD0"/>
    <w:rsid w:val="00C63503"/>
    <w:rsid w:val="00C636B7"/>
    <w:rsid w:val="00C636F9"/>
    <w:rsid w:val="00C64BC1"/>
    <w:rsid w:val="00C64FD4"/>
    <w:rsid w:val="00C66233"/>
    <w:rsid w:val="00C664CE"/>
    <w:rsid w:val="00C6711F"/>
    <w:rsid w:val="00C674E2"/>
    <w:rsid w:val="00C70DD0"/>
    <w:rsid w:val="00C71C7E"/>
    <w:rsid w:val="00C73964"/>
    <w:rsid w:val="00C74A04"/>
    <w:rsid w:val="00C74E5A"/>
    <w:rsid w:val="00C76447"/>
    <w:rsid w:val="00C76FC6"/>
    <w:rsid w:val="00C77999"/>
    <w:rsid w:val="00C77FED"/>
    <w:rsid w:val="00C805B2"/>
    <w:rsid w:val="00C8329D"/>
    <w:rsid w:val="00C838FF"/>
    <w:rsid w:val="00C84795"/>
    <w:rsid w:val="00C8523A"/>
    <w:rsid w:val="00C87D6D"/>
    <w:rsid w:val="00C906DA"/>
    <w:rsid w:val="00C90B8F"/>
    <w:rsid w:val="00C914E4"/>
    <w:rsid w:val="00C91805"/>
    <w:rsid w:val="00C925D3"/>
    <w:rsid w:val="00C945FA"/>
    <w:rsid w:val="00C947BF"/>
    <w:rsid w:val="00C94D6B"/>
    <w:rsid w:val="00C9543F"/>
    <w:rsid w:val="00C96BA6"/>
    <w:rsid w:val="00C9770F"/>
    <w:rsid w:val="00C97B42"/>
    <w:rsid w:val="00C97C3D"/>
    <w:rsid w:val="00CA01CF"/>
    <w:rsid w:val="00CA23D7"/>
    <w:rsid w:val="00CA288E"/>
    <w:rsid w:val="00CA39D7"/>
    <w:rsid w:val="00CA5E7E"/>
    <w:rsid w:val="00CA6238"/>
    <w:rsid w:val="00CA6B82"/>
    <w:rsid w:val="00CA6C46"/>
    <w:rsid w:val="00CA7115"/>
    <w:rsid w:val="00CA7C9B"/>
    <w:rsid w:val="00CB0615"/>
    <w:rsid w:val="00CB07EC"/>
    <w:rsid w:val="00CB0D73"/>
    <w:rsid w:val="00CB20CB"/>
    <w:rsid w:val="00CB2EEF"/>
    <w:rsid w:val="00CB32EA"/>
    <w:rsid w:val="00CB3D30"/>
    <w:rsid w:val="00CB45C5"/>
    <w:rsid w:val="00CB4A6B"/>
    <w:rsid w:val="00CB4FD8"/>
    <w:rsid w:val="00CB6B29"/>
    <w:rsid w:val="00CC00CD"/>
    <w:rsid w:val="00CC047B"/>
    <w:rsid w:val="00CC09C9"/>
    <w:rsid w:val="00CC1235"/>
    <w:rsid w:val="00CC1B87"/>
    <w:rsid w:val="00CC28A1"/>
    <w:rsid w:val="00CC28A7"/>
    <w:rsid w:val="00CC38EA"/>
    <w:rsid w:val="00CC399B"/>
    <w:rsid w:val="00CC3ABC"/>
    <w:rsid w:val="00CC4C5C"/>
    <w:rsid w:val="00CC52A0"/>
    <w:rsid w:val="00CC533C"/>
    <w:rsid w:val="00CC6CFE"/>
    <w:rsid w:val="00CC7284"/>
    <w:rsid w:val="00CC78E2"/>
    <w:rsid w:val="00CD3594"/>
    <w:rsid w:val="00CD364C"/>
    <w:rsid w:val="00CD3C18"/>
    <w:rsid w:val="00CD53A9"/>
    <w:rsid w:val="00CD5998"/>
    <w:rsid w:val="00CD5AB3"/>
    <w:rsid w:val="00CD6129"/>
    <w:rsid w:val="00CD6BF0"/>
    <w:rsid w:val="00CD719A"/>
    <w:rsid w:val="00CD7E54"/>
    <w:rsid w:val="00CE0276"/>
    <w:rsid w:val="00CE16EA"/>
    <w:rsid w:val="00CE2CBA"/>
    <w:rsid w:val="00CE342E"/>
    <w:rsid w:val="00CE41AF"/>
    <w:rsid w:val="00CE4B46"/>
    <w:rsid w:val="00CE52FF"/>
    <w:rsid w:val="00CE697C"/>
    <w:rsid w:val="00CE6D39"/>
    <w:rsid w:val="00CF04DD"/>
    <w:rsid w:val="00CF087D"/>
    <w:rsid w:val="00CF0B0C"/>
    <w:rsid w:val="00CF0F83"/>
    <w:rsid w:val="00CF10D3"/>
    <w:rsid w:val="00CF1CFF"/>
    <w:rsid w:val="00CF2A76"/>
    <w:rsid w:val="00CF2CC4"/>
    <w:rsid w:val="00CF4F8E"/>
    <w:rsid w:val="00D00CF9"/>
    <w:rsid w:val="00D0142A"/>
    <w:rsid w:val="00D01E91"/>
    <w:rsid w:val="00D02CBD"/>
    <w:rsid w:val="00D02F83"/>
    <w:rsid w:val="00D035E8"/>
    <w:rsid w:val="00D0376D"/>
    <w:rsid w:val="00D040C3"/>
    <w:rsid w:val="00D0512E"/>
    <w:rsid w:val="00D0529C"/>
    <w:rsid w:val="00D052E8"/>
    <w:rsid w:val="00D06742"/>
    <w:rsid w:val="00D07362"/>
    <w:rsid w:val="00D0745C"/>
    <w:rsid w:val="00D07574"/>
    <w:rsid w:val="00D0759E"/>
    <w:rsid w:val="00D1012C"/>
    <w:rsid w:val="00D101EA"/>
    <w:rsid w:val="00D10A4E"/>
    <w:rsid w:val="00D1170C"/>
    <w:rsid w:val="00D1286E"/>
    <w:rsid w:val="00D132EF"/>
    <w:rsid w:val="00D13A60"/>
    <w:rsid w:val="00D13F76"/>
    <w:rsid w:val="00D15137"/>
    <w:rsid w:val="00D151B5"/>
    <w:rsid w:val="00D2181E"/>
    <w:rsid w:val="00D2212C"/>
    <w:rsid w:val="00D24C94"/>
    <w:rsid w:val="00D264A8"/>
    <w:rsid w:val="00D273B1"/>
    <w:rsid w:val="00D27C46"/>
    <w:rsid w:val="00D27C59"/>
    <w:rsid w:val="00D27CBD"/>
    <w:rsid w:val="00D27DC2"/>
    <w:rsid w:val="00D300B5"/>
    <w:rsid w:val="00D3163B"/>
    <w:rsid w:val="00D332F2"/>
    <w:rsid w:val="00D33339"/>
    <w:rsid w:val="00D34811"/>
    <w:rsid w:val="00D34932"/>
    <w:rsid w:val="00D35064"/>
    <w:rsid w:val="00D35459"/>
    <w:rsid w:val="00D354FE"/>
    <w:rsid w:val="00D35607"/>
    <w:rsid w:val="00D35CE1"/>
    <w:rsid w:val="00D35DA2"/>
    <w:rsid w:val="00D369A4"/>
    <w:rsid w:val="00D36E38"/>
    <w:rsid w:val="00D37226"/>
    <w:rsid w:val="00D373AB"/>
    <w:rsid w:val="00D40F7E"/>
    <w:rsid w:val="00D42793"/>
    <w:rsid w:val="00D43ABF"/>
    <w:rsid w:val="00D43B23"/>
    <w:rsid w:val="00D444AA"/>
    <w:rsid w:val="00D45CE6"/>
    <w:rsid w:val="00D464E8"/>
    <w:rsid w:val="00D4650B"/>
    <w:rsid w:val="00D468B0"/>
    <w:rsid w:val="00D46A79"/>
    <w:rsid w:val="00D50F6C"/>
    <w:rsid w:val="00D52372"/>
    <w:rsid w:val="00D533F7"/>
    <w:rsid w:val="00D53566"/>
    <w:rsid w:val="00D53C6B"/>
    <w:rsid w:val="00D53D7D"/>
    <w:rsid w:val="00D5427B"/>
    <w:rsid w:val="00D55E3A"/>
    <w:rsid w:val="00D55F8A"/>
    <w:rsid w:val="00D60AD6"/>
    <w:rsid w:val="00D60E9D"/>
    <w:rsid w:val="00D61365"/>
    <w:rsid w:val="00D61E14"/>
    <w:rsid w:val="00D62BC1"/>
    <w:rsid w:val="00D63162"/>
    <w:rsid w:val="00D636DE"/>
    <w:rsid w:val="00D63D5F"/>
    <w:rsid w:val="00D64252"/>
    <w:rsid w:val="00D646AA"/>
    <w:rsid w:val="00D728F2"/>
    <w:rsid w:val="00D72B18"/>
    <w:rsid w:val="00D74215"/>
    <w:rsid w:val="00D75B78"/>
    <w:rsid w:val="00D75E76"/>
    <w:rsid w:val="00D75E9E"/>
    <w:rsid w:val="00D75ED8"/>
    <w:rsid w:val="00D763F1"/>
    <w:rsid w:val="00D7697E"/>
    <w:rsid w:val="00D802FD"/>
    <w:rsid w:val="00D81D60"/>
    <w:rsid w:val="00D82588"/>
    <w:rsid w:val="00D8283C"/>
    <w:rsid w:val="00D83AA2"/>
    <w:rsid w:val="00D83E36"/>
    <w:rsid w:val="00D83FC9"/>
    <w:rsid w:val="00D84430"/>
    <w:rsid w:val="00D8468F"/>
    <w:rsid w:val="00D84FFF"/>
    <w:rsid w:val="00D85739"/>
    <w:rsid w:val="00D85D42"/>
    <w:rsid w:val="00D871BA"/>
    <w:rsid w:val="00D8753E"/>
    <w:rsid w:val="00D87E62"/>
    <w:rsid w:val="00D902A2"/>
    <w:rsid w:val="00D90FEE"/>
    <w:rsid w:val="00D91CE0"/>
    <w:rsid w:val="00D91F23"/>
    <w:rsid w:val="00D926F7"/>
    <w:rsid w:val="00D92B65"/>
    <w:rsid w:val="00D93158"/>
    <w:rsid w:val="00D93168"/>
    <w:rsid w:val="00D95AA5"/>
    <w:rsid w:val="00D95B2E"/>
    <w:rsid w:val="00DA085F"/>
    <w:rsid w:val="00DA233E"/>
    <w:rsid w:val="00DA2F11"/>
    <w:rsid w:val="00DA3658"/>
    <w:rsid w:val="00DA3B77"/>
    <w:rsid w:val="00DA404F"/>
    <w:rsid w:val="00DA5708"/>
    <w:rsid w:val="00DA5E35"/>
    <w:rsid w:val="00DA64CE"/>
    <w:rsid w:val="00DA65D4"/>
    <w:rsid w:val="00DA6699"/>
    <w:rsid w:val="00DA6BDE"/>
    <w:rsid w:val="00DA6F1A"/>
    <w:rsid w:val="00DB0A83"/>
    <w:rsid w:val="00DB2250"/>
    <w:rsid w:val="00DB35C6"/>
    <w:rsid w:val="00DB36DF"/>
    <w:rsid w:val="00DB4F41"/>
    <w:rsid w:val="00DB4FD2"/>
    <w:rsid w:val="00DB54FF"/>
    <w:rsid w:val="00DB56B6"/>
    <w:rsid w:val="00DB60C9"/>
    <w:rsid w:val="00DB6665"/>
    <w:rsid w:val="00DB74D3"/>
    <w:rsid w:val="00DC24AE"/>
    <w:rsid w:val="00DC283A"/>
    <w:rsid w:val="00DC2970"/>
    <w:rsid w:val="00DC2EAF"/>
    <w:rsid w:val="00DC3034"/>
    <w:rsid w:val="00DC3B1D"/>
    <w:rsid w:val="00DC40C8"/>
    <w:rsid w:val="00DC42BA"/>
    <w:rsid w:val="00DC4580"/>
    <w:rsid w:val="00DC510E"/>
    <w:rsid w:val="00DC525D"/>
    <w:rsid w:val="00DC695A"/>
    <w:rsid w:val="00DC78D0"/>
    <w:rsid w:val="00DC7AD0"/>
    <w:rsid w:val="00DD0403"/>
    <w:rsid w:val="00DD0FC2"/>
    <w:rsid w:val="00DD13FD"/>
    <w:rsid w:val="00DD155B"/>
    <w:rsid w:val="00DD224A"/>
    <w:rsid w:val="00DD2E99"/>
    <w:rsid w:val="00DD350C"/>
    <w:rsid w:val="00DD59D2"/>
    <w:rsid w:val="00DD7A4C"/>
    <w:rsid w:val="00DE1DA4"/>
    <w:rsid w:val="00DE1F2C"/>
    <w:rsid w:val="00DE26A5"/>
    <w:rsid w:val="00DE3C18"/>
    <w:rsid w:val="00DE40A2"/>
    <w:rsid w:val="00DE5ECE"/>
    <w:rsid w:val="00DE6D98"/>
    <w:rsid w:val="00DF1B64"/>
    <w:rsid w:val="00DF2641"/>
    <w:rsid w:val="00DF2A81"/>
    <w:rsid w:val="00DF3194"/>
    <w:rsid w:val="00DF4112"/>
    <w:rsid w:val="00DF48E1"/>
    <w:rsid w:val="00DF52DA"/>
    <w:rsid w:val="00DF5FFD"/>
    <w:rsid w:val="00DF6256"/>
    <w:rsid w:val="00DF6F26"/>
    <w:rsid w:val="00E0077D"/>
    <w:rsid w:val="00E017AE"/>
    <w:rsid w:val="00E0194F"/>
    <w:rsid w:val="00E0290F"/>
    <w:rsid w:val="00E03375"/>
    <w:rsid w:val="00E04126"/>
    <w:rsid w:val="00E05707"/>
    <w:rsid w:val="00E057BA"/>
    <w:rsid w:val="00E05D36"/>
    <w:rsid w:val="00E06866"/>
    <w:rsid w:val="00E06EAC"/>
    <w:rsid w:val="00E07AC0"/>
    <w:rsid w:val="00E101CB"/>
    <w:rsid w:val="00E105E9"/>
    <w:rsid w:val="00E129E2"/>
    <w:rsid w:val="00E13113"/>
    <w:rsid w:val="00E15627"/>
    <w:rsid w:val="00E16A71"/>
    <w:rsid w:val="00E16CA9"/>
    <w:rsid w:val="00E177F6"/>
    <w:rsid w:val="00E17EB6"/>
    <w:rsid w:val="00E20BB7"/>
    <w:rsid w:val="00E227CE"/>
    <w:rsid w:val="00E237DF"/>
    <w:rsid w:val="00E23B0D"/>
    <w:rsid w:val="00E23BD5"/>
    <w:rsid w:val="00E30610"/>
    <w:rsid w:val="00E31016"/>
    <w:rsid w:val="00E34C10"/>
    <w:rsid w:val="00E356ED"/>
    <w:rsid w:val="00E40112"/>
    <w:rsid w:val="00E421F8"/>
    <w:rsid w:val="00E42AE8"/>
    <w:rsid w:val="00E42C96"/>
    <w:rsid w:val="00E4395D"/>
    <w:rsid w:val="00E444EC"/>
    <w:rsid w:val="00E44B33"/>
    <w:rsid w:val="00E44B9C"/>
    <w:rsid w:val="00E44EEB"/>
    <w:rsid w:val="00E45397"/>
    <w:rsid w:val="00E45668"/>
    <w:rsid w:val="00E470C9"/>
    <w:rsid w:val="00E51441"/>
    <w:rsid w:val="00E51C7F"/>
    <w:rsid w:val="00E5294D"/>
    <w:rsid w:val="00E52FBF"/>
    <w:rsid w:val="00E53215"/>
    <w:rsid w:val="00E53EFD"/>
    <w:rsid w:val="00E54AF7"/>
    <w:rsid w:val="00E605E0"/>
    <w:rsid w:val="00E60F94"/>
    <w:rsid w:val="00E61764"/>
    <w:rsid w:val="00E629DF"/>
    <w:rsid w:val="00E63761"/>
    <w:rsid w:val="00E6746B"/>
    <w:rsid w:val="00E7099C"/>
    <w:rsid w:val="00E70FA4"/>
    <w:rsid w:val="00E71D79"/>
    <w:rsid w:val="00E72298"/>
    <w:rsid w:val="00E72874"/>
    <w:rsid w:val="00E74584"/>
    <w:rsid w:val="00E74609"/>
    <w:rsid w:val="00E74AD7"/>
    <w:rsid w:val="00E752A7"/>
    <w:rsid w:val="00E75F38"/>
    <w:rsid w:val="00E767F8"/>
    <w:rsid w:val="00E77249"/>
    <w:rsid w:val="00E777B8"/>
    <w:rsid w:val="00E810D9"/>
    <w:rsid w:val="00E81364"/>
    <w:rsid w:val="00E82321"/>
    <w:rsid w:val="00E82F4F"/>
    <w:rsid w:val="00E84765"/>
    <w:rsid w:val="00E849F1"/>
    <w:rsid w:val="00E84B7C"/>
    <w:rsid w:val="00E850A8"/>
    <w:rsid w:val="00E866F7"/>
    <w:rsid w:val="00E87B9E"/>
    <w:rsid w:val="00E90437"/>
    <w:rsid w:val="00E908AD"/>
    <w:rsid w:val="00E91915"/>
    <w:rsid w:val="00E91DC7"/>
    <w:rsid w:val="00E95287"/>
    <w:rsid w:val="00E95361"/>
    <w:rsid w:val="00E95F25"/>
    <w:rsid w:val="00E97107"/>
    <w:rsid w:val="00E97E6B"/>
    <w:rsid w:val="00EA2692"/>
    <w:rsid w:val="00EA2EE8"/>
    <w:rsid w:val="00EA39F9"/>
    <w:rsid w:val="00EA3C35"/>
    <w:rsid w:val="00EA496D"/>
    <w:rsid w:val="00EB1CC4"/>
    <w:rsid w:val="00EB27FA"/>
    <w:rsid w:val="00EB2BC8"/>
    <w:rsid w:val="00EB3223"/>
    <w:rsid w:val="00EB3E71"/>
    <w:rsid w:val="00EB3E73"/>
    <w:rsid w:val="00EB533A"/>
    <w:rsid w:val="00EB565B"/>
    <w:rsid w:val="00EB5CEE"/>
    <w:rsid w:val="00EC0D48"/>
    <w:rsid w:val="00EC0F8A"/>
    <w:rsid w:val="00EC147B"/>
    <w:rsid w:val="00EC1836"/>
    <w:rsid w:val="00EC1E61"/>
    <w:rsid w:val="00EC1E6B"/>
    <w:rsid w:val="00EC49DB"/>
    <w:rsid w:val="00EC5755"/>
    <w:rsid w:val="00EC6D85"/>
    <w:rsid w:val="00ED15A0"/>
    <w:rsid w:val="00ED16D5"/>
    <w:rsid w:val="00ED3303"/>
    <w:rsid w:val="00ED45FC"/>
    <w:rsid w:val="00ED4CC4"/>
    <w:rsid w:val="00ED5889"/>
    <w:rsid w:val="00ED5B77"/>
    <w:rsid w:val="00ED5BB1"/>
    <w:rsid w:val="00ED6928"/>
    <w:rsid w:val="00ED785A"/>
    <w:rsid w:val="00EE0457"/>
    <w:rsid w:val="00EE0A16"/>
    <w:rsid w:val="00EE0E8F"/>
    <w:rsid w:val="00EE1781"/>
    <w:rsid w:val="00EE1A1F"/>
    <w:rsid w:val="00EE282A"/>
    <w:rsid w:val="00EE2B85"/>
    <w:rsid w:val="00EE51D7"/>
    <w:rsid w:val="00EE61D3"/>
    <w:rsid w:val="00EF036E"/>
    <w:rsid w:val="00EF09F3"/>
    <w:rsid w:val="00EF0A87"/>
    <w:rsid w:val="00EF0BF2"/>
    <w:rsid w:val="00EF171F"/>
    <w:rsid w:val="00EF1C1E"/>
    <w:rsid w:val="00EF1D5C"/>
    <w:rsid w:val="00EF3411"/>
    <w:rsid w:val="00EF45A4"/>
    <w:rsid w:val="00EF4ADB"/>
    <w:rsid w:val="00EF51A4"/>
    <w:rsid w:val="00EF5290"/>
    <w:rsid w:val="00EF5736"/>
    <w:rsid w:val="00EF5914"/>
    <w:rsid w:val="00EF5957"/>
    <w:rsid w:val="00EF5C63"/>
    <w:rsid w:val="00EF61B8"/>
    <w:rsid w:val="00EF6B79"/>
    <w:rsid w:val="00EF7498"/>
    <w:rsid w:val="00EF7511"/>
    <w:rsid w:val="00F002AB"/>
    <w:rsid w:val="00F00BA2"/>
    <w:rsid w:val="00F018D8"/>
    <w:rsid w:val="00F01CE7"/>
    <w:rsid w:val="00F04CEB"/>
    <w:rsid w:val="00F04D17"/>
    <w:rsid w:val="00F05679"/>
    <w:rsid w:val="00F058F0"/>
    <w:rsid w:val="00F05BBE"/>
    <w:rsid w:val="00F05C06"/>
    <w:rsid w:val="00F070B1"/>
    <w:rsid w:val="00F075F7"/>
    <w:rsid w:val="00F10375"/>
    <w:rsid w:val="00F10425"/>
    <w:rsid w:val="00F1185B"/>
    <w:rsid w:val="00F126CC"/>
    <w:rsid w:val="00F13FA1"/>
    <w:rsid w:val="00F15300"/>
    <w:rsid w:val="00F1530D"/>
    <w:rsid w:val="00F173E1"/>
    <w:rsid w:val="00F17AD9"/>
    <w:rsid w:val="00F17DD1"/>
    <w:rsid w:val="00F2036F"/>
    <w:rsid w:val="00F21666"/>
    <w:rsid w:val="00F225B5"/>
    <w:rsid w:val="00F22CAA"/>
    <w:rsid w:val="00F2374B"/>
    <w:rsid w:val="00F24085"/>
    <w:rsid w:val="00F246AB"/>
    <w:rsid w:val="00F256FC"/>
    <w:rsid w:val="00F27114"/>
    <w:rsid w:val="00F27835"/>
    <w:rsid w:val="00F3037A"/>
    <w:rsid w:val="00F306A1"/>
    <w:rsid w:val="00F34580"/>
    <w:rsid w:val="00F351EF"/>
    <w:rsid w:val="00F35203"/>
    <w:rsid w:val="00F35DC5"/>
    <w:rsid w:val="00F3771F"/>
    <w:rsid w:val="00F37C43"/>
    <w:rsid w:val="00F40826"/>
    <w:rsid w:val="00F40A19"/>
    <w:rsid w:val="00F4123F"/>
    <w:rsid w:val="00F41BB8"/>
    <w:rsid w:val="00F43F31"/>
    <w:rsid w:val="00F449BC"/>
    <w:rsid w:val="00F45AD8"/>
    <w:rsid w:val="00F5068A"/>
    <w:rsid w:val="00F5106D"/>
    <w:rsid w:val="00F512CF"/>
    <w:rsid w:val="00F51C6B"/>
    <w:rsid w:val="00F51D24"/>
    <w:rsid w:val="00F5207C"/>
    <w:rsid w:val="00F52D6E"/>
    <w:rsid w:val="00F530A4"/>
    <w:rsid w:val="00F54C28"/>
    <w:rsid w:val="00F54CCB"/>
    <w:rsid w:val="00F55E67"/>
    <w:rsid w:val="00F56F8C"/>
    <w:rsid w:val="00F6168A"/>
    <w:rsid w:val="00F622A8"/>
    <w:rsid w:val="00F6285B"/>
    <w:rsid w:val="00F6289A"/>
    <w:rsid w:val="00F63AD2"/>
    <w:rsid w:val="00F63CF7"/>
    <w:rsid w:val="00F63DC0"/>
    <w:rsid w:val="00F6420B"/>
    <w:rsid w:val="00F6435E"/>
    <w:rsid w:val="00F6471F"/>
    <w:rsid w:val="00F647A1"/>
    <w:rsid w:val="00F66E9A"/>
    <w:rsid w:val="00F67863"/>
    <w:rsid w:val="00F67FCD"/>
    <w:rsid w:val="00F70692"/>
    <w:rsid w:val="00F7122A"/>
    <w:rsid w:val="00F71251"/>
    <w:rsid w:val="00F71F8B"/>
    <w:rsid w:val="00F72AFA"/>
    <w:rsid w:val="00F7437D"/>
    <w:rsid w:val="00F744D9"/>
    <w:rsid w:val="00F744E9"/>
    <w:rsid w:val="00F74BC5"/>
    <w:rsid w:val="00F750FA"/>
    <w:rsid w:val="00F76084"/>
    <w:rsid w:val="00F7638F"/>
    <w:rsid w:val="00F7639A"/>
    <w:rsid w:val="00F76663"/>
    <w:rsid w:val="00F8473D"/>
    <w:rsid w:val="00F84F1D"/>
    <w:rsid w:val="00F85FD4"/>
    <w:rsid w:val="00F8609F"/>
    <w:rsid w:val="00F87FE6"/>
    <w:rsid w:val="00F90247"/>
    <w:rsid w:val="00F9082C"/>
    <w:rsid w:val="00F9117F"/>
    <w:rsid w:val="00F917AD"/>
    <w:rsid w:val="00F92C9A"/>
    <w:rsid w:val="00F9307C"/>
    <w:rsid w:val="00F934D0"/>
    <w:rsid w:val="00F938BA"/>
    <w:rsid w:val="00F94FC1"/>
    <w:rsid w:val="00F9569E"/>
    <w:rsid w:val="00F96679"/>
    <w:rsid w:val="00F96B60"/>
    <w:rsid w:val="00FA06EA"/>
    <w:rsid w:val="00FA0E18"/>
    <w:rsid w:val="00FA2E3E"/>
    <w:rsid w:val="00FA3A5F"/>
    <w:rsid w:val="00FA4607"/>
    <w:rsid w:val="00FA5B57"/>
    <w:rsid w:val="00FB0E2B"/>
    <w:rsid w:val="00FB1770"/>
    <w:rsid w:val="00FB29A1"/>
    <w:rsid w:val="00FB3364"/>
    <w:rsid w:val="00FB3EEE"/>
    <w:rsid w:val="00FB3FC6"/>
    <w:rsid w:val="00FB6375"/>
    <w:rsid w:val="00FB748B"/>
    <w:rsid w:val="00FB7660"/>
    <w:rsid w:val="00FC1AE5"/>
    <w:rsid w:val="00FC1D30"/>
    <w:rsid w:val="00FC21B7"/>
    <w:rsid w:val="00FC21EB"/>
    <w:rsid w:val="00FC523F"/>
    <w:rsid w:val="00FC5C6E"/>
    <w:rsid w:val="00FC6E53"/>
    <w:rsid w:val="00FC71C3"/>
    <w:rsid w:val="00FD0C8F"/>
    <w:rsid w:val="00FD2967"/>
    <w:rsid w:val="00FD2D32"/>
    <w:rsid w:val="00FD3510"/>
    <w:rsid w:val="00FD3B1D"/>
    <w:rsid w:val="00FD4186"/>
    <w:rsid w:val="00FD419E"/>
    <w:rsid w:val="00FD622E"/>
    <w:rsid w:val="00FD661A"/>
    <w:rsid w:val="00FD762C"/>
    <w:rsid w:val="00FD7CB3"/>
    <w:rsid w:val="00FE0017"/>
    <w:rsid w:val="00FE0CCE"/>
    <w:rsid w:val="00FE17E3"/>
    <w:rsid w:val="00FE38EF"/>
    <w:rsid w:val="00FE5F5D"/>
    <w:rsid w:val="00FE7E5F"/>
    <w:rsid w:val="00FF0275"/>
    <w:rsid w:val="00FF24FB"/>
    <w:rsid w:val="00FF2CF9"/>
    <w:rsid w:val="00FF4612"/>
    <w:rsid w:val="00FF465E"/>
    <w:rsid w:val="00FF53A4"/>
    <w:rsid w:val="00FF6756"/>
    <w:rsid w:val="00FF6766"/>
    <w:rsid w:val="00FF7316"/>
    <w:rsid w:val="00FF7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BEB1"/>
  <w15:chartTrackingRefBased/>
  <w15:docId w15:val="{B5D79127-D6B9-46A8-B0B3-075F864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3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93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9399F"/>
    <w:pPr>
      <w:keepNext/>
      <w:keepLines/>
      <w:spacing w:before="40" w:after="0"/>
      <w:outlineLvl w:val="2"/>
    </w:pPr>
    <w:rPr>
      <w:rFonts w:asciiTheme="majorHAnsi" w:eastAsiaTheme="majorEastAsia" w:hAnsiTheme="majorHAnsi" w:cstheme="majorBidi"/>
      <w:color w:val="1F3763" w:themeColor="accent1" w:themeShade="7F"/>
      <w:sz w:val="24"/>
      <w:szCs w:val="24"/>
      <w:lang w:val="en-GB" w:eastAsia="en-GB"/>
    </w:rPr>
  </w:style>
  <w:style w:type="paragraph" w:styleId="Kop4">
    <w:name w:val="heading 4"/>
    <w:basedOn w:val="Standaard"/>
    <w:next w:val="Standaard"/>
    <w:link w:val="Kop4Char"/>
    <w:uiPriority w:val="9"/>
    <w:unhideWhenUsed/>
    <w:qFormat/>
    <w:rsid w:val="0069399F"/>
    <w:pPr>
      <w:keepNext/>
      <w:keepLines/>
      <w:spacing w:before="40" w:after="0"/>
      <w:outlineLvl w:val="3"/>
    </w:pPr>
    <w:rPr>
      <w:rFonts w:asciiTheme="majorHAnsi" w:eastAsiaTheme="majorEastAsia" w:hAnsiTheme="majorHAnsi" w:cstheme="majorBidi"/>
      <w:i/>
      <w:iCs/>
      <w:color w:val="2F5496" w:themeColor="accent1" w:themeShade="BF"/>
      <w:lang w:val="en-GB" w:eastAsia="en-GB"/>
    </w:rPr>
  </w:style>
  <w:style w:type="paragraph" w:styleId="Kop5">
    <w:name w:val="heading 5"/>
    <w:basedOn w:val="Standaard"/>
    <w:next w:val="Standaard"/>
    <w:link w:val="Kop5Char"/>
    <w:uiPriority w:val="9"/>
    <w:semiHidden/>
    <w:unhideWhenUsed/>
    <w:qFormat/>
    <w:rsid w:val="0069399F"/>
    <w:pPr>
      <w:keepNext/>
      <w:keepLines/>
      <w:spacing w:before="40" w:after="0"/>
      <w:outlineLvl w:val="4"/>
    </w:pPr>
    <w:rPr>
      <w:rFonts w:asciiTheme="majorHAnsi" w:eastAsiaTheme="majorEastAsia" w:hAnsiTheme="majorHAnsi" w:cstheme="majorBidi"/>
      <w:color w:val="2F5496" w:themeColor="accent1" w:themeShade="BF"/>
      <w:lang w:val="en-GB" w:eastAsia="en-GB"/>
    </w:rPr>
  </w:style>
  <w:style w:type="paragraph" w:styleId="Kop6">
    <w:name w:val="heading 6"/>
    <w:basedOn w:val="Standaard"/>
    <w:next w:val="Standaard"/>
    <w:link w:val="Kop6Char"/>
    <w:uiPriority w:val="9"/>
    <w:semiHidden/>
    <w:unhideWhenUsed/>
    <w:qFormat/>
    <w:rsid w:val="0069399F"/>
    <w:pPr>
      <w:keepNext/>
      <w:keepLines/>
      <w:spacing w:before="200" w:after="40"/>
      <w:outlineLvl w:val="5"/>
    </w:pPr>
    <w:rPr>
      <w:rFonts w:ascii="Calibri" w:eastAsia="Calibri" w:hAnsi="Calibri" w:cs="Calibri"/>
      <w:b/>
      <w:sz w:val="20"/>
      <w:szCs w:val="20"/>
      <w:lang w:val="en-GB" w:eastAsia="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6051F"/>
    <w:pPr>
      <w:spacing w:after="0" w:line="240" w:lineRule="auto"/>
    </w:pPr>
    <w:rPr>
      <w:rFonts w:eastAsiaTheme="minorEastAsia"/>
      <w:lang w:val="en-GB" w:eastAsia="en-GB"/>
    </w:rPr>
  </w:style>
  <w:style w:type="character" w:customStyle="1" w:styleId="GeenafstandChar">
    <w:name w:val="Geen afstand Char"/>
    <w:basedOn w:val="Standaardalinea-lettertype"/>
    <w:link w:val="Geenafstand"/>
    <w:uiPriority w:val="1"/>
    <w:rsid w:val="0036051F"/>
    <w:rPr>
      <w:rFonts w:eastAsiaTheme="minorEastAsia"/>
      <w:lang w:val="en-GB" w:eastAsia="en-GB"/>
    </w:rPr>
  </w:style>
  <w:style w:type="character" w:customStyle="1" w:styleId="Kop1Char">
    <w:name w:val="Kop 1 Char"/>
    <w:basedOn w:val="Standaardalinea-lettertype"/>
    <w:link w:val="Kop1"/>
    <w:uiPriority w:val="9"/>
    <w:rsid w:val="0069399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9399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69399F"/>
    <w:rPr>
      <w:color w:val="0563C1" w:themeColor="hyperlink"/>
      <w:u w:val="single"/>
    </w:rPr>
  </w:style>
  <w:style w:type="paragraph" w:styleId="Voetnoottekst">
    <w:name w:val="footnote text"/>
    <w:basedOn w:val="Standaard"/>
    <w:link w:val="VoetnoottekstChar"/>
    <w:uiPriority w:val="99"/>
    <w:semiHidden/>
    <w:unhideWhenUsed/>
    <w:rsid w:val="006939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399F"/>
    <w:rPr>
      <w:sz w:val="20"/>
      <w:szCs w:val="20"/>
    </w:rPr>
  </w:style>
  <w:style w:type="character" w:styleId="Voetnootmarkering">
    <w:name w:val="footnote reference"/>
    <w:basedOn w:val="Standaardalinea-lettertype"/>
    <w:uiPriority w:val="99"/>
    <w:semiHidden/>
    <w:unhideWhenUsed/>
    <w:rsid w:val="0069399F"/>
    <w:rPr>
      <w:vertAlign w:val="superscript"/>
    </w:rPr>
  </w:style>
  <w:style w:type="character" w:customStyle="1" w:styleId="Kop3Char">
    <w:name w:val="Kop 3 Char"/>
    <w:basedOn w:val="Standaardalinea-lettertype"/>
    <w:link w:val="Kop3"/>
    <w:uiPriority w:val="9"/>
    <w:rsid w:val="0069399F"/>
    <w:rPr>
      <w:rFonts w:asciiTheme="majorHAnsi" w:eastAsiaTheme="majorEastAsia" w:hAnsiTheme="majorHAnsi" w:cstheme="majorBidi"/>
      <w:color w:val="1F3763" w:themeColor="accent1" w:themeShade="7F"/>
      <w:sz w:val="24"/>
      <w:szCs w:val="24"/>
      <w:lang w:val="en-GB" w:eastAsia="en-GB"/>
    </w:rPr>
  </w:style>
  <w:style w:type="paragraph" w:styleId="Lijstalinea">
    <w:name w:val="List Paragraph"/>
    <w:basedOn w:val="Standaard"/>
    <w:uiPriority w:val="34"/>
    <w:qFormat/>
    <w:rsid w:val="0069399F"/>
    <w:pPr>
      <w:ind w:left="720"/>
      <w:contextualSpacing/>
    </w:pPr>
    <w:rPr>
      <w:rFonts w:ascii="Calibri" w:eastAsia="Calibri" w:hAnsi="Calibri" w:cs="Calibri"/>
      <w:lang w:val="en-GB" w:eastAsia="en-GB"/>
    </w:rPr>
  </w:style>
  <w:style w:type="character" w:customStyle="1" w:styleId="Kop4Char">
    <w:name w:val="Kop 4 Char"/>
    <w:basedOn w:val="Standaardalinea-lettertype"/>
    <w:link w:val="Kop4"/>
    <w:uiPriority w:val="9"/>
    <w:rsid w:val="0069399F"/>
    <w:rPr>
      <w:rFonts w:asciiTheme="majorHAnsi" w:eastAsiaTheme="majorEastAsia" w:hAnsiTheme="majorHAnsi" w:cstheme="majorBidi"/>
      <w:i/>
      <w:iCs/>
      <w:color w:val="2F5496" w:themeColor="accent1" w:themeShade="BF"/>
      <w:lang w:val="en-GB" w:eastAsia="en-GB"/>
    </w:rPr>
  </w:style>
  <w:style w:type="character" w:customStyle="1" w:styleId="Kop5Char">
    <w:name w:val="Kop 5 Char"/>
    <w:basedOn w:val="Standaardalinea-lettertype"/>
    <w:link w:val="Kop5"/>
    <w:uiPriority w:val="9"/>
    <w:semiHidden/>
    <w:rsid w:val="0069399F"/>
    <w:rPr>
      <w:rFonts w:asciiTheme="majorHAnsi" w:eastAsiaTheme="majorEastAsia" w:hAnsiTheme="majorHAnsi" w:cstheme="majorBidi"/>
      <w:color w:val="2F5496" w:themeColor="accent1" w:themeShade="BF"/>
      <w:lang w:val="en-GB" w:eastAsia="en-GB"/>
    </w:rPr>
  </w:style>
  <w:style w:type="character" w:customStyle="1" w:styleId="Kop6Char">
    <w:name w:val="Kop 6 Char"/>
    <w:basedOn w:val="Standaardalinea-lettertype"/>
    <w:link w:val="Kop6"/>
    <w:uiPriority w:val="9"/>
    <w:semiHidden/>
    <w:rsid w:val="0069399F"/>
    <w:rPr>
      <w:rFonts w:ascii="Calibri" w:eastAsia="Calibri" w:hAnsi="Calibri" w:cs="Calibri"/>
      <w:b/>
      <w:sz w:val="20"/>
      <w:szCs w:val="20"/>
      <w:lang w:val="en-GB" w:eastAsia="en-GB"/>
    </w:rPr>
  </w:style>
  <w:style w:type="table" w:customStyle="1" w:styleId="TableNormal1">
    <w:name w:val="Table Normal1"/>
    <w:rsid w:val="0069399F"/>
    <w:rPr>
      <w:rFonts w:ascii="Calibri" w:eastAsia="Calibri" w:hAnsi="Calibri" w:cs="Calibri"/>
      <w:lang w:val="en-GB" w:eastAsia="en-GB"/>
    </w:rPr>
    <w:tblPr>
      <w:tblCellMar>
        <w:top w:w="0" w:type="dxa"/>
        <w:left w:w="0" w:type="dxa"/>
        <w:bottom w:w="0" w:type="dxa"/>
        <w:right w:w="0" w:type="dxa"/>
      </w:tblCellMar>
    </w:tblPr>
  </w:style>
  <w:style w:type="paragraph" w:styleId="Titel">
    <w:name w:val="Title"/>
    <w:basedOn w:val="Standaard"/>
    <w:next w:val="Standaard"/>
    <w:link w:val="TitelChar"/>
    <w:uiPriority w:val="10"/>
    <w:qFormat/>
    <w:rsid w:val="0069399F"/>
    <w:pPr>
      <w:keepNext/>
      <w:keepLines/>
      <w:spacing w:before="480" w:after="120"/>
    </w:pPr>
    <w:rPr>
      <w:rFonts w:ascii="Calibri" w:eastAsia="Calibri" w:hAnsi="Calibri" w:cs="Calibri"/>
      <w:b/>
      <w:sz w:val="72"/>
      <w:szCs w:val="72"/>
      <w:lang w:val="en-GB" w:eastAsia="en-GB"/>
    </w:rPr>
  </w:style>
  <w:style w:type="character" w:customStyle="1" w:styleId="TitelChar">
    <w:name w:val="Titel Char"/>
    <w:basedOn w:val="Standaardalinea-lettertype"/>
    <w:link w:val="Titel"/>
    <w:uiPriority w:val="10"/>
    <w:rsid w:val="0069399F"/>
    <w:rPr>
      <w:rFonts w:ascii="Calibri" w:eastAsia="Calibri" w:hAnsi="Calibri" w:cs="Calibri"/>
      <w:b/>
      <w:sz w:val="72"/>
      <w:szCs w:val="72"/>
      <w:lang w:val="en-GB" w:eastAsia="en-GB"/>
    </w:rPr>
  </w:style>
  <w:style w:type="character" w:styleId="Verwijzingopmerking">
    <w:name w:val="annotation reference"/>
    <w:basedOn w:val="Standaardalinea-lettertype"/>
    <w:uiPriority w:val="99"/>
    <w:semiHidden/>
    <w:unhideWhenUsed/>
    <w:rsid w:val="0069399F"/>
    <w:rPr>
      <w:sz w:val="16"/>
      <w:szCs w:val="16"/>
    </w:rPr>
  </w:style>
  <w:style w:type="paragraph" w:styleId="Tekstopmerking">
    <w:name w:val="annotation text"/>
    <w:basedOn w:val="Standaard"/>
    <w:link w:val="TekstopmerkingChar"/>
    <w:uiPriority w:val="99"/>
    <w:unhideWhenUsed/>
    <w:rsid w:val="0069399F"/>
    <w:pPr>
      <w:spacing w:line="240" w:lineRule="auto"/>
    </w:pPr>
    <w:rPr>
      <w:rFonts w:ascii="Calibri" w:eastAsia="Calibri" w:hAnsi="Calibri" w:cs="Calibri"/>
      <w:sz w:val="20"/>
      <w:szCs w:val="20"/>
      <w:lang w:val="en-GB" w:eastAsia="en-GB"/>
    </w:rPr>
  </w:style>
  <w:style w:type="character" w:customStyle="1" w:styleId="TekstopmerkingChar">
    <w:name w:val="Tekst opmerking Char"/>
    <w:basedOn w:val="Standaardalinea-lettertype"/>
    <w:link w:val="Tekstopmerking"/>
    <w:uiPriority w:val="99"/>
    <w:rsid w:val="0069399F"/>
    <w:rPr>
      <w:rFonts w:ascii="Calibri" w:eastAsia="Calibri" w:hAnsi="Calibri" w:cs="Calibri"/>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69399F"/>
    <w:rPr>
      <w:b/>
      <w:bCs/>
    </w:rPr>
  </w:style>
  <w:style w:type="character" w:customStyle="1" w:styleId="OnderwerpvanopmerkingChar">
    <w:name w:val="Onderwerp van opmerking Char"/>
    <w:basedOn w:val="TekstopmerkingChar"/>
    <w:link w:val="Onderwerpvanopmerking"/>
    <w:uiPriority w:val="99"/>
    <w:semiHidden/>
    <w:rsid w:val="0069399F"/>
    <w:rPr>
      <w:rFonts w:ascii="Calibri" w:eastAsia="Calibri" w:hAnsi="Calibri" w:cs="Calibri"/>
      <w:b/>
      <w:bCs/>
      <w:sz w:val="20"/>
      <w:szCs w:val="20"/>
      <w:lang w:val="en-GB" w:eastAsia="en-GB"/>
    </w:rPr>
  </w:style>
  <w:style w:type="table" w:styleId="Tabelraster">
    <w:name w:val="Table Grid"/>
    <w:basedOn w:val="Standaardtabel"/>
    <w:uiPriority w:val="39"/>
    <w:rsid w:val="0069399F"/>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69399F"/>
    <w:pPr>
      <w:spacing w:after="0" w:line="240" w:lineRule="auto"/>
    </w:pPr>
    <w:rPr>
      <w:rFonts w:ascii="Calibri" w:eastAsia="Calibri" w:hAnsi="Calibri" w:cs="Calibri"/>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4">
    <w:name w:val="Plain Table 4"/>
    <w:basedOn w:val="Standaardtabel"/>
    <w:uiPriority w:val="44"/>
    <w:rsid w:val="0069399F"/>
    <w:pPr>
      <w:spacing w:after="0" w:line="240" w:lineRule="auto"/>
    </w:pPr>
    <w:rPr>
      <w:rFonts w:ascii="Calibri" w:eastAsia="Calibri" w:hAnsi="Calibri" w:cs="Calibri"/>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9399F"/>
    <w:pPr>
      <w:spacing w:after="0" w:line="240" w:lineRule="auto"/>
    </w:pPr>
    <w:rPr>
      <w:rFonts w:ascii="Calibri" w:eastAsia="Calibri" w:hAnsi="Calibri" w:cs="Calibri"/>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69399F"/>
    <w:pPr>
      <w:spacing w:after="0" w:line="240" w:lineRule="auto"/>
    </w:pPr>
    <w:rPr>
      <w:rFonts w:ascii="Calibri" w:eastAsia="Calibri" w:hAnsi="Calibri" w:cs="Calibri"/>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3">
    <w:name w:val="Plain Table 3"/>
    <w:basedOn w:val="Standaardtabel"/>
    <w:uiPriority w:val="43"/>
    <w:rsid w:val="0069399F"/>
    <w:pPr>
      <w:spacing w:after="0" w:line="240" w:lineRule="auto"/>
    </w:pPr>
    <w:rPr>
      <w:rFonts w:ascii="Calibri" w:eastAsia="Calibri" w:hAnsi="Calibri" w:cs="Calibri"/>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69399F"/>
    <w:rPr>
      <w:color w:val="605E5C"/>
      <w:shd w:val="clear" w:color="auto" w:fill="E1DFDD"/>
    </w:rPr>
  </w:style>
  <w:style w:type="table" w:styleId="Rastertabel6kleurrijk">
    <w:name w:val="Grid Table 6 Colorful"/>
    <w:basedOn w:val="Standaardtabel"/>
    <w:uiPriority w:val="51"/>
    <w:rsid w:val="0069399F"/>
    <w:pPr>
      <w:spacing w:after="0" w:line="240" w:lineRule="auto"/>
    </w:pPr>
    <w:rPr>
      <w:rFonts w:ascii="Calibri" w:eastAsia="Calibri" w:hAnsi="Calibri" w:cs="Calibri"/>
      <w:color w:val="000000" w:themeColor="text1"/>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3">
    <w:name w:val="List Table 1 Light Accent 3"/>
    <w:basedOn w:val="Standaardtabel"/>
    <w:uiPriority w:val="46"/>
    <w:rsid w:val="0069399F"/>
    <w:pPr>
      <w:spacing w:after="0" w:line="240" w:lineRule="auto"/>
    </w:pPr>
    <w:rPr>
      <w:rFonts w:ascii="Calibri" w:eastAsia="Calibri" w:hAnsi="Calibri" w:cs="Calibri"/>
      <w:lang w:val="en-GB"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69399F"/>
    <w:pPr>
      <w:tabs>
        <w:tab w:val="center" w:pos="4536"/>
        <w:tab w:val="right" w:pos="9072"/>
      </w:tabs>
      <w:spacing w:after="0" w:line="240" w:lineRule="auto"/>
    </w:pPr>
    <w:rPr>
      <w:rFonts w:ascii="Calibri" w:eastAsia="Calibri" w:hAnsi="Calibri" w:cs="Calibri"/>
      <w:lang w:val="en-GB" w:eastAsia="en-GB"/>
    </w:rPr>
  </w:style>
  <w:style w:type="character" w:customStyle="1" w:styleId="KoptekstChar">
    <w:name w:val="Koptekst Char"/>
    <w:basedOn w:val="Standaardalinea-lettertype"/>
    <w:link w:val="Koptekst"/>
    <w:uiPriority w:val="99"/>
    <w:rsid w:val="0069399F"/>
    <w:rPr>
      <w:rFonts w:ascii="Calibri" w:eastAsia="Calibri" w:hAnsi="Calibri" w:cs="Calibri"/>
      <w:lang w:val="en-GB" w:eastAsia="en-GB"/>
    </w:rPr>
  </w:style>
  <w:style w:type="paragraph" w:styleId="Voettekst">
    <w:name w:val="footer"/>
    <w:basedOn w:val="Standaard"/>
    <w:link w:val="VoettekstChar"/>
    <w:uiPriority w:val="99"/>
    <w:unhideWhenUsed/>
    <w:rsid w:val="0069399F"/>
    <w:pPr>
      <w:tabs>
        <w:tab w:val="center" w:pos="4536"/>
        <w:tab w:val="right" w:pos="9072"/>
      </w:tabs>
      <w:spacing w:after="0" w:line="240" w:lineRule="auto"/>
    </w:pPr>
    <w:rPr>
      <w:rFonts w:ascii="Calibri" w:eastAsia="Calibri" w:hAnsi="Calibri" w:cs="Calibri"/>
      <w:lang w:val="en-GB" w:eastAsia="en-GB"/>
    </w:rPr>
  </w:style>
  <w:style w:type="character" w:customStyle="1" w:styleId="VoettekstChar">
    <w:name w:val="Voettekst Char"/>
    <w:basedOn w:val="Standaardalinea-lettertype"/>
    <w:link w:val="Voettekst"/>
    <w:uiPriority w:val="99"/>
    <w:rsid w:val="0069399F"/>
    <w:rPr>
      <w:rFonts w:ascii="Calibri" w:eastAsia="Calibri" w:hAnsi="Calibri" w:cs="Calibri"/>
      <w:lang w:val="en-GB" w:eastAsia="en-GB"/>
    </w:rPr>
  </w:style>
  <w:style w:type="paragraph" w:styleId="Kopvaninhoudsopgave">
    <w:name w:val="TOC Heading"/>
    <w:basedOn w:val="Kop1"/>
    <w:next w:val="Standaard"/>
    <w:uiPriority w:val="39"/>
    <w:unhideWhenUsed/>
    <w:qFormat/>
    <w:rsid w:val="0069399F"/>
    <w:pPr>
      <w:outlineLvl w:val="9"/>
    </w:pPr>
    <w:rPr>
      <w:lang w:val="en-GB" w:eastAsia="en-GB"/>
    </w:rPr>
  </w:style>
  <w:style w:type="paragraph" w:styleId="Inhopg1">
    <w:name w:val="toc 1"/>
    <w:basedOn w:val="Standaard"/>
    <w:next w:val="Standaard"/>
    <w:autoRedefine/>
    <w:uiPriority w:val="39"/>
    <w:unhideWhenUsed/>
    <w:rsid w:val="0069399F"/>
    <w:pPr>
      <w:spacing w:after="100"/>
    </w:pPr>
    <w:rPr>
      <w:rFonts w:ascii="Calibri" w:eastAsia="Calibri" w:hAnsi="Calibri" w:cs="Calibri"/>
      <w:lang w:val="en-GB" w:eastAsia="en-GB"/>
    </w:rPr>
  </w:style>
  <w:style w:type="paragraph" w:styleId="Inhopg2">
    <w:name w:val="toc 2"/>
    <w:basedOn w:val="Standaard"/>
    <w:next w:val="Standaard"/>
    <w:autoRedefine/>
    <w:uiPriority w:val="39"/>
    <w:unhideWhenUsed/>
    <w:rsid w:val="0069399F"/>
    <w:pPr>
      <w:spacing w:after="100"/>
      <w:ind w:left="220"/>
    </w:pPr>
    <w:rPr>
      <w:rFonts w:ascii="Calibri" w:eastAsia="Calibri" w:hAnsi="Calibri" w:cs="Calibri"/>
      <w:lang w:val="en-GB" w:eastAsia="en-GB"/>
    </w:rPr>
  </w:style>
  <w:style w:type="paragraph" w:styleId="Inhopg3">
    <w:name w:val="toc 3"/>
    <w:basedOn w:val="Standaard"/>
    <w:next w:val="Standaard"/>
    <w:autoRedefine/>
    <w:uiPriority w:val="39"/>
    <w:unhideWhenUsed/>
    <w:rsid w:val="00664368"/>
    <w:pPr>
      <w:tabs>
        <w:tab w:val="right" w:leader="dot" w:pos="9062"/>
      </w:tabs>
      <w:spacing w:after="100"/>
      <w:ind w:left="440"/>
    </w:pPr>
    <w:rPr>
      <w:rFonts w:ascii="Calibri" w:eastAsia="Calibri" w:hAnsi="Calibri" w:cs="Calibri"/>
      <w:noProof/>
      <w:lang w:val="en-GB" w:eastAsia="en-GB"/>
    </w:rPr>
  </w:style>
  <w:style w:type="table" w:styleId="Onopgemaaktetabel5">
    <w:name w:val="Plain Table 5"/>
    <w:basedOn w:val="Standaardtabel"/>
    <w:uiPriority w:val="45"/>
    <w:rsid w:val="0069399F"/>
    <w:pPr>
      <w:spacing w:after="0" w:line="240" w:lineRule="auto"/>
    </w:pPr>
    <w:rPr>
      <w:rFonts w:ascii="Calibri" w:eastAsia="Calibri" w:hAnsi="Calibri" w:cs="Calibri"/>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GevolgdeHyperlink">
    <w:name w:val="FollowedHyperlink"/>
    <w:basedOn w:val="Standaardalinea-lettertype"/>
    <w:uiPriority w:val="99"/>
    <w:semiHidden/>
    <w:unhideWhenUsed/>
    <w:rsid w:val="0069399F"/>
    <w:rPr>
      <w:color w:val="954F72" w:themeColor="followedHyperlink"/>
      <w:u w:val="single"/>
    </w:rPr>
  </w:style>
  <w:style w:type="character" w:customStyle="1" w:styleId="nlmyear">
    <w:name w:val="nlm_year"/>
    <w:basedOn w:val="Standaardalinea-lettertype"/>
    <w:rsid w:val="0069399F"/>
  </w:style>
  <w:style w:type="paragraph" w:styleId="Ondertitel">
    <w:name w:val="Subtitle"/>
    <w:basedOn w:val="Standaard"/>
    <w:next w:val="Standaard"/>
    <w:link w:val="OndertitelChar"/>
    <w:uiPriority w:val="11"/>
    <w:qFormat/>
    <w:rsid w:val="0069399F"/>
    <w:pPr>
      <w:keepNext/>
      <w:keepLines/>
      <w:spacing w:before="360" w:after="80"/>
    </w:pPr>
    <w:rPr>
      <w:rFonts w:ascii="Georgia" w:eastAsia="Georgia" w:hAnsi="Georgia" w:cs="Georgia"/>
      <w:i/>
      <w:color w:val="666666"/>
      <w:sz w:val="48"/>
      <w:szCs w:val="48"/>
      <w:lang w:val="en-GB" w:eastAsia="en-GB"/>
    </w:rPr>
  </w:style>
  <w:style w:type="character" w:customStyle="1" w:styleId="OndertitelChar">
    <w:name w:val="Ondertitel Char"/>
    <w:basedOn w:val="Standaardalinea-lettertype"/>
    <w:link w:val="Ondertitel"/>
    <w:uiPriority w:val="11"/>
    <w:rsid w:val="0069399F"/>
    <w:rPr>
      <w:rFonts w:ascii="Georgia" w:eastAsia="Georgia" w:hAnsi="Georgia" w:cs="Georgia"/>
      <w:i/>
      <w:color w:val="666666"/>
      <w:sz w:val="48"/>
      <w:szCs w:val="48"/>
      <w:lang w:val="en-GB" w:eastAsia="en-GB"/>
    </w:rPr>
  </w:style>
  <w:style w:type="paragraph" w:styleId="Inhopg4">
    <w:name w:val="toc 4"/>
    <w:basedOn w:val="Standaard"/>
    <w:next w:val="Standaard"/>
    <w:autoRedefine/>
    <w:uiPriority w:val="39"/>
    <w:unhideWhenUsed/>
    <w:rsid w:val="0069399F"/>
    <w:pPr>
      <w:spacing w:after="100"/>
      <w:ind w:left="660"/>
    </w:pPr>
    <w:rPr>
      <w:rFonts w:ascii="Calibri" w:eastAsia="Calibri" w:hAnsi="Calibri" w:cs="Calibri"/>
      <w:lang w:val="en-GB" w:eastAsia="en-GB"/>
    </w:rPr>
  </w:style>
  <w:style w:type="table" w:styleId="Lijsttabel1licht">
    <w:name w:val="List Table 1 Light"/>
    <w:basedOn w:val="Standaardtabel"/>
    <w:uiPriority w:val="46"/>
    <w:rsid w:val="00444A93"/>
    <w:pPr>
      <w:spacing w:after="0" w:line="240" w:lineRule="auto"/>
    </w:pPr>
    <w:rPr>
      <w:rFonts w:ascii="Calibri" w:eastAsia="Calibri" w:hAnsi="Calibri" w:cs="Calibri"/>
      <w:lang w:val="en-GB"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jschrift">
    <w:name w:val="caption"/>
    <w:basedOn w:val="Standaard"/>
    <w:next w:val="Standaard"/>
    <w:uiPriority w:val="35"/>
    <w:unhideWhenUsed/>
    <w:qFormat/>
    <w:rsid w:val="00925B4C"/>
    <w:pPr>
      <w:spacing w:after="200" w:line="240" w:lineRule="auto"/>
    </w:pPr>
    <w:rPr>
      <w:i/>
      <w:iCs/>
      <w:color w:val="44546A" w:themeColor="text2"/>
      <w:sz w:val="18"/>
      <w:szCs w:val="18"/>
    </w:rPr>
  </w:style>
  <w:style w:type="paragraph" w:styleId="Inhopg5">
    <w:name w:val="toc 5"/>
    <w:basedOn w:val="Standaard"/>
    <w:next w:val="Standaard"/>
    <w:autoRedefine/>
    <w:uiPriority w:val="39"/>
    <w:unhideWhenUsed/>
    <w:rsid w:val="00272497"/>
    <w:pPr>
      <w:spacing w:after="100"/>
      <w:ind w:left="880"/>
    </w:pPr>
    <w:rPr>
      <w:rFonts w:eastAsiaTheme="minorEastAsia"/>
      <w:lang w:val="en-GB" w:eastAsia="en-GB"/>
    </w:rPr>
  </w:style>
  <w:style w:type="paragraph" w:styleId="Lijstmetafbeeldingen">
    <w:name w:val="table of figures"/>
    <w:basedOn w:val="Standaard"/>
    <w:next w:val="Standaard"/>
    <w:uiPriority w:val="99"/>
    <w:semiHidden/>
    <w:unhideWhenUsed/>
    <w:rsid w:val="00FB748B"/>
    <w:pPr>
      <w:spacing w:after="0"/>
    </w:pPr>
  </w:style>
  <w:style w:type="paragraph" w:styleId="Inhopg6">
    <w:name w:val="toc 6"/>
    <w:basedOn w:val="Standaard"/>
    <w:next w:val="Standaard"/>
    <w:autoRedefine/>
    <w:uiPriority w:val="39"/>
    <w:unhideWhenUsed/>
    <w:rsid w:val="00272497"/>
    <w:pPr>
      <w:spacing w:after="100"/>
      <w:ind w:left="1100"/>
    </w:pPr>
    <w:rPr>
      <w:rFonts w:eastAsiaTheme="minorEastAsia"/>
      <w:lang w:val="en-GB" w:eastAsia="en-GB"/>
    </w:rPr>
  </w:style>
  <w:style w:type="paragraph" w:styleId="Inhopg7">
    <w:name w:val="toc 7"/>
    <w:basedOn w:val="Standaard"/>
    <w:next w:val="Standaard"/>
    <w:autoRedefine/>
    <w:uiPriority w:val="39"/>
    <w:unhideWhenUsed/>
    <w:rsid w:val="00272497"/>
    <w:pPr>
      <w:spacing w:after="100"/>
      <w:ind w:left="1320"/>
    </w:pPr>
    <w:rPr>
      <w:rFonts w:eastAsiaTheme="minorEastAsia"/>
      <w:lang w:val="en-GB" w:eastAsia="en-GB"/>
    </w:rPr>
  </w:style>
  <w:style w:type="paragraph" w:styleId="Inhopg8">
    <w:name w:val="toc 8"/>
    <w:basedOn w:val="Standaard"/>
    <w:next w:val="Standaard"/>
    <w:autoRedefine/>
    <w:uiPriority w:val="39"/>
    <w:unhideWhenUsed/>
    <w:rsid w:val="00272497"/>
    <w:pPr>
      <w:spacing w:after="100"/>
      <w:ind w:left="1540"/>
    </w:pPr>
    <w:rPr>
      <w:rFonts w:eastAsiaTheme="minorEastAsia"/>
      <w:lang w:val="en-GB" w:eastAsia="en-GB"/>
    </w:rPr>
  </w:style>
  <w:style w:type="paragraph" w:styleId="Inhopg9">
    <w:name w:val="toc 9"/>
    <w:basedOn w:val="Standaard"/>
    <w:next w:val="Standaard"/>
    <w:autoRedefine/>
    <w:uiPriority w:val="39"/>
    <w:unhideWhenUsed/>
    <w:rsid w:val="00272497"/>
    <w:pPr>
      <w:spacing w:after="100"/>
      <w:ind w:left="1760"/>
    </w:pPr>
    <w:rPr>
      <w:rFonts w:eastAsiaTheme="minorEastAsia"/>
      <w:lang w:val="en-GB" w:eastAsia="en-GB"/>
    </w:rPr>
  </w:style>
  <w:style w:type="paragraph" w:styleId="Normaalweb">
    <w:name w:val="Normal (Web)"/>
    <w:basedOn w:val="Standaard"/>
    <w:uiPriority w:val="99"/>
    <w:semiHidden/>
    <w:unhideWhenUsed/>
    <w:rsid w:val="001778B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4706">
      <w:bodyDiv w:val="1"/>
      <w:marLeft w:val="0"/>
      <w:marRight w:val="0"/>
      <w:marTop w:val="0"/>
      <w:marBottom w:val="0"/>
      <w:divBdr>
        <w:top w:val="none" w:sz="0" w:space="0" w:color="auto"/>
        <w:left w:val="none" w:sz="0" w:space="0" w:color="auto"/>
        <w:bottom w:val="none" w:sz="0" w:space="0" w:color="auto"/>
        <w:right w:val="none" w:sz="0" w:space="0" w:color="auto"/>
      </w:divBdr>
    </w:div>
    <w:div w:id="1010642679">
      <w:bodyDiv w:val="1"/>
      <w:marLeft w:val="0"/>
      <w:marRight w:val="0"/>
      <w:marTop w:val="0"/>
      <w:marBottom w:val="0"/>
      <w:divBdr>
        <w:top w:val="none" w:sz="0" w:space="0" w:color="auto"/>
        <w:left w:val="none" w:sz="0" w:space="0" w:color="auto"/>
        <w:bottom w:val="none" w:sz="0" w:space="0" w:color="auto"/>
        <w:right w:val="none" w:sz="0" w:space="0" w:color="auto"/>
      </w:divBdr>
    </w:div>
    <w:div w:id="1030767850">
      <w:bodyDiv w:val="1"/>
      <w:marLeft w:val="0"/>
      <w:marRight w:val="0"/>
      <w:marTop w:val="0"/>
      <w:marBottom w:val="0"/>
      <w:divBdr>
        <w:top w:val="none" w:sz="0" w:space="0" w:color="auto"/>
        <w:left w:val="none" w:sz="0" w:space="0" w:color="auto"/>
        <w:bottom w:val="none" w:sz="0" w:space="0" w:color="auto"/>
        <w:right w:val="none" w:sz="0" w:space="0" w:color="auto"/>
      </w:divBdr>
    </w:div>
    <w:div w:id="1345085141">
      <w:bodyDiv w:val="1"/>
      <w:marLeft w:val="0"/>
      <w:marRight w:val="0"/>
      <w:marTop w:val="0"/>
      <w:marBottom w:val="0"/>
      <w:divBdr>
        <w:top w:val="none" w:sz="0" w:space="0" w:color="auto"/>
        <w:left w:val="none" w:sz="0" w:space="0" w:color="auto"/>
        <w:bottom w:val="none" w:sz="0" w:space="0" w:color="auto"/>
        <w:right w:val="none" w:sz="0" w:space="0" w:color="auto"/>
      </w:divBdr>
    </w:div>
    <w:div w:id="1389107149">
      <w:bodyDiv w:val="1"/>
      <w:marLeft w:val="0"/>
      <w:marRight w:val="0"/>
      <w:marTop w:val="0"/>
      <w:marBottom w:val="0"/>
      <w:divBdr>
        <w:top w:val="none" w:sz="0" w:space="0" w:color="auto"/>
        <w:left w:val="none" w:sz="0" w:space="0" w:color="auto"/>
        <w:bottom w:val="none" w:sz="0" w:space="0" w:color="auto"/>
        <w:right w:val="none" w:sz="0" w:space="0" w:color="auto"/>
      </w:divBdr>
    </w:div>
    <w:div w:id="1518035661">
      <w:bodyDiv w:val="1"/>
      <w:marLeft w:val="0"/>
      <w:marRight w:val="0"/>
      <w:marTop w:val="0"/>
      <w:marBottom w:val="0"/>
      <w:divBdr>
        <w:top w:val="none" w:sz="0" w:space="0" w:color="auto"/>
        <w:left w:val="none" w:sz="0" w:space="0" w:color="auto"/>
        <w:bottom w:val="none" w:sz="0" w:space="0" w:color="auto"/>
        <w:right w:val="none" w:sz="0" w:space="0" w:color="auto"/>
      </w:divBdr>
    </w:div>
    <w:div w:id="1814131272">
      <w:bodyDiv w:val="1"/>
      <w:marLeft w:val="0"/>
      <w:marRight w:val="0"/>
      <w:marTop w:val="0"/>
      <w:marBottom w:val="0"/>
      <w:divBdr>
        <w:top w:val="none" w:sz="0" w:space="0" w:color="auto"/>
        <w:left w:val="none" w:sz="0" w:space="0" w:color="auto"/>
        <w:bottom w:val="none" w:sz="0" w:space="0" w:color="auto"/>
        <w:right w:val="none" w:sz="0" w:space="0" w:color="auto"/>
      </w:divBdr>
    </w:div>
    <w:div w:id="18620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ff.co.nz/national/politics/300219189/tied-up-for-good-speaker-trevor-mallard-opts-to-keep-requirement-that-male-mps-wear-ties-in-parliaments-debating-chamber" TargetMode="External"/><Relationship Id="rId21" Type="http://schemas.openxmlformats.org/officeDocument/2006/relationships/image" Target="media/image11.png"/><Relationship Id="rId42" Type="http://schemas.openxmlformats.org/officeDocument/2006/relationships/hyperlink" Target="https://www.aph.gov.au/About_Parliament/Parliamentary_Departments/Parliamentary_Library/pubs/rp/rp1718/Quick_Guides/IndigenousParliamentarians" TargetMode="External"/><Relationship Id="rId47" Type="http://schemas.openxmlformats.org/officeDocument/2006/relationships/hyperlink" Target="https://www.stats.govt.nz/information-releases/maori-population-estimates-at-30-june-2020" TargetMode="External"/><Relationship Id="rId63" Type="http://schemas.openxmlformats.org/officeDocument/2006/relationships/hyperlink" Target="https://www.greens.org.nz/elizabeth_kerekere" TargetMode="External"/><Relationship Id="rId68" Type="http://schemas.openxmlformats.org/officeDocument/2006/relationships/hyperlink" Target="https://www.labour.org.nz/willowjeanprime" TargetMode="External"/><Relationship Id="rId84" Type="http://schemas.openxmlformats.org/officeDocument/2006/relationships/hyperlink" Target="https://www.greens.org.nz/marama_davidson" TargetMode="External"/><Relationship Id="rId89" Type="http://schemas.openxmlformats.org/officeDocument/2006/relationships/hyperlink" Target="https://www.parliament.nz/en/pb/hansard-debates/rhr/document/HansS_20171116_055575000/hipango-harete-mallard-trevor" TargetMode="External"/><Relationship Id="rId16" Type="http://schemas.openxmlformats.org/officeDocument/2006/relationships/image" Target="media/image6.png"/><Relationship Id="rId107" Type="http://schemas.openxmlformats.org/officeDocument/2006/relationships/fontTable" Target="fontTable.xml"/><Relationship Id="rId11" Type="http://schemas.openxmlformats.org/officeDocument/2006/relationships/image" Target="media/image2.jpg"/><Relationship Id="rId32" Type="http://schemas.openxmlformats.org/officeDocument/2006/relationships/hyperlink" Target="https://reconnect-europe.eu/wp-content/uploads/2019/09/D2.2-update-July-2019.pdf" TargetMode="External"/><Relationship Id="rId37" Type="http://schemas.openxmlformats.org/officeDocument/2006/relationships/hyperlink" Target="https://www.reuters.com/article/us-newzealand-politics-idUSKCN1UP0PA" TargetMode="External"/><Relationship Id="rId53" Type="http://schemas.openxmlformats.org/officeDocument/2006/relationships/hyperlink" Target="https://www.un.org/esa/socdev/unpfii/documents/DRIPS_en.pdf" TargetMode="External"/><Relationship Id="rId58" Type="http://schemas.openxmlformats.org/officeDocument/2006/relationships/hyperlink" Target="https://www.parliament.nz/en/mps-and-electorates/members-of-parliament/davis-kelvin/" TargetMode="External"/><Relationship Id="rId74" Type="http://schemas.openxmlformats.org/officeDocument/2006/relationships/hyperlink" Target="https://www.greens.org.nz/teanau_tuiono_mp" TargetMode="External"/><Relationship Id="rId79" Type="http://schemas.openxmlformats.org/officeDocument/2006/relationships/hyperlink" Target="https://www.labour.org.nz/kiriallan" TargetMode="External"/><Relationship Id="rId102" Type="http://schemas.openxmlformats.org/officeDocument/2006/relationships/hyperlink" Target="https://www.parliament.nz/en/mps-and-electorates/members-of-parliament/coffey-tamati/" TargetMode="External"/><Relationship Id="rId5" Type="http://schemas.openxmlformats.org/officeDocument/2006/relationships/settings" Target="settings.xml"/><Relationship Id="rId90" Type="http://schemas.openxmlformats.org/officeDocument/2006/relationships/hyperlink" Target="https://www.labour.org.nz/williejackson" TargetMode="External"/><Relationship Id="rId95" Type="http://schemas.openxmlformats.org/officeDocument/2006/relationships/hyperlink" Target="https://www.nzfirst.nz/hon_ron_mark" TargetMode="External"/><Relationship Id="rId22" Type="http://schemas.openxmlformats.org/officeDocument/2006/relationships/image" Target="media/image12.png"/><Relationship Id="rId27" Type="http://schemas.openxmlformats.org/officeDocument/2006/relationships/hyperlink" Target="https://theconversation.com/the-politics-of-the-necktie-colonial-noose-masculine-marker-or-silk-status-symbol-155203" TargetMode="External"/><Relationship Id="rId43" Type="http://schemas.openxmlformats.org/officeDocument/2006/relationships/hyperlink" Target="https://apo.org.au/sites/default/files/resource-files/2017-12/apo-nid127646.pdf" TargetMode="External"/><Relationship Id="rId48" Type="http://schemas.openxmlformats.org/officeDocument/2006/relationships/hyperlink" Target="https://theconversation.com/new-zealand-elections-maori-seats-once-again-focus-of-debate-83293" TargetMode="External"/><Relationship Id="rId64" Type="http://schemas.openxmlformats.org/officeDocument/2006/relationships/hyperlink" Target="https://www.stuff.co.nz/national/politics/103298466/how-mori-qualifies-as-mori-blueeyed-politician-says-i-feel-like-a-fraud" TargetMode="External"/><Relationship Id="rId69" Type="http://schemas.openxmlformats.org/officeDocument/2006/relationships/hyperlink" Target="https://www.parliament.nz/en/mps-and-electorates/members-of-parliament/?PrimaryFilter=M%C4%81ori+electorate+seats&amp;SecondaryFilter=" TargetMode="External"/><Relationship Id="rId80" Type="http://schemas.openxmlformats.org/officeDocument/2006/relationships/hyperlink" Target="https://www.parliament.nz/en/pb/hansard-debates/rhr/document/48HansS_20051116_00000852/bennett-paula-address-in-reply" TargetMode="External"/><Relationship Id="rId85" Type="http://schemas.openxmlformats.org/officeDocument/2006/relationships/hyperlink" Target="https://www.parliament.nz/en/mps-and-electorates/members-of-parliament/?PrimaryFilter=M%C4%81ori+electorate+seats&amp;SecondaryFilter=" TargetMode="External"/><Relationship Id="rId12" Type="http://schemas.openxmlformats.org/officeDocument/2006/relationships/image" Target="media/image3.png"/><Relationship Id="rId17" Type="http://schemas.openxmlformats.org/officeDocument/2006/relationships/image" Target="media/image7.png"/><Relationship Id="rId33" Type="http://schemas.openxmlformats.org/officeDocument/2006/relationships/hyperlink" Target="https://www.oecd.org/iaos2018/programme/IAOS-OECD2018_Griffiths.pdf" TargetMode="External"/><Relationship Id="rId38" Type="http://schemas.openxmlformats.org/officeDocument/2006/relationships/hyperlink" Target="https://www.parliament.nz/en/visit-and-learn/mps-and-parliaments-1854-onwards/governments-in-new-zealand-since-1856/" TargetMode="External"/><Relationship Id="rId59" Type="http://schemas.openxmlformats.org/officeDocument/2006/relationships/hyperlink" Target="https://www.labour.org.nz/pauleagle" TargetMode="External"/><Relationship Id="rId103" Type="http://schemas.openxmlformats.org/officeDocument/2006/relationships/hyperlink" Target="https://www.parliament.nz/en/mps-and-electorates/members-of-parliament/?PrimaryFilter=M%C4%81ori+electorate+seats&amp;SecondaryFilter=" TargetMode="External"/><Relationship Id="rId108" Type="http://schemas.openxmlformats.org/officeDocument/2006/relationships/glossaryDocument" Target="glossary/document.xml"/><Relationship Id="rId54" Type="http://schemas.openxmlformats.org/officeDocument/2006/relationships/hyperlink" Target="https://www.parliament.nz/en/pb/hansard-debates/rhr/document/HansS_20210512_050520000/1-question-no-1-prime-minister" TargetMode="External"/><Relationship Id="rId70" Type="http://schemas.openxmlformats.org/officeDocument/2006/relationships/hyperlink" Target="https://www.theguardian.com/world/2018/feb/27/new-zealand-national-party-elects-maori-leader-jacindamania" TargetMode="External"/><Relationship Id="rId75" Type="http://schemas.openxmlformats.org/officeDocument/2006/relationships/hyperlink" Target="https://www.parliament.nz/en/pb/hansard-debates/rhr/document/48HansS_20080304_00001030/wall-louisa-maiden-statement" TargetMode="External"/><Relationship Id="rId91" Type="http://schemas.openxmlformats.org/officeDocument/2006/relationships/hyperlink" Target="https://web.archive.org/web/20081015150848/http://beehive.govt.nz/minister/shane+jones?bio=1" TargetMode="External"/><Relationship Id="rId96" Type="http://schemas.openxmlformats.org/officeDocument/2006/relationships/hyperlink" Target="https://www.nzfirst.nz/rt_hon_winston_pet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ihw.gov.au/reports/australias-welfare/profile-of-indigenous-australians" TargetMode="External"/><Relationship Id="rId28" Type="http://schemas.openxmlformats.org/officeDocument/2006/relationships/hyperlink" Target="http://archive.ipu.org/splz-e/chiapas10/overview.pdf" TargetMode="External"/><Relationship Id="rId36" Type="http://schemas.openxmlformats.org/officeDocument/2006/relationships/hyperlink" Target="https://www.parliament.nz/en/pb/hansard-debates/rhr/combined/HansDeb_20210223_20210223_28" TargetMode="External"/><Relationship Id="rId49" Type="http://schemas.openxmlformats.org/officeDocument/2006/relationships/hyperlink" Target="https://digitallibrary.un.org/record/1485440" TargetMode="External"/><Relationship Id="rId57" Type="http://schemas.openxmlformats.org/officeDocument/2006/relationships/hyperlink" Target="https://www.greens.org.nz/marama_davidson" TargetMode="External"/><Relationship Id="rId106"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s://www.nytimes.com/2021/02/10/world/asia/new-zealand-rawiri-waititi-tie.html" TargetMode="External"/><Relationship Id="rId44" Type="http://schemas.openxmlformats.org/officeDocument/2006/relationships/hyperlink" Target="https://www.parliament.nz/en/pb/hansard-debates/rhr/document/49HansD_20100420_00000071/ministerial-statements-un-declaration-on-the-rights-of" TargetMode="External"/><Relationship Id="rId52" Type="http://schemas.openxmlformats.org/officeDocument/2006/relationships/hyperlink" Target="https://undocs.org/A/RES/61/295" TargetMode="External"/><Relationship Id="rId60" Type="http://schemas.openxmlformats.org/officeDocument/2006/relationships/hyperlink" Target="https://www.parliament.nz/en/pb/hansard-debates/rhr/document/HansS_20201201_052740000/mallard-trevor-halbert-shanan" TargetMode="External"/><Relationship Id="rId65" Type="http://schemas.openxmlformats.org/officeDocument/2006/relationships/hyperlink" Target="https://www.parliament.nz/en/mps-and-electorates/members-of-parliament/?PrimaryFilter=M%C4%81ori+electorate+seats&amp;SecondaryFilter=" TargetMode="External"/><Relationship Id="rId73" Type="http://schemas.openxmlformats.org/officeDocument/2006/relationships/hyperlink" Target="https://www.parliament.nz/en/mps-and-electorates/members-of-parliament/?PrimaryFilter=M%C4%81ori+electorate+seats&amp;SecondaryFilter=" TargetMode="External"/><Relationship Id="rId78" Type="http://schemas.openxmlformats.org/officeDocument/2006/relationships/hyperlink" Target="https://www.parliament.nz/en/pb/hansard-debates/rhr/document/HansS_20201126_051540000/williams-arena" TargetMode="External"/><Relationship Id="rId81" Type="http://schemas.openxmlformats.org/officeDocument/2006/relationships/hyperlink" Target="https://www.parliament.nz/en/pb/hansard-debates/rhr/combined/HansDeb_20180703_20180703_24" TargetMode="External"/><Relationship Id="rId86" Type="http://schemas.openxmlformats.org/officeDocument/2006/relationships/hyperlink" Target="https://www.labour.org.nz/pauleagle" TargetMode="External"/><Relationship Id="rId94" Type="http://schemas.openxmlformats.org/officeDocument/2006/relationships/hyperlink" Target="https://www.parliament.nz/en/pb/hansard-debates/rhr/document/HansS_20171109_061425000/marcroft-jenny" TargetMode="External"/><Relationship Id="rId99" Type="http://schemas.openxmlformats.org/officeDocument/2006/relationships/hyperlink" Target="https://www.parliament.nz/en/pb/hansard-debates/rhr/document/49HansS_20110406_00001062/ross-jami-lee-maiden-statements" TargetMode="External"/><Relationship Id="rId101" Type="http://schemas.openxmlformats.org/officeDocument/2006/relationships/hyperlink" Target="https://www.nzherald.co.nz/rotorua-daily-post/news/election-profile-fletcher-tabuteau/KFDLQZ3UJS4F6YIWTFMDKZHXBU/"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8.png"/><Relationship Id="rId39" Type="http://schemas.openxmlformats.org/officeDocument/2006/relationships/hyperlink" Target="https://www.parliament.nz/en/get-involved/features/what-is-the-address-in-reply-debate/" TargetMode="External"/><Relationship Id="rId109" Type="http://schemas.openxmlformats.org/officeDocument/2006/relationships/theme" Target="theme/theme1.xml"/><Relationship Id="rId34" Type="http://schemas.openxmlformats.org/officeDocument/2006/relationships/hyperlink" Target="https://www.iwgia.org/en/usa.html" TargetMode="External"/><Relationship Id="rId50" Type="http://schemas.openxmlformats.org/officeDocument/2006/relationships/hyperlink" Target="https://tbinternet.ohchr.org/_layouts/15/treatybodyexternal/Download.aspx?symbolno=CERD/C/%20NZL/CO/21-22&amp;Lang=En" TargetMode="External"/><Relationship Id="rId55" Type="http://schemas.openxmlformats.org/officeDocument/2006/relationships/hyperlink" Target="https://www.parliament.nz/resource/en-NZ/00PLLawRP03141/e27e432e971eb1f60ea75b00c987a39e4b2e62ce" TargetMode="External"/><Relationship Id="rId76" Type="http://schemas.openxmlformats.org/officeDocument/2006/relationships/hyperlink" Target="https://www.parliament.nz/en/mps-and-electorates/members-of-parliament/?PrimaryFilter=M%C4%81ori+electorate+seats&amp;SecondaryFilter=" TargetMode="External"/><Relationship Id="rId97" Type="http://schemas.openxmlformats.org/officeDocument/2006/relationships/hyperlink" Target="https://www.labour.org.nz/willowjeanprime" TargetMode="External"/><Relationship Id="rId104" Type="http://schemas.openxmlformats.org/officeDocument/2006/relationships/hyperlink" Target="https://www.parliament.nz/en/pb/hansard-debates/rhr/document/48HansS_20080304_00001030/wall-louisa-maiden-statement" TargetMode="External"/><Relationship Id="rId7" Type="http://schemas.openxmlformats.org/officeDocument/2006/relationships/footnotes" Target="footnotes.xml"/><Relationship Id="rId71" Type="http://schemas.openxmlformats.org/officeDocument/2006/relationships/hyperlink" Target="https://www.parliament.nz/en/pb/hansard-debates/rhr/document/51HansS_20141029_00000979/reti-shane-address-in-reply" TargetMode="External"/><Relationship Id="rId92" Type="http://schemas.openxmlformats.org/officeDocument/2006/relationships/hyperlink" Target="https://www.stuff.co.nz/national/politics/103298466/how-mori-qualifies-as-mori-blueeyed-politician-says-i-feel-like-a-fraud" TargetMode="External"/><Relationship Id="rId2" Type="http://schemas.openxmlformats.org/officeDocument/2006/relationships/customXml" Target="../customXml/item2.xml"/><Relationship Id="rId29" Type="http://schemas.openxmlformats.org/officeDocument/2006/relationships/hyperlink" Target="https://elections.nz/media-and-news/2017/new-zealand-2017-general-election-official-results/" TargetMode="External"/><Relationship Id="rId24" Type="http://schemas.openxmlformats.org/officeDocument/2006/relationships/hyperlink" Target="https://twitter.com/simonjbridges/status/1331810724134363137?ref_src=twsrc%5Etfw%7Ctwcamp%5Etweetembed%7Ctwterm%5E1331810724134363137%7Ctwgr%5E%7Ctwcon%5Es1_&amp;ref_url=https%3A%2F%2Fwww.nzherald.co.nz%2Fnz%2Fpolitics%2Ftied-to-the-ties-speaker-trevor-mallard-rules-to-keep-jacket-and-necktie-in-the-debating-chamber%2FWJLMYYYDN2I2I2XSUJFJCAPJXY%2F" TargetMode="External"/><Relationship Id="rId40" Type="http://schemas.openxmlformats.org/officeDocument/2006/relationships/hyperlink" Target="https://www.nzherald.co.nz/nz/rawiri-waititi-its-not-about-a-tie-its-about-pakeha-power/HECCXMLEYBW5WQ4FF75ASNFP5E/" TargetMode="External"/><Relationship Id="rId45" Type="http://schemas.openxmlformats.org/officeDocument/2006/relationships/hyperlink" Target="https://www.theguardian.com/world/2020/oct/19/new-zealand-elects-most-diverse-parliament-boosting-female-lgbtiq-and-maori-mps" TargetMode="External"/><Relationship Id="rId66" Type="http://schemas.openxmlformats.org/officeDocument/2006/relationships/hyperlink" Target="https://www.parliament.nz/en/pb/hansard-debates/rhr/document/HansS_20201208_051960000/mckee-nicole" TargetMode="External"/><Relationship Id="rId87" Type="http://schemas.openxmlformats.org/officeDocument/2006/relationships/hyperlink" Target="https://www.parliament.nz/en/pb/hansard-debates/rhr/document/50HansS_20140129_00000932/hayes-joanne-maiden-statements" TargetMode="External"/><Relationship Id="rId61" Type="http://schemas.openxmlformats.org/officeDocument/2006/relationships/hyperlink" Target="https://www.parliament.nz/en/mps-and-electorates/members-of-parliament/?PrimaryFilter=M%C4%81ori+electorate+seats&amp;SecondaryFilter=" TargetMode="External"/><Relationship Id="rId82" Type="http://schemas.openxmlformats.org/officeDocument/2006/relationships/hyperlink" Target="https://www.theguardian.com/world/2018/feb/27/new-zealand-national-party-elects-maori-leader-jacindamania"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hyperlink" Target="https://elections.nz/media-and-news/2020/2020-general-election-official-results/" TargetMode="External"/><Relationship Id="rId35" Type="http://schemas.openxmlformats.org/officeDocument/2006/relationships/hyperlink" Target="https://ipolitics.ca/2019/10/24/gender-minorities-parenthood-heres-how-the-next-parliament-compares-to-canada-today/" TargetMode="External"/><Relationship Id="rId56" Type="http://schemas.openxmlformats.org/officeDocument/2006/relationships/hyperlink" Target="https://www.labour.org.nz/kiriallan" TargetMode="External"/><Relationship Id="rId77" Type="http://schemas.openxmlformats.org/officeDocument/2006/relationships/hyperlink" Target="https://www.parliament.nz/en/mps-and-electorates/members-of-parliament/?PrimaryFilter=M%C4%81ori+electorate+seats&amp;SecondaryFilter=" TargetMode="External"/><Relationship Id="rId100" Type="http://schemas.openxmlformats.org/officeDocument/2006/relationships/hyperlink" Target="https://www.parliament.nz/en/mps-and-electorates/members-of-parliament/?PrimaryFilter=M%C4%81ori+electorate+seats&amp;SecondaryFilter=" TargetMode="External"/><Relationship Id="rId105" Type="http://schemas.openxmlformats.org/officeDocument/2006/relationships/hyperlink" Target="https://www.parliament.nz/en/mps-and-electorates/members-of-parliament/?PrimaryFilter=M%C4%81ori+electorate+seats&amp;SecondaryFilter=" TargetMode="External"/><Relationship Id="rId8" Type="http://schemas.openxmlformats.org/officeDocument/2006/relationships/endnotes" Target="endnotes.xml"/><Relationship Id="rId51" Type="http://schemas.openxmlformats.org/officeDocument/2006/relationships/hyperlink" Target="https://www.ohchr.org/EN/HRBodies/UPR/Pages/NZIndex.aspx" TargetMode="External"/><Relationship Id="rId72" Type="http://schemas.openxmlformats.org/officeDocument/2006/relationships/hyperlink" Target="https://www.parliament.nz/en/mps-and-electorates/members-of-parliament/coffey-tamati/" TargetMode="External"/><Relationship Id="rId93" Type="http://schemas.openxmlformats.org/officeDocument/2006/relationships/hyperlink" Target="https://www.parliament.nz/en/mps-and-electorates/members-of-parliament/?PrimaryFilter=M%C4%81ori+electorate+seats&amp;SecondaryFilter=" TargetMode="External"/><Relationship Id="rId98" Type="http://schemas.openxmlformats.org/officeDocument/2006/relationships/hyperlink" Target="https://www.parliament.nz/en/pb/hansard-debates/rhr/document/51HansS_20141029_00000979/reti-shane-address-in-reply" TargetMode="External"/><Relationship Id="rId3" Type="http://schemas.openxmlformats.org/officeDocument/2006/relationships/numbering" Target="numbering.xml"/><Relationship Id="rId25" Type="http://schemas.openxmlformats.org/officeDocument/2006/relationships/hyperlink" Target="https://humanrights.gov.au/sites/default/files/content/pdf/social_justice/bringing_them_home_report.pdf" TargetMode="External"/><Relationship Id="rId46" Type="http://schemas.openxmlformats.org/officeDocument/2006/relationships/hyperlink" Target="https://www.rnz.co.nz/programmes/the-detail/story/2018772335/the-rise-and-fall-and-rise-of-the-maori-party" TargetMode="External"/><Relationship Id="rId67" Type="http://schemas.openxmlformats.org/officeDocument/2006/relationships/hyperlink" Target="https://www.maoriparty.org.nz/debbie_ngarewa_packer" TargetMode="External"/><Relationship Id="rId20" Type="http://schemas.openxmlformats.org/officeDocument/2006/relationships/image" Target="media/image10.png"/><Relationship Id="rId41" Type="http://schemas.openxmlformats.org/officeDocument/2006/relationships/hyperlink" Target="https://teara.govt.nz/en/treaty-of-waitangi" TargetMode="External"/><Relationship Id="rId62" Type="http://schemas.openxmlformats.org/officeDocument/2006/relationships/hyperlink" Target="https://www.labour.org.nz/williejackson" TargetMode="External"/><Relationship Id="rId83" Type="http://schemas.openxmlformats.org/officeDocument/2006/relationships/hyperlink" Target="https://www.greens.org.nz/marama_davidson" TargetMode="External"/><Relationship Id="rId88" Type="http://schemas.openxmlformats.org/officeDocument/2006/relationships/hyperlink" Target="https://www.parliament.nz/en/mps-and-electorates/members-of-parliament/?PrimaryFilter=M%C4%81ori+electorate+seats&amp;SecondaryFil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nz/en/pb/hansard-debates/rhr/search" TargetMode="External"/><Relationship Id="rId13" Type="http://schemas.openxmlformats.org/officeDocument/2006/relationships/hyperlink" Target="https://nzhistory.govt.nz/politics/treaty/the-treaty-in-practice/early-crown-policy" TargetMode="External"/><Relationship Id="rId18" Type="http://schemas.openxmlformats.org/officeDocument/2006/relationships/hyperlink" Target="https://www.maoriparty.org.nz/about_us" TargetMode="External"/><Relationship Id="rId26" Type="http://schemas.openxmlformats.org/officeDocument/2006/relationships/hyperlink" Target="https://www.parliament.nz/en/mps-and-electorates/members-of-parliament/" TargetMode="External"/><Relationship Id="rId3" Type="http://schemas.openxmlformats.org/officeDocument/2006/relationships/hyperlink" Target="https://www.un.org/development/desa/indigenouspeoples/declaration-on-the-rights-of-indigenous-peoples.html" TargetMode="External"/><Relationship Id="rId21" Type="http://schemas.openxmlformats.org/officeDocument/2006/relationships/hyperlink" Target="https://www.parliament.nz/en/mps-and-electorates/political-parties/" TargetMode="External"/><Relationship Id="rId7" Type="http://schemas.openxmlformats.org/officeDocument/2006/relationships/hyperlink" Target="https://www.parliament.nz/en/mps-and-electorates/electorate-profiles/" TargetMode="External"/><Relationship Id="rId12" Type="http://schemas.openxmlformats.org/officeDocument/2006/relationships/hyperlink" Target="https://waitangitribunal.govt.nz/publications-and-resources/school-resources/treaty-past-and-present/section-5/" TargetMode="External"/><Relationship Id="rId17" Type="http://schemas.openxmlformats.org/officeDocument/2006/relationships/hyperlink" Target="https://www.electionresults.govt.nz/?__cf_chl_captcha_tk__=e74499b4e139c21541eb3440d6b268f934a88d5f-1621934466-0-ATkZZTCjL1KH1jTOvM3Qs82NtTGqhRRc2r2koXIm85hYbWZdIPOZdX0W7gEN1egMWGluCgo7etQf9c-bbbQdT84scjJAeB_R4k5e3L5Iag37ZQuAyqmSv1h4wdfVRDAt6hMjRfLBPtD5Ei3u-vbY2dE5AsD98zGLZ3r7KsxoSGYGdjOKGjjIzvNyg-a7-ibthzyQG-cgW6lYnoMfq8epH9li7wShu7M_9Am3frVEYCEgR09S6EGyv-BJtC7szOZJ4sGJhYqHnQ_4WjCN9guiiX2T2_7-uCD4Lc7qWb-nlU4ne0Lwt5OrPkKTIx4lWeaJakcKzqRrtsAduCCTNjtfJ-fTezVwnQWwI6WKZam_iWLR6CcDz_kmF4n3A0xB2ZkX4QGNHbQZq72HDEPC5y8yXu2D5G5vvroZKX4G1DDycWEbSPMZLjFn6tJqaeWnKKIiDuRHdaUdiSgdMLBdLv5m70KmD1BXWRpZYGG2TBo5ebbkmZqzjtd1pDbN5D4TzE6N7xJ4FaOEi5hR-oIQqym6iMzQFfa7B7FZToluWG2uBth21P1GBiiaeokyz4_ULOLq3eg82EmSWSPhrbFQSzmp9qlYdakGri2Gj4HOS-R6SqWrsSONLaXbG5EQl2DHvsOWjYKr2AfU4y3oatY8qQeCMJ4Hd3HT7LGaypnE5eZ0oT3s" TargetMode="External"/><Relationship Id="rId25" Type="http://schemas.openxmlformats.org/officeDocument/2006/relationships/hyperlink" Target="https://maoridictionary.co.nz/" TargetMode="External"/><Relationship Id="rId2" Type="http://schemas.openxmlformats.org/officeDocument/2006/relationships/hyperlink" Target="https://elections.nz/democracy-in-nz/what-is-an-electoral-roll/what-is-the-maori-electoral-option/" TargetMode="External"/><Relationship Id="rId16" Type="http://schemas.openxmlformats.org/officeDocument/2006/relationships/hyperlink" Target="https://www.labour.org.nz/maori" TargetMode="External"/><Relationship Id="rId20" Type="http://schemas.openxmlformats.org/officeDocument/2006/relationships/hyperlink" Target="https://www.parliament.nz/en/get-involved/features/first-words-the-parliamentary-maiden-speech/" TargetMode="External"/><Relationship Id="rId1" Type="http://schemas.openxmlformats.org/officeDocument/2006/relationships/hyperlink" Target="https://elections.nz/democracy-in-nz/what-is-new-zealands-system-of-government/what-is-mmp/" TargetMode="External"/><Relationship Id="rId6" Type="http://schemas.openxmlformats.org/officeDocument/2006/relationships/hyperlink" Target="https://elections.nz/democracy-in-nz/what-is-an-electoral-roll/what-is-the-maori-electoral-option/" TargetMode="External"/><Relationship Id="rId11" Type="http://schemas.openxmlformats.org/officeDocument/2006/relationships/hyperlink" Target="https://nzhistory.govt.nz/media/photo/maori-and-european-population-numbers-1838%E2%80%931901" TargetMode="External"/><Relationship Id="rId24" Type="http://schemas.openxmlformats.org/officeDocument/2006/relationships/hyperlink" Target="https://www.parliament.nz/en/pb/hansard-debates/rhr/search" TargetMode="External"/><Relationship Id="rId5" Type="http://schemas.openxmlformats.org/officeDocument/2006/relationships/hyperlink" Target="https://elections.nz/democracy-in-nz/what-is-new-zealands-system-of-government/what-is-mmp/" TargetMode="External"/><Relationship Id="rId15" Type="http://schemas.openxmlformats.org/officeDocument/2006/relationships/hyperlink" Target="https://nzhistory.govt.nz/politics/fpp-to-mmp" TargetMode="External"/><Relationship Id="rId23" Type="http://schemas.openxmlformats.org/officeDocument/2006/relationships/hyperlink" Target="https://www.fairvote.org/research_electoralsystems_world" TargetMode="External"/><Relationship Id="rId10" Type="http://schemas.openxmlformats.org/officeDocument/2006/relationships/hyperlink" Target="https://maoridictionary.co.nz/search?idiom=&amp;phrase=&amp;proverb=&amp;loan=&amp;histLoanWords=&amp;keywords=pakeha" TargetMode="External"/><Relationship Id="rId19" Type="http://schemas.openxmlformats.org/officeDocument/2006/relationships/hyperlink" Target="https://www.nytimes.com/2021/02/10/world/asia/new-zealand-rawiri-waititi-tie.html" TargetMode="External"/><Relationship Id="rId4" Type="http://schemas.openxmlformats.org/officeDocument/2006/relationships/hyperlink" Target="https://www.aph.gov.au/about_parliament/house_of_representatives/about_the_house_of_representatives" TargetMode="External"/><Relationship Id="rId9" Type="http://schemas.openxmlformats.org/officeDocument/2006/relationships/hyperlink" Target="https://www.hrc.co.nz/files/5814/5618/4456/NZHR_Booklet_12_WEB.pdf" TargetMode="External"/><Relationship Id="rId14" Type="http://schemas.openxmlformats.org/officeDocument/2006/relationships/hyperlink" Target="https://www.waitangitribunal.govt.nz/" TargetMode="External"/><Relationship Id="rId22" Type="http://schemas.openxmlformats.org/officeDocument/2006/relationships/hyperlink" Target="https://www.electionsresults.govt.n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Grafiek%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Number of seats in parliament</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'[Grafiek in Microsoft Word]Blad1'!$B$13</c:f>
              <c:strCache>
                <c:ptCount val="1"/>
                <c:pt idx="0">
                  <c:v>Labour Party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'[Grafiek in Microsoft Word]Blad1'!$A$14:$A$22</c:f>
              <c:numCache>
                <c:formatCode>General</c:formatCode>
                <c:ptCount val="9"/>
                <c:pt idx="0">
                  <c:v>1996</c:v>
                </c:pt>
                <c:pt idx="1">
                  <c:v>1999</c:v>
                </c:pt>
                <c:pt idx="2">
                  <c:v>2002</c:v>
                </c:pt>
                <c:pt idx="3">
                  <c:v>2005</c:v>
                </c:pt>
                <c:pt idx="4">
                  <c:v>2008</c:v>
                </c:pt>
                <c:pt idx="5">
                  <c:v>2011</c:v>
                </c:pt>
                <c:pt idx="6">
                  <c:v>2014</c:v>
                </c:pt>
                <c:pt idx="7">
                  <c:v>2017</c:v>
                </c:pt>
                <c:pt idx="8">
                  <c:v>2020</c:v>
                </c:pt>
              </c:numCache>
            </c:numRef>
          </c:cat>
          <c:val>
            <c:numRef>
              <c:f>'[Grafiek in Microsoft Word]Blad1'!$B$14:$B$22</c:f>
              <c:numCache>
                <c:formatCode>General</c:formatCode>
                <c:ptCount val="9"/>
                <c:pt idx="0">
                  <c:v>37</c:v>
                </c:pt>
                <c:pt idx="1">
                  <c:v>49</c:v>
                </c:pt>
                <c:pt idx="2">
                  <c:v>52</c:v>
                </c:pt>
                <c:pt idx="3">
                  <c:v>41</c:v>
                </c:pt>
                <c:pt idx="4">
                  <c:v>43</c:v>
                </c:pt>
                <c:pt idx="5">
                  <c:v>34</c:v>
                </c:pt>
                <c:pt idx="6">
                  <c:v>32</c:v>
                </c:pt>
                <c:pt idx="7">
                  <c:v>46</c:v>
                </c:pt>
                <c:pt idx="8">
                  <c:v>65</c:v>
                </c:pt>
              </c:numCache>
            </c:numRef>
          </c:val>
          <c:smooth val="0"/>
          <c:extLst>
            <c:ext xmlns:c16="http://schemas.microsoft.com/office/drawing/2014/chart" uri="{C3380CC4-5D6E-409C-BE32-E72D297353CC}">
              <c16:uniqueId val="{00000000-6F3F-49A3-BEDA-982860753381}"/>
            </c:ext>
          </c:extLst>
        </c:ser>
        <c:ser>
          <c:idx val="1"/>
          <c:order val="1"/>
          <c:tx>
            <c:strRef>
              <c:f>'[Grafiek in Microsoft Word]Blad1'!$C$13</c:f>
              <c:strCache>
                <c:ptCount val="1"/>
                <c:pt idx="0">
                  <c:v>National Party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'[Grafiek in Microsoft Word]Blad1'!$A$14:$A$22</c:f>
              <c:numCache>
                <c:formatCode>General</c:formatCode>
                <c:ptCount val="9"/>
                <c:pt idx="0">
                  <c:v>1996</c:v>
                </c:pt>
                <c:pt idx="1">
                  <c:v>1999</c:v>
                </c:pt>
                <c:pt idx="2">
                  <c:v>2002</c:v>
                </c:pt>
                <c:pt idx="3">
                  <c:v>2005</c:v>
                </c:pt>
                <c:pt idx="4">
                  <c:v>2008</c:v>
                </c:pt>
                <c:pt idx="5">
                  <c:v>2011</c:v>
                </c:pt>
                <c:pt idx="6">
                  <c:v>2014</c:v>
                </c:pt>
                <c:pt idx="7">
                  <c:v>2017</c:v>
                </c:pt>
                <c:pt idx="8">
                  <c:v>2020</c:v>
                </c:pt>
              </c:numCache>
            </c:numRef>
          </c:cat>
          <c:val>
            <c:numRef>
              <c:f>'[Grafiek in Microsoft Word]Blad1'!$C$14:$C$22</c:f>
              <c:numCache>
                <c:formatCode>General</c:formatCode>
                <c:ptCount val="9"/>
                <c:pt idx="0">
                  <c:v>44</c:v>
                </c:pt>
                <c:pt idx="1">
                  <c:v>39</c:v>
                </c:pt>
                <c:pt idx="2">
                  <c:v>27</c:v>
                </c:pt>
                <c:pt idx="3">
                  <c:v>39</c:v>
                </c:pt>
                <c:pt idx="4">
                  <c:v>58</c:v>
                </c:pt>
                <c:pt idx="5">
                  <c:v>59</c:v>
                </c:pt>
                <c:pt idx="6">
                  <c:v>60</c:v>
                </c:pt>
                <c:pt idx="7">
                  <c:v>56</c:v>
                </c:pt>
                <c:pt idx="8">
                  <c:v>33</c:v>
                </c:pt>
              </c:numCache>
            </c:numRef>
          </c:val>
          <c:smooth val="0"/>
          <c:extLst>
            <c:ext xmlns:c16="http://schemas.microsoft.com/office/drawing/2014/chart" uri="{C3380CC4-5D6E-409C-BE32-E72D297353CC}">
              <c16:uniqueId val="{00000001-6F3F-49A3-BEDA-982860753381}"/>
            </c:ext>
          </c:extLst>
        </c:ser>
        <c:ser>
          <c:idx val="2"/>
          <c:order val="2"/>
          <c:tx>
            <c:strRef>
              <c:f>'[Grafiek in Microsoft Word]Blad1'!$D$13</c:f>
              <c:strCache>
                <c:ptCount val="1"/>
                <c:pt idx="0">
                  <c:v>Other Parties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'[Grafiek in Microsoft Word]Blad1'!$A$14:$A$22</c:f>
              <c:numCache>
                <c:formatCode>General</c:formatCode>
                <c:ptCount val="9"/>
                <c:pt idx="0">
                  <c:v>1996</c:v>
                </c:pt>
                <c:pt idx="1">
                  <c:v>1999</c:v>
                </c:pt>
                <c:pt idx="2">
                  <c:v>2002</c:v>
                </c:pt>
                <c:pt idx="3">
                  <c:v>2005</c:v>
                </c:pt>
                <c:pt idx="4">
                  <c:v>2008</c:v>
                </c:pt>
                <c:pt idx="5">
                  <c:v>2011</c:v>
                </c:pt>
                <c:pt idx="6">
                  <c:v>2014</c:v>
                </c:pt>
                <c:pt idx="7">
                  <c:v>2017</c:v>
                </c:pt>
                <c:pt idx="8">
                  <c:v>2020</c:v>
                </c:pt>
              </c:numCache>
            </c:numRef>
          </c:cat>
          <c:val>
            <c:numRef>
              <c:f>'[Grafiek in Microsoft Word]Blad1'!$D$14:$D$22</c:f>
              <c:numCache>
                <c:formatCode>General</c:formatCode>
                <c:ptCount val="9"/>
                <c:pt idx="0">
                  <c:v>39</c:v>
                </c:pt>
                <c:pt idx="1">
                  <c:v>32</c:v>
                </c:pt>
                <c:pt idx="2">
                  <c:v>41</c:v>
                </c:pt>
                <c:pt idx="3">
                  <c:v>40</c:v>
                </c:pt>
                <c:pt idx="4">
                  <c:v>19</c:v>
                </c:pt>
                <c:pt idx="5">
                  <c:v>27</c:v>
                </c:pt>
                <c:pt idx="6">
                  <c:v>29</c:v>
                </c:pt>
                <c:pt idx="7">
                  <c:v>18</c:v>
                </c:pt>
                <c:pt idx="8">
                  <c:v>22</c:v>
                </c:pt>
              </c:numCache>
            </c:numRef>
          </c:val>
          <c:smooth val="0"/>
          <c:extLst>
            <c:ext xmlns:c16="http://schemas.microsoft.com/office/drawing/2014/chart" uri="{C3380CC4-5D6E-409C-BE32-E72D297353CC}">
              <c16:uniqueId val="{00000002-6F3F-49A3-BEDA-982860753381}"/>
            </c:ext>
          </c:extLst>
        </c:ser>
        <c:dLbls>
          <c:showLegendKey val="0"/>
          <c:showVal val="0"/>
          <c:showCatName val="0"/>
          <c:showSerName val="0"/>
          <c:showPercent val="0"/>
          <c:showBubbleSize val="0"/>
        </c:dLbls>
        <c:marker val="1"/>
        <c:smooth val="0"/>
        <c:axId val="1773321712"/>
        <c:axId val="1773324624"/>
      </c:lineChart>
      <c:catAx>
        <c:axId val="177332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324624"/>
        <c:crosses val="autoZero"/>
        <c:auto val="1"/>
        <c:lblAlgn val="ctr"/>
        <c:lblOffset val="100"/>
        <c:noMultiLvlLbl val="0"/>
      </c:catAx>
      <c:valAx>
        <c:axId val="177332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32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A03928F0D446986479F73D589B452"/>
        <w:category>
          <w:name w:val="Algemeen"/>
          <w:gallery w:val="placeholder"/>
        </w:category>
        <w:types>
          <w:type w:val="bbPlcHdr"/>
        </w:types>
        <w:behaviors>
          <w:behavior w:val="content"/>
        </w:behaviors>
        <w:guid w:val="{495B3DC1-73D8-4682-8D28-071416AC49E8}"/>
      </w:docPartPr>
      <w:docPartBody>
        <w:p w:rsidR="001F0CAA" w:rsidRDefault="001F0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AF"/>
    <w:rsid w:val="001F0CAA"/>
    <w:rsid w:val="0045768D"/>
    <w:rsid w:val="00580D0B"/>
    <w:rsid w:val="007115A9"/>
    <w:rsid w:val="007927AF"/>
    <w:rsid w:val="00F2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S4809955</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C7EA6-050F-4283-871D-03A5059F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6912</TotalTime>
  <Pages>92</Pages>
  <Words>32924</Words>
  <Characters>187667</Characters>
  <Application>Microsoft Office Word</Application>
  <DocSecurity>0</DocSecurity>
  <Lines>1563</Lines>
  <Paragraphs>440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political representation of Māori people in Aotearoa New Zealand</vt:lpstr>
      <vt:lpstr>The political representation of Mãori people in Aotearoa New Zealand</vt:lpstr>
    </vt:vector>
  </TitlesOfParts>
  <Company/>
  <LinksUpToDate>false</LinksUpToDate>
  <CharactersWithSpaces>220151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representation of Māori people in Aotearoa New Zealand</dc:title>
  <dc:subject>A claims-making analysis studying the link between descriptive representation and substantive claims</dc:subject>
  <dc:creator>Cato Rademaker</dc:creator>
  <cp:keywords/>
  <dc:description/>
  <cp:lastModifiedBy>Cato Rademaker</cp:lastModifiedBy>
  <cp:revision>2054</cp:revision>
  <dcterms:created xsi:type="dcterms:W3CDTF">2021-06-17T13:40:00Z</dcterms:created>
  <dcterms:modified xsi:type="dcterms:W3CDTF">2021-06-24T12:51:00Z</dcterms:modified>
</cp:coreProperties>
</file>